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8EB57" w14:textId="371A3CAE" w:rsidR="00454CC9" w:rsidRPr="00D55112" w:rsidRDefault="00FC29C6" w:rsidP="00D55112">
      <w:pPr>
        <w:spacing w:after="0"/>
        <w:jc w:val="center"/>
        <w:rPr>
          <w:rFonts w:cs="Arial"/>
          <w:sz w:val="28"/>
          <w:szCs w:val="28"/>
        </w:rPr>
      </w:pPr>
      <w:r w:rsidRPr="00D55112">
        <w:rPr>
          <w:rFonts w:cs="Arial"/>
          <w:b/>
          <w:bCs/>
          <w:sz w:val="28"/>
          <w:szCs w:val="28"/>
        </w:rPr>
        <w:t>Programme:</w:t>
      </w:r>
      <w:r w:rsidRPr="00D55112">
        <w:rPr>
          <w:rFonts w:cs="Arial"/>
          <w:sz w:val="28"/>
          <w:szCs w:val="28"/>
        </w:rPr>
        <w:t xml:space="preserve"> Certificate of Higher Education Skills for the Workplace (Health &amp; Social Care)</w:t>
      </w:r>
    </w:p>
    <w:p w14:paraId="243D854B" w14:textId="5F4CA76E" w:rsidR="00FC29C6" w:rsidRPr="00D55112" w:rsidRDefault="00FC29C6" w:rsidP="00D55112">
      <w:pPr>
        <w:spacing w:after="0"/>
        <w:jc w:val="center"/>
        <w:rPr>
          <w:rFonts w:cs="Arial"/>
          <w:sz w:val="28"/>
          <w:szCs w:val="28"/>
        </w:rPr>
      </w:pPr>
      <w:r w:rsidRPr="00D55112">
        <w:rPr>
          <w:rFonts w:cs="Arial"/>
          <w:b/>
          <w:bCs/>
          <w:sz w:val="28"/>
          <w:szCs w:val="28"/>
        </w:rPr>
        <w:t>Module:</w:t>
      </w:r>
      <w:r w:rsidRPr="00D55112">
        <w:rPr>
          <w:rFonts w:cs="Arial"/>
          <w:sz w:val="28"/>
          <w:szCs w:val="28"/>
        </w:rPr>
        <w:t xml:space="preserve"> Introduction to Health and Social Care</w:t>
      </w:r>
    </w:p>
    <w:p w14:paraId="557AECA8" w14:textId="722B34D3" w:rsidR="00FC29C6" w:rsidRPr="00D55112" w:rsidRDefault="00FC29C6" w:rsidP="00D55112">
      <w:pPr>
        <w:spacing w:after="0"/>
        <w:jc w:val="center"/>
        <w:rPr>
          <w:rFonts w:cs="Arial"/>
          <w:sz w:val="28"/>
          <w:szCs w:val="28"/>
        </w:rPr>
      </w:pPr>
      <w:r w:rsidRPr="00D55112">
        <w:rPr>
          <w:rFonts w:cs="Arial"/>
          <w:b/>
          <w:bCs/>
          <w:sz w:val="28"/>
          <w:szCs w:val="28"/>
        </w:rPr>
        <w:t>Module Code:</w:t>
      </w:r>
      <w:r w:rsidRPr="00D55112">
        <w:rPr>
          <w:rFonts w:cs="Arial"/>
          <w:sz w:val="28"/>
          <w:szCs w:val="28"/>
        </w:rPr>
        <w:t xml:space="preserve"> LCHS4003</w:t>
      </w:r>
    </w:p>
    <w:p w14:paraId="4D91A067" w14:textId="48DB4956" w:rsidR="00FC29C6" w:rsidRPr="00D55112" w:rsidRDefault="00FC29C6" w:rsidP="00D55112">
      <w:pPr>
        <w:spacing w:after="0"/>
        <w:jc w:val="center"/>
        <w:rPr>
          <w:rFonts w:cs="Arial"/>
          <w:sz w:val="28"/>
          <w:szCs w:val="28"/>
        </w:rPr>
      </w:pPr>
      <w:r w:rsidRPr="00D55112">
        <w:rPr>
          <w:rFonts w:cs="Arial"/>
          <w:b/>
          <w:bCs/>
          <w:sz w:val="28"/>
          <w:szCs w:val="28"/>
        </w:rPr>
        <w:t>Lecturer:</w:t>
      </w:r>
      <w:r w:rsidR="00907250">
        <w:rPr>
          <w:rFonts w:cs="Arial"/>
          <w:sz w:val="28"/>
          <w:szCs w:val="28"/>
        </w:rPr>
        <w:t xml:space="preserve"> </w:t>
      </w:r>
      <w:proofErr w:type="spellStart"/>
      <w:r w:rsidR="00907250">
        <w:rPr>
          <w:rFonts w:cs="Arial"/>
          <w:sz w:val="28"/>
          <w:szCs w:val="28"/>
        </w:rPr>
        <w:t>Wafa</w:t>
      </w:r>
      <w:proofErr w:type="spellEnd"/>
      <w:r w:rsidR="00907250">
        <w:rPr>
          <w:rFonts w:cs="Arial"/>
          <w:sz w:val="28"/>
          <w:szCs w:val="28"/>
        </w:rPr>
        <w:t xml:space="preserve"> Nasir </w:t>
      </w:r>
    </w:p>
    <w:p w14:paraId="22756659" w14:textId="63F04439" w:rsidR="00FC29C6" w:rsidRPr="00D55112" w:rsidRDefault="00FC29C6" w:rsidP="00D55112">
      <w:pPr>
        <w:spacing w:after="0"/>
        <w:jc w:val="center"/>
        <w:rPr>
          <w:rFonts w:cs="Arial"/>
          <w:sz w:val="28"/>
          <w:szCs w:val="28"/>
        </w:rPr>
      </w:pPr>
      <w:r w:rsidRPr="00D55112">
        <w:rPr>
          <w:rFonts w:cs="Arial"/>
          <w:b/>
          <w:bCs/>
          <w:sz w:val="28"/>
          <w:szCs w:val="28"/>
        </w:rPr>
        <w:t>Assignment Title:</w:t>
      </w:r>
      <w:r w:rsidRPr="00D55112">
        <w:rPr>
          <w:rFonts w:cs="Arial"/>
          <w:sz w:val="28"/>
          <w:szCs w:val="28"/>
        </w:rPr>
        <w:t xml:space="preserve"> Written Assignment</w:t>
      </w:r>
    </w:p>
    <w:p w14:paraId="2ED35053" w14:textId="77777777" w:rsidR="00FC29C6" w:rsidRPr="00D55112" w:rsidRDefault="00FC29C6" w:rsidP="00D55112">
      <w:pPr>
        <w:spacing w:after="0"/>
        <w:jc w:val="center"/>
        <w:rPr>
          <w:rFonts w:cs="Arial"/>
          <w:sz w:val="28"/>
          <w:szCs w:val="28"/>
        </w:rPr>
      </w:pPr>
    </w:p>
    <w:p w14:paraId="25C2CA08" w14:textId="77777777" w:rsidR="00FC29C6" w:rsidRPr="00D55112" w:rsidRDefault="00FC29C6" w:rsidP="00D55112">
      <w:pPr>
        <w:spacing w:after="0"/>
        <w:jc w:val="center"/>
        <w:rPr>
          <w:rFonts w:cs="Arial"/>
          <w:sz w:val="28"/>
          <w:szCs w:val="28"/>
        </w:rPr>
      </w:pPr>
    </w:p>
    <w:p w14:paraId="2CCB8D57" w14:textId="77777777" w:rsidR="00FC29C6" w:rsidRPr="00D55112" w:rsidRDefault="00FC29C6" w:rsidP="00D55112">
      <w:pPr>
        <w:spacing w:after="0"/>
        <w:jc w:val="center"/>
        <w:rPr>
          <w:rFonts w:cs="Arial"/>
          <w:sz w:val="28"/>
          <w:szCs w:val="28"/>
        </w:rPr>
      </w:pPr>
    </w:p>
    <w:p w14:paraId="6FE5E14F" w14:textId="77777777" w:rsidR="00FC29C6" w:rsidRPr="00D55112" w:rsidRDefault="00FC29C6" w:rsidP="00D55112">
      <w:pPr>
        <w:spacing w:after="0"/>
        <w:jc w:val="center"/>
        <w:rPr>
          <w:rFonts w:cs="Arial"/>
          <w:sz w:val="28"/>
          <w:szCs w:val="28"/>
        </w:rPr>
      </w:pPr>
    </w:p>
    <w:p w14:paraId="1374639A" w14:textId="77777777" w:rsidR="00FC29C6" w:rsidRPr="00D55112" w:rsidRDefault="00FC29C6" w:rsidP="00D55112">
      <w:pPr>
        <w:spacing w:after="0"/>
        <w:jc w:val="center"/>
        <w:rPr>
          <w:rFonts w:cs="Arial"/>
          <w:sz w:val="28"/>
          <w:szCs w:val="28"/>
        </w:rPr>
      </w:pPr>
    </w:p>
    <w:p w14:paraId="569DACBA" w14:textId="77777777" w:rsidR="00FC29C6" w:rsidRPr="00D55112" w:rsidRDefault="00FC29C6" w:rsidP="00D55112">
      <w:pPr>
        <w:spacing w:after="0"/>
        <w:jc w:val="center"/>
        <w:rPr>
          <w:rFonts w:cs="Arial"/>
          <w:sz w:val="28"/>
          <w:szCs w:val="28"/>
        </w:rPr>
      </w:pPr>
    </w:p>
    <w:p w14:paraId="394FCE37" w14:textId="7289FEE3" w:rsidR="00FC29C6" w:rsidRPr="006D5105" w:rsidRDefault="00FC29C6" w:rsidP="00D55112">
      <w:pPr>
        <w:spacing w:after="0"/>
        <w:jc w:val="center"/>
        <w:rPr>
          <w:rFonts w:cs="Arial"/>
          <w:sz w:val="28"/>
          <w:szCs w:val="28"/>
        </w:rPr>
      </w:pPr>
      <w:r w:rsidRPr="00D55112">
        <w:rPr>
          <w:rFonts w:cs="Arial"/>
          <w:b/>
          <w:bCs/>
          <w:sz w:val="28"/>
          <w:szCs w:val="28"/>
        </w:rPr>
        <w:t>Student Name:</w:t>
      </w:r>
      <w:r w:rsidR="006D5105">
        <w:rPr>
          <w:rFonts w:cs="Arial"/>
          <w:b/>
          <w:bCs/>
          <w:sz w:val="28"/>
          <w:szCs w:val="28"/>
        </w:rPr>
        <w:t xml:space="preserve"> </w:t>
      </w:r>
      <w:proofErr w:type="spellStart"/>
      <w:r w:rsidR="006D5105">
        <w:rPr>
          <w:rFonts w:cs="Arial"/>
          <w:sz w:val="28"/>
          <w:szCs w:val="28"/>
        </w:rPr>
        <w:t>Samaira</w:t>
      </w:r>
      <w:proofErr w:type="spellEnd"/>
      <w:r w:rsidR="006D5105">
        <w:rPr>
          <w:rFonts w:cs="Arial"/>
          <w:sz w:val="28"/>
          <w:szCs w:val="28"/>
        </w:rPr>
        <w:t xml:space="preserve"> </w:t>
      </w:r>
      <w:proofErr w:type="spellStart"/>
      <w:r w:rsidR="006D5105">
        <w:rPr>
          <w:rFonts w:cs="Arial"/>
          <w:sz w:val="28"/>
          <w:szCs w:val="28"/>
        </w:rPr>
        <w:t>Kauser</w:t>
      </w:r>
      <w:proofErr w:type="spellEnd"/>
      <w:r w:rsidR="006D5105">
        <w:rPr>
          <w:rFonts w:cs="Arial"/>
          <w:sz w:val="28"/>
          <w:szCs w:val="28"/>
        </w:rPr>
        <w:t xml:space="preserve"> </w:t>
      </w:r>
    </w:p>
    <w:p w14:paraId="3D39D09C" w14:textId="611EF074" w:rsidR="00FC29C6" w:rsidRPr="006D5105" w:rsidRDefault="00FC29C6" w:rsidP="00D55112">
      <w:pPr>
        <w:spacing w:after="0"/>
        <w:jc w:val="center"/>
        <w:rPr>
          <w:rFonts w:cs="Arial"/>
          <w:sz w:val="28"/>
          <w:szCs w:val="28"/>
        </w:rPr>
      </w:pPr>
      <w:r w:rsidRPr="00D55112">
        <w:rPr>
          <w:rFonts w:cs="Arial"/>
          <w:b/>
          <w:bCs/>
          <w:sz w:val="28"/>
          <w:szCs w:val="28"/>
        </w:rPr>
        <w:t>Student ID:</w:t>
      </w:r>
      <w:r w:rsidR="006D5105">
        <w:rPr>
          <w:rFonts w:cs="Arial"/>
          <w:sz w:val="28"/>
          <w:szCs w:val="28"/>
        </w:rPr>
        <w:t>2506113</w:t>
      </w:r>
    </w:p>
    <w:p w14:paraId="627B6B8C" w14:textId="33042DD2" w:rsidR="00FC29C6" w:rsidRPr="00D55112" w:rsidRDefault="006D5105" w:rsidP="00D55112">
      <w:pPr>
        <w:spacing w:after="0"/>
        <w:rPr>
          <w:rFonts w:cs="Arial"/>
        </w:rPr>
        <w:sectPr w:rsidR="00FC29C6" w:rsidRPr="00D55112" w:rsidSect="00651A04">
          <w:footerReference w:type="default" r:id="rId7"/>
          <w:pgSz w:w="12240" w:h="15840"/>
          <w:pgMar w:top="1440" w:right="1440" w:bottom="1440" w:left="1440" w:header="720" w:footer="720" w:gutter="0"/>
          <w:cols w:space="720"/>
          <w:docGrid w:linePitch="360"/>
        </w:sectPr>
      </w:pPr>
      <w:r>
        <w:rPr>
          <w:rFonts w:cs="Arial"/>
        </w:rPr>
        <w:t xml:space="preserve"> </w:t>
      </w:r>
    </w:p>
    <w:sdt>
      <w:sdtPr>
        <w:rPr>
          <w:rFonts w:ascii="Arial" w:eastAsiaTheme="minorHAnsi" w:hAnsi="Arial" w:cs="Arial"/>
          <w:color w:val="auto"/>
          <w:kern w:val="2"/>
          <w:sz w:val="22"/>
          <w:szCs w:val="22"/>
          <w:lang w:val="en-GB"/>
          <w14:ligatures w14:val="standardContextual"/>
        </w:rPr>
        <w:id w:val="-1390960216"/>
        <w:docPartObj>
          <w:docPartGallery w:val="Table of Contents"/>
          <w:docPartUnique/>
        </w:docPartObj>
      </w:sdtPr>
      <w:sdtEndPr>
        <w:rPr>
          <w:b/>
          <w:bCs/>
          <w:noProof/>
        </w:rPr>
      </w:sdtEndPr>
      <w:sdtContent>
        <w:p w14:paraId="0BB0792D" w14:textId="5B5D87BE" w:rsidR="00FC29C6" w:rsidRPr="00D55112" w:rsidRDefault="00FC29C6" w:rsidP="00D55112">
          <w:pPr>
            <w:pStyle w:val="TOCHeading"/>
            <w:spacing w:before="0" w:line="360" w:lineRule="auto"/>
            <w:rPr>
              <w:rFonts w:ascii="Arial" w:hAnsi="Arial" w:cs="Arial"/>
            </w:rPr>
          </w:pPr>
          <w:r w:rsidRPr="00D55112">
            <w:rPr>
              <w:rFonts w:ascii="Arial" w:hAnsi="Arial" w:cs="Arial"/>
            </w:rPr>
            <w:t>Table of Contents</w:t>
          </w:r>
        </w:p>
        <w:p w14:paraId="782CE5B4" w14:textId="29DAF9E7" w:rsidR="00484600" w:rsidRPr="00D55112" w:rsidRDefault="00FC29C6" w:rsidP="00D55112">
          <w:pPr>
            <w:pStyle w:val="TOC1"/>
            <w:tabs>
              <w:tab w:val="right" w:leader="dot" w:pos="9350"/>
            </w:tabs>
            <w:spacing w:after="0"/>
            <w:rPr>
              <w:rFonts w:eastAsiaTheme="minorEastAsia" w:cs="Arial"/>
              <w:noProof/>
              <w:sz w:val="24"/>
              <w:szCs w:val="24"/>
              <w:lang w:eastAsia="en-GB"/>
            </w:rPr>
          </w:pPr>
          <w:r w:rsidRPr="00D55112">
            <w:rPr>
              <w:rFonts w:cs="Arial"/>
            </w:rPr>
            <w:fldChar w:fldCharType="begin"/>
          </w:r>
          <w:r w:rsidRPr="00D55112">
            <w:rPr>
              <w:rFonts w:cs="Arial"/>
            </w:rPr>
            <w:instrText xml:space="preserve"> TOC \o "1-3" \h \z \u </w:instrText>
          </w:r>
          <w:r w:rsidRPr="00D55112">
            <w:rPr>
              <w:rFonts w:cs="Arial"/>
            </w:rPr>
            <w:fldChar w:fldCharType="separate"/>
          </w:r>
          <w:hyperlink w:anchor="_Toc225353508" w:history="1">
            <w:r w:rsidR="00484600" w:rsidRPr="00D55112">
              <w:rPr>
                <w:rStyle w:val="Hyperlink"/>
                <w:rFonts w:cs="Arial"/>
                <w:noProof/>
              </w:rPr>
              <w:t>Introduction</w:t>
            </w:r>
            <w:r w:rsidR="00484600" w:rsidRPr="00D55112">
              <w:rPr>
                <w:rFonts w:cs="Arial"/>
                <w:noProof/>
                <w:webHidden/>
              </w:rPr>
              <w:tab/>
            </w:r>
            <w:r w:rsidR="00484600" w:rsidRPr="00D55112">
              <w:rPr>
                <w:rFonts w:cs="Arial"/>
                <w:noProof/>
                <w:webHidden/>
              </w:rPr>
              <w:fldChar w:fldCharType="begin"/>
            </w:r>
            <w:r w:rsidR="00484600" w:rsidRPr="00D55112">
              <w:rPr>
                <w:rFonts w:cs="Arial"/>
                <w:noProof/>
                <w:webHidden/>
              </w:rPr>
              <w:instrText xml:space="preserve"> PAGEREF _Toc225353508 \h </w:instrText>
            </w:r>
            <w:r w:rsidR="00484600" w:rsidRPr="00D55112">
              <w:rPr>
                <w:rFonts w:cs="Arial"/>
                <w:noProof/>
                <w:webHidden/>
              </w:rPr>
            </w:r>
            <w:r w:rsidR="00484600" w:rsidRPr="00D55112">
              <w:rPr>
                <w:rFonts w:cs="Arial"/>
                <w:noProof/>
                <w:webHidden/>
              </w:rPr>
              <w:fldChar w:fldCharType="separate"/>
            </w:r>
            <w:r w:rsidR="00D55112">
              <w:rPr>
                <w:rFonts w:cs="Arial"/>
                <w:noProof/>
                <w:webHidden/>
              </w:rPr>
              <w:t>1</w:t>
            </w:r>
            <w:r w:rsidR="00484600" w:rsidRPr="00D55112">
              <w:rPr>
                <w:rFonts w:cs="Arial"/>
                <w:noProof/>
                <w:webHidden/>
              </w:rPr>
              <w:fldChar w:fldCharType="end"/>
            </w:r>
          </w:hyperlink>
        </w:p>
        <w:p w14:paraId="6D751755" w14:textId="01C7F9EB" w:rsidR="00484600" w:rsidRPr="00D55112" w:rsidRDefault="00484600" w:rsidP="00D55112">
          <w:pPr>
            <w:pStyle w:val="TOC1"/>
            <w:tabs>
              <w:tab w:val="right" w:leader="dot" w:pos="9350"/>
            </w:tabs>
            <w:spacing w:after="0"/>
            <w:rPr>
              <w:rFonts w:eastAsiaTheme="minorEastAsia" w:cs="Arial"/>
              <w:noProof/>
              <w:sz w:val="24"/>
              <w:szCs w:val="24"/>
              <w:lang w:eastAsia="en-GB"/>
            </w:rPr>
          </w:pPr>
          <w:hyperlink w:anchor="_Toc225353509" w:history="1">
            <w:r w:rsidRPr="00D55112">
              <w:rPr>
                <w:rStyle w:val="Hyperlink"/>
                <w:rFonts w:cs="Arial"/>
                <w:noProof/>
              </w:rPr>
              <w:t>The importance of effective communication within the context of Mr Ahmed’s care</w:t>
            </w:r>
            <w:r w:rsidRPr="00D55112">
              <w:rPr>
                <w:rFonts w:cs="Arial"/>
                <w:noProof/>
                <w:webHidden/>
              </w:rPr>
              <w:tab/>
            </w:r>
            <w:r w:rsidRPr="00D55112">
              <w:rPr>
                <w:rFonts w:cs="Arial"/>
                <w:noProof/>
                <w:webHidden/>
              </w:rPr>
              <w:fldChar w:fldCharType="begin"/>
            </w:r>
            <w:r w:rsidRPr="00D55112">
              <w:rPr>
                <w:rFonts w:cs="Arial"/>
                <w:noProof/>
                <w:webHidden/>
              </w:rPr>
              <w:instrText xml:space="preserve"> PAGEREF _Toc225353509 \h </w:instrText>
            </w:r>
            <w:r w:rsidRPr="00D55112">
              <w:rPr>
                <w:rFonts w:cs="Arial"/>
                <w:noProof/>
                <w:webHidden/>
              </w:rPr>
            </w:r>
            <w:r w:rsidRPr="00D55112">
              <w:rPr>
                <w:rFonts w:cs="Arial"/>
                <w:noProof/>
                <w:webHidden/>
              </w:rPr>
              <w:fldChar w:fldCharType="separate"/>
            </w:r>
            <w:r w:rsidR="00D55112">
              <w:rPr>
                <w:rFonts w:cs="Arial"/>
                <w:noProof/>
                <w:webHidden/>
              </w:rPr>
              <w:t>1</w:t>
            </w:r>
            <w:r w:rsidRPr="00D55112">
              <w:rPr>
                <w:rFonts w:cs="Arial"/>
                <w:noProof/>
                <w:webHidden/>
              </w:rPr>
              <w:fldChar w:fldCharType="end"/>
            </w:r>
          </w:hyperlink>
        </w:p>
        <w:p w14:paraId="400D1C47" w14:textId="4C1CFE40" w:rsidR="00484600" w:rsidRPr="00D55112" w:rsidRDefault="00484600" w:rsidP="00D55112">
          <w:pPr>
            <w:pStyle w:val="TOC1"/>
            <w:tabs>
              <w:tab w:val="right" w:leader="dot" w:pos="9350"/>
            </w:tabs>
            <w:spacing w:after="0"/>
            <w:rPr>
              <w:rFonts w:eastAsiaTheme="minorEastAsia" w:cs="Arial"/>
              <w:noProof/>
              <w:sz w:val="24"/>
              <w:szCs w:val="24"/>
              <w:lang w:eastAsia="en-GB"/>
            </w:rPr>
          </w:pPr>
          <w:hyperlink w:anchor="_Toc225353510" w:history="1">
            <w:r w:rsidRPr="00D55112">
              <w:rPr>
                <w:rStyle w:val="Hyperlink"/>
                <w:rFonts w:cs="Arial"/>
                <w:noProof/>
              </w:rPr>
              <w:t>The importance of good administrative skills within professional practice, within the context of Mr Ahmed’s care</w:t>
            </w:r>
            <w:r w:rsidRPr="00D55112">
              <w:rPr>
                <w:rFonts w:cs="Arial"/>
                <w:noProof/>
                <w:webHidden/>
              </w:rPr>
              <w:tab/>
            </w:r>
            <w:r w:rsidRPr="00D55112">
              <w:rPr>
                <w:rFonts w:cs="Arial"/>
                <w:noProof/>
                <w:webHidden/>
              </w:rPr>
              <w:fldChar w:fldCharType="begin"/>
            </w:r>
            <w:r w:rsidRPr="00D55112">
              <w:rPr>
                <w:rFonts w:cs="Arial"/>
                <w:noProof/>
                <w:webHidden/>
              </w:rPr>
              <w:instrText xml:space="preserve"> PAGEREF _Toc225353510 \h </w:instrText>
            </w:r>
            <w:r w:rsidRPr="00D55112">
              <w:rPr>
                <w:rFonts w:cs="Arial"/>
                <w:noProof/>
                <w:webHidden/>
              </w:rPr>
            </w:r>
            <w:r w:rsidRPr="00D55112">
              <w:rPr>
                <w:rFonts w:cs="Arial"/>
                <w:noProof/>
                <w:webHidden/>
              </w:rPr>
              <w:fldChar w:fldCharType="separate"/>
            </w:r>
            <w:r w:rsidR="00D55112">
              <w:rPr>
                <w:rFonts w:cs="Arial"/>
                <w:noProof/>
                <w:webHidden/>
              </w:rPr>
              <w:t>2</w:t>
            </w:r>
            <w:r w:rsidRPr="00D55112">
              <w:rPr>
                <w:rFonts w:cs="Arial"/>
                <w:noProof/>
                <w:webHidden/>
              </w:rPr>
              <w:fldChar w:fldCharType="end"/>
            </w:r>
          </w:hyperlink>
        </w:p>
        <w:p w14:paraId="5202A822" w14:textId="41B64F3C" w:rsidR="00484600" w:rsidRPr="00D55112" w:rsidRDefault="00484600" w:rsidP="00D55112">
          <w:pPr>
            <w:pStyle w:val="TOC1"/>
            <w:tabs>
              <w:tab w:val="right" w:leader="dot" w:pos="9350"/>
            </w:tabs>
            <w:spacing w:after="0"/>
            <w:rPr>
              <w:rFonts w:eastAsiaTheme="minorEastAsia" w:cs="Arial"/>
              <w:noProof/>
              <w:sz w:val="24"/>
              <w:szCs w:val="24"/>
              <w:lang w:eastAsia="en-GB"/>
            </w:rPr>
          </w:pPr>
          <w:hyperlink w:anchor="_Toc225353511" w:history="1">
            <w:r w:rsidRPr="00D55112">
              <w:rPr>
                <w:rStyle w:val="Hyperlink"/>
                <w:rFonts w:cs="Arial"/>
                <w:noProof/>
              </w:rPr>
              <w:t>The importance of working collaboratively with other professionals involved in Mr Ahmed’s care</w:t>
            </w:r>
            <w:r w:rsidRPr="00D55112">
              <w:rPr>
                <w:rFonts w:cs="Arial"/>
                <w:noProof/>
                <w:webHidden/>
              </w:rPr>
              <w:tab/>
            </w:r>
            <w:r w:rsidRPr="00D55112">
              <w:rPr>
                <w:rFonts w:cs="Arial"/>
                <w:noProof/>
                <w:webHidden/>
              </w:rPr>
              <w:fldChar w:fldCharType="begin"/>
            </w:r>
            <w:r w:rsidRPr="00D55112">
              <w:rPr>
                <w:rFonts w:cs="Arial"/>
                <w:noProof/>
                <w:webHidden/>
              </w:rPr>
              <w:instrText xml:space="preserve"> PAGEREF _Toc225353511 \h </w:instrText>
            </w:r>
            <w:r w:rsidRPr="00D55112">
              <w:rPr>
                <w:rFonts w:cs="Arial"/>
                <w:noProof/>
                <w:webHidden/>
              </w:rPr>
            </w:r>
            <w:r w:rsidRPr="00D55112">
              <w:rPr>
                <w:rFonts w:cs="Arial"/>
                <w:noProof/>
                <w:webHidden/>
              </w:rPr>
              <w:fldChar w:fldCharType="separate"/>
            </w:r>
            <w:r w:rsidR="00D55112">
              <w:rPr>
                <w:rFonts w:cs="Arial"/>
                <w:noProof/>
                <w:webHidden/>
              </w:rPr>
              <w:t>3</w:t>
            </w:r>
            <w:r w:rsidRPr="00D55112">
              <w:rPr>
                <w:rFonts w:cs="Arial"/>
                <w:noProof/>
                <w:webHidden/>
              </w:rPr>
              <w:fldChar w:fldCharType="end"/>
            </w:r>
          </w:hyperlink>
        </w:p>
        <w:p w14:paraId="4AF9001C" w14:textId="1DCD2797" w:rsidR="00484600" w:rsidRPr="00D55112" w:rsidRDefault="00484600" w:rsidP="00D55112">
          <w:pPr>
            <w:pStyle w:val="TOC1"/>
            <w:tabs>
              <w:tab w:val="right" w:leader="dot" w:pos="9350"/>
            </w:tabs>
            <w:spacing w:after="0"/>
            <w:rPr>
              <w:rFonts w:eastAsiaTheme="minorEastAsia" w:cs="Arial"/>
              <w:noProof/>
              <w:sz w:val="24"/>
              <w:szCs w:val="24"/>
              <w:lang w:eastAsia="en-GB"/>
            </w:rPr>
          </w:pPr>
          <w:hyperlink w:anchor="_Toc225353512" w:history="1">
            <w:r w:rsidRPr="00D55112">
              <w:rPr>
                <w:rStyle w:val="Hyperlink"/>
                <w:rFonts w:cs="Arial"/>
                <w:noProof/>
              </w:rPr>
              <w:t>Conclusion</w:t>
            </w:r>
            <w:r w:rsidRPr="00D55112">
              <w:rPr>
                <w:rFonts w:cs="Arial"/>
                <w:noProof/>
                <w:webHidden/>
              </w:rPr>
              <w:tab/>
            </w:r>
            <w:r w:rsidRPr="00D55112">
              <w:rPr>
                <w:rFonts w:cs="Arial"/>
                <w:noProof/>
                <w:webHidden/>
              </w:rPr>
              <w:fldChar w:fldCharType="begin"/>
            </w:r>
            <w:r w:rsidRPr="00D55112">
              <w:rPr>
                <w:rFonts w:cs="Arial"/>
                <w:noProof/>
                <w:webHidden/>
              </w:rPr>
              <w:instrText xml:space="preserve"> PAGEREF _Toc225353512 \h </w:instrText>
            </w:r>
            <w:r w:rsidRPr="00D55112">
              <w:rPr>
                <w:rFonts w:cs="Arial"/>
                <w:noProof/>
                <w:webHidden/>
              </w:rPr>
            </w:r>
            <w:r w:rsidRPr="00D55112">
              <w:rPr>
                <w:rFonts w:cs="Arial"/>
                <w:noProof/>
                <w:webHidden/>
              </w:rPr>
              <w:fldChar w:fldCharType="separate"/>
            </w:r>
            <w:r w:rsidR="00D55112">
              <w:rPr>
                <w:rFonts w:cs="Arial"/>
                <w:noProof/>
                <w:webHidden/>
              </w:rPr>
              <w:t>4</w:t>
            </w:r>
            <w:r w:rsidRPr="00D55112">
              <w:rPr>
                <w:rFonts w:cs="Arial"/>
                <w:noProof/>
                <w:webHidden/>
              </w:rPr>
              <w:fldChar w:fldCharType="end"/>
            </w:r>
          </w:hyperlink>
        </w:p>
        <w:p w14:paraId="4D861141" w14:textId="418E292A" w:rsidR="00484600" w:rsidRPr="00D55112" w:rsidRDefault="00484600" w:rsidP="00D55112">
          <w:pPr>
            <w:pStyle w:val="TOC1"/>
            <w:tabs>
              <w:tab w:val="right" w:leader="dot" w:pos="9350"/>
            </w:tabs>
            <w:spacing w:after="0"/>
            <w:rPr>
              <w:rFonts w:eastAsiaTheme="minorEastAsia" w:cs="Arial"/>
              <w:noProof/>
              <w:sz w:val="24"/>
              <w:szCs w:val="24"/>
              <w:lang w:eastAsia="en-GB"/>
            </w:rPr>
          </w:pPr>
          <w:hyperlink w:anchor="_Toc225353513" w:history="1">
            <w:r w:rsidRPr="00D55112">
              <w:rPr>
                <w:rStyle w:val="Hyperlink"/>
                <w:rFonts w:cs="Arial"/>
                <w:noProof/>
              </w:rPr>
              <w:t>References</w:t>
            </w:r>
            <w:r w:rsidRPr="00D55112">
              <w:rPr>
                <w:rFonts w:cs="Arial"/>
                <w:noProof/>
                <w:webHidden/>
              </w:rPr>
              <w:tab/>
            </w:r>
            <w:r w:rsidRPr="00D55112">
              <w:rPr>
                <w:rFonts w:cs="Arial"/>
                <w:noProof/>
                <w:webHidden/>
              </w:rPr>
              <w:fldChar w:fldCharType="begin"/>
            </w:r>
            <w:r w:rsidRPr="00D55112">
              <w:rPr>
                <w:rFonts w:cs="Arial"/>
                <w:noProof/>
                <w:webHidden/>
              </w:rPr>
              <w:instrText xml:space="preserve"> PAGEREF _Toc225353513 \h </w:instrText>
            </w:r>
            <w:r w:rsidRPr="00D55112">
              <w:rPr>
                <w:rFonts w:cs="Arial"/>
                <w:noProof/>
                <w:webHidden/>
              </w:rPr>
            </w:r>
            <w:r w:rsidRPr="00D55112">
              <w:rPr>
                <w:rFonts w:cs="Arial"/>
                <w:noProof/>
                <w:webHidden/>
              </w:rPr>
              <w:fldChar w:fldCharType="separate"/>
            </w:r>
            <w:r w:rsidR="00D55112">
              <w:rPr>
                <w:rFonts w:cs="Arial"/>
                <w:noProof/>
                <w:webHidden/>
              </w:rPr>
              <w:t>5</w:t>
            </w:r>
            <w:r w:rsidRPr="00D55112">
              <w:rPr>
                <w:rFonts w:cs="Arial"/>
                <w:noProof/>
                <w:webHidden/>
              </w:rPr>
              <w:fldChar w:fldCharType="end"/>
            </w:r>
          </w:hyperlink>
        </w:p>
        <w:p w14:paraId="0C2570B8" w14:textId="2B50D7B6" w:rsidR="00FC29C6" w:rsidRPr="00D55112" w:rsidRDefault="00FC29C6" w:rsidP="00D55112">
          <w:pPr>
            <w:spacing w:after="0"/>
            <w:rPr>
              <w:rFonts w:cs="Arial"/>
            </w:rPr>
          </w:pPr>
          <w:r w:rsidRPr="00D55112">
            <w:rPr>
              <w:rFonts w:cs="Arial"/>
              <w:b/>
              <w:bCs/>
              <w:noProof/>
            </w:rPr>
            <w:fldChar w:fldCharType="end"/>
          </w:r>
        </w:p>
      </w:sdtContent>
    </w:sdt>
    <w:p w14:paraId="20135184" w14:textId="77777777" w:rsidR="00FC29C6" w:rsidRPr="00D55112" w:rsidRDefault="00FC29C6" w:rsidP="00D55112">
      <w:pPr>
        <w:spacing w:after="0"/>
        <w:rPr>
          <w:rFonts w:cs="Arial"/>
        </w:rPr>
        <w:sectPr w:rsidR="00FC29C6" w:rsidRPr="00D55112" w:rsidSect="00651A04">
          <w:pgSz w:w="12240" w:h="15840"/>
          <w:pgMar w:top="1440" w:right="1440" w:bottom="1440" w:left="1440" w:header="720" w:footer="720" w:gutter="0"/>
          <w:cols w:space="720"/>
          <w:docGrid w:linePitch="360"/>
        </w:sectPr>
      </w:pPr>
    </w:p>
    <w:p w14:paraId="72BBE776" w14:textId="2DB7FF56" w:rsidR="00431C63" w:rsidRPr="00D55112" w:rsidRDefault="00431C63" w:rsidP="00D55112">
      <w:pPr>
        <w:pStyle w:val="Heading1"/>
        <w:spacing w:before="0"/>
        <w:rPr>
          <w:rFonts w:cs="Arial"/>
        </w:rPr>
      </w:pPr>
      <w:bookmarkStart w:id="0" w:name="_Toc225353508"/>
      <w:r w:rsidRPr="00D55112">
        <w:rPr>
          <w:rFonts w:cs="Arial"/>
        </w:rPr>
        <w:t>Introduction</w:t>
      </w:r>
      <w:bookmarkEnd w:id="0"/>
    </w:p>
    <w:p w14:paraId="5B9352DB" w14:textId="7C60D7EA" w:rsidR="00431C63" w:rsidRPr="00D55112" w:rsidRDefault="00431C63" w:rsidP="00D55112">
      <w:pPr>
        <w:spacing w:after="0"/>
        <w:rPr>
          <w:rFonts w:cs="Arial"/>
        </w:rPr>
      </w:pPr>
      <w:r w:rsidRPr="00D55112">
        <w:rPr>
          <w:rFonts w:cs="Arial"/>
        </w:rPr>
        <w:t xml:space="preserve">The UK has a broad health and social care system, and most of the organisations are public. This system is founded based on the National Health Service (NHS), which was developed in 1948 </w:t>
      </w:r>
      <w:r w:rsidR="002C3973" w:rsidRPr="00D55112">
        <w:rPr>
          <w:rFonts w:cs="Arial"/>
        </w:rPr>
        <w:t>(Ham, 2024)</w:t>
      </w:r>
      <w:r w:rsidRPr="00D55112">
        <w:rPr>
          <w:rFonts w:cs="Arial"/>
        </w:rPr>
        <w:t xml:space="preserve">. The government of the UK has established regulations under the Equality Act 2010, the Data Protection Act 2018, the Health and Care Act 2022, and more to ensure quality, safety, and standards in the health and social care system. Besides, these laws ensure individual rights to </w:t>
      </w:r>
      <w:r w:rsidR="004B4FBD" w:rsidRPr="00D55112">
        <w:rPr>
          <w:rFonts w:cs="Arial"/>
        </w:rPr>
        <w:t>have safety and quality in health and social care services. Furthermore, in the UK, the domiciliary care agency provides professional home care support to patients. It is further responsible for ensuring personal care, communication, medication, record keeping, safety management, quality assurance, and more. This report aims to describe the important legislation and policies of the health and social care system in the UK, within the context of Mr Ahmed’s care.</w:t>
      </w:r>
    </w:p>
    <w:p w14:paraId="13077206" w14:textId="5F73007E" w:rsidR="00431C63" w:rsidRPr="00D55112" w:rsidRDefault="00484600" w:rsidP="00D55112">
      <w:pPr>
        <w:pStyle w:val="Heading1"/>
        <w:spacing w:before="0"/>
        <w:rPr>
          <w:rFonts w:cs="Arial"/>
        </w:rPr>
      </w:pPr>
      <w:bookmarkStart w:id="1" w:name="_Toc225353509"/>
      <w:r w:rsidRPr="00D55112">
        <w:rPr>
          <w:rFonts w:cs="Arial"/>
        </w:rPr>
        <w:t>T</w:t>
      </w:r>
      <w:r w:rsidR="00431C63" w:rsidRPr="00D55112">
        <w:rPr>
          <w:rFonts w:cs="Arial"/>
        </w:rPr>
        <w:t>he importance of effective communication within the context of Mr Ahmed’s care</w:t>
      </w:r>
      <w:bookmarkEnd w:id="1"/>
    </w:p>
    <w:p w14:paraId="43CA408E" w14:textId="2DF60C6C" w:rsidR="004B4FBD" w:rsidRPr="00D55112" w:rsidRDefault="004B4FBD" w:rsidP="00D55112">
      <w:pPr>
        <w:spacing w:after="0"/>
        <w:rPr>
          <w:rFonts w:cs="Arial"/>
        </w:rPr>
      </w:pPr>
      <w:r w:rsidRPr="00D55112">
        <w:rPr>
          <w:rFonts w:cs="Arial"/>
        </w:rPr>
        <w:t>The principles of the Equality Act 2010 include</w:t>
      </w:r>
      <w:r w:rsidR="00B747C9" w:rsidRPr="00D55112">
        <w:rPr>
          <w:rFonts w:cs="Arial"/>
        </w:rPr>
        <w:t xml:space="preserve"> the restriction of harassment, discrimination, and victimisation </w:t>
      </w:r>
      <w:r w:rsidR="002C3973" w:rsidRPr="00D55112">
        <w:rPr>
          <w:rFonts w:cs="Arial"/>
        </w:rPr>
        <w:t>(</w:t>
      </w:r>
      <w:proofErr w:type="spellStart"/>
      <w:r w:rsidR="002C3973" w:rsidRPr="00D55112">
        <w:rPr>
          <w:rFonts w:cs="Arial"/>
        </w:rPr>
        <w:t>Ocloo</w:t>
      </w:r>
      <w:proofErr w:type="spellEnd"/>
      <w:r w:rsidR="002C3973" w:rsidRPr="00D55112">
        <w:rPr>
          <w:rFonts w:cs="Arial"/>
        </w:rPr>
        <w:t xml:space="preserve"> et al., 2021)</w:t>
      </w:r>
      <w:r w:rsidR="00B747C9" w:rsidRPr="00D55112">
        <w:rPr>
          <w:rFonts w:cs="Arial"/>
        </w:rPr>
        <w:t xml:space="preserve">. The principle shows a clear requirement for the care agencies in the UK to avoid direct or indirect discrimination in communication and behaviour with both the staff and service users. In the case of Mr Ahmed, who has been under treatment for a stroke and was taking personal care services from a domiciliary care agency three times regularly, he has faced issues with the English language. Due to this, he had a communication barrier with the multidisciplinary team of the care agency. </w:t>
      </w:r>
      <w:r w:rsidR="00311BD5" w:rsidRPr="00D55112">
        <w:rPr>
          <w:rFonts w:cs="Arial"/>
        </w:rPr>
        <w:t xml:space="preserve">As a part of the care agency’s responsibility, Mr Ahmed had a speech and language therapist to improve his communication. </w:t>
      </w:r>
      <w:r w:rsidR="009E4A42" w:rsidRPr="00D55112">
        <w:rPr>
          <w:rFonts w:cs="Arial"/>
        </w:rPr>
        <w:t xml:space="preserve">Furthermore, the person-centred communication model in healthcare requires the caregivers to value the unique perspectives and needs of individuals </w:t>
      </w:r>
      <w:r w:rsidR="002C3973" w:rsidRPr="00D55112">
        <w:rPr>
          <w:rFonts w:cs="Arial"/>
        </w:rPr>
        <w:t>(O’Rourke et al., 2022)</w:t>
      </w:r>
      <w:r w:rsidR="009E4A42" w:rsidRPr="00D55112">
        <w:rPr>
          <w:rFonts w:cs="Arial"/>
        </w:rPr>
        <w:t xml:space="preserve">. Since Mr Ahmed had issues with the English language, he was receiving language therapy from the domiciliary care agency. </w:t>
      </w:r>
    </w:p>
    <w:p w14:paraId="25E5399E" w14:textId="4AB672AB" w:rsidR="009E4A42" w:rsidRPr="00D55112" w:rsidRDefault="009E4A42" w:rsidP="00D55112">
      <w:pPr>
        <w:spacing w:after="0"/>
        <w:rPr>
          <w:rFonts w:cs="Arial"/>
        </w:rPr>
      </w:pPr>
      <w:r w:rsidRPr="00D55112">
        <w:rPr>
          <w:rFonts w:cs="Arial"/>
        </w:rPr>
        <w:t xml:space="preserve">The Equality Act 2010 further spotlights the principle of inclusive communication, which requires organisations in the health and social care </w:t>
      </w:r>
      <w:r w:rsidR="00D20F75" w:rsidRPr="00D55112">
        <w:rPr>
          <w:rFonts w:cs="Arial"/>
        </w:rPr>
        <w:t xml:space="preserve">sector </w:t>
      </w:r>
      <w:r w:rsidRPr="00D55112">
        <w:rPr>
          <w:rFonts w:cs="Arial"/>
        </w:rPr>
        <w:t xml:space="preserve">to meet the communication needs of individuals. </w:t>
      </w:r>
      <w:r w:rsidR="00D20F75" w:rsidRPr="00D55112">
        <w:rPr>
          <w:rFonts w:cs="Arial"/>
        </w:rPr>
        <w:t xml:space="preserve">The utilisation of simple and flexible words with a respectful tone so that the service user does not feel ignored is known as inclusive communication </w:t>
      </w:r>
      <w:r w:rsidR="002C3973" w:rsidRPr="00D55112">
        <w:rPr>
          <w:rFonts w:cs="Arial"/>
        </w:rPr>
        <w:t>(Jacob et al., 2024)</w:t>
      </w:r>
      <w:r w:rsidR="00D20F75" w:rsidRPr="00D55112">
        <w:rPr>
          <w:rFonts w:cs="Arial"/>
        </w:rPr>
        <w:t xml:space="preserve">. It further requires paying full attention to the communication process. By maintaining the inclusive communication principle, the UK care agencies enhance their engagement with service users and promote equality. </w:t>
      </w:r>
      <w:r w:rsidR="008B6E14" w:rsidRPr="00D55112">
        <w:rPr>
          <w:rFonts w:cs="Arial"/>
        </w:rPr>
        <w:t xml:space="preserve">In Mr Ahmed’s case, the multidisciplinary team of the domiciliary care </w:t>
      </w:r>
      <w:r w:rsidR="0062006A" w:rsidRPr="00D55112">
        <w:rPr>
          <w:rFonts w:cs="Arial"/>
        </w:rPr>
        <w:t xml:space="preserve">agency continued </w:t>
      </w:r>
      <w:r w:rsidR="008B6E14" w:rsidRPr="00D55112">
        <w:rPr>
          <w:rFonts w:cs="Arial"/>
        </w:rPr>
        <w:t xml:space="preserve">communication with Mr Ahmed’s wife on his behalf since he had complications with English communication. </w:t>
      </w:r>
      <w:r w:rsidR="0062006A" w:rsidRPr="00D55112">
        <w:rPr>
          <w:rFonts w:cs="Arial"/>
        </w:rPr>
        <w:t xml:space="preserve">Besides, Mr Ahmed was receiving therapy sessions to improve his English language and communication. With this, the care agency has ensured communication efficiency with the service user. </w:t>
      </w:r>
    </w:p>
    <w:p w14:paraId="22BF1AB0" w14:textId="3AC14367" w:rsidR="00D20F75" w:rsidRPr="00D55112" w:rsidRDefault="00D20F75" w:rsidP="00D55112">
      <w:pPr>
        <w:spacing w:after="0"/>
        <w:rPr>
          <w:rFonts w:cs="Arial"/>
        </w:rPr>
      </w:pPr>
      <w:r w:rsidRPr="00D55112">
        <w:rPr>
          <w:rFonts w:cs="Arial"/>
        </w:rPr>
        <w:t xml:space="preserve">As per </w:t>
      </w:r>
      <w:proofErr w:type="spellStart"/>
      <w:r w:rsidR="002C3973" w:rsidRPr="00D55112">
        <w:rPr>
          <w:rFonts w:cs="Arial"/>
        </w:rPr>
        <w:t>Cranley</w:t>
      </w:r>
      <w:proofErr w:type="spellEnd"/>
      <w:r w:rsidR="002C3973" w:rsidRPr="00D55112">
        <w:rPr>
          <w:rFonts w:cs="Arial"/>
        </w:rPr>
        <w:t xml:space="preserve"> et al. (2020)</w:t>
      </w:r>
      <w:r w:rsidRPr="00D55112">
        <w:rPr>
          <w:rFonts w:cs="Arial"/>
        </w:rPr>
        <w:t xml:space="preserve">, the UK care agencies need to build a partnership, ensure clear information sharing, involve family members in the decision-making process, and be honest while communicating with the family members of the service users. In addition, the agencies need to ensure proper transparency to gain the trust of the family members. However, the domiciliary care agency has missed a home visit in the case of Mr Ahmed without informing him or his wife. </w:t>
      </w:r>
      <w:r w:rsidR="00487E3B" w:rsidRPr="00D55112">
        <w:rPr>
          <w:rFonts w:cs="Arial"/>
        </w:rPr>
        <w:t xml:space="preserve">As a result, Mr Ahmed missed his prescribed medication on time. It shows a breach of the communication principles of the domiciliary care agency. Besides, the care agency has failed to maintain its responsibilities of daily care, medication management, and safeguarding the patient. The section 20 and 21 of the Equality Act 2010 show the legal responsibility of care providers to adapt services as per the </w:t>
      </w:r>
      <w:r w:rsidR="002C3973" w:rsidRPr="00D55112">
        <w:rPr>
          <w:rFonts w:cs="Arial"/>
        </w:rPr>
        <w:t>patient's needs</w:t>
      </w:r>
      <w:r w:rsidR="00487E3B" w:rsidRPr="00D55112">
        <w:rPr>
          <w:rFonts w:cs="Arial"/>
        </w:rPr>
        <w:t xml:space="preserve"> </w:t>
      </w:r>
      <w:r w:rsidR="002C3973" w:rsidRPr="00D55112">
        <w:rPr>
          <w:rFonts w:cs="Arial"/>
        </w:rPr>
        <w:t>(</w:t>
      </w:r>
      <w:proofErr w:type="spellStart"/>
      <w:r w:rsidR="002C3973" w:rsidRPr="00D55112">
        <w:rPr>
          <w:rFonts w:cs="Arial"/>
        </w:rPr>
        <w:t>Ocloo</w:t>
      </w:r>
      <w:proofErr w:type="spellEnd"/>
      <w:r w:rsidR="002C3973" w:rsidRPr="00D55112">
        <w:rPr>
          <w:rFonts w:cs="Arial"/>
        </w:rPr>
        <w:t xml:space="preserve"> et al., 2021)</w:t>
      </w:r>
      <w:r w:rsidR="00487E3B" w:rsidRPr="00D55112">
        <w:rPr>
          <w:rFonts w:cs="Arial"/>
        </w:rPr>
        <w:t xml:space="preserve">. Thus, the missed visit of the domiciliary care agency in Mr Ahmed’s case shows a clear breach of this responsibility. </w:t>
      </w:r>
    </w:p>
    <w:p w14:paraId="5ABB4768" w14:textId="2B3661D4" w:rsidR="00431C63" w:rsidRPr="00D55112" w:rsidRDefault="00484600" w:rsidP="00D55112">
      <w:pPr>
        <w:pStyle w:val="Heading1"/>
        <w:spacing w:before="0"/>
        <w:rPr>
          <w:rFonts w:cs="Arial"/>
        </w:rPr>
      </w:pPr>
      <w:bookmarkStart w:id="2" w:name="_Toc225353510"/>
      <w:r w:rsidRPr="00D55112">
        <w:rPr>
          <w:rFonts w:cs="Arial"/>
        </w:rPr>
        <w:t>T</w:t>
      </w:r>
      <w:r w:rsidR="00431C63" w:rsidRPr="00D55112">
        <w:rPr>
          <w:rFonts w:cs="Arial"/>
        </w:rPr>
        <w:t>he importance of good administrative skills within professional practice</w:t>
      </w:r>
      <w:r w:rsidRPr="00D55112">
        <w:rPr>
          <w:rFonts w:cs="Arial"/>
        </w:rPr>
        <w:t>,</w:t>
      </w:r>
      <w:r w:rsidR="00431C63" w:rsidRPr="00D55112">
        <w:rPr>
          <w:rFonts w:cs="Arial"/>
        </w:rPr>
        <w:t xml:space="preserve"> within the context of Mr Ahmed’s care</w:t>
      </w:r>
      <w:bookmarkEnd w:id="2"/>
    </w:p>
    <w:p w14:paraId="6D357450" w14:textId="108DF7E8" w:rsidR="00487E3B" w:rsidRPr="00D55112" w:rsidRDefault="005A5311" w:rsidP="00D55112">
      <w:pPr>
        <w:spacing w:after="0"/>
        <w:rPr>
          <w:rFonts w:cs="Arial"/>
        </w:rPr>
      </w:pPr>
      <w:r w:rsidRPr="00D55112">
        <w:rPr>
          <w:rFonts w:cs="Arial"/>
        </w:rPr>
        <w:t xml:space="preserve">The good administrative skills of the UK care home agencies include quality assurance, record-keeping, policy and contract management, scheduling, and prioritisation. The process of creating and maintaining </w:t>
      </w:r>
      <w:r w:rsidR="00496F1D" w:rsidRPr="00D55112">
        <w:rPr>
          <w:rFonts w:cs="Arial"/>
        </w:rPr>
        <w:t xml:space="preserve">accurate information and daily updates of the patients to ensure efficiency in care plans, medication, and personal care is the process of record-keeping </w:t>
      </w:r>
      <w:r w:rsidR="002C3973" w:rsidRPr="00D55112">
        <w:rPr>
          <w:rFonts w:cs="Arial"/>
        </w:rPr>
        <w:t>(</w:t>
      </w:r>
      <w:proofErr w:type="spellStart"/>
      <w:r w:rsidR="00620716">
        <w:rPr>
          <w:rFonts w:cs="Arial"/>
        </w:rPr>
        <w:t>Akhona</w:t>
      </w:r>
      <w:proofErr w:type="spellEnd"/>
      <w:r w:rsidR="00620716">
        <w:rPr>
          <w:rFonts w:cs="Arial"/>
        </w:rPr>
        <w:t xml:space="preserve"> and Kane, 2022</w:t>
      </w:r>
      <w:r w:rsidR="002C3973" w:rsidRPr="00D55112">
        <w:rPr>
          <w:rFonts w:cs="Arial"/>
        </w:rPr>
        <w:t>)</w:t>
      </w:r>
      <w:r w:rsidR="00496F1D" w:rsidRPr="00D55112">
        <w:rPr>
          <w:rFonts w:cs="Arial"/>
        </w:rPr>
        <w:t xml:space="preserve">. It further involves making risk assessments in relation to the legal regulations to ensure the safety of the service user. In this process, the care providers are required to make detailed plans, daily reports, records of medication, and other incidents. Besides, the case agencies are required to be careful about the personal files of patients to avoid mismatches. In addition, the record-keeping method further includes proper information on operations, including financial information. To ensure proper data security, the care home agencies are further required to follow the data protection regulations. Record-keeping is one of the significant administrative skills of case home agencies because it helps them to ensure consistency in </w:t>
      </w:r>
      <w:r w:rsidR="002B5A59" w:rsidRPr="00D55112">
        <w:rPr>
          <w:rFonts w:cs="Arial"/>
        </w:rPr>
        <w:t>care. Besides, it ensures the safety of the service user and ensures a smooth information sharing, as well as transparency with the family members. In the case of Mr Ahmed, the domiciliary care agency has fewer administrative skills because the multidisciplinary team of the organisation has missed a home visit, while Mr Ahmed was receiving three times daily care. As a result, Mr Ahmed has missed his prescribed medication, which raises a safety concern.</w:t>
      </w:r>
    </w:p>
    <w:p w14:paraId="1C78FF9D" w14:textId="22F1BDA8" w:rsidR="002B5A59" w:rsidRPr="00D55112" w:rsidRDefault="002B5A59" w:rsidP="00D55112">
      <w:pPr>
        <w:spacing w:after="0"/>
        <w:rPr>
          <w:rFonts w:cs="Arial"/>
        </w:rPr>
      </w:pPr>
      <w:r w:rsidRPr="00D55112">
        <w:rPr>
          <w:rFonts w:cs="Arial"/>
        </w:rPr>
        <w:t xml:space="preserve">The principles of the Data Protection Act 2018 require the UK care home agencies to utilise secure systems, ensure transparency of the purpose of information, data minimisation, accuracy, honesty, and security while record-keeping </w:t>
      </w:r>
      <w:r w:rsidR="002C3973" w:rsidRPr="00D55112">
        <w:rPr>
          <w:rFonts w:cs="Arial"/>
        </w:rPr>
        <w:t>(</w:t>
      </w:r>
      <w:proofErr w:type="spellStart"/>
      <w:r w:rsidR="002C3973" w:rsidRPr="00D55112">
        <w:rPr>
          <w:rFonts w:cs="Arial"/>
        </w:rPr>
        <w:t>Spalevic</w:t>
      </w:r>
      <w:proofErr w:type="spellEnd"/>
      <w:r w:rsidR="002C3973" w:rsidRPr="00D55112">
        <w:rPr>
          <w:rFonts w:cs="Arial"/>
        </w:rPr>
        <w:t xml:space="preserve"> and </w:t>
      </w:r>
      <w:proofErr w:type="spellStart"/>
      <w:r w:rsidR="002C3973" w:rsidRPr="00D55112">
        <w:rPr>
          <w:rFonts w:cs="Arial"/>
        </w:rPr>
        <w:t>Vicentijevic</w:t>
      </w:r>
      <w:proofErr w:type="spellEnd"/>
      <w:r w:rsidR="002C3973" w:rsidRPr="00D55112">
        <w:rPr>
          <w:rFonts w:cs="Arial"/>
        </w:rPr>
        <w:t>, 2022)</w:t>
      </w:r>
      <w:r w:rsidRPr="00D55112">
        <w:rPr>
          <w:rFonts w:cs="Arial"/>
        </w:rPr>
        <w:t>. By maintaining these principles, care home agencies protect the privacy of the service user. In addition, they spotlight their professional practice to build trust</w:t>
      </w:r>
      <w:r w:rsidR="00A45122" w:rsidRPr="00D55112">
        <w:rPr>
          <w:rFonts w:cs="Arial"/>
        </w:rPr>
        <w:t xml:space="preserve">. With this, organisations can further raise their reputation in the market. The domiciliary care agency has missed its visit to Mr Ahmed, which indicates poor management of record-keeping and data protection. The agency has further failed to ensure its retention duty. Besides, the UK General Data Protection Regulation (GDPR) provide clear directions to protect the personal data. On top of that, the Health and Care Act 2022 </w:t>
      </w:r>
      <w:r w:rsidR="00696D8B" w:rsidRPr="00D55112">
        <w:rPr>
          <w:rFonts w:cs="Arial"/>
        </w:rPr>
        <w:t>show</w:t>
      </w:r>
      <w:r w:rsidR="00A45122" w:rsidRPr="00D55112">
        <w:rPr>
          <w:rFonts w:cs="Arial"/>
        </w:rPr>
        <w:t xml:space="preserve"> the triple aim duty </w:t>
      </w:r>
      <w:r w:rsidR="00696D8B" w:rsidRPr="00D55112">
        <w:rPr>
          <w:rFonts w:cs="Arial"/>
        </w:rPr>
        <w:t xml:space="preserve">of healthcare providers to ensure health, well-being, and quality of services to the users </w:t>
      </w:r>
      <w:r w:rsidR="002C3973" w:rsidRPr="00D55112">
        <w:rPr>
          <w:rFonts w:cs="Arial"/>
        </w:rPr>
        <w:t>(</w:t>
      </w:r>
      <w:proofErr w:type="spellStart"/>
      <w:r w:rsidR="002C3973" w:rsidRPr="00D55112">
        <w:rPr>
          <w:rFonts w:cs="Arial"/>
        </w:rPr>
        <w:t>Toh</w:t>
      </w:r>
      <w:proofErr w:type="spellEnd"/>
      <w:r w:rsidR="002C3973" w:rsidRPr="00D55112">
        <w:rPr>
          <w:rFonts w:cs="Arial"/>
        </w:rPr>
        <w:t xml:space="preserve"> and Haynes, 2022)</w:t>
      </w:r>
      <w:r w:rsidR="00696D8B" w:rsidRPr="00D55112">
        <w:rPr>
          <w:rFonts w:cs="Arial"/>
        </w:rPr>
        <w:t xml:space="preserve">. The missed home visit of the multidisciplinary team of the domiciliary care agency in Mr Ahmed’s case indicates a breach of this regulation, too. Furthermore, organisations in the UK health and social care sector are required to follow the policy frameworks of the Health and Social Care Act 2008. Besides, organisations in this sector follow the long-term plans of the National Health Service (NHS) to meet targets. However, the domiciliary care agency in Mr Ahmed’s case fails to maintain good administrative skills and show professionalism. </w:t>
      </w:r>
    </w:p>
    <w:p w14:paraId="6E428FD8" w14:textId="46EA7279" w:rsidR="00431C63" w:rsidRPr="00D55112" w:rsidRDefault="00484600" w:rsidP="00D55112">
      <w:pPr>
        <w:pStyle w:val="Heading1"/>
        <w:spacing w:before="0"/>
        <w:rPr>
          <w:rFonts w:cs="Arial"/>
        </w:rPr>
      </w:pPr>
      <w:bookmarkStart w:id="3" w:name="_Toc225353511"/>
      <w:r w:rsidRPr="00D55112">
        <w:rPr>
          <w:rFonts w:cs="Arial"/>
        </w:rPr>
        <w:t>T</w:t>
      </w:r>
      <w:r w:rsidR="00431C63" w:rsidRPr="00D55112">
        <w:rPr>
          <w:rFonts w:cs="Arial"/>
        </w:rPr>
        <w:t>he importance of working collaboratively with other professionals involved in Mr Ahmed’s care</w:t>
      </w:r>
      <w:bookmarkEnd w:id="3"/>
    </w:p>
    <w:p w14:paraId="174550EE" w14:textId="1FC21E32" w:rsidR="00EB4A44" w:rsidRPr="00D55112" w:rsidRDefault="009F7164" w:rsidP="00D55112">
      <w:pPr>
        <w:spacing w:after="0"/>
        <w:rPr>
          <w:rFonts w:cs="Arial"/>
        </w:rPr>
      </w:pPr>
      <w:r w:rsidRPr="00D55112">
        <w:rPr>
          <w:rFonts w:cs="Arial"/>
        </w:rPr>
        <w:t xml:space="preserve">The multi-agency working and collaboration between them in domiciliary care is significant to ensure safety in the personal care of the user. The multi-agencies include health professionals from different sectors, such as nurses, therapists, and more, to ensure a high-quality service offering. Besides, with this collaboration between the health professionals, organisations can solve the complications of patients, ensure personalised care, reduce the possibility of errors, and gain the trust of the family members </w:t>
      </w:r>
      <w:r w:rsidR="00484600" w:rsidRPr="00D55112">
        <w:rPr>
          <w:rFonts w:cs="Arial"/>
        </w:rPr>
        <w:t>(</w:t>
      </w:r>
      <w:proofErr w:type="spellStart"/>
      <w:r w:rsidR="00484600" w:rsidRPr="00D55112">
        <w:rPr>
          <w:rFonts w:cs="Arial"/>
        </w:rPr>
        <w:t>Hejazi</w:t>
      </w:r>
      <w:proofErr w:type="spellEnd"/>
      <w:r w:rsidR="00484600" w:rsidRPr="00D55112">
        <w:rPr>
          <w:rFonts w:cs="Arial"/>
        </w:rPr>
        <w:t xml:space="preserve"> et al., 2026)</w:t>
      </w:r>
      <w:r w:rsidRPr="00D55112">
        <w:rPr>
          <w:rFonts w:cs="Arial"/>
        </w:rPr>
        <w:t xml:space="preserve">. It is further known as a multidisciplinary team. In Mr Ahmed’s case, the members of the multidisciplinary team included a GP, a district nurse, and a speech and language therapist. </w:t>
      </w:r>
    </w:p>
    <w:p w14:paraId="17201D0D" w14:textId="51D5F173" w:rsidR="009F7164" w:rsidRPr="00D55112" w:rsidRDefault="004F4C16" w:rsidP="00D55112">
      <w:pPr>
        <w:spacing w:after="0"/>
        <w:rPr>
          <w:rFonts w:cs="Arial"/>
        </w:rPr>
      </w:pPr>
      <w:r w:rsidRPr="00D55112">
        <w:rPr>
          <w:rFonts w:cs="Arial"/>
        </w:rPr>
        <w:t xml:space="preserve">The common challenges of the multidisciplinary team include communication challenges, confusion on roles and responsibilities, ineffective leadership, technological difficulties, cultural differences, and so on. </w:t>
      </w:r>
      <w:r w:rsidR="00F50011" w:rsidRPr="00D55112">
        <w:rPr>
          <w:rFonts w:cs="Arial"/>
        </w:rPr>
        <w:t xml:space="preserve">These issues cause a delay in the decision-making process, reduce the effectiveness of record-keeping, and lead to dissatisfaction among clients. For this reason, effective collaboration plays a significant part in solving these issues and ensuring efficiency in operations. </w:t>
      </w:r>
      <w:r w:rsidR="009F7164" w:rsidRPr="00D55112">
        <w:rPr>
          <w:rFonts w:cs="Arial"/>
        </w:rPr>
        <w:t xml:space="preserve">To foster collaboration and ensure efficiency in </w:t>
      </w:r>
      <w:r w:rsidRPr="00D55112">
        <w:rPr>
          <w:rFonts w:cs="Arial"/>
        </w:rPr>
        <w:t>care service,</w:t>
      </w:r>
      <w:r w:rsidR="009F7164" w:rsidRPr="00D55112">
        <w:rPr>
          <w:rFonts w:cs="Arial"/>
        </w:rPr>
        <w:t xml:space="preserve"> a multidisciplinary team</w:t>
      </w:r>
      <w:r w:rsidRPr="00D55112">
        <w:rPr>
          <w:rFonts w:cs="Arial"/>
        </w:rPr>
        <w:t xml:space="preserve"> make common goals, arranges team meetings, sets clear roles and boundaries, and ensures smooth communication</w:t>
      </w:r>
      <w:r w:rsidR="00484600" w:rsidRPr="00D55112">
        <w:rPr>
          <w:rFonts w:cs="Arial"/>
        </w:rPr>
        <w:t xml:space="preserve"> (</w:t>
      </w:r>
      <w:proofErr w:type="spellStart"/>
      <w:r w:rsidR="00484600" w:rsidRPr="00D55112">
        <w:rPr>
          <w:rFonts w:cs="Arial"/>
        </w:rPr>
        <w:t>Almughamisi</w:t>
      </w:r>
      <w:proofErr w:type="spellEnd"/>
      <w:r w:rsidR="00484600" w:rsidRPr="00D55112">
        <w:rPr>
          <w:rFonts w:cs="Arial"/>
        </w:rPr>
        <w:t xml:space="preserve"> et al., 2025)</w:t>
      </w:r>
      <w:r w:rsidRPr="00D55112">
        <w:rPr>
          <w:rFonts w:cs="Arial"/>
        </w:rPr>
        <w:t xml:space="preserve">. </w:t>
      </w:r>
      <w:r w:rsidR="00844C4C" w:rsidRPr="00D55112">
        <w:rPr>
          <w:rFonts w:cs="Arial"/>
        </w:rPr>
        <w:t xml:space="preserve">Besides, the development of strong leadership is another key strategy to support effective collaboration among the team members. Besides, a leader can better handle effective communication with clients, which raises their satisfaction level. </w:t>
      </w:r>
      <w:r w:rsidR="00C740B9" w:rsidRPr="00D55112">
        <w:rPr>
          <w:rFonts w:cs="Arial"/>
        </w:rPr>
        <w:t xml:space="preserve">Other than these, arranging team-building activities is another key strategy to ensure effective collaboration between a multidisciplinary team. It is because the team-building activities help to boost team communication, information sharing, and build relationships among the team members. Due to this, the strategy is effective in avoiding common challenges and possible conflicts. </w:t>
      </w:r>
      <w:r w:rsidR="00152E14" w:rsidRPr="00D55112">
        <w:rPr>
          <w:rFonts w:cs="Arial"/>
        </w:rPr>
        <w:t xml:space="preserve">In Mr Ahmed’s case, a lack of collaboration in the multidisciplinary team of the domiciliary care agency has led to missed home visits. </w:t>
      </w:r>
    </w:p>
    <w:p w14:paraId="5B855F57" w14:textId="66C13B37" w:rsidR="00431C63" w:rsidRPr="00D55112" w:rsidRDefault="00431C63" w:rsidP="00D55112">
      <w:pPr>
        <w:pStyle w:val="Heading1"/>
        <w:spacing w:before="0"/>
        <w:rPr>
          <w:rFonts w:cs="Arial"/>
        </w:rPr>
      </w:pPr>
      <w:bookmarkStart w:id="4" w:name="_Toc225353512"/>
      <w:r w:rsidRPr="00D55112">
        <w:rPr>
          <w:rFonts w:cs="Arial"/>
        </w:rPr>
        <w:t>Conclusion</w:t>
      </w:r>
      <w:bookmarkEnd w:id="4"/>
    </w:p>
    <w:p w14:paraId="218165ED" w14:textId="4D883273" w:rsidR="00152E14" w:rsidRPr="00D55112" w:rsidRDefault="00152E14" w:rsidP="00D55112">
      <w:pPr>
        <w:spacing w:after="0"/>
        <w:rPr>
          <w:rFonts w:cs="Arial"/>
        </w:rPr>
      </w:pPr>
      <w:r w:rsidRPr="00D55112">
        <w:rPr>
          <w:rFonts w:cs="Arial"/>
        </w:rPr>
        <w:t xml:space="preserve">The report has explained the communication principles in the Equality Act 2010, like restriction of harassment, discrimination, and victimisation, inclusive communication, and more, which have shown the ways to maintain effective communication with service users for care home agencies. The report has further explained the significance of the person-centred communication model for organisations in the health and social care sector to ensure efficiency in the communication process. The report has further talked about the good administrative skills within professional practices of the care home agencies, like record keeping and ensuring data protection. In the context of Mr Ahmed’s care, even though the domiciliary care agency has maintained its responsibilities at first, the organisation has missed home visits, which affected the prescribed medication of Mr Ahmed, who was being treated for a stroke. </w:t>
      </w:r>
      <w:r w:rsidR="002C3973" w:rsidRPr="00D55112">
        <w:rPr>
          <w:rFonts w:cs="Arial"/>
        </w:rPr>
        <w:t xml:space="preserve">The report has further shown the strategies for multidisciplinary teams in care agencies to boost collaboration between them to ensure efficiency in operations and avoid common mistakes. </w:t>
      </w:r>
    </w:p>
    <w:p w14:paraId="1E3AE236" w14:textId="77777777" w:rsidR="00431C63" w:rsidRPr="00D55112" w:rsidRDefault="00431C63" w:rsidP="00D55112">
      <w:pPr>
        <w:spacing w:after="0"/>
        <w:jc w:val="left"/>
        <w:rPr>
          <w:rFonts w:eastAsiaTheme="majorEastAsia" w:cs="Arial"/>
          <w:color w:val="2F5496" w:themeColor="accent1" w:themeShade="BF"/>
          <w:sz w:val="32"/>
          <w:szCs w:val="32"/>
        </w:rPr>
      </w:pPr>
      <w:r w:rsidRPr="00D55112">
        <w:rPr>
          <w:rFonts w:cs="Arial"/>
        </w:rPr>
        <w:br w:type="page"/>
      </w:r>
    </w:p>
    <w:p w14:paraId="404958CC" w14:textId="2690DB54" w:rsidR="00431C63" w:rsidRPr="00D55112" w:rsidRDefault="00431C63" w:rsidP="00D55112">
      <w:pPr>
        <w:pStyle w:val="Heading1"/>
        <w:spacing w:before="0"/>
        <w:rPr>
          <w:rFonts w:cs="Arial"/>
        </w:rPr>
      </w:pPr>
      <w:bookmarkStart w:id="5" w:name="_Toc225353513"/>
      <w:r w:rsidRPr="00D55112">
        <w:rPr>
          <w:rFonts w:cs="Arial"/>
        </w:rPr>
        <w:t>References</w:t>
      </w:r>
      <w:bookmarkEnd w:id="5"/>
    </w:p>
    <w:p w14:paraId="5D8E9D41" w14:textId="77777777" w:rsidR="00484600" w:rsidRPr="00D55112" w:rsidRDefault="00484600" w:rsidP="00D55112">
      <w:pPr>
        <w:spacing w:after="0"/>
        <w:ind w:left="720" w:hanging="720"/>
        <w:rPr>
          <w:rFonts w:cs="Arial"/>
        </w:rPr>
      </w:pPr>
      <w:proofErr w:type="spellStart"/>
      <w:r w:rsidRPr="00D55112">
        <w:rPr>
          <w:rFonts w:cs="Arial"/>
        </w:rPr>
        <w:t>Akhona</w:t>
      </w:r>
      <w:proofErr w:type="spellEnd"/>
      <w:r w:rsidRPr="00D55112">
        <w:rPr>
          <w:rFonts w:cs="Arial"/>
        </w:rPr>
        <w:t xml:space="preserve"> C, K. and Kane, B.T. (2022). Perspectives on recordkeeping practices in MDT meetings and meeting record utility. </w:t>
      </w:r>
      <w:r w:rsidRPr="00D55112">
        <w:rPr>
          <w:rFonts w:cs="Arial"/>
          <w:i/>
          <w:iCs/>
        </w:rPr>
        <w:t>International Journal of Medical Informatics</w:t>
      </w:r>
      <w:r w:rsidRPr="00D55112">
        <w:rPr>
          <w:rFonts w:cs="Arial"/>
        </w:rPr>
        <w:t>, 161(16), p.104711.</w:t>
      </w:r>
    </w:p>
    <w:p w14:paraId="4333AA6B" w14:textId="6C71BC1C" w:rsidR="00484600" w:rsidRPr="00D55112" w:rsidRDefault="00484600" w:rsidP="00D55112">
      <w:pPr>
        <w:spacing w:after="0"/>
        <w:ind w:left="720" w:hanging="720"/>
        <w:rPr>
          <w:rFonts w:cs="Arial"/>
        </w:rPr>
      </w:pPr>
      <w:proofErr w:type="spellStart"/>
      <w:r w:rsidRPr="00D55112">
        <w:rPr>
          <w:rFonts w:cs="Arial"/>
        </w:rPr>
        <w:t>Almughamisi</w:t>
      </w:r>
      <w:proofErr w:type="spellEnd"/>
      <w:r w:rsidRPr="00D55112">
        <w:rPr>
          <w:rFonts w:cs="Arial"/>
        </w:rPr>
        <w:t xml:space="preserve">, A., </w:t>
      </w:r>
      <w:proofErr w:type="spellStart"/>
      <w:r w:rsidRPr="00D55112">
        <w:rPr>
          <w:rFonts w:cs="Arial"/>
        </w:rPr>
        <w:t>Alshehri</w:t>
      </w:r>
      <w:proofErr w:type="spellEnd"/>
      <w:r w:rsidRPr="00D55112">
        <w:rPr>
          <w:rFonts w:cs="Arial"/>
        </w:rPr>
        <w:t xml:space="preserve">, A., </w:t>
      </w:r>
      <w:proofErr w:type="spellStart"/>
      <w:r w:rsidRPr="00D55112">
        <w:rPr>
          <w:rFonts w:cs="Arial"/>
        </w:rPr>
        <w:t>Alandijani</w:t>
      </w:r>
      <w:proofErr w:type="spellEnd"/>
      <w:r w:rsidRPr="00D55112">
        <w:rPr>
          <w:rFonts w:cs="Arial"/>
        </w:rPr>
        <w:t xml:space="preserve">, M., </w:t>
      </w:r>
      <w:proofErr w:type="spellStart"/>
      <w:r w:rsidRPr="00D55112">
        <w:rPr>
          <w:rFonts w:cs="Arial"/>
        </w:rPr>
        <w:t>Alqarni</w:t>
      </w:r>
      <w:proofErr w:type="spellEnd"/>
      <w:r w:rsidRPr="00D55112">
        <w:rPr>
          <w:rFonts w:cs="Arial"/>
        </w:rPr>
        <w:t xml:space="preserve">, S., </w:t>
      </w:r>
      <w:proofErr w:type="spellStart"/>
      <w:r w:rsidRPr="00D55112">
        <w:rPr>
          <w:rFonts w:cs="Arial"/>
        </w:rPr>
        <w:t>Alshehri</w:t>
      </w:r>
      <w:proofErr w:type="spellEnd"/>
      <w:r w:rsidRPr="00D55112">
        <w:rPr>
          <w:rFonts w:cs="Arial"/>
        </w:rPr>
        <w:t xml:space="preserve">, F., </w:t>
      </w:r>
      <w:proofErr w:type="spellStart"/>
      <w:r w:rsidRPr="00D55112">
        <w:rPr>
          <w:rFonts w:cs="Arial"/>
        </w:rPr>
        <w:t>Alshehri</w:t>
      </w:r>
      <w:proofErr w:type="spellEnd"/>
      <w:r w:rsidRPr="00D55112">
        <w:rPr>
          <w:rFonts w:cs="Arial"/>
        </w:rPr>
        <w:t xml:space="preserve">, K., </w:t>
      </w:r>
      <w:proofErr w:type="spellStart"/>
      <w:r w:rsidRPr="00D55112">
        <w:rPr>
          <w:rFonts w:cs="Arial"/>
        </w:rPr>
        <w:t>Alnefaie</w:t>
      </w:r>
      <w:proofErr w:type="spellEnd"/>
      <w:r w:rsidRPr="00D55112">
        <w:rPr>
          <w:rFonts w:cs="Arial"/>
        </w:rPr>
        <w:t xml:space="preserve">, A., </w:t>
      </w:r>
      <w:proofErr w:type="spellStart"/>
      <w:r w:rsidRPr="00D55112">
        <w:rPr>
          <w:rFonts w:cs="Arial"/>
        </w:rPr>
        <w:t>Alshehri</w:t>
      </w:r>
      <w:proofErr w:type="spellEnd"/>
      <w:r w:rsidRPr="00D55112">
        <w:rPr>
          <w:rFonts w:cs="Arial"/>
        </w:rPr>
        <w:t xml:space="preserve">, A., </w:t>
      </w:r>
      <w:proofErr w:type="spellStart"/>
      <w:r w:rsidRPr="00D55112">
        <w:rPr>
          <w:rFonts w:cs="Arial"/>
        </w:rPr>
        <w:t>Alrajhi</w:t>
      </w:r>
      <w:proofErr w:type="spellEnd"/>
      <w:r w:rsidRPr="00D55112">
        <w:rPr>
          <w:rFonts w:cs="Arial"/>
        </w:rPr>
        <w:t xml:space="preserve">, M. and </w:t>
      </w:r>
      <w:proofErr w:type="spellStart"/>
      <w:r w:rsidRPr="00D55112">
        <w:rPr>
          <w:rFonts w:cs="Arial"/>
        </w:rPr>
        <w:t>Albalawi</w:t>
      </w:r>
      <w:proofErr w:type="spellEnd"/>
      <w:r w:rsidRPr="00D55112">
        <w:rPr>
          <w:rFonts w:cs="Arial"/>
        </w:rPr>
        <w:t xml:space="preserve">, H. (2025). Multidisciplinary Team Group Effort in Healthcare: The Role of Emergency, Clinical, and Administrative Professionals in Improving Outcomes and Hospital Performance. </w:t>
      </w:r>
      <w:r w:rsidRPr="00D55112">
        <w:rPr>
          <w:rFonts w:cs="Arial"/>
          <w:i/>
          <w:iCs/>
        </w:rPr>
        <w:t>Saudi Journal of Medical and Pharmaceutical Sciences</w:t>
      </w:r>
      <w:r w:rsidRPr="00D55112">
        <w:rPr>
          <w:rFonts w:cs="Arial"/>
        </w:rPr>
        <w:t>, 85(14).</w:t>
      </w:r>
    </w:p>
    <w:p w14:paraId="301DA29D" w14:textId="77777777" w:rsidR="00484600" w:rsidRPr="00D55112" w:rsidRDefault="00484600" w:rsidP="00D55112">
      <w:pPr>
        <w:spacing w:after="0"/>
        <w:ind w:left="720" w:hanging="720"/>
        <w:rPr>
          <w:rFonts w:cs="Arial"/>
        </w:rPr>
      </w:pPr>
      <w:proofErr w:type="spellStart"/>
      <w:r w:rsidRPr="00D55112">
        <w:rPr>
          <w:rFonts w:cs="Arial"/>
        </w:rPr>
        <w:t>Cranley</w:t>
      </w:r>
      <w:proofErr w:type="spellEnd"/>
      <w:r w:rsidRPr="00D55112">
        <w:rPr>
          <w:rFonts w:cs="Arial"/>
        </w:rPr>
        <w:t xml:space="preserve">, L.A., Slaughter, S.E., Caspar, S., </w:t>
      </w:r>
      <w:proofErr w:type="spellStart"/>
      <w:r w:rsidRPr="00D55112">
        <w:rPr>
          <w:rFonts w:cs="Arial"/>
        </w:rPr>
        <w:t>Heisey</w:t>
      </w:r>
      <w:proofErr w:type="spellEnd"/>
      <w:r w:rsidRPr="00D55112">
        <w:rPr>
          <w:rFonts w:cs="Arial"/>
        </w:rPr>
        <w:t xml:space="preserve">, M., Huang, M., </w:t>
      </w:r>
      <w:proofErr w:type="spellStart"/>
      <w:r w:rsidRPr="00D55112">
        <w:rPr>
          <w:rFonts w:cs="Arial"/>
        </w:rPr>
        <w:t>Killackey</w:t>
      </w:r>
      <w:proofErr w:type="spellEnd"/>
      <w:r w:rsidRPr="00D55112">
        <w:rPr>
          <w:rFonts w:cs="Arial"/>
        </w:rPr>
        <w:t xml:space="preserve">, T. and </w:t>
      </w:r>
      <w:proofErr w:type="spellStart"/>
      <w:r w:rsidRPr="00D55112">
        <w:rPr>
          <w:rFonts w:cs="Arial"/>
        </w:rPr>
        <w:t>McGilton</w:t>
      </w:r>
      <w:proofErr w:type="spellEnd"/>
      <w:r w:rsidRPr="00D55112">
        <w:rPr>
          <w:rFonts w:cs="Arial"/>
        </w:rPr>
        <w:t>, K.S. (2020). Strategies to facilitate shared decision</w:t>
      </w:r>
      <w:r w:rsidRPr="00D55112">
        <w:rPr>
          <w:rFonts w:ascii="Cambria Math" w:hAnsi="Cambria Math" w:cs="Cambria Math"/>
        </w:rPr>
        <w:t>‐</w:t>
      </w:r>
      <w:r w:rsidRPr="00D55112">
        <w:rPr>
          <w:rFonts w:cs="Arial"/>
        </w:rPr>
        <w:t>making in long</w:t>
      </w:r>
      <w:r w:rsidRPr="00D55112">
        <w:rPr>
          <w:rFonts w:ascii="Cambria Math" w:hAnsi="Cambria Math" w:cs="Cambria Math"/>
        </w:rPr>
        <w:t>‐</w:t>
      </w:r>
      <w:r w:rsidRPr="00D55112">
        <w:rPr>
          <w:rFonts w:cs="Arial"/>
        </w:rPr>
        <w:t xml:space="preserve">term care. </w:t>
      </w:r>
      <w:r w:rsidRPr="00D55112">
        <w:rPr>
          <w:rFonts w:cs="Arial"/>
          <w:i/>
          <w:iCs/>
        </w:rPr>
        <w:t>International journal of older people nursing</w:t>
      </w:r>
      <w:r w:rsidRPr="00D55112">
        <w:rPr>
          <w:rFonts w:cs="Arial"/>
        </w:rPr>
        <w:t>, 15(3), p.e12314.</w:t>
      </w:r>
    </w:p>
    <w:p w14:paraId="7BF42F68" w14:textId="5C0D424F" w:rsidR="00484600" w:rsidRPr="00D55112" w:rsidRDefault="00484600" w:rsidP="00D55112">
      <w:pPr>
        <w:spacing w:after="0"/>
        <w:ind w:left="720" w:hanging="720"/>
        <w:rPr>
          <w:rFonts w:cs="Arial"/>
        </w:rPr>
      </w:pPr>
      <w:r w:rsidRPr="00D55112">
        <w:rPr>
          <w:rFonts w:cs="Arial"/>
        </w:rPr>
        <w:t xml:space="preserve">Ham, C. (2024). </w:t>
      </w:r>
      <w:r w:rsidRPr="00D55112">
        <w:rPr>
          <w:rFonts w:cs="Arial"/>
          <w:i/>
          <w:iCs/>
        </w:rPr>
        <w:t>Health policy in Britain: The politics and organisation of the National Health Service</w:t>
      </w:r>
      <w:r w:rsidRPr="00D55112">
        <w:rPr>
          <w:rFonts w:cs="Arial"/>
        </w:rPr>
        <w:t>. Routledge.</w:t>
      </w:r>
    </w:p>
    <w:p w14:paraId="61CBA8D5" w14:textId="3105FFB0" w:rsidR="00484600" w:rsidRPr="00D55112" w:rsidRDefault="00484600" w:rsidP="00D55112">
      <w:pPr>
        <w:spacing w:after="0"/>
        <w:ind w:left="720" w:hanging="720"/>
        <w:rPr>
          <w:rFonts w:cs="Arial"/>
        </w:rPr>
      </w:pPr>
      <w:proofErr w:type="spellStart"/>
      <w:r w:rsidRPr="00D55112">
        <w:rPr>
          <w:rFonts w:cs="Arial"/>
        </w:rPr>
        <w:t>Hejazi</w:t>
      </w:r>
      <w:proofErr w:type="spellEnd"/>
      <w:r w:rsidRPr="00D55112">
        <w:rPr>
          <w:rFonts w:cs="Arial"/>
        </w:rPr>
        <w:t xml:space="preserve">, M.E., </w:t>
      </w:r>
      <w:proofErr w:type="spellStart"/>
      <w:r w:rsidRPr="00D55112">
        <w:rPr>
          <w:rFonts w:cs="Arial"/>
        </w:rPr>
        <w:t>Dizaj</w:t>
      </w:r>
      <w:proofErr w:type="spellEnd"/>
      <w:r w:rsidRPr="00D55112">
        <w:rPr>
          <w:rFonts w:cs="Arial"/>
        </w:rPr>
        <w:t xml:space="preserve">, G.A., </w:t>
      </w:r>
      <w:proofErr w:type="spellStart"/>
      <w:r w:rsidRPr="00D55112">
        <w:rPr>
          <w:rFonts w:cs="Arial"/>
        </w:rPr>
        <w:t>Khoshsirat</w:t>
      </w:r>
      <w:proofErr w:type="spellEnd"/>
      <w:r w:rsidRPr="00D55112">
        <w:rPr>
          <w:rFonts w:cs="Arial"/>
        </w:rPr>
        <w:t xml:space="preserve">, S., </w:t>
      </w:r>
      <w:proofErr w:type="spellStart"/>
      <w:r w:rsidRPr="00D55112">
        <w:rPr>
          <w:rFonts w:cs="Arial"/>
        </w:rPr>
        <w:t>Raoofi</w:t>
      </w:r>
      <w:proofErr w:type="spellEnd"/>
      <w:r w:rsidRPr="00D55112">
        <w:rPr>
          <w:rFonts w:cs="Arial"/>
        </w:rPr>
        <w:t xml:space="preserve">, S. and Akbar, J.B. (2026). Exploring collaborative strategies to improve patient safety in healthcare organisations: A qualitative study. </w:t>
      </w:r>
      <w:proofErr w:type="spellStart"/>
      <w:r w:rsidRPr="00D55112">
        <w:rPr>
          <w:rFonts w:cs="Arial"/>
          <w:i/>
          <w:iCs/>
        </w:rPr>
        <w:t>PloS</w:t>
      </w:r>
      <w:proofErr w:type="spellEnd"/>
      <w:r w:rsidRPr="00D55112">
        <w:rPr>
          <w:rFonts w:cs="Arial"/>
          <w:i/>
          <w:iCs/>
        </w:rPr>
        <w:t xml:space="preserve"> one</w:t>
      </w:r>
      <w:r w:rsidRPr="00D55112">
        <w:rPr>
          <w:rFonts w:cs="Arial"/>
        </w:rPr>
        <w:t>, 21(1), p.e0341022.</w:t>
      </w:r>
    </w:p>
    <w:p w14:paraId="5D18DD8D" w14:textId="77777777" w:rsidR="00484600" w:rsidRPr="00D55112" w:rsidRDefault="00484600" w:rsidP="00D55112">
      <w:pPr>
        <w:spacing w:after="0"/>
        <w:ind w:left="720" w:hanging="720"/>
        <w:rPr>
          <w:rFonts w:cs="Arial"/>
        </w:rPr>
      </w:pPr>
      <w:r w:rsidRPr="00D55112">
        <w:rPr>
          <w:rFonts w:cs="Arial"/>
        </w:rPr>
        <w:t xml:space="preserve">Jacob, J., </w:t>
      </w:r>
      <w:proofErr w:type="spellStart"/>
      <w:r w:rsidRPr="00D55112">
        <w:rPr>
          <w:rFonts w:cs="Arial"/>
        </w:rPr>
        <w:t>Ardyansyah</w:t>
      </w:r>
      <w:proofErr w:type="spellEnd"/>
      <w:r w:rsidRPr="00D55112">
        <w:rPr>
          <w:rFonts w:cs="Arial"/>
        </w:rPr>
        <w:t xml:space="preserve">, N.A., </w:t>
      </w:r>
      <w:proofErr w:type="spellStart"/>
      <w:r w:rsidRPr="00D55112">
        <w:rPr>
          <w:rFonts w:cs="Arial"/>
        </w:rPr>
        <w:t>Pratiwi</w:t>
      </w:r>
      <w:proofErr w:type="spellEnd"/>
      <w:r w:rsidRPr="00D55112">
        <w:rPr>
          <w:rFonts w:cs="Arial"/>
        </w:rPr>
        <w:t xml:space="preserve">, </w:t>
      </w:r>
      <w:proofErr w:type="spellStart"/>
      <w:r w:rsidRPr="00D55112">
        <w:rPr>
          <w:rFonts w:cs="Arial"/>
        </w:rPr>
        <w:t>Kadek</w:t>
      </w:r>
      <w:proofErr w:type="spellEnd"/>
      <w:r w:rsidRPr="00D55112">
        <w:rPr>
          <w:rFonts w:cs="Arial"/>
        </w:rPr>
        <w:t xml:space="preserve"> </w:t>
      </w:r>
      <w:proofErr w:type="spellStart"/>
      <w:r w:rsidRPr="00D55112">
        <w:rPr>
          <w:rFonts w:cs="Arial"/>
        </w:rPr>
        <w:t>Ayu</w:t>
      </w:r>
      <w:proofErr w:type="spellEnd"/>
      <w:r w:rsidRPr="00D55112">
        <w:rPr>
          <w:rFonts w:cs="Arial"/>
        </w:rPr>
        <w:t xml:space="preserve"> </w:t>
      </w:r>
      <w:proofErr w:type="spellStart"/>
      <w:r w:rsidRPr="00D55112">
        <w:rPr>
          <w:rFonts w:cs="Arial"/>
        </w:rPr>
        <w:t>Dewi</w:t>
      </w:r>
      <w:proofErr w:type="spellEnd"/>
      <w:r w:rsidRPr="00D55112">
        <w:rPr>
          <w:rFonts w:cs="Arial"/>
        </w:rPr>
        <w:t xml:space="preserve"> and </w:t>
      </w:r>
      <w:proofErr w:type="spellStart"/>
      <w:r w:rsidRPr="00D55112">
        <w:rPr>
          <w:rFonts w:cs="Arial"/>
        </w:rPr>
        <w:t>Regita</w:t>
      </w:r>
      <w:proofErr w:type="spellEnd"/>
      <w:r w:rsidRPr="00D55112">
        <w:rPr>
          <w:rFonts w:cs="Arial"/>
        </w:rPr>
        <w:t xml:space="preserve">, J. (2024). Unlocking the Power of Inclusive Communication in Public Relation. </w:t>
      </w:r>
      <w:r w:rsidRPr="00D55112">
        <w:rPr>
          <w:rFonts w:cs="Arial"/>
          <w:i/>
          <w:iCs/>
        </w:rPr>
        <w:t>Communication Studies</w:t>
      </w:r>
      <w:r w:rsidRPr="00D55112">
        <w:rPr>
          <w:rFonts w:cs="Arial"/>
        </w:rPr>
        <w:t>, 1(39), pp.160–182.</w:t>
      </w:r>
    </w:p>
    <w:p w14:paraId="1DF852D3" w14:textId="6C312687" w:rsidR="00484600" w:rsidRPr="00D55112" w:rsidRDefault="00484600" w:rsidP="00D55112">
      <w:pPr>
        <w:spacing w:after="0"/>
        <w:ind w:left="720" w:hanging="720"/>
        <w:rPr>
          <w:rFonts w:cs="Arial"/>
        </w:rPr>
      </w:pPr>
      <w:r w:rsidRPr="00D55112">
        <w:rPr>
          <w:rFonts w:cs="Arial"/>
        </w:rPr>
        <w:t xml:space="preserve">O’Rourke, D.J., </w:t>
      </w:r>
      <w:proofErr w:type="spellStart"/>
      <w:r w:rsidRPr="00D55112">
        <w:rPr>
          <w:rFonts w:cs="Arial"/>
        </w:rPr>
        <w:t>Lobchuk</w:t>
      </w:r>
      <w:proofErr w:type="spellEnd"/>
      <w:r w:rsidRPr="00D55112">
        <w:rPr>
          <w:rFonts w:cs="Arial"/>
        </w:rPr>
        <w:t xml:space="preserve">, M.M., Thompson, G.N. and </w:t>
      </w:r>
      <w:proofErr w:type="spellStart"/>
      <w:r w:rsidRPr="00D55112">
        <w:rPr>
          <w:rFonts w:cs="Arial"/>
        </w:rPr>
        <w:t>Lengyel</w:t>
      </w:r>
      <w:proofErr w:type="spellEnd"/>
      <w:r w:rsidRPr="00D55112">
        <w:rPr>
          <w:rFonts w:cs="Arial"/>
        </w:rPr>
        <w:t xml:space="preserve">, C. (2022). Expanding the conversation: A person-centred communication enhancement model. </w:t>
      </w:r>
      <w:r w:rsidRPr="00D55112">
        <w:rPr>
          <w:rFonts w:cs="Arial"/>
          <w:i/>
          <w:iCs/>
        </w:rPr>
        <w:t>Dementia</w:t>
      </w:r>
      <w:r w:rsidRPr="00D55112">
        <w:rPr>
          <w:rFonts w:cs="Arial"/>
        </w:rPr>
        <w:t>, 21(5), pp.1596–1617.</w:t>
      </w:r>
    </w:p>
    <w:p w14:paraId="5A8E3201" w14:textId="77777777" w:rsidR="00484600" w:rsidRPr="00D55112" w:rsidRDefault="00484600" w:rsidP="00D55112">
      <w:pPr>
        <w:spacing w:after="0"/>
        <w:ind w:left="720" w:hanging="720"/>
        <w:rPr>
          <w:rFonts w:cs="Arial"/>
        </w:rPr>
      </w:pPr>
      <w:proofErr w:type="spellStart"/>
      <w:r w:rsidRPr="00D55112">
        <w:rPr>
          <w:rFonts w:cs="Arial"/>
        </w:rPr>
        <w:t>Ocloo</w:t>
      </w:r>
      <w:proofErr w:type="spellEnd"/>
      <w:r w:rsidRPr="00D55112">
        <w:rPr>
          <w:rFonts w:cs="Arial"/>
        </w:rPr>
        <w:t xml:space="preserve">, J., Garfield, S., Franklin, B.D. and Dawson, S. (2021). Exploring the theory, barriers and enablers for patient and public involvement across health, social care and patient safety: a systematic review of reviews. </w:t>
      </w:r>
      <w:r w:rsidRPr="00D55112">
        <w:rPr>
          <w:rFonts w:cs="Arial"/>
          <w:i/>
          <w:iCs/>
        </w:rPr>
        <w:t>Health research policy and systems</w:t>
      </w:r>
      <w:r w:rsidRPr="00D55112">
        <w:rPr>
          <w:rFonts w:cs="Arial"/>
        </w:rPr>
        <w:t>, 19(1), p.8.</w:t>
      </w:r>
    </w:p>
    <w:p w14:paraId="1C2149E6" w14:textId="77777777" w:rsidR="00484600" w:rsidRPr="00D55112" w:rsidRDefault="00484600" w:rsidP="00D55112">
      <w:pPr>
        <w:spacing w:after="0"/>
        <w:ind w:left="720" w:hanging="720"/>
        <w:rPr>
          <w:rFonts w:cs="Arial"/>
        </w:rPr>
      </w:pPr>
      <w:proofErr w:type="spellStart"/>
      <w:r w:rsidRPr="00D55112">
        <w:rPr>
          <w:rFonts w:cs="Arial"/>
        </w:rPr>
        <w:t>Spalevic</w:t>
      </w:r>
      <w:proofErr w:type="spellEnd"/>
      <w:r w:rsidRPr="00D55112">
        <w:rPr>
          <w:rFonts w:cs="Arial"/>
        </w:rPr>
        <w:t xml:space="preserve">, Z. and </w:t>
      </w:r>
      <w:proofErr w:type="spellStart"/>
      <w:r w:rsidRPr="00D55112">
        <w:rPr>
          <w:rFonts w:cs="Arial"/>
        </w:rPr>
        <w:t>Vicentijevic</w:t>
      </w:r>
      <w:proofErr w:type="spellEnd"/>
      <w:r w:rsidRPr="00D55112">
        <w:rPr>
          <w:rFonts w:cs="Arial"/>
        </w:rPr>
        <w:t xml:space="preserve">, K. (2022). GDPR and challenges of personal data protection. </w:t>
      </w:r>
      <w:r w:rsidRPr="00D55112">
        <w:rPr>
          <w:rFonts w:cs="Arial"/>
          <w:i/>
          <w:iCs/>
        </w:rPr>
        <w:t>The European Journal of Applied Economics</w:t>
      </w:r>
      <w:r w:rsidRPr="00D55112">
        <w:rPr>
          <w:rFonts w:cs="Arial"/>
        </w:rPr>
        <w:t>, 19(1), pp.55–65.</w:t>
      </w:r>
    </w:p>
    <w:p w14:paraId="441CC7DC" w14:textId="77777777" w:rsidR="00484600" w:rsidRPr="00D55112" w:rsidRDefault="00484600" w:rsidP="00D55112">
      <w:pPr>
        <w:spacing w:after="0"/>
        <w:ind w:left="720" w:hanging="720"/>
        <w:rPr>
          <w:rFonts w:cs="Arial"/>
        </w:rPr>
      </w:pPr>
      <w:proofErr w:type="spellStart"/>
      <w:r w:rsidRPr="00D55112">
        <w:rPr>
          <w:rFonts w:cs="Arial"/>
        </w:rPr>
        <w:t>Toh</w:t>
      </w:r>
      <w:proofErr w:type="spellEnd"/>
      <w:r w:rsidRPr="00D55112">
        <w:rPr>
          <w:rFonts w:cs="Arial"/>
        </w:rPr>
        <w:t xml:space="preserve">, C.H. and Haynes, R. (2022). The Health and Care Act 2022: challenges and priorities for embedding research in the NHS. </w:t>
      </w:r>
      <w:r w:rsidRPr="00D55112">
        <w:rPr>
          <w:rFonts w:cs="Arial"/>
          <w:i/>
          <w:iCs/>
        </w:rPr>
        <w:t>The Lancet</w:t>
      </w:r>
      <w:r w:rsidRPr="00D55112">
        <w:rPr>
          <w:rFonts w:cs="Arial"/>
        </w:rPr>
        <w:t>, 400(10349), pp.343–345.</w:t>
      </w:r>
    </w:p>
    <w:p w14:paraId="72C06EE8" w14:textId="77777777" w:rsidR="00484600" w:rsidRPr="00D55112" w:rsidRDefault="00484600" w:rsidP="00D55112">
      <w:pPr>
        <w:spacing w:after="0"/>
        <w:rPr>
          <w:rFonts w:cs="Arial"/>
        </w:rPr>
      </w:pPr>
    </w:p>
    <w:sectPr w:rsidR="00484600" w:rsidRPr="00D55112" w:rsidSect="00431C63">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472A4" w14:textId="77777777" w:rsidR="00DC3A82" w:rsidRDefault="00DC3A82" w:rsidP="00431C63">
      <w:pPr>
        <w:spacing w:after="0" w:line="240" w:lineRule="auto"/>
      </w:pPr>
      <w:r>
        <w:separator/>
      </w:r>
    </w:p>
  </w:endnote>
  <w:endnote w:type="continuationSeparator" w:id="0">
    <w:p w14:paraId="176DC09C" w14:textId="77777777" w:rsidR="00DC3A82" w:rsidRDefault="00DC3A82" w:rsidP="00431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8FF66" w14:textId="3AC4355C" w:rsidR="00431C63" w:rsidRDefault="00431C63" w:rsidP="00431C6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036233"/>
      <w:docPartObj>
        <w:docPartGallery w:val="Page Numbers (Bottom of Page)"/>
        <w:docPartUnique/>
      </w:docPartObj>
    </w:sdtPr>
    <w:sdtEndPr>
      <w:rPr>
        <w:noProof/>
      </w:rPr>
    </w:sdtEndPr>
    <w:sdtContent>
      <w:p w14:paraId="0F057998" w14:textId="77777777" w:rsidR="00431C63" w:rsidRDefault="00431C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166ABF" w14:textId="77777777" w:rsidR="00431C63" w:rsidRDefault="00431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E2CA9" w14:textId="77777777" w:rsidR="00DC3A82" w:rsidRDefault="00DC3A82" w:rsidP="00431C63">
      <w:pPr>
        <w:spacing w:after="0" w:line="240" w:lineRule="auto"/>
      </w:pPr>
      <w:r>
        <w:separator/>
      </w:r>
    </w:p>
  </w:footnote>
  <w:footnote w:type="continuationSeparator" w:id="0">
    <w:p w14:paraId="5EC3ED6D" w14:textId="77777777" w:rsidR="00DC3A82" w:rsidRDefault="00DC3A82" w:rsidP="00431C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A0tDQ2MzM3NbMwNjRS0lEKTi0uzszPAykwrAUAWjuiMywAAAA="/>
  </w:docVars>
  <w:rsids>
    <w:rsidRoot w:val="00185FC9"/>
    <w:rsid w:val="00016114"/>
    <w:rsid w:val="000558BB"/>
    <w:rsid w:val="00152E14"/>
    <w:rsid w:val="00176FC6"/>
    <w:rsid w:val="00185FC9"/>
    <w:rsid w:val="002B5A59"/>
    <w:rsid w:val="002C3973"/>
    <w:rsid w:val="00311BD5"/>
    <w:rsid w:val="00370212"/>
    <w:rsid w:val="00385EE0"/>
    <w:rsid w:val="00431C63"/>
    <w:rsid w:val="00454CC9"/>
    <w:rsid w:val="00484600"/>
    <w:rsid w:val="00487E3B"/>
    <w:rsid w:val="00496F1D"/>
    <w:rsid w:val="004B4FBD"/>
    <w:rsid w:val="004F0CC5"/>
    <w:rsid w:val="004F4C16"/>
    <w:rsid w:val="00512614"/>
    <w:rsid w:val="00524218"/>
    <w:rsid w:val="005A5311"/>
    <w:rsid w:val="005D7A93"/>
    <w:rsid w:val="0062006A"/>
    <w:rsid w:val="00620716"/>
    <w:rsid w:val="00651A04"/>
    <w:rsid w:val="00696D8B"/>
    <w:rsid w:val="006D5105"/>
    <w:rsid w:val="008063D8"/>
    <w:rsid w:val="00844C4C"/>
    <w:rsid w:val="008B6E14"/>
    <w:rsid w:val="00907250"/>
    <w:rsid w:val="00911AC3"/>
    <w:rsid w:val="00952435"/>
    <w:rsid w:val="009E4A42"/>
    <w:rsid w:val="009F7164"/>
    <w:rsid w:val="00A45122"/>
    <w:rsid w:val="00B747C9"/>
    <w:rsid w:val="00BF31E0"/>
    <w:rsid w:val="00C740B9"/>
    <w:rsid w:val="00D20F75"/>
    <w:rsid w:val="00D55112"/>
    <w:rsid w:val="00DC3A82"/>
    <w:rsid w:val="00E5468B"/>
    <w:rsid w:val="00EB4A44"/>
    <w:rsid w:val="00F50011"/>
    <w:rsid w:val="00F7309B"/>
    <w:rsid w:val="00FC29C6"/>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F5F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9C6"/>
    <w:pPr>
      <w:spacing w:line="360" w:lineRule="auto"/>
      <w:jc w:val="both"/>
    </w:pPr>
    <w:rPr>
      <w:rFonts w:ascii="Arial" w:hAnsi="Arial"/>
    </w:rPr>
  </w:style>
  <w:style w:type="paragraph" w:styleId="Heading1">
    <w:name w:val="heading 1"/>
    <w:basedOn w:val="Normal"/>
    <w:next w:val="Normal"/>
    <w:link w:val="Heading1Char"/>
    <w:uiPriority w:val="9"/>
    <w:qFormat/>
    <w:rsid w:val="00651A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7A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5FC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5FC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85FC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85FC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85F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85F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85F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A04"/>
    <w:rPr>
      <w:rFonts w:ascii="Times New Roman" w:eastAsiaTheme="majorEastAsia" w:hAnsi="Times New Roman" w:cstheme="majorBidi"/>
      <w:color w:val="2F5496" w:themeColor="accent1" w:themeShade="BF"/>
      <w:sz w:val="32"/>
      <w:szCs w:val="32"/>
    </w:rPr>
  </w:style>
  <w:style w:type="paragraph" w:styleId="NoSpacing">
    <w:name w:val="No Spacing"/>
    <w:aliases w:val="Style 2"/>
    <w:basedOn w:val="Heading2"/>
    <w:next w:val="Heading2"/>
    <w:uiPriority w:val="1"/>
    <w:qFormat/>
    <w:rsid w:val="00524218"/>
    <w:pPr>
      <w:spacing w:after="0"/>
    </w:pPr>
    <w:rPr>
      <w:rFonts w:ascii="Times New Roman" w:hAnsi="Times New Roman"/>
      <w:sz w:val="26"/>
    </w:rPr>
  </w:style>
  <w:style w:type="character" w:customStyle="1" w:styleId="Heading2Char">
    <w:name w:val="Heading 2 Char"/>
    <w:basedOn w:val="DefaultParagraphFont"/>
    <w:link w:val="Heading2"/>
    <w:uiPriority w:val="9"/>
    <w:semiHidden/>
    <w:rsid w:val="005D7A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5F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5FC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85FC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85FC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85FC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85FC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85FC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85F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F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FC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F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FC9"/>
    <w:pPr>
      <w:spacing w:before="160"/>
      <w:jc w:val="center"/>
    </w:pPr>
    <w:rPr>
      <w:i/>
      <w:iCs/>
      <w:color w:val="404040" w:themeColor="text1" w:themeTint="BF"/>
    </w:rPr>
  </w:style>
  <w:style w:type="character" w:customStyle="1" w:styleId="QuoteChar">
    <w:name w:val="Quote Char"/>
    <w:basedOn w:val="DefaultParagraphFont"/>
    <w:link w:val="Quote"/>
    <w:uiPriority w:val="29"/>
    <w:rsid w:val="00185FC9"/>
    <w:rPr>
      <w:rFonts w:ascii="Times New Roman" w:hAnsi="Times New Roman"/>
      <w:i/>
      <w:iCs/>
      <w:color w:val="404040" w:themeColor="text1" w:themeTint="BF"/>
      <w:sz w:val="24"/>
    </w:rPr>
  </w:style>
  <w:style w:type="paragraph" w:styleId="ListParagraph">
    <w:name w:val="List Paragraph"/>
    <w:basedOn w:val="Normal"/>
    <w:uiPriority w:val="34"/>
    <w:qFormat/>
    <w:rsid w:val="00185FC9"/>
    <w:pPr>
      <w:ind w:left="720"/>
      <w:contextualSpacing/>
    </w:pPr>
  </w:style>
  <w:style w:type="character" w:styleId="IntenseEmphasis">
    <w:name w:val="Intense Emphasis"/>
    <w:basedOn w:val="DefaultParagraphFont"/>
    <w:uiPriority w:val="21"/>
    <w:qFormat/>
    <w:rsid w:val="00185FC9"/>
    <w:rPr>
      <w:i/>
      <w:iCs/>
      <w:color w:val="2F5496" w:themeColor="accent1" w:themeShade="BF"/>
    </w:rPr>
  </w:style>
  <w:style w:type="paragraph" w:styleId="IntenseQuote">
    <w:name w:val="Intense Quote"/>
    <w:basedOn w:val="Normal"/>
    <w:next w:val="Normal"/>
    <w:link w:val="IntenseQuoteChar"/>
    <w:uiPriority w:val="30"/>
    <w:qFormat/>
    <w:rsid w:val="00185F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5FC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85FC9"/>
    <w:rPr>
      <w:b/>
      <w:bCs/>
      <w:smallCaps/>
      <w:color w:val="2F5496" w:themeColor="accent1" w:themeShade="BF"/>
      <w:spacing w:val="5"/>
    </w:rPr>
  </w:style>
  <w:style w:type="paragraph" w:styleId="TOCHeading">
    <w:name w:val="TOC Heading"/>
    <w:basedOn w:val="Heading1"/>
    <w:next w:val="Normal"/>
    <w:uiPriority w:val="39"/>
    <w:unhideWhenUsed/>
    <w:qFormat/>
    <w:rsid w:val="00FC29C6"/>
    <w:pPr>
      <w:spacing w:line="259" w:lineRule="auto"/>
      <w:jc w:val="left"/>
      <w:outlineLvl w:val="9"/>
    </w:pPr>
    <w:rPr>
      <w:rFonts w:asciiTheme="majorHAnsi" w:hAnsiTheme="majorHAnsi"/>
      <w:kern w:val="0"/>
      <w:lang w:val="en-US"/>
      <w14:ligatures w14:val="none"/>
    </w:rPr>
  </w:style>
  <w:style w:type="paragraph" w:styleId="Header">
    <w:name w:val="header"/>
    <w:basedOn w:val="Normal"/>
    <w:link w:val="HeaderChar"/>
    <w:uiPriority w:val="99"/>
    <w:unhideWhenUsed/>
    <w:rsid w:val="00431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C63"/>
    <w:rPr>
      <w:rFonts w:ascii="Arial" w:hAnsi="Arial"/>
    </w:rPr>
  </w:style>
  <w:style w:type="paragraph" w:styleId="Footer">
    <w:name w:val="footer"/>
    <w:basedOn w:val="Normal"/>
    <w:link w:val="FooterChar"/>
    <w:uiPriority w:val="99"/>
    <w:unhideWhenUsed/>
    <w:rsid w:val="00431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C63"/>
    <w:rPr>
      <w:rFonts w:ascii="Arial" w:hAnsi="Arial"/>
    </w:rPr>
  </w:style>
  <w:style w:type="paragraph" w:styleId="TOC1">
    <w:name w:val="toc 1"/>
    <w:basedOn w:val="Normal"/>
    <w:next w:val="Normal"/>
    <w:autoRedefine/>
    <w:uiPriority w:val="39"/>
    <w:unhideWhenUsed/>
    <w:rsid w:val="00484600"/>
    <w:pPr>
      <w:spacing w:after="100"/>
    </w:pPr>
  </w:style>
  <w:style w:type="character" w:styleId="Hyperlink">
    <w:name w:val="Hyperlink"/>
    <w:basedOn w:val="DefaultParagraphFont"/>
    <w:uiPriority w:val="99"/>
    <w:unhideWhenUsed/>
    <w:rsid w:val="004846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E3097-BF15-4967-BDD9-28A108B207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2065</Words>
  <Characters>11776</Characters>
  <Application>Microsoft Office Word</Application>
  <DocSecurity>0</DocSecurity>
  <Lines>98</Lines>
  <Paragraphs>27</Paragraphs>
  <ScaleCrop>false</ScaleCrop>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2026-03-27T09:14:00Z</dcterms:created>
  <dcterms:modified xsi:type="dcterms:W3CDTF">2026-03-27T09:16:00Z</dcterms:modified>
</cp:coreProperties>
</file>