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5BB32708"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0862A4">
              <w:rPr>
                <w:rFonts w:ascii="Times New Roman" w:hAnsi="Times New Roman" w:cs="Times New Roman"/>
                <w:b/>
                <w:color w:val="auto"/>
                <w:sz w:val="48"/>
              </w:rPr>
              <w:t>Tanya Williams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498C582D" w14:textId="3A26C430" w:rsidR="000862A4" w:rsidRDefault="009C337F" w:rsidP="001E10E4">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0862A4">
              <w:rPr>
                <w:rFonts w:ascii="Times New Roman" w:hAnsi="Times New Roman" w:cs="Times New Roman"/>
                <w:b/>
                <w:color w:val="auto"/>
                <w:sz w:val="48"/>
              </w:rPr>
              <w:t xml:space="preserve"> </w:t>
            </w:r>
            <w:r w:rsidR="001E10E4">
              <w:rPr>
                <w:rFonts w:ascii="Times New Roman" w:hAnsi="Times New Roman" w:cs="Times New Roman"/>
                <w:b/>
                <w:sz w:val="48"/>
              </w:rPr>
              <w:t>2320477@student.uwtsd.ac.uk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2B06CDA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0862A4">
              <w:rPr>
                <w:rFonts w:ascii="Times New Roman" w:hAnsi="Times New Roman" w:cs="Times New Roman"/>
                <w:b/>
                <w:color w:val="auto"/>
                <w:sz w:val="48"/>
              </w:rPr>
              <w:t xml:space="preserve"> </w:t>
            </w:r>
          </w:p>
          <w:p w14:paraId="3F0C3EC2" w14:textId="2D4C177D" w:rsidR="000862A4" w:rsidRPr="005D3F07" w:rsidRDefault="000862A4"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2320477</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4756DF6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374F">
              <w:rPr>
                <w:rFonts w:ascii="Times New Roman" w:hAnsi="Times New Roman" w:cs="Times New Roman"/>
                <w:b/>
                <w:color w:val="auto"/>
                <w:sz w:val="48"/>
              </w:rPr>
              <w:t>21</w:t>
            </w:r>
            <w:r w:rsidR="00AE6231">
              <w:rPr>
                <w:rFonts w:ascii="Times New Roman" w:hAnsi="Times New Roman" w:cs="Times New Roman"/>
                <w:b/>
                <w:color w:val="auto"/>
                <w:sz w:val="48"/>
              </w:rPr>
              <w:t>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shd w:val="clear" w:color="auto" w:fill="auto"/>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FBBCFA0" w14:textId="77777777" w:rsidR="006108C9" w:rsidRDefault="006108C9" w:rsidP="00FF7EBB">
            <w:pPr>
              <w:jc w:val="both"/>
              <w:rPr>
                <w:sz w:val="24"/>
                <w:szCs w:val="24"/>
              </w:rPr>
            </w:pPr>
          </w:p>
          <w:p w14:paraId="629D41D0" w14:textId="2BABBD31" w:rsidR="000862A4" w:rsidRPr="008120F1" w:rsidRDefault="00332718" w:rsidP="008120F1">
            <w:pPr>
              <w:jc w:val="both"/>
              <w:rPr>
                <w:sz w:val="24"/>
                <w:szCs w:val="24"/>
              </w:rPr>
            </w:pPr>
            <w:r>
              <w:rPr>
                <w:sz w:val="24"/>
                <w:szCs w:val="24"/>
              </w:rPr>
              <w:t>The Wales Safeguarding Procedures (2020) identifies safeguarding as a</w:t>
            </w:r>
            <w:r w:rsidR="00334420">
              <w:rPr>
                <w:sz w:val="24"/>
                <w:szCs w:val="24"/>
              </w:rPr>
              <w:t xml:space="preserve"> means to prevent and protect children and adults from abuse or neglect. </w:t>
            </w:r>
            <w:r w:rsidR="000862A4" w:rsidRPr="000862A4">
              <w:rPr>
                <w:rFonts w:cstheme="minorHAnsi"/>
                <w:color w:val="000000" w:themeColor="text1"/>
                <w:sz w:val="24"/>
                <w:szCs w:val="24"/>
              </w:rPr>
              <w:t>Part 7 of the Social Service and Well-Being (Wales) Act 2014 (SSWB(W) 2014) contains the procedures for safeguarding for both adults and children. S.130 of the act defines a child at risk as a child who is experiencing or is at risk of abuse or neglect or other kind of harm, additionally the term ‘at risk’ means that abuse of neglect does not need to occur, rather early intervention to protect a child at risk should be considered (Wales Safeguarding Procedures, 2020). Section 197 defines abuse as physical, sexual, psychological, emotion or financial, neglect is defined as a failure to meet a child’s basic needs (Clements, 2019).</w:t>
            </w:r>
          </w:p>
          <w:p w14:paraId="6E2CAA12" w14:textId="77777777" w:rsidR="00827E1A" w:rsidRPr="000862A4" w:rsidRDefault="00827E1A" w:rsidP="000862A4">
            <w:pPr>
              <w:rPr>
                <w:rFonts w:cstheme="minorHAnsi"/>
                <w:color w:val="000000" w:themeColor="text1"/>
                <w:sz w:val="24"/>
                <w:szCs w:val="24"/>
              </w:rPr>
            </w:pPr>
          </w:p>
          <w:p w14:paraId="45F2C3F8" w14:textId="77777777" w:rsidR="000862A4" w:rsidRPr="000862A4" w:rsidRDefault="000862A4" w:rsidP="000862A4">
            <w:pPr>
              <w:rPr>
                <w:rFonts w:cstheme="minorHAnsi"/>
                <w:color w:val="000000" w:themeColor="text1"/>
                <w:sz w:val="24"/>
                <w:szCs w:val="24"/>
              </w:rPr>
            </w:pPr>
            <w:r w:rsidRPr="000862A4">
              <w:rPr>
                <w:rFonts w:cstheme="minorHAnsi"/>
                <w:color w:val="000000" w:themeColor="text1"/>
                <w:sz w:val="24"/>
                <w:szCs w:val="24"/>
              </w:rPr>
              <w:t>Once a local authority has received a report under section 130 of the SSWB(W)A 2014 the local authority must decide if there are reasonable grounds to suspect that a child is suffering, or likely to suffer significant harm under section 47 of the Children’s Act 1989 (Welsh Government, 2015). The Children Act 1989 is the main source of child welfare law for England and Wales, and it ensures that every child is kept safe and protected from harm (Family Rights Group, 2024). A Section 47 enquiry is initiated to decide what type of action is required to safeguard and promote the welfare of a child (Halton Borough Council, 2024). Outcomes of a section 47 enquiry might be ‘not substantiated’, although consideration should be given to whether the child may have needs for care and support under part 3 of the SSWB(W)A 2014. Another outcome is ‘substantiated’, and the child is judged to be suffering or likely to suffer significant harm and an initial child protection conference should be called (Halton Borough Council, 2024). This conference brings professionals together and it should follow a process that ensures the focus remains on the child and their care and support needs (Wales Safeguarding Procedures, 2020). In Wales, this must be conducted within 15 working days from the start of the assessment (NSPCC, 2024).</w:t>
            </w:r>
          </w:p>
          <w:p w14:paraId="0D54E128" w14:textId="77777777" w:rsidR="000862A4" w:rsidRPr="000862A4" w:rsidRDefault="000862A4" w:rsidP="000862A4">
            <w:pPr>
              <w:rPr>
                <w:rFonts w:cstheme="minorHAnsi"/>
                <w:color w:val="000000" w:themeColor="text1"/>
                <w:sz w:val="24"/>
                <w:szCs w:val="24"/>
              </w:rPr>
            </w:pPr>
          </w:p>
          <w:p w14:paraId="058F54DF" w14:textId="14233E62" w:rsidR="008120F1" w:rsidRDefault="000862A4" w:rsidP="000862A4">
            <w:pPr>
              <w:rPr>
                <w:rFonts w:cstheme="minorHAnsi"/>
                <w:color w:val="000000" w:themeColor="text1"/>
                <w:sz w:val="24"/>
                <w:szCs w:val="24"/>
              </w:rPr>
            </w:pPr>
            <w:r w:rsidRPr="000862A4">
              <w:rPr>
                <w:rFonts w:cstheme="minorHAnsi"/>
                <w:color w:val="000000" w:themeColor="text1"/>
                <w:sz w:val="24"/>
                <w:szCs w:val="24"/>
              </w:rPr>
              <w:t xml:space="preserve">‘Working Together to Safeguarding People’ is the code of practice set out by the Welsh Government in relation to Part 7 of the SSWB(W)A 2014, it provides guidance on safeguarding, as it recognises that safeguarding is everybody’s responsibility (Welsh </w:t>
            </w:r>
            <w:r w:rsidRPr="000862A4">
              <w:rPr>
                <w:rFonts w:cstheme="minorHAnsi"/>
                <w:color w:val="000000" w:themeColor="text1"/>
                <w:sz w:val="24"/>
                <w:szCs w:val="24"/>
              </w:rPr>
              <w:lastRenderedPageBreak/>
              <w:t>Government, 2022). The guidance takes into consideration the United Nations Convention on the Rights of the Child (UNCRC). It is an important legally binding agreement which outlines the fundamental rights of every child (UNICEF, 2024). My local authority’s policies have adopted this by the implementation of the SSWB(W)</w:t>
            </w:r>
            <w:r>
              <w:rPr>
                <w:rFonts w:cstheme="minorHAnsi"/>
                <w:color w:val="000000" w:themeColor="text1"/>
                <w:sz w:val="24"/>
                <w:szCs w:val="24"/>
              </w:rPr>
              <w:t>A</w:t>
            </w:r>
            <w:r w:rsidRPr="000862A4">
              <w:rPr>
                <w:rFonts w:cstheme="minorHAnsi"/>
                <w:color w:val="000000" w:themeColor="text1"/>
                <w:sz w:val="24"/>
                <w:szCs w:val="24"/>
              </w:rPr>
              <w:t xml:space="preserve"> 2014 by setting a legal framework at a local level with the Wales National Safeguarding Board. While these procedures are in place to protect children from harm, arguably the safeguarding procedures in Wales could be seen as responding to tragedies that have previously occurred. The aim of the Wales National Safeguarding Board is to provide support and advice, to safeguard children in Wales and make recommendation on improving these arrangements (National Independent Safeguarding Board Wales, 2021). </w:t>
            </w:r>
            <w:r w:rsidR="00E00F55">
              <w:rPr>
                <w:rFonts w:cstheme="minorHAnsi"/>
                <w:color w:val="000000" w:themeColor="text1"/>
                <w:sz w:val="24"/>
                <w:szCs w:val="24"/>
              </w:rPr>
              <w:t>When tragedies occur where children have been harmed or killed, the</w:t>
            </w:r>
            <w:r w:rsidR="002B1139">
              <w:rPr>
                <w:rFonts w:cstheme="minorHAnsi"/>
                <w:color w:val="000000" w:themeColor="text1"/>
                <w:sz w:val="24"/>
                <w:szCs w:val="24"/>
              </w:rPr>
              <w:t>re</w:t>
            </w:r>
            <w:r w:rsidR="00E00F55">
              <w:rPr>
                <w:rFonts w:cstheme="minorHAnsi"/>
                <w:color w:val="000000" w:themeColor="text1"/>
                <w:sz w:val="24"/>
                <w:szCs w:val="24"/>
              </w:rPr>
              <w:t xml:space="preserve"> are public enquiries to consider </w:t>
            </w:r>
            <w:r w:rsidR="002B1139">
              <w:rPr>
                <w:rFonts w:cstheme="minorHAnsi"/>
                <w:color w:val="000000" w:themeColor="text1"/>
                <w:sz w:val="24"/>
                <w:szCs w:val="24"/>
              </w:rPr>
              <w:t>lessens that could be learned to prevent future harm to a child (Johns, 2020).</w:t>
            </w:r>
          </w:p>
          <w:p w14:paraId="2B85C23E" w14:textId="77777777" w:rsidR="008120F1" w:rsidRDefault="008120F1" w:rsidP="000862A4">
            <w:pPr>
              <w:rPr>
                <w:rFonts w:cstheme="minorHAnsi"/>
                <w:color w:val="000000" w:themeColor="text1"/>
                <w:sz w:val="24"/>
                <w:szCs w:val="24"/>
              </w:rPr>
            </w:pPr>
          </w:p>
          <w:p w14:paraId="49641ACD" w14:textId="111476A8" w:rsidR="00FC0334" w:rsidRPr="001D75D2" w:rsidRDefault="000862A4" w:rsidP="001D75D2">
            <w:pPr>
              <w:rPr>
                <w:rFonts w:cstheme="minorHAnsi"/>
                <w:i/>
                <w:iCs/>
                <w:sz w:val="24"/>
                <w:szCs w:val="24"/>
              </w:rPr>
            </w:pPr>
            <w:r w:rsidRPr="000862A4">
              <w:rPr>
                <w:rFonts w:cstheme="minorHAnsi"/>
                <w:i/>
                <w:iCs/>
                <w:sz w:val="24"/>
                <w:szCs w:val="24"/>
              </w:rPr>
              <w:t>Word Count: 54</w:t>
            </w:r>
            <w:r w:rsidR="002B1139">
              <w:rPr>
                <w:rFonts w:cstheme="minorHAnsi"/>
                <w:i/>
                <w:iCs/>
                <w:sz w:val="24"/>
                <w:szCs w:val="24"/>
              </w:rPr>
              <w:t>1</w:t>
            </w:r>
          </w:p>
          <w:p w14:paraId="206514B9" w14:textId="77777777" w:rsidR="00FC0334" w:rsidRDefault="00FC0334" w:rsidP="00FF7EBB">
            <w:pPr>
              <w:jc w:val="both"/>
              <w:rPr>
                <w:sz w:val="24"/>
                <w:szCs w:val="24"/>
              </w:rPr>
            </w:pPr>
          </w:p>
          <w:p w14:paraId="60D8C669" w14:textId="77777777" w:rsidR="00FC0334" w:rsidRDefault="00FC0334" w:rsidP="00FF7EBB">
            <w:pPr>
              <w:jc w:val="both"/>
              <w:rPr>
                <w:sz w:val="24"/>
                <w:szCs w:val="24"/>
              </w:rPr>
            </w:pPr>
          </w:p>
          <w:p w14:paraId="774095BD" w14:textId="77777777" w:rsidR="00FC0334" w:rsidRPr="006108C9" w:rsidRDefault="00FC0334" w:rsidP="00FF7EBB">
            <w:pPr>
              <w:jc w:val="both"/>
              <w:rPr>
                <w:sz w:val="24"/>
                <w:szCs w:val="24"/>
              </w:rPr>
            </w:pP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shd w:val="clear" w:color="auto" w:fill="auto"/>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3FE724A0" w14:textId="77777777" w:rsidR="009A002F" w:rsidRDefault="009A002F" w:rsidP="00FC0334">
            <w:pPr>
              <w:jc w:val="both"/>
              <w:rPr>
                <w:sz w:val="24"/>
                <w:szCs w:val="24"/>
              </w:rPr>
            </w:pPr>
          </w:p>
          <w:p w14:paraId="6F61F85F" w14:textId="564EC1CE" w:rsidR="000862A4" w:rsidRPr="009A002F" w:rsidRDefault="009A002F" w:rsidP="009A002F">
            <w:pPr>
              <w:jc w:val="both"/>
              <w:rPr>
                <w:sz w:val="24"/>
                <w:szCs w:val="24"/>
              </w:rPr>
            </w:pPr>
            <w:r>
              <w:rPr>
                <w:sz w:val="24"/>
                <w:szCs w:val="24"/>
              </w:rPr>
              <w:t>Wales has been</w:t>
            </w:r>
            <w:r w:rsidR="00D71D35">
              <w:rPr>
                <w:sz w:val="24"/>
                <w:szCs w:val="24"/>
              </w:rPr>
              <w:t xml:space="preserve"> recognised </w:t>
            </w:r>
            <w:r>
              <w:rPr>
                <w:sz w:val="24"/>
                <w:szCs w:val="24"/>
              </w:rPr>
              <w:t xml:space="preserve">as the first country in the UK to </w:t>
            </w:r>
            <w:r w:rsidR="000862A4" w:rsidRPr="000862A4">
              <w:rPr>
                <w:color w:val="000000" w:themeColor="text1"/>
                <w:sz w:val="24"/>
                <w:szCs w:val="24"/>
              </w:rPr>
              <w:t xml:space="preserve">combine children and adult safeguarding procedures, by the release of the Wales Safeguarding Procedures online and by app (North Wales Safeguarding Board, 2021). By doing this, the Welsh Government have tried to strengthen safeguarding procedures towards adult. Conversely, Clements (2019) has critiqued the Welsh Government, stated that the law provides no power to intervene if the adults are found to be at risk. Although, the SSWB(W)A 2014 have introduced the Adult Protection and Support Orders (APSO) under Part 7. APSO’s enable an authorised officer to speak to an adult suspected of being at risk of abuse or neglect, to establish whether the adult can make decisions freely. However, ASPO’S do not grant a power of removal (Welsh Government, 2022). Adults can refuse intervention from local authority and can make unwise decisions. The principles of the Mental Capacity Act 2005 stated that we should assume that individuals have the ability to make decisions. The only time professionals could intervene is if they believe the individuals lacks capacity to make decisions or using the Mental Health Act 1983 if appropriate. Therefore, if adult have capacity, they can remain in risky situations and refuse support. </w:t>
            </w:r>
          </w:p>
          <w:p w14:paraId="1C823ACB" w14:textId="77777777" w:rsidR="000862A4" w:rsidRPr="000862A4" w:rsidRDefault="000862A4" w:rsidP="000862A4">
            <w:pPr>
              <w:rPr>
                <w:color w:val="000000" w:themeColor="text1"/>
                <w:sz w:val="24"/>
                <w:szCs w:val="24"/>
              </w:rPr>
            </w:pPr>
          </w:p>
          <w:p w14:paraId="4B162EF9" w14:textId="0E9FC49A" w:rsidR="000862A4" w:rsidRPr="000862A4" w:rsidRDefault="000862A4" w:rsidP="000862A4">
            <w:pPr>
              <w:rPr>
                <w:color w:val="000000" w:themeColor="text1"/>
                <w:sz w:val="24"/>
                <w:szCs w:val="24"/>
              </w:rPr>
            </w:pPr>
            <w:r w:rsidRPr="000862A4">
              <w:rPr>
                <w:color w:val="000000" w:themeColor="text1"/>
                <w:sz w:val="24"/>
                <w:szCs w:val="24"/>
              </w:rPr>
              <w:t xml:space="preserve">Conversely, children are seen as vulnerable, and are unable to protect themselves from harm. Therefore, there are more structure and powers and clearer procedures for professionals to follow. The Children Act 1989 give more statutory responsibilities to social workers to intervene and make decisions. An example of this would be, if there are reasonable cause to suspect a child is suffering or likely to suffer significant harm then a </w:t>
            </w:r>
            <w:r w:rsidRPr="000862A4">
              <w:rPr>
                <w:color w:val="000000" w:themeColor="text1"/>
                <w:sz w:val="24"/>
                <w:szCs w:val="24"/>
              </w:rPr>
              <w:lastRenderedPageBreak/>
              <w:t>child assessment order under section 43 of the Children Act 1989, this can allow an assessment of the child’s needs despite parental objections and can be obtained by making an application to a court (Johns, 2020). Additionally, in children’s safeguarding there are specific time scale and protocols to follow, such as Section 47 enquires under the Children Act 1989 must happen within 10 working days, and if a child has a care and support protection plan, a social worker must see the child at least every 10 working days, and ensure the child is seen at home at least every 4 weeks (Johns, 2020). Although the principles of the SSWB(W)A 2014 is a child centered approach and that professionals should have regard to the child’s views, wishes and feelings, ultimately professionals are able to make decisions in their best interest by using the law to safeguard them from harm</w:t>
            </w:r>
            <w:r>
              <w:rPr>
                <w:color w:val="000000" w:themeColor="text1"/>
                <w:sz w:val="24"/>
                <w:szCs w:val="24"/>
              </w:rPr>
              <w:t xml:space="preserve">. </w:t>
            </w:r>
          </w:p>
          <w:p w14:paraId="2D14ED43" w14:textId="77777777" w:rsidR="000862A4" w:rsidRPr="000862A4" w:rsidRDefault="000862A4" w:rsidP="000862A4">
            <w:pPr>
              <w:rPr>
                <w:i/>
                <w:iCs/>
                <w:color w:val="000000" w:themeColor="text1"/>
                <w:sz w:val="24"/>
                <w:szCs w:val="24"/>
              </w:rPr>
            </w:pPr>
          </w:p>
          <w:p w14:paraId="16DEDEE9" w14:textId="0D8AFE01" w:rsidR="000862A4" w:rsidRPr="000862A4" w:rsidRDefault="000862A4" w:rsidP="000862A4">
            <w:pPr>
              <w:rPr>
                <w:i/>
                <w:iCs/>
                <w:color w:val="000000" w:themeColor="text1"/>
                <w:sz w:val="24"/>
                <w:szCs w:val="24"/>
              </w:rPr>
            </w:pPr>
            <w:r w:rsidRPr="000862A4">
              <w:rPr>
                <w:i/>
                <w:iCs/>
                <w:color w:val="000000" w:themeColor="text1"/>
                <w:sz w:val="24"/>
                <w:szCs w:val="24"/>
              </w:rPr>
              <w:t>Word Count: 4</w:t>
            </w:r>
            <w:r w:rsidR="00EB431F">
              <w:rPr>
                <w:i/>
                <w:iCs/>
                <w:color w:val="000000" w:themeColor="text1"/>
                <w:sz w:val="24"/>
                <w:szCs w:val="24"/>
              </w:rPr>
              <w:t>22.</w:t>
            </w:r>
          </w:p>
          <w:p w14:paraId="7F1A53A0" w14:textId="77777777" w:rsidR="000862A4" w:rsidRPr="00E86A2C" w:rsidRDefault="000862A4" w:rsidP="000862A4">
            <w:pPr>
              <w:rPr>
                <w:color w:val="000000" w:themeColor="text1"/>
              </w:rPr>
            </w:pPr>
          </w:p>
          <w:p w14:paraId="3007302A" w14:textId="77777777" w:rsidR="000862A4" w:rsidRPr="00E86A2C" w:rsidRDefault="000862A4" w:rsidP="000862A4">
            <w:pPr>
              <w:rPr>
                <w:color w:val="000000" w:themeColor="text1"/>
              </w:rPr>
            </w:pPr>
          </w:p>
          <w:p w14:paraId="795C6051" w14:textId="77777777" w:rsidR="00FC0334" w:rsidRDefault="00FC0334" w:rsidP="00FC0334">
            <w:pPr>
              <w:jc w:val="both"/>
              <w:rPr>
                <w:sz w:val="24"/>
                <w:szCs w:val="24"/>
              </w:rPr>
            </w:pPr>
          </w:p>
          <w:p w14:paraId="67E7ED72" w14:textId="77777777" w:rsidR="00FC0334" w:rsidRDefault="00FC0334" w:rsidP="00FC0334">
            <w:pPr>
              <w:jc w:val="both"/>
              <w:rPr>
                <w:sz w:val="24"/>
                <w:szCs w:val="24"/>
              </w:rPr>
            </w:pPr>
          </w:p>
          <w:p w14:paraId="478D2F84" w14:textId="77777777" w:rsidR="00FC0334" w:rsidRDefault="00FC0334" w:rsidP="00FC0334">
            <w:pPr>
              <w:jc w:val="both"/>
              <w:rPr>
                <w:sz w:val="24"/>
                <w:szCs w:val="24"/>
              </w:rPr>
            </w:pPr>
          </w:p>
          <w:p w14:paraId="0E64B386" w14:textId="77777777" w:rsidR="00FC0334" w:rsidRDefault="00FC0334" w:rsidP="00FC0334">
            <w:pPr>
              <w:jc w:val="both"/>
              <w:rPr>
                <w:sz w:val="24"/>
                <w:szCs w:val="24"/>
              </w:rPr>
            </w:pPr>
          </w:p>
          <w:p w14:paraId="4847C39E" w14:textId="77777777" w:rsidR="00FC0334" w:rsidRDefault="00FC0334" w:rsidP="00FC0334">
            <w:pPr>
              <w:jc w:val="both"/>
              <w:rPr>
                <w:sz w:val="24"/>
                <w:szCs w:val="24"/>
              </w:rPr>
            </w:pPr>
          </w:p>
          <w:p w14:paraId="04285720" w14:textId="77777777" w:rsidR="00FC0334" w:rsidRDefault="00FC0334" w:rsidP="00FC0334">
            <w:pPr>
              <w:jc w:val="both"/>
              <w:rPr>
                <w:sz w:val="24"/>
                <w:szCs w:val="24"/>
              </w:rPr>
            </w:pPr>
          </w:p>
          <w:p w14:paraId="1AA3081F" w14:textId="77777777" w:rsidR="00FC0334" w:rsidRDefault="00FC0334" w:rsidP="00FC0334">
            <w:pPr>
              <w:jc w:val="both"/>
              <w:rPr>
                <w:sz w:val="24"/>
                <w:szCs w:val="24"/>
              </w:rPr>
            </w:pPr>
          </w:p>
          <w:p w14:paraId="7B7B4827" w14:textId="77777777" w:rsidR="00FC0334" w:rsidRDefault="00FC0334" w:rsidP="00FC0334">
            <w:pPr>
              <w:jc w:val="both"/>
              <w:rPr>
                <w:sz w:val="24"/>
                <w:szCs w:val="24"/>
              </w:rPr>
            </w:pPr>
          </w:p>
          <w:p w14:paraId="438BF787" w14:textId="77777777" w:rsidR="00FC0334" w:rsidRPr="006108C9" w:rsidRDefault="00FC0334" w:rsidP="00FC0334">
            <w:pPr>
              <w:jc w:val="both"/>
              <w:rPr>
                <w:sz w:val="24"/>
                <w:szCs w:val="24"/>
              </w:rPr>
            </w:pP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08760B3D" w14:textId="77777777" w:rsidR="00FC0334" w:rsidRPr="006108C9" w:rsidRDefault="00FC0334" w:rsidP="00FC0334">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C7A795" w14:textId="77777777" w:rsidR="00C878EF" w:rsidRDefault="00C878EF">
      <w:r>
        <w:separator/>
      </w:r>
    </w:p>
  </w:endnote>
  <w:endnote w:type="continuationSeparator" w:id="0">
    <w:p w14:paraId="40EA8EC7" w14:textId="77777777" w:rsidR="00C878EF" w:rsidRDefault="00C878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481272" w14:textId="77777777" w:rsidR="00C878EF" w:rsidRDefault="00C878EF">
      <w:r>
        <w:separator/>
      </w:r>
    </w:p>
  </w:footnote>
  <w:footnote w:type="continuationSeparator" w:id="0">
    <w:p w14:paraId="28672C3B" w14:textId="77777777" w:rsidR="00C878EF" w:rsidRDefault="00C878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862A4"/>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D75D2"/>
    <w:rsid w:val="001E10E4"/>
    <w:rsid w:val="001E2EB6"/>
    <w:rsid w:val="001F4552"/>
    <w:rsid w:val="001F6777"/>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139"/>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2718"/>
    <w:rsid w:val="00334420"/>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20F1"/>
    <w:rsid w:val="00813CEC"/>
    <w:rsid w:val="0081534C"/>
    <w:rsid w:val="00816CE7"/>
    <w:rsid w:val="008171E4"/>
    <w:rsid w:val="008208EA"/>
    <w:rsid w:val="00822B44"/>
    <w:rsid w:val="00824E67"/>
    <w:rsid w:val="00825A64"/>
    <w:rsid w:val="00826F48"/>
    <w:rsid w:val="00827E1A"/>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4828"/>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002F"/>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18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8EF"/>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1D35"/>
    <w:rsid w:val="00D720C7"/>
    <w:rsid w:val="00D84841"/>
    <w:rsid w:val="00D876E6"/>
    <w:rsid w:val="00D90958"/>
    <w:rsid w:val="00DA1025"/>
    <w:rsid w:val="00DA22EC"/>
    <w:rsid w:val="00DA5682"/>
    <w:rsid w:val="00DA5860"/>
    <w:rsid w:val="00DA5C0C"/>
    <w:rsid w:val="00DB2767"/>
    <w:rsid w:val="00DB6DE5"/>
    <w:rsid w:val="00DC1B10"/>
    <w:rsid w:val="00DC2924"/>
    <w:rsid w:val="00DC4729"/>
    <w:rsid w:val="00DD31C5"/>
    <w:rsid w:val="00DD5020"/>
    <w:rsid w:val="00DD63BE"/>
    <w:rsid w:val="00DE4296"/>
    <w:rsid w:val="00DF2469"/>
    <w:rsid w:val="00DF7899"/>
    <w:rsid w:val="00E00F55"/>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431F"/>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4</Pages>
  <Words>1169</Words>
  <Characters>6180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Tanya Marie Williams (OEDOLION)</cp:lastModifiedBy>
  <cp:revision>19</cp:revision>
  <cp:lastPrinted>2020-02-11T19:20:00Z</cp:lastPrinted>
  <dcterms:created xsi:type="dcterms:W3CDTF">2024-09-16T08:22:00Z</dcterms:created>
  <dcterms:modified xsi:type="dcterms:W3CDTF">2024-10-02T16:09:00Z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