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9C2D3E" w14:textId="77777777" w:rsidR="0099082E" w:rsidRDefault="00685AD6">
      <w:pPr>
        <w:spacing w:after="184" w:line="259" w:lineRule="auto"/>
        <w:ind w:left="-5" w:right="7"/>
      </w:pPr>
      <w:r>
        <w:t xml:space="preserve">CLINICAL INFORMATION BOOKLET: ADVANCED STRATEGIES IN LONG-TERM MANAGEMENT OF ATRIAL FIBRILLATION </w:t>
      </w:r>
    </w:p>
    <w:p w14:paraId="3D808A67" w14:textId="77777777" w:rsidR="0099082E" w:rsidRDefault="00685AD6">
      <w:pPr>
        <w:spacing w:after="40" w:line="259" w:lineRule="auto"/>
        <w:ind w:left="-5" w:right="7"/>
      </w:pPr>
      <w:r>
        <w:t>MSc Public Health and Social Care in Practice</w:t>
      </w:r>
      <w:r>
        <w:t xml:space="preserve"> </w:t>
      </w:r>
      <w:r>
        <w:t>Module Code &amp; Title:</w:t>
      </w:r>
      <w:r>
        <w:t xml:space="preserve"> LCHS7003: </w:t>
      </w:r>
    </w:p>
    <w:p w14:paraId="074A5408" w14:textId="77777777" w:rsidR="0099082E" w:rsidRDefault="00685AD6">
      <w:pPr>
        <w:ind w:left="-5" w:right="12"/>
      </w:pPr>
      <w:r>
        <w:t xml:space="preserve">Community Care and Management of Longer-term Conditions </w:t>
      </w:r>
    </w:p>
    <w:p w14:paraId="49867CBD" w14:textId="77777777" w:rsidR="0099082E" w:rsidRDefault="00685AD6">
      <w:pPr>
        <w:spacing w:after="184" w:line="259" w:lineRule="auto"/>
        <w:ind w:left="-5" w:right="7"/>
      </w:pPr>
      <w:r>
        <w:t>Module Leader / Lecturer:</w:t>
      </w:r>
      <w:r>
        <w:t xml:space="preserve"> Muhammad Khan </w:t>
      </w:r>
    </w:p>
    <w:p w14:paraId="476C4397" w14:textId="77777777" w:rsidR="0099082E" w:rsidRDefault="00685AD6">
      <w:pPr>
        <w:ind w:left="-5" w:right="12"/>
      </w:pPr>
      <w:r>
        <w:t>Internal Verifier:</w:t>
      </w:r>
      <w:r>
        <w:t xml:space="preserve"> Dr Hamdi Hussain </w:t>
      </w:r>
    </w:p>
    <w:p w14:paraId="1F69C509" w14:textId="77777777" w:rsidR="0099082E" w:rsidRDefault="00685AD6">
      <w:pPr>
        <w:ind w:left="-5" w:right="12"/>
      </w:pPr>
      <w:r>
        <w:t>Assignment Title:</w:t>
      </w:r>
      <w:r>
        <w:t xml:space="preserve"> Component 1: Information Booklet of Long-term Condition Management </w:t>
      </w:r>
    </w:p>
    <w:p w14:paraId="37B8A131" w14:textId="15953F77" w:rsidR="0099082E" w:rsidRDefault="00685AD6">
      <w:pPr>
        <w:ind w:left="-5" w:right="12"/>
      </w:pPr>
      <w:r>
        <w:t>Student Name:</w:t>
      </w:r>
      <w:r>
        <w:t xml:space="preserve"> </w:t>
      </w:r>
      <w:proofErr w:type="spellStart"/>
      <w:r w:rsidR="00BF1DC1">
        <w:t>Vaidehi</w:t>
      </w:r>
      <w:proofErr w:type="spellEnd"/>
      <w:r w:rsidR="00BF1DC1">
        <w:t xml:space="preserve"> </w:t>
      </w:r>
      <w:proofErr w:type="spellStart"/>
      <w:r w:rsidR="00BF1DC1">
        <w:t>Jaymin</w:t>
      </w:r>
      <w:proofErr w:type="spellEnd"/>
      <w:r w:rsidR="00BF1DC1">
        <w:t xml:space="preserve"> Patel</w:t>
      </w:r>
      <w:r>
        <w:t xml:space="preserve"> </w:t>
      </w:r>
    </w:p>
    <w:p w14:paraId="410CB41C" w14:textId="7DBBD134" w:rsidR="0099082E" w:rsidRDefault="00685AD6">
      <w:pPr>
        <w:ind w:left="-5" w:right="12"/>
      </w:pPr>
      <w:r>
        <w:t>Student Number:</w:t>
      </w:r>
      <w:r w:rsidR="00BF1DC1">
        <w:t xml:space="preserve"> 2534274</w:t>
      </w:r>
    </w:p>
    <w:p w14:paraId="1F6671D0" w14:textId="77777777" w:rsidR="0099082E" w:rsidRDefault="00685AD6">
      <w:pPr>
        <w:spacing w:after="186" w:line="259" w:lineRule="auto"/>
        <w:ind w:left="0" w:firstLine="0"/>
      </w:pPr>
      <w:r>
        <w:t xml:space="preserve"> </w:t>
      </w:r>
    </w:p>
    <w:p w14:paraId="3828F1A9" w14:textId="77777777" w:rsidR="0099082E" w:rsidRDefault="00685AD6">
      <w:pPr>
        <w:spacing w:after="189" w:line="259" w:lineRule="auto"/>
        <w:ind w:left="0" w:firstLine="0"/>
      </w:pPr>
      <w:r>
        <w:t xml:space="preserve"> </w:t>
      </w:r>
    </w:p>
    <w:p w14:paraId="15CBA39C" w14:textId="77777777" w:rsidR="0099082E" w:rsidRDefault="00685AD6">
      <w:pPr>
        <w:spacing w:after="186" w:line="259" w:lineRule="auto"/>
        <w:ind w:left="0" w:firstLine="0"/>
      </w:pPr>
      <w:r>
        <w:t xml:space="preserve"> </w:t>
      </w:r>
    </w:p>
    <w:p w14:paraId="40504887" w14:textId="77777777" w:rsidR="0099082E" w:rsidRDefault="00685AD6">
      <w:pPr>
        <w:spacing w:after="189" w:line="259" w:lineRule="auto"/>
        <w:ind w:left="0" w:firstLine="0"/>
      </w:pPr>
      <w:r>
        <w:t xml:space="preserve"> </w:t>
      </w:r>
    </w:p>
    <w:p w14:paraId="62FB2700" w14:textId="77777777" w:rsidR="0099082E" w:rsidRDefault="00685AD6">
      <w:pPr>
        <w:spacing w:after="186" w:line="259" w:lineRule="auto"/>
        <w:ind w:left="0" w:firstLine="0"/>
      </w:pPr>
      <w:r>
        <w:t xml:space="preserve"> </w:t>
      </w:r>
    </w:p>
    <w:p w14:paraId="58142189" w14:textId="77777777" w:rsidR="0099082E" w:rsidRDefault="00685AD6">
      <w:pPr>
        <w:spacing w:after="189" w:line="259" w:lineRule="auto"/>
        <w:ind w:left="0" w:firstLine="0"/>
      </w:pPr>
      <w:r>
        <w:t xml:space="preserve"> </w:t>
      </w:r>
    </w:p>
    <w:p w14:paraId="17576C40" w14:textId="77777777" w:rsidR="0099082E" w:rsidRDefault="00685AD6">
      <w:pPr>
        <w:spacing w:after="186" w:line="259" w:lineRule="auto"/>
        <w:ind w:left="0" w:firstLine="0"/>
      </w:pPr>
      <w:r>
        <w:t xml:space="preserve"> </w:t>
      </w:r>
    </w:p>
    <w:p w14:paraId="0FE080CF" w14:textId="77777777" w:rsidR="0099082E" w:rsidRDefault="00685AD6">
      <w:pPr>
        <w:spacing w:after="189" w:line="259" w:lineRule="auto"/>
        <w:ind w:left="0" w:firstLine="0"/>
      </w:pPr>
      <w:r>
        <w:t xml:space="preserve"> </w:t>
      </w:r>
    </w:p>
    <w:p w14:paraId="32BA4976" w14:textId="77777777" w:rsidR="0099082E" w:rsidRDefault="00685AD6">
      <w:pPr>
        <w:spacing w:after="186" w:line="259" w:lineRule="auto"/>
        <w:ind w:left="0" w:firstLine="0"/>
      </w:pPr>
      <w:r>
        <w:t xml:space="preserve"> </w:t>
      </w:r>
    </w:p>
    <w:p w14:paraId="2FA0F98D" w14:textId="77777777" w:rsidR="0099082E" w:rsidRDefault="00685AD6">
      <w:pPr>
        <w:spacing w:after="189" w:line="259" w:lineRule="auto"/>
        <w:ind w:left="0" w:firstLine="0"/>
      </w:pPr>
      <w:r>
        <w:t xml:space="preserve"> </w:t>
      </w:r>
    </w:p>
    <w:p w14:paraId="4D926D37" w14:textId="77777777" w:rsidR="0099082E" w:rsidRDefault="00685AD6">
      <w:pPr>
        <w:spacing w:after="186" w:line="259" w:lineRule="auto"/>
        <w:ind w:left="0" w:firstLine="0"/>
      </w:pPr>
      <w:r>
        <w:t xml:space="preserve"> </w:t>
      </w:r>
    </w:p>
    <w:p w14:paraId="0574AC67" w14:textId="77777777" w:rsidR="0099082E" w:rsidRDefault="00685AD6">
      <w:pPr>
        <w:spacing w:after="189" w:line="259" w:lineRule="auto"/>
        <w:ind w:left="0" w:firstLine="0"/>
      </w:pPr>
      <w:r>
        <w:t xml:space="preserve"> </w:t>
      </w:r>
    </w:p>
    <w:p w14:paraId="6806A197" w14:textId="77777777" w:rsidR="0099082E" w:rsidRDefault="00685AD6">
      <w:pPr>
        <w:spacing w:after="186" w:line="259" w:lineRule="auto"/>
        <w:ind w:left="0" w:firstLine="0"/>
      </w:pPr>
      <w:r>
        <w:t xml:space="preserve"> </w:t>
      </w:r>
    </w:p>
    <w:p w14:paraId="61720435" w14:textId="77777777" w:rsidR="0099082E" w:rsidRDefault="00685AD6">
      <w:pPr>
        <w:spacing w:after="191" w:line="259" w:lineRule="auto"/>
        <w:ind w:left="0" w:firstLine="0"/>
      </w:pPr>
      <w:r>
        <w:t xml:space="preserve"> </w:t>
      </w:r>
    </w:p>
    <w:p w14:paraId="6E1843BC" w14:textId="77777777" w:rsidR="0099082E" w:rsidRDefault="00685AD6">
      <w:pPr>
        <w:spacing w:after="186" w:line="259" w:lineRule="auto"/>
        <w:ind w:left="0" w:firstLine="0"/>
      </w:pPr>
      <w:r>
        <w:t xml:space="preserve"> </w:t>
      </w:r>
    </w:p>
    <w:p w14:paraId="33EB8560" w14:textId="77777777" w:rsidR="0099082E" w:rsidRDefault="00685AD6">
      <w:pPr>
        <w:spacing w:after="189" w:line="259" w:lineRule="auto"/>
        <w:ind w:left="0" w:firstLine="0"/>
      </w:pPr>
      <w:r>
        <w:t xml:space="preserve"> </w:t>
      </w:r>
    </w:p>
    <w:p w14:paraId="6D6873F0" w14:textId="77777777" w:rsidR="0099082E" w:rsidRDefault="00685AD6">
      <w:pPr>
        <w:spacing w:after="186" w:line="259" w:lineRule="auto"/>
        <w:ind w:left="0" w:firstLine="0"/>
      </w:pPr>
      <w:r>
        <w:t xml:space="preserve"> </w:t>
      </w:r>
    </w:p>
    <w:p w14:paraId="5B34A3A4" w14:textId="77777777" w:rsidR="0099082E" w:rsidRDefault="00685AD6">
      <w:pPr>
        <w:spacing w:after="189" w:line="259" w:lineRule="auto"/>
        <w:ind w:left="0" w:firstLine="0"/>
      </w:pPr>
      <w:r>
        <w:t xml:space="preserve"> </w:t>
      </w:r>
    </w:p>
    <w:p w14:paraId="0D76A22C" w14:textId="77777777" w:rsidR="0099082E" w:rsidRDefault="00685AD6">
      <w:pPr>
        <w:spacing w:after="0" w:line="259" w:lineRule="auto"/>
        <w:ind w:left="0" w:firstLine="0"/>
      </w:pPr>
      <w:r>
        <w:lastRenderedPageBreak/>
        <w:t xml:space="preserve"> </w:t>
      </w:r>
    </w:p>
    <w:p w14:paraId="1B38326D" w14:textId="77777777" w:rsidR="0099082E" w:rsidRDefault="00685AD6">
      <w:pPr>
        <w:spacing w:after="184" w:line="259" w:lineRule="auto"/>
        <w:ind w:left="-5" w:right="7"/>
      </w:pPr>
      <w:r>
        <w:t xml:space="preserve">BOOKLET INDEX (TABLE OF CONTENTS) </w:t>
      </w:r>
    </w:p>
    <w:p w14:paraId="55F33B2A" w14:textId="77777777" w:rsidR="0099082E" w:rsidRDefault="00685AD6">
      <w:pPr>
        <w:numPr>
          <w:ilvl w:val="0"/>
          <w:numId w:val="1"/>
        </w:numPr>
        <w:spacing w:after="0" w:line="259" w:lineRule="auto"/>
        <w:ind w:left="676" w:right="7" w:hanging="338"/>
      </w:pPr>
      <w:r>
        <w:t xml:space="preserve">SECTION 1: INTRODUCTION, PATHOPHYSIOLOGY, AND EPIDEMIOLOGICAL </w:t>
      </w:r>
    </w:p>
    <w:p w14:paraId="6F31A39B" w14:textId="77777777" w:rsidR="0099082E" w:rsidRDefault="00685AD6">
      <w:pPr>
        <w:spacing w:after="184" w:line="259" w:lineRule="auto"/>
        <w:ind w:left="687" w:right="7"/>
      </w:pPr>
      <w:r>
        <w:t>BURDEN</w:t>
      </w:r>
      <w:r>
        <w:t xml:space="preserve"> </w:t>
      </w:r>
    </w:p>
    <w:p w14:paraId="5E5E59FB" w14:textId="77777777" w:rsidR="0099082E" w:rsidRDefault="00685AD6">
      <w:pPr>
        <w:spacing w:after="46"/>
        <w:ind w:left="1025" w:right="284"/>
      </w:pPr>
      <w:r>
        <w:rPr>
          <w:sz w:val="19"/>
        </w:rPr>
        <w:t>o</w:t>
      </w:r>
      <w:r>
        <w:rPr>
          <w:sz w:val="29"/>
          <w:vertAlign w:val="subscript"/>
        </w:rPr>
        <w:t xml:space="preserve"> </w:t>
      </w:r>
      <w:r>
        <w:rPr>
          <w:sz w:val="29"/>
          <w:vertAlign w:val="subscript"/>
        </w:rPr>
        <w:tab/>
      </w:r>
      <w:r>
        <w:t xml:space="preserve">1.1 Clinical Definition and Pathophysiology of Atrial Fibrillation </w:t>
      </w:r>
      <w:r>
        <w:rPr>
          <w:sz w:val="19"/>
        </w:rPr>
        <w:t>o</w:t>
      </w:r>
      <w:r>
        <w:rPr>
          <w:sz w:val="29"/>
          <w:vertAlign w:val="subscript"/>
        </w:rPr>
        <w:t xml:space="preserve"> </w:t>
      </w:r>
      <w:r>
        <w:rPr>
          <w:sz w:val="29"/>
          <w:vertAlign w:val="subscript"/>
        </w:rPr>
        <w:tab/>
      </w:r>
      <w:r>
        <w:t xml:space="preserve">1.2 Global and United Kingdom Epidemiological Profiles </w:t>
      </w:r>
      <w:r>
        <w:rPr>
          <w:sz w:val="19"/>
        </w:rPr>
        <w:t>o</w:t>
      </w:r>
      <w:r>
        <w:rPr>
          <w:sz w:val="29"/>
          <w:vertAlign w:val="subscript"/>
        </w:rPr>
        <w:t xml:space="preserve"> </w:t>
      </w:r>
      <w:r>
        <w:rPr>
          <w:sz w:val="29"/>
          <w:vertAlign w:val="subscript"/>
        </w:rPr>
        <w:tab/>
      </w:r>
      <w:r>
        <w:t xml:space="preserve">1.3 Multifactorial </w:t>
      </w:r>
      <w:proofErr w:type="spellStart"/>
      <w:r>
        <w:t>Etiology</w:t>
      </w:r>
      <w:proofErr w:type="spellEnd"/>
      <w:r>
        <w:t xml:space="preserve"> and Modifiable/Non-Modifiable Risk Factors </w:t>
      </w:r>
    </w:p>
    <w:p w14:paraId="64AEE8F1" w14:textId="77777777" w:rsidR="0099082E" w:rsidRDefault="00685AD6">
      <w:pPr>
        <w:numPr>
          <w:ilvl w:val="0"/>
          <w:numId w:val="1"/>
        </w:numPr>
        <w:spacing w:after="113" w:line="259" w:lineRule="auto"/>
        <w:ind w:left="676" w:right="7" w:hanging="338"/>
      </w:pPr>
      <w:r>
        <w:t xml:space="preserve">SECTION 2: </w:t>
      </w:r>
      <w:proofErr w:type="spellStart"/>
      <w:r>
        <w:t>BIOPSYCHOSOCIAL</w:t>
      </w:r>
      <w:proofErr w:type="spellEnd"/>
      <w:r>
        <w:t xml:space="preserve"> IMPACTS AND NHS TREATMENT PATHWAYS</w:t>
      </w:r>
      <w:r>
        <w:t xml:space="preserve"> </w:t>
      </w:r>
    </w:p>
    <w:p w14:paraId="252B61EF" w14:textId="77777777" w:rsidR="0099082E" w:rsidRDefault="00685AD6">
      <w:pPr>
        <w:spacing w:after="46"/>
        <w:ind w:left="1025" w:right="12"/>
      </w:pPr>
      <w:r>
        <w:rPr>
          <w:sz w:val="19"/>
        </w:rPr>
        <w:t>o</w:t>
      </w:r>
      <w:r>
        <w:rPr>
          <w:sz w:val="29"/>
          <w:vertAlign w:val="subscript"/>
        </w:rPr>
        <w:t xml:space="preserve"> </w:t>
      </w:r>
      <w:r>
        <w:rPr>
          <w:sz w:val="29"/>
          <w:vertAlign w:val="subscript"/>
        </w:rPr>
        <w:tab/>
      </w:r>
      <w:r>
        <w:t xml:space="preserve">2.1 Critical Evaluation of Physical, Psychological, and Social Implications </w:t>
      </w:r>
      <w:r>
        <w:rPr>
          <w:sz w:val="19"/>
        </w:rPr>
        <w:t>o</w:t>
      </w:r>
      <w:r>
        <w:rPr>
          <w:sz w:val="29"/>
          <w:vertAlign w:val="subscript"/>
        </w:rPr>
        <w:t xml:space="preserve"> </w:t>
      </w:r>
      <w:r>
        <w:rPr>
          <w:sz w:val="29"/>
          <w:vertAlign w:val="subscript"/>
        </w:rPr>
        <w:tab/>
      </w:r>
      <w:r>
        <w:t xml:space="preserve">2.2 Impact of Informal Caregiving and Wider Family Dynamics </w:t>
      </w:r>
      <w:r>
        <w:rPr>
          <w:sz w:val="19"/>
        </w:rPr>
        <w:t>o</w:t>
      </w:r>
      <w:r>
        <w:rPr>
          <w:sz w:val="29"/>
          <w:vertAlign w:val="subscript"/>
        </w:rPr>
        <w:t xml:space="preserve"> </w:t>
      </w:r>
      <w:r>
        <w:rPr>
          <w:sz w:val="29"/>
          <w:vertAlign w:val="subscript"/>
        </w:rPr>
        <w:tab/>
      </w:r>
      <w:r>
        <w:t xml:space="preserve">2.3 Evidence-Based Treatments via the NHS Pathway </w:t>
      </w:r>
    </w:p>
    <w:p w14:paraId="0C58D562" w14:textId="77777777" w:rsidR="0099082E" w:rsidRDefault="00685AD6">
      <w:pPr>
        <w:numPr>
          <w:ilvl w:val="0"/>
          <w:numId w:val="1"/>
        </w:numPr>
        <w:spacing w:after="111" w:line="259" w:lineRule="auto"/>
        <w:ind w:left="676" w:right="7" w:hanging="338"/>
      </w:pPr>
      <w:r>
        <w:t>SECTION 3: HEALTHCARE FRAMEWORKS AND POLICY IMPLEMENTATION</w:t>
      </w:r>
      <w:r>
        <w:t xml:space="preserve"> </w:t>
      </w:r>
    </w:p>
    <w:p w14:paraId="46FED5FC" w14:textId="77777777" w:rsidR="0099082E" w:rsidRDefault="00685AD6">
      <w:pPr>
        <w:spacing w:after="47"/>
        <w:ind w:left="1025" w:right="593"/>
      </w:pPr>
      <w:r>
        <w:rPr>
          <w:sz w:val="19"/>
        </w:rPr>
        <w:t>o</w:t>
      </w:r>
      <w:r>
        <w:rPr>
          <w:sz w:val="29"/>
          <w:vertAlign w:val="subscript"/>
        </w:rPr>
        <w:t xml:space="preserve"> </w:t>
      </w:r>
      <w:r>
        <w:rPr>
          <w:sz w:val="29"/>
          <w:vertAlign w:val="subscript"/>
        </w:rPr>
        <w:tab/>
      </w:r>
      <w:r>
        <w:t xml:space="preserve">3.1 Comparative Analysis of Healthcare Models and Frameworks </w:t>
      </w:r>
      <w:r>
        <w:rPr>
          <w:sz w:val="19"/>
        </w:rPr>
        <w:t>o</w:t>
      </w:r>
      <w:r>
        <w:rPr>
          <w:sz w:val="29"/>
          <w:vertAlign w:val="subscript"/>
        </w:rPr>
        <w:t xml:space="preserve"> </w:t>
      </w:r>
      <w:r>
        <w:rPr>
          <w:sz w:val="29"/>
          <w:vertAlign w:val="subscript"/>
        </w:rPr>
        <w:tab/>
      </w:r>
      <w:r>
        <w:t xml:space="preserve">3.2 Critical Examination of UK National and Local Political Agendas </w:t>
      </w:r>
    </w:p>
    <w:p w14:paraId="39640608" w14:textId="77777777" w:rsidR="0099082E" w:rsidRDefault="00685AD6">
      <w:pPr>
        <w:numPr>
          <w:ilvl w:val="0"/>
          <w:numId w:val="1"/>
        </w:numPr>
        <w:spacing w:after="113" w:line="259" w:lineRule="auto"/>
        <w:ind w:left="676" w:right="7" w:hanging="338"/>
      </w:pPr>
      <w:r>
        <w:t>SECTION 4: PERSON-CENTRED APPROACHES AND RECOMMENDATIONS</w:t>
      </w:r>
      <w:r>
        <w:t xml:space="preserve"> </w:t>
      </w:r>
    </w:p>
    <w:p w14:paraId="4D482072" w14:textId="77777777" w:rsidR="0099082E" w:rsidRDefault="00685AD6">
      <w:pPr>
        <w:spacing w:after="46"/>
        <w:ind w:left="1025" w:right="112"/>
      </w:pPr>
      <w:r>
        <w:rPr>
          <w:sz w:val="19"/>
        </w:rPr>
        <w:t>o</w:t>
      </w:r>
      <w:r>
        <w:rPr>
          <w:sz w:val="29"/>
          <w:vertAlign w:val="subscript"/>
        </w:rPr>
        <w:t xml:space="preserve"> </w:t>
      </w:r>
      <w:r>
        <w:rPr>
          <w:sz w:val="29"/>
          <w:vertAlign w:val="subscript"/>
        </w:rPr>
        <w:tab/>
      </w:r>
      <w:r>
        <w:t xml:space="preserve">4.1 Holistic Person-Centred Care and the Social Prescribing Mechanism </w:t>
      </w:r>
      <w:r>
        <w:rPr>
          <w:sz w:val="19"/>
        </w:rPr>
        <w:t>o</w:t>
      </w:r>
      <w:r>
        <w:rPr>
          <w:sz w:val="29"/>
          <w:vertAlign w:val="subscript"/>
        </w:rPr>
        <w:t xml:space="preserve"> </w:t>
      </w:r>
      <w:r>
        <w:rPr>
          <w:sz w:val="29"/>
          <w:vertAlign w:val="subscript"/>
        </w:rPr>
        <w:tab/>
      </w:r>
      <w:r>
        <w:t xml:space="preserve">4.2 Evidence-Based Self-Management Interventions </w:t>
      </w:r>
      <w:r>
        <w:rPr>
          <w:sz w:val="19"/>
        </w:rPr>
        <w:t>o</w:t>
      </w:r>
      <w:r>
        <w:rPr>
          <w:sz w:val="29"/>
          <w:vertAlign w:val="subscript"/>
        </w:rPr>
        <w:t xml:space="preserve"> </w:t>
      </w:r>
      <w:r>
        <w:rPr>
          <w:sz w:val="29"/>
          <w:vertAlign w:val="subscript"/>
        </w:rPr>
        <w:tab/>
      </w:r>
      <w:r>
        <w:t xml:space="preserve">4.3 End-of-Life Care Considerations in Advanced Frailty </w:t>
      </w:r>
    </w:p>
    <w:p w14:paraId="63119073" w14:textId="77777777" w:rsidR="0099082E" w:rsidRDefault="00685AD6">
      <w:pPr>
        <w:numPr>
          <w:ilvl w:val="0"/>
          <w:numId w:val="1"/>
        </w:numPr>
        <w:spacing w:after="47"/>
        <w:ind w:left="676" w:right="7" w:hanging="338"/>
      </w:pPr>
      <w:r>
        <w:t>SECTION 5: STRATEGIC RECOMMENDATIONS FOR PRACTICE</w:t>
      </w:r>
      <w:r>
        <w:t xml:space="preserve"> </w:t>
      </w:r>
      <w:r>
        <w:rPr>
          <w:sz w:val="19"/>
        </w:rPr>
        <w:t>o</w:t>
      </w:r>
      <w:r>
        <w:rPr>
          <w:sz w:val="29"/>
          <w:vertAlign w:val="subscript"/>
        </w:rPr>
        <w:t xml:space="preserve"> </w:t>
      </w:r>
      <w:r>
        <w:rPr>
          <w:sz w:val="29"/>
          <w:vertAlign w:val="subscript"/>
        </w:rPr>
        <w:tab/>
      </w:r>
      <w:r>
        <w:t xml:space="preserve">5.1 Strategic Recommendation 1: Community Arrhythmia Clinics </w:t>
      </w:r>
      <w:r>
        <w:rPr>
          <w:sz w:val="19"/>
        </w:rPr>
        <w:t>o</w:t>
      </w:r>
      <w:r>
        <w:rPr>
          <w:sz w:val="29"/>
          <w:vertAlign w:val="subscript"/>
        </w:rPr>
        <w:t xml:space="preserve"> </w:t>
      </w:r>
      <w:r>
        <w:rPr>
          <w:sz w:val="29"/>
          <w:vertAlign w:val="subscript"/>
        </w:rPr>
        <w:tab/>
      </w:r>
      <w:r>
        <w:t xml:space="preserve">5.2 Strategic Recommendation 2: Co-produced Digital Pathways </w:t>
      </w:r>
      <w:r>
        <w:rPr>
          <w:sz w:val="19"/>
        </w:rPr>
        <w:t>o</w:t>
      </w:r>
      <w:r>
        <w:rPr>
          <w:sz w:val="29"/>
          <w:vertAlign w:val="subscript"/>
        </w:rPr>
        <w:t xml:space="preserve"> </w:t>
      </w:r>
      <w:r>
        <w:rPr>
          <w:sz w:val="29"/>
          <w:vertAlign w:val="subscript"/>
        </w:rPr>
        <w:tab/>
      </w:r>
      <w:r>
        <w:t xml:space="preserve">5.3 Strategic Recommendation 3: Anticipatory Care Protocols </w:t>
      </w:r>
    </w:p>
    <w:p w14:paraId="33DF8038" w14:textId="77777777" w:rsidR="0099082E" w:rsidRDefault="00685AD6">
      <w:pPr>
        <w:numPr>
          <w:ilvl w:val="0"/>
          <w:numId w:val="1"/>
        </w:numPr>
        <w:spacing w:after="111" w:line="259" w:lineRule="auto"/>
        <w:ind w:left="676" w:right="7" w:hanging="338"/>
      </w:pPr>
      <w:r>
        <w:t>SECTION 6: COMPREHENSIVE BIBLIOGRAPHY (HARVARD REFERENCING)</w:t>
      </w:r>
      <w:r>
        <w:t xml:space="preserve"> </w:t>
      </w:r>
    </w:p>
    <w:p w14:paraId="2046A229" w14:textId="77777777" w:rsidR="0099082E" w:rsidRDefault="00685AD6">
      <w:pPr>
        <w:spacing w:after="186" w:line="259" w:lineRule="auto"/>
        <w:ind w:left="0" w:firstLine="0"/>
      </w:pPr>
      <w:r>
        <w:t xml:space="preserve"> </w:t>
      </w:r>
    </w:p>
    <w:p w14:paraId="50C7D31D" w14:textId="77777777" w:rsidR="0099082E" w:rsidRDefault="00685AD6">
      <w:pPr>
        <w:spacing w:after="189" w:line="259" w:lineRule="auto"/>
        <w:ind w:left="0" w:firstLine="0"/>
      </w:pPr>
      <w:r>
        <w:t xml:space="preserve"> </w:t>
      </w:r>
    </w:p>
    <w:p w14:paraId="1CFADFAC" w14:textId="77777777" w:rsidR="0099082E" w:rsidRDefault="00685AD6">
      <w:pPr>
        <w:spacing w:after="186" w:line="259" w:lineRule="auto"/>
        <w:ind w:left="0" w:firstLine="0"/>
      </w:pPr>
      <w:r>
        <w:t xml:space="preserve"> </w:t>
      </w:r>
    </w:p>
    <w:p w14:paraId="5F637EAF" w14:textId="77777777" w:rsidR="0099082E" w:rsidRDefault="00685AD6">
      <w:pPr>
        <w:spacing w:after="189" w:line="259" w:lineRule="auto"/>
        <w:ind w:left="0" w:firstLine="0"/>
      </w:pPr>
      <w:r>
        <w:t xml:space="preserve"> </w:t>
      </w:r>
    </w:p>
    <w:p w14:paraId="06FFD811" w14:textId="77777777" w:rsidR="0099082E" w:rsidRDefault="00685AD6">
      <w:pPr>
        <w:spacing w:after="186" w:line="259" w:lineRule="auto"/>
        <w:ind w:left="0" w:firstLine="0"/>
      </w:pPr>
      <w:r>
        <w:t xml:space="preserve"> </w:t>
      </w:r>
    </w:p>
    <w:p w14:paraId="2010CB83" w14:textId="77777777" w:rsidR="0099082E" w:rsidRDefault="00685AD6">
      <w:pPr>
        <w:spacing w:after="0" w:line="259" w:lineRule="auto"/>
        <w:ind w:left="0" w:firstLine="0"/>
      </w:pPr>
      <w:r>
        <w:t xml:space="preserve"> </w:t>
      </w:r>
    </w:p>
    <w:p w14:paraId="3F5C1112" w14:textId="77777777" w:rsidR="0099082E" w:rsidRDefault="0099082E">
      <w:pPr>
        <w:sectPr w:rsidR="0099082E">
          <w:headerReference w:type="even" r:id="rId7"/>
          <w:headerReference w:type="default" r:id="rId8"/>
          <w:headerReference w:type="first" r:id="rId9"/>
          <w:pgSz w:w="12240" w:h="15840"/>
          <w:pgMar w:top="1353" w:right="1960" w:bottom="1518" w:left="1872" w:header="720" w:footer="720" w:gutter="0"/>
          <w:cols w:space="720"/>
        </w:sectPr>
      </w:pPr>
    </w:p>
    <w:p w14:paraId="4A07A705" w14:textId="77777777" w:rsidR="0099082E" w:rsidRDefault="00685AD6">
      <w:pPr>
        <w:spacing w:after="32" w:line="259" w:lineRule="auto"/>
        <w:ind w:left="-5" w:right="7"/>
      </w:pPr>
      <w:r>
        <w:lastRenderedPageBreak/>
        <w:t xml:space="preserve">SECTION 1: INTRODUCTION, PATHOPHYSIOLOGY, AND </w:t>
      </w:r>
    </w:p>
    <w:p w14:paraId="229F4F99" w14:textId="77777777" w:rsidR="0099082E" w:rsidRDefault="00685AD6">
      <w:pPr>
        <w:spacing w:after="184" w:line="259" w:lineRule="auto"/>
        <w:ind w:left="-5" w:right="7"/>
      </w:pPr>
      <w:r>
        <w:t xml:space="preserve">EPIDEMIOLOGICAL BURDEN </w:t>
      </w:r>
    </w:p>
    <w:p w14:paraId="54BD5FD2" w14:textId="77777777" w:rsidR="0099082E" w:rsidRDefault="00685AD6">
      <w:pPr>
        <w:spacing w:after="35" w:line="259" w:lineRule="auto"/>
        <w:ind w:left="-5" w:right="7"/>
      </w:pPr>
      <w:r>
        <w:t xml:space="preserve">1.1 Clinical Definition and </w:t>
      </w:r>
    </w:p>
    <w:p w14:paraId="0011E0D2" w14:textId="77777777" w:rsidR="0099082E" w:rsidRDefault="00685AD6">
      <w:pPr>
        <w:spacing w:after="184" w:line="259" w:lineRule="auto"/>
        <w:ind w:left="-5" w:right="7"/>
      </w:pPr>
      <w:r>
        <w:t xml:space="preserve">Pathophysiology of Atrial Fibrillation </w:t>
      </w:r>
    </w:p>
    <w:p w14:paraId="48EA907C" w14:textId="77777777" w:rsidR="0099082E" w:rsidRDefault="00685AD6">
      <w:pPr>
        <w:ind w:left="-5" w:right="12"/>
      </w:pPr>
      <w:r>
        <w:t xml:space="preserve">Atrial Fibrillation (AF) is defined as a complex, multi-factorial </w:t>
      </w:r>
      <w:proofErr w:type="spellStart"/>
      <w:r>
        <w:t>supraventricular</w:t>
      </w:r>
      <w:proofErr w:type="spellEnd"/>
      <w:r>
        <w:t xml:space="preserve"> </w:t>
      </w:r>
      <w:proofErr w:type="spellStart"/>
      <w:r>
        <w:t>tachyarrhythmia</w:t>
      </w:r>
      <w:proofErr w:type="spellEnd"/>
      <w:r>
        <w:t xml:space="preserve"> </w:t>
      </w:r>
      <w:proofErr w:type="spellStart"/>
      <w:r>
        <w:t>characterized</w:t>
      </w:r>
      <w:proofErr w:type="spellEnd"/>
      <w:r>
        <w:t xml:space="preserve"> by chaotic, uncoordinated atrial electrical activation with a consequent absolute loss of e </w:t>
      </w:r>
      <w:proofErr w:type="spellStart"/>
      <w:r>
        <w:t>ective</w:t>
      </w:r>
      <w:proofErr w:type="spellEnd"/>
      <w:r>
        <w:t xml:space="preserve"> mechanical atrial systole (</w:t>
      </w:r>
      <w:proofErr w:type="spellStart"/>
      <w:r>
        <w:t>Hindricks</w:t>
      </w:r>
      <w:proofErr w:type="spellEnd"/>
      <w:r>
        <w:t xml:space="preserve"> </w:t>
      </w:r>
      <w:r>
        <w:t>et al.</w:t>
      </w:r>
      <w:r>
        <w:t xml:space="preserve">, 2021). From an electrophysiological perspective, the homeostatic, uniform </w:t>
      </w:r>
      <w:proofErr w:type="spellStart"/>
      <w:r>
        <w:t>depolarization</w:t>
      </w:r>
      <w:proofErr w:type="spellEnd"/>
      <w:r>
        <w:t xml:space="preserve"> waves initiated by the </w:t>
      </w:r>
      <w:proofErr w:type="spellStart"/>
      <w:r>
        <w:t>sinoatrial</w:t>
      </w:r>
      <w:proofErr w:type="spellEnd"/>
      <w:r>
        <w:t xml:space="preserve"> (SA) node are completely replaced by rapid, high-frequency, </w:t>
      </w:r>
      <w:proofErr w:type="spellStart"/>
      <w:r>
        <w:t>disorganized</w:t>
      </w:r>
      <w:proofErr w:type="spellEnd"/>
      <w:r>
        <w:t xml:space="preserve"> </w:t>
      </w:r>
      <w:proofErr w:type="spellStart"/>
      <w:r>
        <w:t>microreentrant</w:t>
      </w:r>
      <w:proofErr w:type="spellEnd"/>
      <w:r>
        <w:t xml:space="preserve"> electrical circuits or rapidly firing focal triggers. These anomalous impulses predominantly originate within the muscular sleeves of the pulmonary veins situated within the left atrium (</w:t>
      </w:r>
      <w:proofErr w:type="spellStart"/>
      <w:r>
        <w:t>Haïssaguerre</w:t>
      </w:r>
      <w:proofErr w:type="spellEnd"/>
      <w:r>
        <w:t xml:space="preserve"> </w:t>
      </w:r>
      <w:r>
        <w:t>et al.</w:t>
      </w:r>
      <w:r>
        <w:t xml:space="preserve">, 1998). </w:t>
      </w:r>
    </w:p>
    <w:p w14:paraId="69B5C7BA" w14:textId="77777777" w:rsidR="0099082E" w:rsidRDefault="00685AD6">
      <w:pPr>
        <w:spacing w:after="2"/>
        <w:ind w:left="-5" w:right="12"/>
      </w:pPr>
      <w:r>
        <w:t xml:space="preserve">During physiological sinus rhythm, electrical impulses propagate through the atrial syncytium in an orderly manner, generating a distinct P-wave on a surface electrocardiogram (ECG) and promoting a coordinated mechanical contraction that contributes approximately 20% to 30% of total left ventricular end-diastolic volume—a phenomenon known as the "atrial kick" (Lip, Brechin and Lane, 2016). In AF, the electrical firing rate within the atria ranges from 400 to 600 beats per minute </w:t>
      </w:r>
    </w:p>
    <w:p w14:paraId="7DBC1A82" w14:textId="77777777" w:rsidR="0099082E" w:rsidRDefault="00685AD6">
      <w:pPr>
        <w:ind w:left="-5" w:right="12"/>
      </w:pPr>
      <w:r>
        <w:t xml:space="preserve">(). </w:t>
      </w:r>
    </w:p>
    <w:p w14:paraId="3451FBAB" w14:textId="77777777" w:rsidR="0099082E" w:rsidRDefault="00685AD6">
      <w:pPr>
        <w:ind w:left="-5" w:right="12"/>
      </w:pPr>
      <w:r>
        <w:t xml:space="preserve">The atrioventricular (AV) node, acting as a defensive physiological gatekeeper due </w:t>
      </w:r>
      <w:r>
        <w:t xml:space="preserve">to its intrinsic refractory period, cannot conduct this high-volume bombardment. Instead, it conducts these chaotic signals inconsistently, resulting in an irregularly irregular ventricular response, typically oscillating between 110 and 180 in untreated acute states. </w:t>
      </w:r>
    </w:p>
    <w:p w14:paraId="48308E23" w14:textId="77777777" w:rsidR="0099082E" w:rsidRDefault="00685AD6">
      <w:pPr>
        <w:ind w:left="-5" w:right="12"/>
      </w:pPr>
      <w:r>
        <w:t xml:space="preserve">The mechanical consequence of this rapid, uncoordinated electrical activity is a complete loss of </w:t>
      </w:r>
      <w:proofErr w:type="spellStart"/>
      <w:r>
        <w:t>organized</w:t>
      </w:r>
      <w:proofErr w:type="spellEnd"/>
      <w:r>
        <w:t xml:space="preserve"> atrial contraction (atrial systole), precipitating structural stasis of blood within the left atrial appendage (LAA). Over time, sustained rapid rates and turbulent flow patterns lead to a profound progressive state known as atrial </w:t>
      </w:r>
      <w:proofErr w:type="spellStart"/>
      <w:r>
        <w:t>remodeling</w:t>
      </w:r>
      <w:proofErr w:type="spellEnd"/>
      <w:r>
        <w:t xml:space="preserve">. This </w:t>
      </w:r>
      <w:proofErr w:type="spellStart"/>
      <w:r>
        <w:t>remodeling</w:t>
      </w:r>
      <w:proofErr w:type="spellEnd"/>
      <w:r>
        <w:t xml:space="preserve"> operates via three distinct yet interconnected pathways: </w:t>
      </w:r>
    </w:p>
    <w:p w14:paraId="09C9A557" w14:textId="77777777" w:rsidR="0099082E" w:rsidRDefault="00685AD6">
      <w:pPr>
        <w:numPr>
          <w:ilvl w:val="0"/>
          <w:numId w:val="2"/>
        </w:numPr>
        <w:ind w:left="676" w:right="12" w:hanging="338"/>
      </w:pPr>
      <w:r>
        <w:t xml:space="preserve">Electrical </w:t>
      </w:r>
      <w:proofErr w:type="spellStart"/>
      <w:r>
        <w:t>Remodeling</w:t>
      </w:r>
      <w:proofErr w:type="spellEnd"/>
      <w:r>
        <w:t>:</w:t>
      </w:r>
      <w:r>
        <w:t xml:space="preserve"> Driven by intracellular calcium () overload due to high firing rates, which </w:t>
      </w:r>
      <w:proofErr w:type="spellStart"/>
      <w:r>
        <w:t>downregulates</w:t>
      </w:r>
      <w:proofErr w:type="spellEnd"/>
      <w:r>
        <w:t xml:space="preserve"> the L-type calcium channels, shortens the atrial e </w:t>
      </w:r>
      <w:proofErr w:type="spellStart"/>
      <w:r>
        <w:t>ective</w:t>
      </w:r>
      <w:proofErr w:type="spellEnd"/>
      <w:r>
        <w:t xml:space="preserve"> refractory period (AERP), and further </w:t>
      </w:r>
      <w:proofErr w:type="spellStart"/>
      <w:r>
        <w:t>stabilizes</w:t>
      </w:r>
      <w:proofErr w:type="spellEnd"/>
      <w:r>
        <w:t xml:space="preserve"> the micro-reentrant circuits (</w:t>
      </w:r>
      <w:proofErr w:type="spellStart"/>
      <w:r>
        <w:t>Wij</w:t>
      </w:r>
      <w:proofErr w:type="spellEnd"/>
      <w:r>
        <w:tab/>
        <w:t xml:space="preserve">els </w:t>
      </w:r>
      <w:r>
        <w:t>et al.</w:t>
      </w:r>
      <w:r>
        <w:t xml:space="preserve">, 1995). This process underpins the classic clinical maxim: </w:t>
      </w:r>
      <w:r>
        <w:t>"AF begets AF."</w:t>
      </w:r>
      <w:r>
        <w:t xml:space="preserve"> </w:t>
      </w:r>
    </w:p>
    <w:p w14:paraId="17D8BF2B" w14:textId="77777777" w:rsidR="0099082E" w:rsidRDefault="00685AD6">
      <w:pPr>
        <w:numPr>
          <w:ilvl w:val="0"/>
          <w:numId w:val="2"/>
        </w:numPr>
        <w:ind w:left="676" w:right="12" w:hanging="338"/>
      </w:pPr>
      <w:r>
        <w:t xml:space="preserve">Structural </w:t>
      </w:r>
      <w:proofErr w:type="spellStart"/>
      <w:r>
        <w:t>Remodeling</w:t>
      </w:r>
      <w:proofErr w:type="spellEnd"/>
      <w:r>
        <w:t>:</w:t>
      </w:r>
      <w:r>
        <w:t xml:space="preserve"> Defined by progressive interstitial fibrosis, </w:t>
      </w:r>
      <w:proofErr w:type="spellStart"/>
      <w:r>
        <w:t>myofibroblast</w:t>
      </w:r>
      <w:proofErr w:type="spellEnd"/>
      <w:r>
        <w:t xml:space="preserve"> proliferation, and extracellular matrix deposition within the atrial tissue, heavily mediated by the activation of the </w:t>
      </w:r>
      <w:proofErr w:type="spellStart"/>
      <w:r>
        <w:t>reninangiotensin</w:t>
      </w:r>
      <w:proofErr w:type="spellEnd"/>
      <w:r>
        <w:t>-aldosterone system (RAAS) and transforming growth factor-beta 1 () pathways (</w:t>
      </w:r>
      <w:proofErr w:type="spellStart"/>
      <w:r>
        <w:t>Burstein</w:t>
      </w:r>
      <w:proofErr w:type="spellEnd"/>
      <w:r>
        <w:t xml:space="preserve"> and </w:t>
      </w:r>
      <w:proofErr w:type="spellStart"/>
      <w:r>
        <w:t>Nattel</w:t>
      </w:r>
      <w:proofErr w:type="spellEnd"/>
      <w:r>
        <w:t xml:space="preserve">, 2008). </w:t>
      </w:r>
      <w:r>
        <w:lastRenderedPageBreak/>
        <w:t xml:space="preserve">Fibrosis permanently disrupts electrical continuity, slowing conduction velocity and establishing a fixed anatomical substrate for chronic arrhythmia. </w:t>
      </w:r>
    </w:p>
    <w:p w14:paraId="712A8FD0" w14:textId="77777777" w:rsidR="0099082E" w:rsidRDefault="00685AD6">
      <w:pPr>
        <w:numPr>
          <w:ilvl w:val="0"/>
          <w:numId w:val="2"/>
        </w:numPr>
        <w:ind w:left="676" w:right="12" w:hanging="338"/>
      </w:pPr>
      <w:r>
        <w:t>Functional Stasis:</w:t>
      </w:r>
      <w:r>
        <w:t xml:space="preserve"> Marked by a total loss of mechanical contractility, causing endothelial dysfunction and activating a local </w:t>
      </w:r>
      <w:proofErr w:type="spellStart"/>
      <w:r>
        <w:t>prothrombotic</w:t>
      </w:r>
      <w:proofErr w:type="spellEnd"/>
      <w:r>
        <w:t xml:space="preserve"> state. </w:t>
      </w:r>
    </w:p>
    <w:p w14:paraId="08DC0B70" w14:textId="77777777" w:rsidR="0099082E" w:rsidRDefault="00685AD6">
      <w:pPr>
        <w:ind w:left="-5" w:right="12"/>
      </w:pPr>
      <w:r>
        <w:t xml:space="preserve">Clinically, AF is </w:t>
      </w:r>
      <w:proofErr w:type="spellStart"/>
      <w:r>
        <w:t>categorized</w:t>
      </w:r>
      <w:proofErr w:type="spellEnd"/>
      <w:r>
        <w:t xml:space="preserve"> into four distinct chronological and phenotypic phases, each requiring distinct management approaches: </w:t>
      </w:r>
    </w:p>
    <w:p w14:paraId="7CAF7850" w14:textId="77777777" w:rsidR="0099082E" w:rsidRDefault="00685AD6">
      <w:pPr>
        <w:numPr>
          <w:ilvl w:val="0"/>
          <w:numId w:val="3"/>
        </w:numPr>
        <w:ind w:left="676" w:right="12" w:hanging="338"/>
      </w:pPr>
      <w:r>
        <w:t>Paroxysmal AF:</w:t>
      </w:r>
      <w:r>
        <w:t xml:space="preserve"> </w:t>
      </w:r>
      <w:proofErr w:type="spellStart"/>
      <w:r>
        <w:t>Characterized</w:t>
      </w:r>
      <w:proofErr w:type="spellEnd"/>
      <w:r>
        <w:t xml:space="preserve"> by recurrent episodes that terminate spontaneously or with intervention within 7 days, often within 48 hours. </w:t>
      </w:r>
    </w:p>
    <w:p w14:paraId="72A790D7" w14:textId="77777777" w:rsidR="0099082E" w:rsidRDefault="00685AD6">
      <w:pPr>
        <w:numPr>
          <w:ilvl w:val="0"/>
          <w:numId w:val="3"/>
        </w:numPr>
        <w:ind w:left="676" w:right="12" w:hanging="338"/>
      </w:pPr>
      <w:r>
        <w:t>Persistent AF:</w:t>
      </w:r>
      <w:r>
        <w:t xml:space="preserve"> Defined by continuous episodes that last longer than 7 days and do not terminate spontaneously, requiring pharmacological or electrical </w:t>
      </w:r>
      <w:proofErr w:type="spellStart"/>
      <w:r>
        <w:t>cardioversion</w:t>
      </w:r>
      <w:proofErr w:type="spellEnd"/>
      <w:r>
        <w:t xml:space="preserve"> to restore normal sinus rhythm. </w:t>
      </w:r>
    </w:p>
    <w:p w14:paraId="216C8B02" w14:textId="77777777" w:rsidR="0099082E" w:rsidRDefault="00685AD6">
      <w:pPr>
        <w:numPr>
          <w:ilvl w:val="0"/>
          <w:numId w:val="3"/>
        </w:numPr>
        <w:ind w:left="676" w:right="12" w:hanging="338"/>
      </w:pPr>
      <w:r>
        <w:t>Long-standing Persistent AF:</w:t>
      </w:r>
      <w:r>
        <w:t xml:space="preserve"> Continuous, unremitting AF lasting for more than 12 months where a rhythm control strategy is still actively pursued. </w:t>
      </w:r>
    </w:p>
    <w:p w14:paraId="5C1D8BCA" w14:textId="77777777" w:rsidR="0099082E" w:rsidRDefault="00685AD6">
      <w:pPr>
        <w:numPr>
          <w:ilvl w:val="0"/>
          <w:numId w:val="3"/>
        </w:numPr>
        <w:spacing w:after="151" w:line="295" w:lineRule="auto"/>
        <w:ind w:left="676" w:right="12" w:hanging="338"/>
      </w:pPr>
      <w:r>
        <w:t>Permanent AF:</w:t>
      </w:r>
      <w:r>
        <w:t xml:space="preserve"> Present when both the patient and the multidisciplinary clinical team accept </w:t>
      </w:r>
    </w:p>
    <w:p w14:paraId="7488A9D5" w14:textId="77777777" w:rsidR="0099082E" w:rsidRDefault="00685AD6">
      <w:pPr>
        <w:ind w:left="687" w:right="12"/>
      </w:pPr>
      <w:r>
        <w:t xml:space="preserve">the presence of the arrhythmia, making rhythm control strategies </w:t>
      </w:r>
      <w:r>
        <w:t xml:space="preserve">no longer a realistic or desired objective, and shifting the focus to long-term ventricular rate control. </w:t>
      </w:r>
    </w:p>
    <w:p w14:paraId="39E84E56" w14:textId="77777777" w:rsidR="0099082E" w:rsidRDefault="00685AD6">
      <w:pPr>
        <w:ind w:left="-5" w:right="12"/>
      </w:pPr>
      <w:r>
        <w:t xml:space="preserve">Recent international consensus guidelines from the European Society of Cardiology (ESC) and the European Heart Rhythm Association (EHRA) have added further detail to these categories by establishing a </w:t>
      </w:r>
      <w:proofErr w:type="spellStart"/>
      <w:r>
        <w:t>formalized</w:t>
      </w:r>
      <w:proofErr w:type="spellEnd"/>
      <w:r>
        <w:t xml:space="preserve"> definition of </w:t>
      </w:r>
      <w:r>
        <w:t>"AF Burden"</w:t>
      </w:r>
      <w:r>
        <w:t xml:space="preserve"> (European Society of Cardiology, 2025). Rather than evaluating AF as a static, categorical condition, contemporary clinical models define AF burden as the exact percentage of time an individual experiences the arrhythmia within a continuous monitoring window of at least 28 days. This quantitative measurement is highly relevant because a higher percentage burden correlates directly with accelerated structural </w:t>
      </w:r>
      <w:proofErr w:type="spellStart"/>
      <w:r>
        <w:t>remodeling</w:t>
      </w:r>
      <w:proofErr w:type="spellEnd"/>
      <w:r>
        <w:t xml:space="preserve">, progressive cognitive decline, and elevated long-term thromboembolic risks. </w:t>
      </w:r>
    </w:p>
    <w:p w14:paraId="2011F9C2" w14:textId="77777777" w:rsidR="0099082E" w:rsidRDefault="00685AD6">
      <w:pPr>
        <w:spacing w:after="184" w:line="259" w:lineRule="auto"/>
        <w:ind w:left="-5" w:right="7"/>
      </w:pPr>
      <w:r>
        <w:t xml:space="preserve">1.2 Global and United Kingdom Epidemiological Profiles </w:t>
      </w:r>
    </w:p>
    <w:p w14:paraId="6CA74A03" w14:textId="77777777" w:rsidR="0099082E" w:rsidRDefault="00685AD6">
      <w:pPr>
        <w:spacing w:after="2"/>
        <w:ind w:left="-5" w:right="12"/>
      </w:pPr>
      <w:r>
        <w:t xml:space="preserve">The contemporary epidemiological data for 2026 confirms that AF has escalated into a major public health epidemic. Globally, the European Society of Cardiology (ESC) and the Global Burden of Disease (GBD) datasets indicate that the absolute number of individuals living with AF stands at approximately 59 million (British Heart Foundation, </w:t>
      </w:r>
    </w:p>
    <w:p w14:paraId="68CF3A51" w14:textId="77777777" w:rsidR="0099082E" w:rsidRDefault="00685AD6">
      <w:pPr>
        <w:ind w:left="-5" w:right="12"/>
      </w:pPr>
      <w:r>
        <w:t xml:space="preserve">2026; European Society of Cardiology, </w:t>
      </w:r>
      <w:r>
        <w:t xml:space="preserve">2025). Projections suggest a steep upward trajectory, with estimates indicating a rise of over 60% by the year 2050, driven heavily by global population aging, increased survival rates from </w:t>
      </w:r>
      <w:proofErr w:type="spellStart"/>
      <w:r>
        <w:t>ischemic</w:t>
      </w:r>
      <w:proofErr w:type="spellEnd"/>
      <w:r>
        <w:t xml:space="preserve"> </w:t>
      </w:r>
      <w:r>
        <w:lastRenderedPageBreak/>
        <w:t xml:space="preserve">heart disease, and the rising prevalence of metabolic syndromes. Epidemiologists now </w:t>
      </w:r>
      <w:proofErr w:type="spellStart"/>
      <w:r>
        <w:t>emphasize</w:t>
      </w:r>
      <w:proofErr w:type="spellEnd"/>
      <w:r>
        <w:t xml:space="preserve"> that 1 in 3 individuals worldwide will develop a cardiac rhythm disorder—predominantly AF—during their lifetime (European Society of Cardiology, 2025). </w:t>
      </w:r>
    </w:p>
    <w:p w14:paraId="70FD1E8C" w14:textId="77777777" w:rsidR="0099082E" w:rsidRDefault="00685AD6">
      <w:pPr>
        <w:ind w:left="-5" w:right="12"/>
      </w:pPr>
      <w:r>
        <w:t xml:space="preserve">As documented in the primary reference material and shown in </w:t>
      </w:r>
      <w:r>
        <w:t>image.png</w:t>
      </w:r>
      <w:r>
        <w:t xml:space="preserve">, public health bodies </w:t>
      </w:r>
      <w:proofErr w:type="spellStart"/>
      <w:r>
        <w:t>emphasize</w:t>
      </w:r>
      <w:proofErr w:type="spellEnd"/>
      <w:r>
        <w:t xml:space="preserve"> that the "true" prevalence of Atrial Fibrillation within the United Kingdom is substantially higher than standard registers suggest—estimated to be between 3.0% and 3.5%. This discrepancy exists because of a massive sub-clinical, hidden burden of "silent" or entirely asymptomatic AF (Lane </w:t>
      </w:r>
      <w:r>
        <w:t>et al.</w:t>
      </w:r>
      <w:r>
        <w:t xml:space="preserve">, 2015). </w:t>
      </w:r>
    </w:p>
    <w:p w14:paraId="3989DAFE" w14:textId="77777777" w:rsidR="0099082E" w:rsidRDefault="00685AD6">
      <w:pPr>
        <w:spacing w:after="5"/>
        <w:ind w:left="-5" w:right="12"/>
      </w:pPr>
      <w:r>
        <w:t xml:space="preserve">As a direct consequence of this diagnostic blind spot, an estimated 300,000 to 500,000 individuals across the UK remain completely undiagnosed and unmedicated, leaving them exposed to a severe risk of preventable cardiovascular events, such as acute </w:t>
      </w:r>
      <w:proofErr w:type="spellStart"/>
      <w:r>
        <w:t>ischemic</w:t>
      </w:r>
      <w:proofErr w:type="spellEnd"/>
      <w:r>
        <w:t xml:space="preserve"> strokes or sudden </w:t>
      </w:r>
      <w:proofErr w:type="spellStart"/>
      <w:r>
        <w:t>tachycardiomyopathy</w:t>
      </w:r>
      <w:proofErr w:type="spellEnd"/>
      <w:r>
        <w:t xml:space="preserve">. This clinical </w:t>
      </w:r>
    </w:p>
    <w:p w14:paraId="78A31EF5" w14:textId="77777777" w:rsidR="0099082E" w:rsidRDefault="00685AD6">
      <w:pPr>
        <w:spacing w:after="151" w:line="295" w:lineRule="auto"/>
        <w:ind w:left="0" w:right="402" w:firstLine="0"/>
        <w:jc w:val="both"/>
      </w:pPr>
      <w:r>
        <w:t xml:space="preserve">reality is visually outlined in the programmatic care pathway tracking diagram depicted in </w:t>
      </w:r>
      <w:r>
        <w:t>image.png</w:t>
      </w:r>
      <w:r>
        <w:t>: [Silent / Undiagnosed AF] ───</w:t>
      </w:r>
      <w:r>
        <w:t>►</w:t>
      </w:r>
      <w:r>
        <w:t xml:space="preserve"> (~500,000 UK Citizens) ───</w:t>
      </w:r>
      <w:r>
        <w:t>►</w:t>
      </w:r>
      <w:r>
        <w:t xml:space="preserve"> High Risk of </w:t>
      </w:r>
      <w:proofErr w:type="spellStart"/>
      <w:r>
        <w:t>Ischemic</w:t>
      </w:r>
      <w:proofErr w:type="spellEnd"/>
      <w:r>
        <w:t xml:space="preserve"> Stroke </w:t>
      </w:r>
    </w:p>
    <w:p w14:paraId="24E7914B" w14:textId="77777777" w:rsidR="0099082E" w:rsidRDefault="00685AD6">
      <w:pPr>
        <w:spacing w:after="151" w:line="295" w:lineRule="auto"/>
        <w:ind w:left="0" w:right="287" w:firstLine="0"/>
        <w:jc w:val="both"/>
      </w:pPr>
      <w:r>
        <w:t>[Registered / Diagnosed AF]  ───</w:t>
      </w:r>
      <w:r>
        <w:t>►</w:t>
      </w:r>
      <w:r>
        <w:t xml:space="preserve"> (1,427,589 UK Patients) ──</w:t>
      </w:r>
      <w:r>
        <w:t>►</w:t>
      </w:r>
      <w:r>
        <w:t xml:space="preserve"> Enrolled on QOF Pathways </w:t>
      </w:r>
    </w:p>
    <w:p w14:paraId="62BDC07D" w14:textId="77777777" w:rsidR="0099082E" w:rsidRDefault="00685AD6">
      <w:pPr>
        <w:ind w:left="-5" w:right="12"/>
      </w:pPr>
      <w:r>
        <w:t xml:space="preserve">The underlying distribution of AF across the demographic spectrum exhibits a steep, age-dependent gradient, a </w:t>
      </w:r>
      <w:r>
        <w:t xml:space="preserve">breakdown corroborating the clinical registry values extracted from the data in </w:t>
      </w:r>
      <w:r>
        <w:t>image.png</w:t>
      </w:r>
      <w:r>
        <w:t xml:space="preserve">: </w:t>
      </w:r>
    </w:p>
    <w:p w14:paraId="248E57E0" w14:textId="77777777" w:rsidR="0099082E" w:rsidRDefault="00685AD6">
      <w:pPr>
        <w:numPr>
          <w:ilvl w:val="0"/>
          <w:numId w:val="4"/>
        </w:numPr>
        <w:ind w:left="676" w:right="12" w:hanging="338"/>
      </w:pPr>
      <w:r>
        <w:t>Under 50 years:</w:t>
      </w:r>
      <w:r>
        <w:t xml:space="preserve"> Highly uncommon (), typically presenting as "lone AF" secondary to acute </w:t>
      </w:r>
      <w:proofErr w:type="spellStart"/>
      <w:r>
        <w:t>hemodynamic</w:t>
      </w:r>
      <w:proofErr w:type="spellEnd"/>
      <w:r>
        <w:t xml:space="preserve"> triggers, extreme endurance training, or strong genetic predispositions. </w:t>
      </w:r>
    </w:p>
    <w:p w14:paraId="03CDE566" w14:textId="77777777" w:rsidR="0099082E" w:rsidRDefault="00685AD6">
      <w:pPr>
        <w:numPr>
          <w:ilvl w:val="0"/>
          <w:numId w:val="4"/>
        </w:numPr>
        <w:ind w:left="676" w:right="12" w:hanging="338"/>
      </w:pPr>
      <w:r>
        <w:t>Ages 65–70:</w:t>
      </w:r>
      <w:r>
        <w:t xml:space="preserve"> Rises sharply to approximately 5.0%, where it begins to dominate primary care chronic disease workloads. </w:t>
      </w:r>
    </w:p>
    <w:p w14:paraId="0CE6364D" w14:textId="77777777" w:rsidR="0099082E" w:rsidRDefault="00685AD6">
      <w:pPr>
        <w:numPr>
          <w:ilvl w:val="0"/>
          <w:numId w:val="4"/>
        </w:numPr>
        <w:ind w:left="676" w:right="12" w:hanging="338"/>
      </w:pPr>
      <w:r>
        <w:t>Over 75–80 years:</w:t>
      </w:r>
      <w:r>
        <w:t xml:space="preserve"> Exceeds 10% to 12%, making it an almost ubiquitous comorbidity within the geriatric multi-morbid population profile. </w:t>
      </w:r>
    </w:p>
    <w:p w14:paraId="76BDDCF2" w14:textId="77777777" w:rsidR="0099082E" w:rsidRDefault="00685AD6">
      <w:pPr>
        <w:ind w:left="-5" w:right="12"/>
      </w:pPr>
      <w:r>
        <w:t xml:space="preserve">Gender disparities are also </w:t>
      </w:r>
      <w:proofErr w:type="spellStart"/>
      <w:r>
        <w:t>welldocumented</w:t>
      </w:r>
      <w:proofErr w:type="spellEnd"/>
      <w:r>
        <w:t xml:space="preserve">; the age-adjusted incidence and absolute prevalence are consistently higher in men (approximately 1.1% vs 0.8% in crude population samples). However, because women have a longer average life expectancy, the absolute number of women living with chronic AF in the oldest demographics matches or </w:t>
      </w:r>
      <w:r>
        <w:t xml:space="preserve">exceeds that of men. Furthermore, data indicates that women experience higher all-cause mortality, a higher relative risk of stroke, and more severe symptom profiles than men with identical baseline characteristics (Lip, Brechin and Lane, 2016). </w:t>
      </w:r>
    </w:p>
    <w:p w14:paraId="6CD219DC" w14:textId="77777777" w:rsidR="0099082E" w:rsidRDefault="00685AD6">
      <w:pPr>
        <w:ind w:left="-5" w:right="12"/>
      </w:pPr>
      <w:r>
        <w:t xml:space="preserve">Ethnically, historical epidemiological datasets demonstrate a lower apparent prevalence of AF in Black, Asian, and minority ethnic populations compared to </w:t>
      </w:r>
      <w:r>
        <w:lastRenderedPageBreak/>
        <w:t>white Caucasian populations, even when adjusting for traditional cardiovascular risk profiles (</w:t>
      </w:r>
      <w:proofErr w:type="spellStart"/>
      <w:r>
        <w:t>Vakili</w:t>
      </w:r>
      <w:proofErr w:type="spellEnd"/>
      <w:r>
        <w:t xml:space="preserve">, Kaplan and Chang, 2011). However, health inequalities research in the UK cautions that this gap may partly reflect variations in healthcare-seeking </w:t>
      </w:r>
      <w:proofErr w:type="spellStart"/>
      <w:r>
        <w:t>behaviors</w:t>
      </w:r>
      <w:proofErr w:type="spellEnd"/>
      <w:r>
        <w:t xml:space="preserve">, lower rates of opportunistic pulse checking in underserved communities, and systemic diagnostic disparities rather than pure biological variation. </w:t>
      </w:r>
    </w:p>
    <w:p w14:paraId="533706FB" w14:textId="77777777" w:rsidR="0099082E" w:rsidRDefault="00685AD6">
      <w:pPr>
        <w:ind w:left="-5" w:right="12"/>
      </w:pPr>
      <w:r>
        <w:t>From a health economics perspective, the financial strain that AF places on the UK healthcare system is immense. Recent health economics models show that direct healthcare expenditures dedicated to managing AF and its direct complications consume between 0.9% and 1.6% of the total NHS annual budget (ResearchGate, 2025). Projections indicate that by 2030, this economic burden will escalate to between £2.3 billion and £3.1 billion annually. This spending is driven primarily by long-term emergency hospital adm</w:t>
      </w:r>
      <w:r>
        <w:t xml:space="preserve">issions, </w:t>
      </w:r>
      <w:proofErr w:type="spellStart"/>
      <w:r>
        <w:t>specialized</w:t>
      </w:r>
      <w:proofErr w:type="spellEnd"/>
      <w:r>
        <w:t xml:space="preserve"> surgical interventions, and post-stroke residential rehabilitation care (ResearchGate, 2025). </w:t>
      </w:r>
    </w:p>
    <w:p w14:paraId="0113A0FB" w14:textId="77777777" w:rsidR="0099082E" w:rsidRDefault="00685AD6">
      <w:pPr>
        <w:spacing w:after="40" w:line="259" w:lineRule="auto"/>
        <w:ind w:left="-5" w:right="7"/>
      </w:pPr>
      <w:r>
        <w:t xml:space="preserve">1.3 Multifactorial </w:t>
      </w:r>
      <w:proofErr w:type="spellStart"/>
      <w:r>
        <w:t>Etiology</w:t>
      </w:r>
      <w:proofErr w:type="spellEnd"/>
      <w:r>
        <w:t xml:space="preserve"> and </w:t>
      </w:r>
    </w:p>
    <w:p w14:paraId="69136FD5" w14:textId="77777777" w:rsidR="0099082E" w:rsidRDefault="00685AD6">
      <w:pPr>
        <w:spacing w:after="184" w:line="259" w:lineRule="auto"/>
        <w:ind w:left="-5" w:right="7"/>
      </w:pPr>
      <w:r>
        <w:t xml:space="preserve">Modifiable/Non-Modifiable Risk Factors </w:t>
      </w:r>
    </w:p>
    <w:p w14:paraId="29B6367E" w14:textId="77777777" w:rsidR="0099082E" w:rsidRDefault="00685AD6">
      <w:pPr>
        <w:ind w:left="-5" w:right="12"/>
      </w:pPr>
      <w:r>
        <w:t xml:space="preserve">The development of Atrial Fibrillation represents the convergence of irreversible constitutional traits and modifiable </w:t>
      </w:r>
      <w:proofErr w:type="spellStart"/>
      <w:r>
        <w:t>hemodynamic</w:t>
      </w:r>
      <w:proofErr w:type="spellEnd"/>
      <w:r>
        <w:t xml:space="preserve">, metabolic, and environmental influences. This complex </w:t>
      </w:r>
      <w:proofErr w:type="spellStart"/>
      <w:r>
        <w:t>etiology</w:t>
      </w:r>
      <w:proofErr w:type="spellEnd"/>
      <w:r>
        <w:t xml:space="preserve"> is best understood by dividing risk factors into non-modifiable biological traits and modifiable lifestyle or disease states. </w:t>
      </w:r>
    </w:p>
    <w:p w14:paraId="4E55453B" w14:textId="77777777" w:rsidR="0099082E" w:rsidRDefault="00685AD6">
      <w:pPr>
        <w:ind w:left="-5" w:right="12"/>
      </w:pPr>
      <w:r>
        <w:t xml:space="preserve">[Non-Modifiable: Age, Male Sex, Genetics] ───┐ </w:t>
      </w:r>
    </w:p>
    <w:p w14:paraId="384DD0E2" w14:textId="77777777" w:rsidR="0099082E" w:rsidRDefault="00685AD6">
      <w:pPr>
        <w:spacing w:after="19"/>
        <w:ind w:left="-5" w:right="12"/>
      </w:pPr>
      <w:r>
        <w:t xml:space="preserve">                                              </w:t>
      </w:r>
      <w:r>
        <w:t>├</w:t>
      </w:r>
      <w:r>
        <w:t>──</w:t>
      </w:r>
      <w:r>
        <w:t>►</w:t>
      </w:r>
      <w:r>
        <w:t xml:space="preserve"> </w:t>
      </w:r>
      <w:proofErr w:type="spellStart"/>
      <w:r>
        <w:t>Myocyte</w:t>
      </w:r>
      <w:proofErr w:type="spellEnd"/>
      <w:r>
        <w:t xml:space="preserve"> </w:t>
      </w:r>
    </w:p>
    <w:p w14:paraId="1C534FE3" w14:textId="77777777" w:rsidR="0099082E" w:rsidRDefault="00685AD6">
      <w:pPr>
        <w:ind w:left="-5" w:right="12"/>
      </w:pPr>
      <w:r>
        <w:t>Disarray &amp; Fibrosis ──</w:t>
      </w:r>
      <w:r>
        <w:t>►</w:t>
      </w:r>
      <w:r>
        <w:t xml:space="preserve"> Atrial Fibrillation </w:t>
      </w:r>
    </w:p>
    <w:p w14:paraId="432C6C84" w14:textId="77777777" w:rsidR="0099082E" w:rsidRDefault="00685AD6">
      <w:pPr>
        <w:ind w:left="-5" w:right="12"/>
      </w:pPr>
      <w:r>
        <w:t xml:space="preserve">[Modifiable: Hypertension, Obesity, Alcohol] ─┘ </w:t>
      </w:r>
    </w:p>
    <w:p w14:paraId="1A4BCE82" w14:textId="77777777" w:rsidR="0099082E" w:rsidRDefault="00685AD6">
      <w:pPr>
        <w:spacing w:after="37" w:line="259" w:lineRule="auto"/>
        <w:ind w:left="-5" w:right="7"/>
      </w:pPr>
      <w:r>
        <w:t xml:space="preserve">Non-Modifiable Structural and </w:t>
      </w:r>
    </w:p>
    <w:p w14:paraId="693E20CC" w14:textId="77777777" w:rsidR="0099082E" w:rsidRDefault="00685AD6">
      <w:pPr>
        <w:spacing w:after="184" w:line="259" w:lineRule="auto"/>
        <w:ind w:left="-5" w:right="7"/>
      </w:pPr>
      <w:r>
        <w:t xml:space="preserve">Genetic Drivers </w:t>
      </w:r>
    </w:p>
    <w:p w14:paraId="0F7D2E92" w14:textId="77777777" w:rsidR="0099082E" w:rsidRDefault="00685AD6">
      <w:pPr>
        <w:numPr>
          <w:ilvl w:val="0"/>
          <w:numId w:val="5"/>
        </w:numPr>
        <w:ind w:left="661" w:right="12" w:hanging="338"/>
      </w:pPr>
      <w:r>
        <w:t>Advanced Age:</w:t>
      </w:r>
      <w:r>
        <w:t xml:space="preserve"> Aging triggers cell senescence within the cardiac conduction system. It leads to </w:t>
      </w:r>
      <w:proofErr w:type="spellStart"/>
      <w:r>
        <w:t>myocyte</w:t>
      </w:r>
      <w:proofErr w:type="spellEnd"/>
      <w:r>
        <w:t xml:space="preserve"> hypertrophy, apoptosis, and increased replacement interstitial fibrosis, which permanently slows </w:t>
      </w:r>
      <w:proofErr w:type="spellStart"/>
      <w:r>
        <w:t>intraatrial</w:t>
      </w:r>
      <w:proofErr w:type="spellEnd"/>
      <w:r>
        <w:t xml:space="preserve"> conduction velocity (</w:t>
      </w:r>
      <w:proofErr w:type="spellStart"/>
      <w:r>
        <w:t>Lau</w:t>
      </w:r>
      <w:proofErr w:type="spellEnd"/>
      <w:r>
        <w:t xml:space="preserve"> </w:t>
      </w:r>
      <w:r>
        <w:t>et al.</w:t>
      </w:r>
      <w:r>
        <w:t xml:space="preserve">, 2017). </w:t>
      </w:r>
    </w:p>
    <w:p w14:paraId="50703F33" w14:textId="77777777" w:rsidR="0099082E" w:rsidRDefault="00685AD6">
      <w:pPr>
        <w:numPr>
          <w:ilvl w:val="0"/>
          <w:numId w:val="5"/>
        </w:numPr>
        <w:spacing w:after="151" w:line="295" w:lineRule="auto"/>
        <w:ind w:left="661" w:right="12" w:hanging="338"/>
      </w:pPr>
      <w:r>
        <w:t>Male Biological Sex:</w:t>
      </w:r>
      <w:r>
        <w:t xml:space="preserve"> Men possess larger baseline left atrial volumes relative to total body surface area, which provides a larger anatomical footprint that </w:t>
      </w:r>
    </w:p>
    <w:p w14:paraId="7D356F26" w14:textId="77777777" w:rsidR="0099082E" w:rsidRDefault="00685AD6">
      <w:pPr>
        <w:ind w:left="687" w:right="12"/>
      </w:pPr>
      <w:r>
        <w:t xml:space="preserve">can accommodate multiple concurrent electrical </w:t>
      </w:r>
      <w:proofErr w:type="spellStart"/>
      <w:r>
        <w:t>microreentrant</w:t>
      </w:r>
      <w:proofErr w:type="spellEnd"/>
      <w:r>
        <w:t xml:space="preserve"> circuits (</w:t>
      </w:r>
      <w:proofErr w:type="spellStart"/>
      <w:r>
        <w:t>Chourdakis</w:t>
      </w:r>
      <w:proofErr w:type="spellEnd"/>
      <w:r>
        <w:t xml:space="preserve"> </w:t>
      </w:r>
      <w:r>
        <w:t>et al.</w:t>
      </w:r>
      <w:r>
        <w:t xml:space="preserve">, 2024). </w:t>
      </w:r>
    </w:p>
    <w:p w14:paraId="05F60D07" w14:textId="77777777" w:rsidR="0099082E" w:rsidRDefault="00685AD6">
      <w:pPr>
        <w:numPr>
          <w:ilvl w:val="0"/>
          <w:numId w:val="5"/>
        </w:numPr>
        <w:spacing w:after="151" w:line="295" w:lineRule="auto"/>
        <w:ind w:left="661" w:right="12" w:hanging="338"/>
      </w:pPr>
      <w:r>
        <w:t>Genetic Predispositions:</w:t>
      </w:r>
      <w:r>
        <w:t xml:space="preserve"> Genome-wide association studies (GWAS) have isolated over 100 distinct </w:t>
      </w:r>
      <w:proofErr w:type="spellStart"/>
      <w:r>
        <w:t>singlenucleotide</w:t>
      </w:r>
      <w:proofErr w:type="spellEnd"/>
      <w:r>
        <w:t xml:space="preserve"> polymorphisms (SNPs) associated with </w:t>
      </w:r>
      <w:proofErr w:type="spellStart"/>
      <w:r>
        <w:t>earlyonset</w:t>
      </w:r>
      <w:proofErr w:type="spellEnd"/>
      <w:r>
        <w:t xml:space="preserve"> or "lone" AF. Notable examples include mutations </w:t>
      </w:r>
      <w:proofErr w:type="spellStart"/>
      <w:r>
        <w:t>localized</w:t>
      </w:r>
      <w:proofErr w:type="spellEnd"/>
      <w:r>
        <w:t xml:space="preserve"> around the </w:t>
      </w:r>
      <w:r>
        <w:t>PITX2</w:t>
      </w:r>
      <w:r>
        <w:t xml:space="preserve"> </w:t>
      </w:r>
      <w:r>
        <w:t xml:space="preserve">(paired-like </w:t>
      </w:r>
      <w:proofErr w:type="spellStart"/>
      <w:r>
        <w:t>homeodomain</w:t>
      </w:r>
      <w:proofErr w:type="spellEnd"/>
      <w:r>
        <w:t xml:space="preserve"> transcription factor 2) and </w:t>
      </w:r>
      <w:r>
        <w:t>ZFHX3</w:t>
      </w:r>
      <w:r>
        <w:t xml:space="preserve"> (zinc finger homeobox 3) genes, which regulate cardiac </w:t>
      </w:r>
      <w:proofErr w:type="spellStart"/>
      <w:r>
        <w:t>ionchannel</w:t>
      </w:r>
      <w:proofErr w:type="spellEnd"/>
      <w:r>
        <w:t xml:space="preserve"> expression and early chamber development (</w:t>
      </w:r>
      <w:proofErr w:type="spellStart"/>
      <w:r>
        <w:t>Ellinor</w:t>
      </w:r>
      <w:proofErr w:type="spellEnd"/>
      <w:r>
        <w:t xml:space="preserve"> </w:t>
      </w:r>
      <w:r>
        <w:t>et al.</w:t>
      </w:r>
      <w:r>
        <w:t xml:space="preserve">, 2012). </w:t>
      </w:r>
    </w:p>
    <w:p w14:paraId="4B5E818F" w14:textId="77777777" w:rsidR="0099082E" w:rsidRDefault="00685AD6">
      <w:pPr>
        <w:spacing w:after="184" w:line="259" w:lineRule="auto"/>
        <w:ind w:left="-5" w:right="7"/>
      </w:pPr>
      <w:r>
        <w:t xml:space="preserve">Modifiable </w:t>
      </w:r>
      <w:proofErr w:type="spellStart"/>
      <w:r>
        <w:t>Hemodynamic</w:t>
      </w:r>
      <w:proofErr w:type="spellEnd"/>
      <w:r>
        <w:t xml:space="preserve"> and Metabolic Stressors </w:t>
      </w:r>
    </w:p>
    <w:p w14:paraId="039D37C0" w14:textId="77777777" w:rsidR="0099082E" w:rsidRDefault="00685AD6">
      <w:pPr>
        <w:numPr>
          <w:ilvl w:val="0"/>
          <w:numId w:val="5"/>
        </w:numPr>
        <w:ind w:left="661" w:right="12" w:hanging="338"/>
      </w:pPr>
      <w:r>
        <w:t>Systemic Hypertension:</w:t>
      </w:r>
      <w:r>
        <w:t xml:space="preserve"> This remains the single most common modifiable contributor, present in nearly 80% of individuals diagnosed with AF (Open Heart, 2026). Chronic, uncontrolled arterial hypertension escalates left ventricular </w:t>
      </w:r>
      <w:proofErr w:type="spellStart"/>
      <w:r>
        <w:t>afterload</w:t>
      </w:r>
      <w:proofErr w:type="spellEnd"/>
      <w:r>
        <w:t xml:space="preserve">, promoting concentric left ventricular hypertrophy. This reduces myocardial compliance, raising left ventricular end-diastolic pressure. The resulting </w:t>
      </w:r>
      <w:proofErr w:type="spellStart"/>
      <w:r>
        <w:t>backpressure</w:t>
      </w:r>
      <w:proofErr w:type="spellEnd"/>
      <w:r>
        <w:t xml:space="preserve"> causes mechanical stretch, dilatation, and </w:t>
      </w:r>
      <w:proofErr w:type="spellStart"/>
      <w:r>
        <w:t>localized</w:t>
      </w:r>
      <w:proofErr w:type="spellEnd"/>
      <w:r>
        <w:t xml:space="preserve"> </w:t>
      </w:r>
      <w:proofErr w:type="spellStart"/>
      <w:r>
        <w:t>ischemia</w:t>
      </w:r>
      <w:proofErr w:type="spellEnd"/>
      <w:r>
        <w:t xml:space="preserve"> within the left atrium, triggering structural </w:t>
      </w:r>
      <w:proofErr w:type="spellStart"/>
      <w:r>
        <w:t>remodeling</w:t>
      </w:r>
      <w:proofErr w:type="spellEnd"/>
      <w:r>
        <w:t xml:space="preserve"> (Lip, Brechi</w:t>
      </w:r>
      <w:r>
        <w:t xml:space="preserve">n and Lane, 2016). </w:t>
      </w:r>
    </w:p>
    <w:p w14:paraId="41706A56" w14:textId="77777777" w:rsidR="0099082E" w:rsidRDefault="00685AD6">
      <w:pPr>
        <w:numPr>
          <w:ilvl w:val="0"/>
          <w:numId w:val="5"/>
        </w:numPr>
        <w:spacing w:after="0" w:line="259" w:lineRule="auto"/>
        <w:ind w:left="661" w:right="12" w:hanging="338"/>
      </w:pPr>
      <w:r>
        <w:t xml:space="preserve">Obesity and Adipose Tissue </w:t>
      </w:r>
    </w:p>
    <w:p w14:paraId="10AC37D1" w14:textId="77777777" w:rsidR="0099082E" w:rsidRDefault="00685AD6">
      <w:pPr>
        <w:ind w:left="348" w:right="12"/>
      </w:pPr>
      <w:r>
        <w:t>Deposition:</w:t>
      </w:r>
      <w:r>
        <w:t xml:space="preserve"> An elevated Body Mass Index () directly correlates with a linear increase in AF risk. For every 5-unit increase in , the relative risk of developing AF escalates by 4% to 5% (Open Heart, 2026). Obesity drives AF via systemic low-grade inflammation, increased total blood volume, and the accumulation of epicardial adipose tissue (EAT). This local fat tissue directly infiltrates the atrial myocardium, releasing </w:t>
      </w:r>
      <w:proofErr w:type="spellStart"/>
      <w:r>
        <w:t>proinflammatory</w:t>
      </w:r>
      <w:proofErr w:type="spellEnd"/>
      <w:r>
        <w:t xml:space="preserve"> </w:t>
      </w:r>
      <w:proofErr w:type="spellStart"/>
      <w:r>
        <w:t>adipokines</w:t>
      </w:r>
      <w:proofErr w:type="spellEnd"/>
      <w:r>
        <w:t xml:space="preserve"> like interleukin-6 () and </w:t>
      </w:r>
      <w:proofErr w:type="spellStart"/>
      <w:r>
        <w:t>tumor</w:t>
      </w:r>
      <w:proofErr w:type="spellEnd"/>
      <w:r>
        <w:t xml:space="preserve"> necrosis factor-alpha (), which disrupt </w:t>
      </w:r>
      <w:r>
        <w:t xml:space="preserve">local electrical </w:t>
      </w:r>
      <w:proofErr w:type="spellStart"/>
      <w:r>
        <w:t>signaling</w:t>
      </w:r>
      <w:proofErr w:type="spellEnd"/>
      <w:r>
        <w:t xml:space="preserve"> (Abed </w:t>
      </w:r>
      <w:r>
        <w:t>et al.</w:t>
      </w:r>
      <w:r>
        <w:t xml:space="preserve">, 2013). </w:t>
      </w:r>
    </w:p>
    <w:p w14:paraId="39E606D9" w14:textId="77777777" w:rsidR="0099082E" w:rsidRDefault="00685AD6">
      <w:pPr>
        <w:numPr>
          <w:ilvl w:val="0"/>
          <w:numId w:val="5"/>
        </w:numPr>
        <w:ind w:left="661" w:right="12" w:hanging="338"/>
      </w:pPr>
      <w:r>
        <w:t>Obstructive Sleep Apnea (OSA):</w:t>
      </w:r>
      <w:r>
        <w:t xml:space="preserve"> Present in up to 50% of patients referred for rhythm management, OSA exposes the atria to severe nocturnal hypoxia, systemic hypercapnia, and sharp surges in negative </w:t>
      </w:r>
      <w:proofErr w:type="spellStart"/>
      <w:r>
        <w:t>intrathoracic</w:t>
      </w:r>
      <w:proofErr w:type="spellEnd"/>
      <w:r>
        <w:t xml:space="preserve"> pressure. This combination results in acute atrial stretching, </w:t>
      </w:r>
      <w:proofErr w:type="spellStart"/>
      <w:r>
        <w:t>vagalsympathetic</w:t>
      </w:r>
      <w:proofErr w:type="spellEnd"/>
      <w:r>
        <w:t xml:space="preserve"> imbalance, and paroxysmal arrhythmia triggers (</w:t>
      </w:r>
      <w:proofErr w:type="spellStart"/>
      <w:r>
        <w:t>Lau</w:t>
      </w:r>
      <w:proofErr w:type="spellEnd"/>
      <w:r>
        <w:t xml:space="preserve"> </w:t>
      </w:r>
      <w:r>
        <w:t>et al.</w:t>
      </w:r>
      <w:r>
        <w:t xml:space="preserve">, 2017). </w:t>
      </w:r>
    </w:p>
    <w:p w14:paraId="48A175F8" w14:textId="77777777" w:rsidR="0099082E" w:rsidRDefault="00685AD6">
      <w:pPr>
        <w:numPr>
          <w:ilvl w:val="0"/>
          <w:numId w:val="5"/>
        </w:numPr>
        <w:ind w:left="661" w:right="12" w:hanging="338"/>
      </w:pPr>
      <w:r>
        <w:t>Chronic Alcohol Consumption:</w:t>
      </w:r>
      <w:r>
        <w:t xml:space="preserve"> </w:t>
      </w:r>
      <w:r>
        <w:t xml:space="preserve">Long-term excessive alcohol intake exerts direct toxic e </w:t>
      </w:r>
      <w:proofErr w:type="spellStart"/>
      <w:r>
        <w:t>ects</w:t>
      </w:r>
      <w:proofErr w:type="spellEnd"/>
      <w:r>
        <w:t xml:space="preserve"> on atrial </w:t>
      </w:r>
      <w:proofErr w:type="spellStart"/>
      <w:r>
        <w:t>cardiomyocytes</w:t>
      </w:r>
      <w:proofErr w:type="spellEnd"/>
      <w:r>
        <w:t xml:space="preserve">, altering cell-surface </w:t>
      </w:r>
      <w:proofErr w:type="spellStart"/>
      <w:r>
        <w:t>myocyte</w:t>
      </w:r>
      <w:proofErr w:type="spellEnd"/>
      <w:r>
        <w:t xml:space="preserve"> </w:t>
      </w:r>
    </w:p>
    <w:p w14:paraId="75377B57" w14:textId="77777777" w:rsidR="0099082E" w:rsidRDefault="00685AD6">
      <w:pPr>
        <w:spacing w:after="2"/>
        <w:ind w:left="687" w:right="12"/>
      </w:pPr>
      <w:r>
        <w:t xml:space="preserve">membranes. Even moderate, consistent consumption (e.g., 1– 2 units daily) can lead to progressive atrial </w:t>
      </w:r>
      <w:proofErr w:type="spellStart"/>
      <w:r>
        <w:t>remodeling</w:t>
      </w:r>
      <w:proofErr w:type="spellEnd"/>
      <w:r>
        <w:t xml:space="preserve">, while acute binge drinking can precipitate atrial arrhythmias, a phenomenon clinically termed </w:t>
      </w:r>
    </w:p>
    <w:p w14:paraId="6C83A70C" w14:textId="77777777" w:rsidR="0099082E" w:rsidRDefault="00685AD6">
      <w:pPr>
        <w:spacing w:after="193" w:line="259" w:lineRule="auto"/>
        <w:ind w:left="72"/>
        <w:jc w:val="center"/>
      </w:pPr>
      <w:r>
        <w:t xml:space="preserve">"Holiday Heart Syndrome." </w:t>
      </w:r>
    </w:p>
    <w:p w14:paraId="11AC6D86" w14:textId="77777777" w:rsidR="0099082E" w:rsidRDefault="00685AD6">
      <w:pPr>
        <w:numPr>
          <w:ilvl w:val="0"/>
          <w:numId w:val="5"/>
        </w:numPr>
        <w:spacing w:after="151" w:line="295" w:lineRule="auto"/>
        <w:ind w:left="661" w:right="12" w:hanging="338"/>
      </w:pPr>
      <w:r>
        <w:t>Endocrine Dysfunctions (Hyperthyroidism):</w:t>
      </w:r>
      <w:r>
        <w:t xml:space="preserve"> Elevated circulating thyroxine () and triiodothyronine () </w:t>
      </w:r>
      <w:proofErr w:type="spellStart"/>
      <w:r>
        <w:t>sensitize</w:t>
      </w:r>
      <w:proofErr w:type="spellEnd"/>
      <w:r>
        <w:t xml:space="preserve"> myocardial -adrenergic receptors, increasing resting heart rates and atrial excitability. </w:t>
      </w:r>
    </w:p>
    <w:p w14:paraId="1EF27264" w14:textId="77777777" w:rsidR="0099082E" w:rsidRDefault="00685AD6">
      <w:pPr>
        <w:spacing w:after="40" w:line="259" w:lineRule="auto"/>
        <w:ind w:left="-5" w:right="7"/>
      </w:pPr>
      <w:r>
        <w:t xml:space="preserve">SECTION 2: </w:t>
      </w:r>
      <w:proofErr w:type="spellStart"/>
      <w:r>
        <w:t>BIOPSYCHOSOCIAL</w:t>
      </w:r>
      <w:proofErr w:type="spellEnd"/>
      <w:r>
        <w:t xml:space="preserve"> </w:t>
      </w:r>
    </w:p>
    <w:p w14:paraId="561B2F75" w14:textId="77777777" w:rsidR="0099082E" w:rsidRDefault="00685AD6">
      <w:pPr>
        <w:spacing w:after="184" w:line="259" w:lineRule="auto"/>
        <w:ind w:left="-5" w:right="7"/>
      </w:pPr>
      <w:r>
        <w:t xml:space="preserve">IMPACTS AND NHS TREATMENT PATHWAYS </w:t>
      </w:r>
    </w:p>
    <w:p w14:paraId="6BF88021" w14:textId="77777777" w:rsidR="0099082E" w:rsidRDefault="00685AD6">
      <w:pPr>
        <w:spacing w:after="37" w:line="259" w:lineRule="auto"/>
        <w:ind w:left="-5" w:right="7"/>
      </w:pPr>
      <w:r>
        <w:t xml:space="preserve">2.1 Critical Evaluation of Physical, </w:t>
      </w:r>
    </w:p>
    <w:p w14:paraId="37587005" w14:textId="77777777" w:rsidR="0099082E" w:rsidRDefault="00685AD6">
      <w:pPr>
        <w:spacing w:after="184" w:line="259" w:lineRule="auto"/>
        <w:ind w:left="-5" w:right="7"/>
      </w:pPr>
      <w:r>
        <w:t xml:space="preserve">Psychological, and Social Implications </w:t>
      </w:r>
    </w:p>
    <w:p w14:paraId="56CE3739" w14:textId="77777777" w:rsidR="0099082E" w:rsidRDefault="00685AD6">
      <w:pPr>
        <w:spacing w:after="184" w:line="259" w:lineRule="auto"/>
        <w:ind w:left="-5" w:right="7"/>
      </w:pPr>
      <w:r>
        <w:t xml:space="preserve">Physical Implications and the Thromboembolic Cascade </w:t>
      </w:r>
    </w:p>
    <w:p w14:paraId="40296384" w14:textId="77777777" w:rsidR="0099082E" w:rsidRDefault="00685AD6">
      <w:pPr>
        <w:ind w:left="-5" w:right="12"/>
      </w:pPr>
      <w:r>
        <w:t xml:space="preserve">The physical consequences of Atrial Fibrillation are led by a highly elevated risk of thromboembolic events, specifically </w:t>
      </w:r>
      <w:proofErr w:type="spellStart"/>
      <w:r>
        <w:t>ischemic</w:t>
      </w:r>
      <w:proofErr w:type="spellEnd"/>
      <w:r>
        <w:t xml:space="preserve"> cerebrovascular accidents (strokes). Because the left atrial appendage loses mechanical contractility during AF, blood pools and stasis occurs. This environment promotes thrombus formation. This pathology aligns directly with Virchow’s Triad: endothelial dysfunction, circulatory stasis, and systemic </w:t>
      </w:r>
      <w:proofErr w:type="spellStart"/>
      <w:r>
        <w:t>hypercoagulability</w:t>
      </w:r>
      <w:proofErr w:type="spellEnd"/>
      <w:r>
        <w:t xml:space="preserve"> (Lip, 2014). </w:t>
      </w:r>
    </w:p>
    <w:p w14:paraId="0EDBA8AE" w14:textId="77777777" w:rsidR="0099082E" w:rsidRDefault="00685AD6">
      <w:pPr>
        <w:spacing w:after="12"/>
        <w:ind w:left="-5" w:right="12"/>
      </w:pPr>
      <w:r>
        <w:t>[Atrial Stasis in LAA] ──</w:t>
      </w:r>
      <w:r>
        <w:t>►</w:t>
      </w:r>
      <w:r>
        <w:t xml:space="preserve"> [Thrombus </w:t>
      </w:r>
    </w:p>
    <w:p w14:paraId="1BE2DA01" w14:textId="77777777" w:rsidR="0099082E" w:rsidRDefault="00685AD6">
      <w:pPr>
        <w:ind w:left="-5" w:right="12"/>
      </w:pPr>
      <w:r>
        <w:t>Formation] ──</w:t>
      </w:r>
      <w:r>
        <w:t>►</w:t>
      </w:r>
      <w:r>
        <w:t xml:space="preserve"> [Embolic Migration] ──</w:t>
      </w:r>
      <w:r>
        <w:t>►</w:t>
      </w:r>
      <w:r>
        <w:t xml:space="preserve"> [Middle Cerebral Artery Occlusion] ──</w:t>
      </w:r>
      <w:r>
        <w:t>►</w:t>
      </w:r>
      <w:r>
        <w:t xml:space="preserve"> [Severe </w:t>
      </w:r>
      <w:proofErr w:type="spellStart"/>
      <w:r>
        <w:t>Ischemic</w:t>
      </w:r>
      <w:proofErr w:type="spellEnd"/>
      <w:r>
        <w:t xml:space="preserve"> Stroke] </w:t>
      </w:r>
    </w:p>
    <w:p w14:paraId="68D21414" w14:textId="77777777" w:rsidR="0099082E" w:rsidRDefault="00685AD6">
      <w:pPr>
        <w:ind w:left="-5" w:right="12"/>
      </w:pPr>
      <w:r>
        <w:t xml:space="preserve">When a fragment of an intra-atrial thrombus breaks loose, it enters the systemic arterial circulation and frequently occludes the middle cerebral artery. This mechanism accounts for approximately 20% to 30% of all </w:t>
      </w:r>
      <w:proofErr w:type="spellStart"/>
      <w:r>
        <w:t>ischemic</w:t>
      </w:r>
      <w:proofErr w:type="spellEnd"/>
      <w:r>
        <w:t xml:space="preserve"> strokes (</w:t>
      </w:r>
      <w:proofErr w:type="spellStart"/>
      <w:r>
        <w:t>Hindricks</w:t>
      </w:r>
      <w:proofErr w:type="spellEnd"/>
      <w:r>
        <w:t xml:space="preserve"> </w:t>
      </w:r>
      <w:r>
        <w:t>et al.</w:t>
      </w:r>
      <w:r>
        <w:t xml:space="preserve">, 2021). </w:t>
      </w:r>
    </w:p>
    <w:p w14:paraId="5E593A8D" w14:textId="77777777" w:rsidR="0099082E" w:rsidRDefault="00685AD6">
      <w:pPr>
        <w:ind w:left="-5" w:right="12"/>
      </w:pPr>
      <w:r>
        <w:t xml:space="preserve">Furthermore, AF-related strokes are associated with poorer clinical outcomes than non-AF strokes: they carry a 50% higher risk of permanent disability, a twofold increase in 30-day mortality, and a substantially higher rate of recurrence. </w:t>
      </w:r>
    </w:p>
    <w:p w14:paraId="202813A8" w14:textId="77777777" w:rsidR="0099082E" w:rsidRDefault="00685AD6">
      <w:pPr>
        <w:ind w:left="-5" w:right="12"/>
      </w:pPr>
      <w:r>
        <w:t xml:space="preserve">Beyond thromboembolism, sustained rapid ventricular rates reduce diastolic filling time, impairing coronary perfusion and dropping cardiac output by 20% to 25% due to the loss of the "atrial kick." This frequently precipitates or worsens </w:t>
      </w:r>
      <w:proofErr w:type="spellStart"/>
      <w:r>
        <w:t>tachycardiomyopathy</w:t>
      </w:r>
      <w:proofErr w:type="spellEnd"/>
      <w:r>
        <w:t xml:space="preserve"> and chronic heart failure. On an individual level, patients su</w:t>
      </w:r>
      <w:r>
        <w:tab/>
        <w:t xml:space="preserve">er from chronic physical fatigue, </w:t>
      </w:r>
      <w:proofErr w:type="spellStart"/>
      <w:r>
        <w:t>exertional</w:t>
      </w:r>
      <w:proofErr w:type="spellEnd"/>
      <w:r>
        <w:t xml:space="preserve"> dyspnea, dizzy spells, and chest palpitations, which limit mobility and reduce independence in activities of daily living (ADLs). </w:t>
      </w:r>
    </w:p>
    <w:p w14:paraId="3C86E51B" w14:textId="77777777" w:rsidR="0099082E" w:rsidRDefault="00685AD6">
      <w:pPr>
        <w:spacing w:after="184" w:line="259" w:lineRule="auto"/>
        <w:ind w:left="-5" w:right="7"/>
      </w:pPr>
      <w:r>
        <w:t xml:space="preserve">Psychological Manifestations and the Anxiety-Arrhythmia Loop </w:t>
      </w:r>
    </w:p>
    <w:p w14:paraId="1E1004D1" w14:textId="77777777" w:rsidR="0099082E" w:rsidRDefault="00685AD6">
      <w:pPr>
        <w:ind w:left="-5" w:right="12"/>
      </w:pPr>
      <w:r>
        <w:t xml:space="preserve">The psychological impact of AF is significant but often </w:t>
      </w:r>
      <w:proofErr w:type="spellStart"/>
      <w:r>
        <w:t>underrecognized</w:t>
      </w:r>
      <w:proofErr w:type="spellEnd"/>
      <w:r>
        <w:t xml:space="preserve"> in routine clinical consultations. Longitudinal studies show that between 30% and 40% of diagnosed AF patients experience high levels of anxiety, and up </w:t>
      </w:r>
      <w:r>
        <w:t xml:space="preserve">to 25% meet clinical criteria for major depressive disorder (WebMD, 2025). The unpredictable, episodic nature of paroxysmal AF creates a state of continuous hyper-vigilance. Patients often describe living in fear of the next episode, misinterpreting normal sinus fluctuations as a sign of an impending cardiac emergency. This cycle can lead to panic disorders and avoidance </w:t>
      </w:r>
      <w:proofErr w:type="spellStart"/>
      <w:r>
        <w:t>behaviors</w:t>
      </w:r>
      <w:proofErr w:type="spellEnd"/>
      <w:r>
        <w:t xml:space="preserve"> (Mayo Clinic, 2024). </w:t>
      </w:r>
    </w:p>
    <w:p w14:paraId="67958EC1" w14:textId="77777777" w:rsidR="0099082E" w:rsidRDefault="00685AD6">
      <w:pPr>
        <w:ind w:left="-5" w:right="12"/>
      </w:pPr>
      <w:r>
        <w:t>Paroxysmal AF Episode ──</w:t>
      </w:r>
      <w:r>
        <w:t>►</w:t>
      </w:r>
      <w:r>
        <w:t xml:space="preserve"> </w:t>
      </w:r>
      <w:proofErr w:type="spellStart"/>
      <w:r>
        <w:t>Hypervigilance</w:t>
      </w:r>
      <w:proofErr w:type="spellEnd"/>
      <w:r>
        <w:t xml:space="preserve"> &amp; Fear ──</w:t>
      </w:r>
      <w:r>
        <w:t>►</w:t>
      </w:r>
      <w:r>
        <w:t xml:space="preserve"> Sympathetic Nervous Overdrive ──</w:t>
      </w:r>
      <w:r>
        <w:t>►</w:t>
      </w:r>
      <w:r>
        <w:t xml:space="preserve"> Trigger for Recurrent AF </w:t>
      </w:r>
    </w:p>
    <w:p w14:paraId="6F92713B" w14:textId="77777777" w:rsidR="0099082E" w:rsidRDefault="00685AD6">
      <w:pPr>
        <w:ind w:left="-5" w:right="12"/>
      </w:pPr>
      <w:r>
        <w:t xml:space="preserve">This psychological distress sets up a dangerous feedback loop: the emotional panic triggers a surge in endogenous catecholamines, increasing sympathetic nervous system activity, which can then precipitate a recurrent episode of AF (Mayo Clinic, 2024). </w:t>
      </w:r>
    </w:p>
    <w:p w14:paraId="600ECC95" w14:textId="77777777" w:rsidR="0099082E" w:rsidRDefault="00685AD6">
      <w:pPr>
        <w:ind w:left="-5" w:right="12"/>
      </w:pPr>
      <w:r>
        <w:t xml:space="preserve">Furthermore, introducing long-term oral anticoagulation therapy adds psychological stress related to bleeding risks. Patients often worry about hemorrhagic stroke, internal bleeding from minor falls, or standard </w:t>
      </w:r>
      <w:proofErr w:type="spellStart"/>
      <w:r>
        <w:t>drugnutrient</w:t>
      </w:r>
      <w:proofErr w:type="spellEnd"/>
      <w:r>
        <w:t xml:space="preserve"> interactions. This fear can negatively a </w:t>
      </w:r>
      <w:proofErr w:type="spellStart"/>
      <w:r>
        <w:t>ect</w:t>
      </w:r>
      <w:proofErr w:type="spellEnd"/>
      <w:r>
        <w:t xml:space="preserve"> treatment adherence and reduce overall quality of life. Recent studies have highlighted that up to 20% of symptomatic AF patients experiencing severe psychological distress report passive suicidal ideation, underlining the need for integrated psycho-cardiac support (WebMD, </w:t>
      </w:r>
      <w:r>
        <w:t xml:space="preserve">2025). </w:t>
      </w:r>
    </w:p>
    <w:p w14:paraId="32CB5C67" w14:textId="77777777" w:rsidR="0099082E" w:rsidRDefault="00685AD6">
      <w:pPr>
        <w:spacing w:after="184" w:line="259" w:lineRule="auto"/>
        <w:ind w:left="-5" w:right="7"/>
      </w:pPr>
      <w:r>
        <w:t xml:space="preserve">Social Repercussions and Quality of Life Impairment </w:t>
      </w:r>
    </w:p>
    <w:p w14:paraId="3EA4A0F4" w14:textId="77777777" w:rsidR="0099082E" w:rsidRDefault="00685AD6">
      <w:pPr>
        <w:ind w:left="-5" w:right="12"/>
      </w:pPr>
      <w:r>
        <w:t xml:space="preserve">Socially, AF can lead to social isolation and reduced community engagement. </w:t>
      </w:r>
      <w:proofErr w:type="spellStart"/>
      <w:r>
        <w:t>Exertional</w:t>
      </w:r>
      <w:proofErr w:type="spellEnd"/>
      <w:r>
        <w:t xml:space="preserve"> breathlessness and fatigue often force individuals to withdraw from recreational activities, social clubs, and volunteer roles, shrinking their supportive social networks. For younger, working-age patients, frequent symptomatic episodes can result in high rates of absenteeism, decreased productivity, and early retirement, causing financial strain. </w:t>
      </w:r>
    </w:p>
    <w:p w14:paraId="4CBF79B2" w14:textId="77777777" w:rsidR="0099082E" w:rsidRDefault="00685AD6">
      <w:pPr>
        <w:ind w:left="-5" w:right="12"/>
      </w:pPr>
      <w:r>
        <w:t xml:space="preserve">Sexual dysfunction is another common but underreported issue, driven by a combination of performance-related anxiety, physical exhaustion, and the side e </w:t>
      </w:r>
      <w:proofErr w:type="spellStart"/>
      <w:r>
        <w:t>ects</w:t>
      </w:r>
      <w:proofErr w:type="spellEnd"/>
      <w:r>
        <w:t xml:space="preserve"> of rate-controlling medications such as -blockers. This can place extra strain on intimate relationships and marital stability. </w:t>
      </w:r>
    </w:p>
    <w:p w14:paraId="68AC7F53" w14:textId="77777777" w:rsidR="0099082E" w:rsidRDefault="00685AD6">
      <w:pPr>
        <w:spacing w:after="184" w:line="259" w:lineRule="auto"/>
        <w:ind w:left="-5" w:right="7"/>
      </w:pPr>
      <w:r>
        <w:t xml:space="preserve">2.2 Impact of Informal Caregiving and Wider Family Dynamics </w:t>
      </w:r>
    </w:p>
    <w:p w14:paraId="3C9D6EF1" w14:textId="77777777" w:rsidR="0099082E" w:rsidRDefault="00685AD6">
      <w:pPr>
        <w:ind w:left="-5" w:right="12"/>
      </w:pPr>
      <w:r>
        <w:t xml:space="preserve">The burden of managing chronic AF extends beyond the individual patient, often reshaping the entire family structure. In the UK, informal caregivers—typically spouses, adult children, or close cohabitants—provide vital daily support, but often at a high personal cost (Mayo Clinic, 2025). </w:t>
      </w:r>
    </w:p>
    <w:p w14:paraId="7EB5DA94" w14:textId="77777777" w:rsidR="0099082E" w:rsidRDefault="00685AD6">
      <w:pPr>
        <w:ind w:left="-5" w:right="12"/>
      </w:pPr>
      <w:r>
        <w:t xml:space="preserve">Family caregivers routinely take on a wide range of tasks, including managing complex medication schedules, coordinating medical appointments, monitoring for signs of stroke or bleeding, and assisting with basic </w:t>
      </w:r>
      <w:r>
        <w:t xml:space="preserve">physical mobility. This continuous responsibility can lead to informal caregiver burnout, a multi-dimensional state of physical, emotional, and mental exhaustion. Caregivers frequently report chronic sleep deprivation, especially if the patient experiences nocturnal paroxysms or sleep apnea. They also face a higher risk of developing anxiety and stress-related physical health conditions themselves. </w:t>
      </w:r>
    </w:p>
    <w:p w14:paraId="218F6777" w14:textId="77777777" w:rsidR="0099082E" w:rsidRDefault="00685AD6">
      <w:pPr>
        <w:spacing w:after="11"/>
        <w:ind w:left="-5" w:right="12"/>
      </w:pPr>
      <w:r>
        <w:t>Complex AF Regimen ──</w:t>
      </w:r>
      <w:r>
        <w:t>►</w:t>
      </w:r>
      <w:r>
        <w:t xml:space="preserve"> Caregiver </w:t>
      </w:r>
    </w:p>
    <w:p w14:paraId="1580F1E9" w14:textId="77777777" w:rsidR="0099082E" w:rsidRDefault="00685AD6">
      <w:pPr>
        <w:spacing w:after="12"/>
        <w:ind w:left="-5" w:right="12"/>
      </w:pPr>
      <w:r>
        <w:t>Hyper-vigilance ──</w:t>
      </w:r>
      <w:r>
        <w:t>►</w:t>
      </w:r>
      <w:r>
        <w:t xml:space="preserve"> Chronic Stress / </w:t>
      </w:r>
    </w:p>
    <w:p w14:paraId="0ECD3B88" w14:textId="77777777" w:rsidR="0099082E" w:rsidRDefault="00685AD6">
      <w:pPr>
        <w:ind w:left="-5" w:right="12"/>
      </w:pPr>
      <w:r>
        <w:t>Sleep Deprivation ──</w:t>
      </w:r>
      <w:r>
        <w:t>►</w:t>
      </w:r>
      <w:r>
        <w:t xml:space="preserve"> Caregiver Burnout </w:t>
      </w:r>
    </w:p>
    <w:p w14:paraId="7271999C" w14:textId="77777777" w:rsidR="0099082E" w:rsidRDefault="00685AD6">
      <w:pPr>
        <w:ind w:left="-5" w:right="12"/>
      </w:pPr>
      <w:r>
        <w:t xml:space="preserve">Family dynamics often shift significantly. Spouses may transition from equal partners to full-time care providers, disrupting long-standing marital roles and creating unspoken feelings of dependency and resentment. The continuous anxiety surrounding stroke risk can create a tense home environment, where family members become overly protective, restricting the patient's remaining independence out of fear (Beacon Health System, 2025). </w:t>
      </w:r>
    </w:p>
    <w:p w14:paraId="0B1EE146" w14:textId="77777777" w:rsidR="0099082E" w:rsidRDefault="00685AD6">
      <w:pPr>
        <w:ind w:left="-5" w:right="12"/>
      </w:pPr>
      <w:r>
        <w:t xml:space="preserve">Additionally, the financial impact on families can be substantial, particularly if a working-age caregiver must reduce their working hours or leave employment entirely to balance caregiving duties. This reduction in household income occurs alongside rising care-related costs, such as transport to specialist clinics. </w:t>
      </w:r>
    </w:p>
    <w:p w14:paraId="3AB4E79D" w14:textId="77777777" w:rsidR="0099082E" w:rsidRDefault="00685AD6">
      <w:pPr>
        <w:spacing w:after="184" w:line="259" w:lineRule="auto"/>
        <w:ind w:left="-5" w:right="7"/>
      </w:pPr>
      <w:r>
        <w:t xml:space="preserve">2.3 Evidence-Based Treatments via the NHS Pathway </w:t>
      </w:r>
    </w:p>
    <w:p w14:paraId="492639D1" w14:textId="77777777" w:rsidR="0099082E" w:rsidRDefault="00685AD6">
      <w:pPr>
        <w:ind w:left="-5" w:right="12"/>
      </w:pPr>
      <w:r>
        <w:t xml:space="preserve">The clinical management of AF within the UK healthcare system is </w:t>
      </w:r>
      <w:proofErr w:type="spellStart"/>
      <w:r>
        <w:t>standardized</w:t>
      </w:r>
      <w:proofErr w:type="spellEnd"/>
      <w:r>
        <w:t xml:space="preserve"> by the National Institute for Health and Care Excellence (NICE) NG196 guidelines. Treatment plans are structured around three core pillars: stroke prevention through anticoagulation, ventricular rate control, and atrial rhythm restoration. </w:t>
      </w:r>
    </w:p>
    <w:p w14:paraId="5A84E137" w14:textId="77777777" w:rsidR="0099082E" w:rsidRDefault="00685AD6">
      <w:pPr>
        <w:numPr>
          <w:ilvl w:val="0"/>
          <w:numId w:val="6"/>
        </w:numPr>
        <w:spacing w:after="184" w:line="259" w:lineRule="auto"/>
        <w:ind w:right="7" w:hanging="233"/>
      </w:pPr>
      <w:r>
        <w:t xml:space="preserve">Stroke Prevention and Anticoagulation </w:t>
      </w:r>
    </w:p>
    <w:p w14:paraId="36C0D01A" w14:textId="77777777" w:rsidR="0099082E" w:rsidRDefault="00685AD6">
      <w:pPr>
        <w:ind w:left="-5" w:right="12"/>
      </w:pPr>
      <w:r>
        <w:t xml:space="preserve">NICE guidelines require that stroke risk be formally assessed for every patient using the electronic clinical prediction tool, which assigns points based on clinical risk factors: </w:t>
      </w:r>
    </w:p>
    <w:p w14:paraId="1DFC361C" w14:textId="77777777" w:rsidR="0099082E" w:rsidRDefault="00685AD6">
      <w:pPr>
        <w:ind w:left="-5" w:right="12"/>
      </w:pPr>
      <w:r>
        <w:t xml:space="preserve">Anticoagulation is strongly recommended for men with a score of 1 and mandated for all patients with a score of (National Institute for Health and Care Excellence, 2021). Crucially, female sex alone is treated as a risk modifier rather than an independent trigger for therapy. Concurrently, a patient's baseline bleeding risk must be quantified using the ORBIT bleeding score or the HAS-BLED calculator. This allows clinicians to identify and address modifiable bleeding risks—such as uncontrolled hypertension, </w:t>
      </w:r>
      <w:r>
        <w:t xml:space="preserve">concurrent NSAID usage, or excessive alcohol intake—rather than using an elevated score as a reason to withhold necessary anticoagulation. </w:t>
      </w:r>
    </w:p>
    <w:p w14:paraId="6FB4A0A4" w14:textId="77777777" w:rsidR="0099082E" w:rsidRDefault="00685AD6">
      <w:pPr>
        <w:ind w:left="-5" w:right="12"/>
      </w:pPr>
      <w:r>
        <w:t xml:space="preserve">Direct Oral Anticoagulants (DOACs)— including Apixaban, </w:t>
      </w:r>
      <w:proofErr w:type="spellStart"/>
      <w:r>
        <w:t>Rivaroxaban</w:t>
      </w:r>
      <w:proofErr w:type="spellEnd"/>
      <w:r>
        <w:t xml:space="preserve">, </w:t>
      </w:r>
      <w:proofErr w:type="spellStart"/>
      <w:r>
        <w:t>Edoxaban</w:t>
      </w:r>
      <w:proofErr w:type="spellEnd"/>
      <w:r>
        <w:t xml:space="preserve">, and </w:t>
      </w:r>
      <w:proofErr w:type="spellStart"/>
      <w:r>
        <w:t>Dabipatran</w:t>
      </w:r>
      <w:proofErr w:type="spellEnd"/>
      <w:r>
        <w:t xml:space="preserve">—are recommended by NICE as first-line therapies, completely superseding </w:t>
      </w:r>
      <w:r>
        <w:t xml:space="preserve">traditional Vitamin K Antagonists like Warfarin, except in cases of mechanical heart valves or moderate-to-severe mitral stenosis. DOACs o er a superior safety profile, lower rates of intracranial </w:t>
      </w:r>
      <w:proofErr w:type="spellStart"/>
      <w:r>
        <w:t>hemorrhage</w:t>
      </w:r>
      <w:proofErr w:type="spellEnd"/>
      <w:r>
        <w:t xml:space="preserve">, predictable pharmacokinetics, and eliminate the need for regular International </w:t>
      </w:r>
      <w:proofErr w:type="spellStart"/>
      <w:r>
        <w:t>Normalized</w:t>
      </w:r>
      <w:proofErr w:type="spellEnd"/>
      <w:r>
        <w:t xml:space="preserve"> Ratio (INR) blood testing (National Institute for Health and Care Excellence, 2021). </w:t>
      </w:r>
    </w:p>
    <w:p w14:paraId="7F83B6ED" w14:textId="77777777" w:rsidR="0099082E" w:rsidRDefault="00685AD6">
      <w:pPr>
        <w:numPr>
          <w:ilvl w:val="0"/>
          <w:numId w:val="6"/>
        </w:numPr>
        <w:spacing w:after="184" w:line="259" w:lineRule="auto"/>
        <w:ind w:right="7" w:hanging="233"/>
      </w:pPr>
      <w:r>
        <w:t xml:space="preserve">Ventricular Rate Control </w:t>
      </w:r>
    </w:p>
    <w:p w14:paraId="7B0D8BF8" w14:textId="77777777" w:rsidR="0099082E" w:rsidRDefault="00685AD6">
      <w:pPr>
        <w:ind w:left="-5" w:right="12"/>
      </w:pPr>
      <w:r>
        <w:t xml:space="preserve">For the majority of elderly or minimally symptomatic patients, a rate-control strategy is deployed as the standard first-line long-term approach. The primary therapeutic goal is to achieve a resting heart rate of in asymptomatic individuals, or a stricter target of if symptoms persist or features of heart failure are present. </w:t>
      </w:r>
    </w:p>
    <w:p w14:paraId="51BF9C42" w14:textId="77777777" w:rsidR="0099082E" w:rsidRDefault="00685AD6">
      <w:pPr>
        <w:numPr>
          <w:ilvl w:val="1"/>
          <w:numId w:val="6"/>
        </w:numPr>
        <w:spacing w:after="151" w:line="295" w:lineRule="auto"/>
        <w:ind w:right="27" w:hanging="338"/>
      </w:pPr>
      <w:r>
        <w:t xml:space="preserve">First-Line </w:t>
      </w:r>
      <w:proofErr w:type="spellStart"/>
      <w:r>
        <w:t>Monotherapy</w:t>
      </w:r>
      <w:proofErr w:type="spellEnd"/>
      <w:r>
        <w:t>:</w:t>
      </w:r>
      <w:r>
        <w:t xml:space="preserve"> </w:t>
      </w:r>
      <w:proofErr w:type="spellStart"/>
      <w:r>
        <w:t>Cardioselective</w:t>
      </w:r>
      <w:proofErr w:type="spellEnd"/>
      <w:r>
        <w:t xml:space="preserve"> -blockers, such as </w:t>
      </w:r>
      <w:proofErr w:type="spellStart"/>
      <w:r>
        <w:t>Bisoprolol</w:t>
      </w:r>
      <w:proofErr w:type="spellEnd"/>
      <w:r>
        <w:t xml:space="preserve"> or Metoprolol, are the preferred choice. They slow AV node conduction by blocking sympathetic inputs. Alternatively, rate-limiting (</w:t>
      </w:r>
      <w:proofErr w:type="spellStart"/>
      <w:r>
        <w:t>nondihydropyridine</w:t>
      </w:r>
      <w:proofErr w:type="spellEnd"/>
      <w:r>
        <w:t xml:space="preserve">) calcium channel blockers, such as </w:t>
      </w:r>
      <w:proofErr w:type="spellStart"/>
      <w:r>
        <w:t>Diltiazem</w:t>
      </w:r>
      <w:proofErr w:type="spellEnd"/>
      <w:r>
        <w:t xml:space="preserve"> or Verapamil, are used in patients without structural heart disease or reduced ejection fraction. </w:t>
      </w:r>
    </w:p>
    <w:p w14:paraId="3EDA70DC" w14:textId="77777777" w:rsidR="0099082E" w:rsidRDefault="00685AD6">
      <w:pPr>
        <w:numPr>
          <w:ilvl w:val="1"/>
          <w:numId w:val="6"/>
        </w:numPr>
        <w:ind w:right="27" w:hanging="338"/>
      </w:pPr>
      <w:r>
        <w:t>Adjunctive Therapy:</w:t>
      </w:r>
      <w:r>
        <w:t xml:space="preserve"> Digoxin can be added when mono-therapy fails to control the ventricular rate. Digoxin works by increasing vagal tone to slow the AV node. It </w:t>
      </w:r>
    </w:p>
    <w:p w14:paraId="5D287C71" w14:textId="77777777" w:rsidR="0099082E" w:rsidRDefault="00685AD6">
      <w:pPr>
        <w:ind w:left="687" w:right="12"/>
      </w:pPr>
      <w:r>
        <w:t xml:space="preserve">is particularly useful for sedentary patients with concurrent heart failure, though regular serum monitoring is required to prevent digitalis toxicity. </w:t>
      </w:r>
    </w:p>
    <w:p w14:paraId="753AD0B1" w14:textId="77777777" w:rsidR="0099082E" w:rsidRDefault="00685AD6">
      <w:pPr>
        <w:numPr>
          <w:ilvl w:val="0"/>
          <w:numId w:val="6"/>
        </w:numPr>
        <w:spacing w:after="184" w:line="259" w:lineRule="auto"/>
        <w:ind w:right="7" w:hanging="233"/>
      </w:pPr>
      <w:r>
        <w:t xml:space="preserve">Atrial Rhythm Control </w:t>
      </w:r>
    </w:p>
    <w:p w14:paraId="6C6507BD" w14:textId="77777777" w:rsidR="0099082E" w:rsidRDefault="00685AD6">
      <w:pPr>
        <w:ind w:left="-5" w:right="12"/>
      </w:pPr>
      <w:r>
        <w:t xml:space="preserve">A rhythm-control strategy aims to actively restore and maintain normal sinus rhythm. This approach is typically reserved for younger individuals, highly symptomatic patients, those presenting with new-onset AF, or cases where </w:t>
      </w:r>
      <w:proofErr w:type="spellStart"/>
      <w:r>
        <w:t>tachycardiomyopathy</w:t>
      </w:r>
      <w:proofErr w:type="spellEnd"/>
      <w:r>
        <w:t xml:space="preserve"> has caused secondary heart failure. </w:t>
      </w:r>
    </w:p>
    <w:p w14:paraId="7AE6DE02" w14:textId="77777777" w:rsidR="0099082E" w:rsidRDefault="00685AD6">
      <w:pPr>
        <w:numPr>
          <w:ilvl w:val="0"/>
          <w:numId w:val="7"/>
        </w:numPr>
        <w:spacing w:after="151" w:line="295" w:lineRule="auto"/>
        <w:ind w:left="661" w:right="41" w:hanging="338"/>
        <w:jc w:val="both"/>
      </w:pPr>
      <w:r>
        <w:t xml:space="preserve">Pharmacological </w:t>
      </w:r>
      <w:proofErr w:type="spellStart"/>
      <w:r>
        <w:t>Cardioversion</w:t>
      </w:r>
      <w:proofErr w:type="spellEnd"/>
      <w:r>
        <w:t xml:space="preserve"> / </w:t>
      </w:r>
      <w:proofErr w:type="spellStart"/>
      <w:r>
        <w:t>Antiarrhythmic</w:t>
      </w:r>
      <w:proofErr w:type="spellEnd"/>
      <w:r>
        <w:t xml:space="preserve"> Drugs (AADs):</w:t>
      </w:r>
      <w:r>
        <w:t xml:space="preserve"> </w:t>
      </w:r>
      <w:proofErr w:type="spellStart"/>
      <w:r>
        <w:t>Flecainide</w:t>
      </w:r>
      <w:proofErr w:type="spellEnd"/>
      <w:r>
        <w:t xml:space="preserve"> (a Class 1C fast sodium-channel blocker) is frequently used, but it is strictly contraindicated in patients with pre-existing structural or </w:t>
      </w:r>
      <w:proofErr w:type="spellStart"/>
      <w:r>
        <w:t>ischemic</w:t>
      </w:r>
      <w:proofErr w:type="spellEnd"/>
      <w:r>
        <w:t xml:space="preserve"> heart disease due to pro-arrhythmic risks. For patients with structural heart disease, </w:t>
      </w:r>
      <w:proofErr w:type="spellStart"/>
      <w:r>
        <w:t>Amiodarone</w:t>
      </w:r>
      <w:proofErr w:type="spellEnd"/>
      <w:r>
        <w:t xml:space="preserve"> (a Class III potassium-channel blocker) is the primary option, though its long-term use is limited by potential toxicities a </w:t>
      </w:r>
      <w:proofErr w:type="spellStart"/>
      <w:r>
        <w:t>ecting</w:t>
      </w:r>
      <w:proofErr w:type="spellEnd"/>
      <w:r>
        <w:t xml:space="preserve"> the thyroid, lungs, liver, and skin. </w:t>
      </w:r>
    </w:p>
    <w:p w14:paraId="05DFF8C7" w14:textId="77777777" w:rsidR="0099082E" w:rsidRDefault="00685AD6">
      <w:pPr>
        <w:numPr>
          <w:ilvl w:val="0"/>
          <w:numId w:val="7"/>
        </w:numPr>
        <w:spacing w:after="151" w:line="295" w:lineRule="auto"/>
        <w:ind w:left="661" w:right="41" w:hanging="338"/>
        <w:jc w:val="both"/>
      </w:pPr>
      <w:r>
        <w:t xml:space="preserve">Electrical </w:t>
      </w:r>
      <w:proofErr w:type="spellStart"/>
      <w:r>
        <w:t>Cardioversion</w:t>
      </w:r>
      <w:proofErr w:type="spellEnd"/>
      <w:r>
        <w:t xml:space="preserve"> (DCCV):</w:t>
      </w:r>
      <w:r>
        <w:t xml:space="preserve"> Direct Current </w:t>
      </w:r>
      <w:proofErr w:type="spellStart"/>
      <w:r>
        <w:t>Cardioversion</w:t>
      </w:r>
      <w:proofErr w:type="spellEnd"/>
      <w:r>
        <w:t xml:space="preserve"> involves delivering a </w:t>
      </w:r>
      <w:proofErr w:type="spellStart"/>
      <w:r>
        <w:t>synchronized</w:t>
      </w:r>
      <w:proofErr w:type="spellEnd"/>
      <w:r>
        <w:t xml:space="preserve"> electrical shock across the chest wall under conscious sedation to reset the cardiac conduction system. To </w:t>
      </w:r>
      <w:proofErr w:type="spellStart"/>
      <w:r>
        <w:t>minimize</w:t>
      </w:r>
      <w:proofErr w:type="spellEnd"/>
      <w:r>
        <w:t xml:space="preserve"> thromboembolic risk, patients must be therapeutic on anticoagulation for at least three consecutive weeks prior to the procedure. </w:t>
      </w:r>
    </w:p>
    <w:p w14:paraId="7C579C1E" w14:textId="77777777" w:rsidR="0099082E" w:rsidRDefault="00685AD6">
      <w:pPr>
        <w:numPr>
          <w:ilvl w:val="0"/>
          <w:numId w:val="7"/>
        </w:numPr>
        <w:ind w:left="661" w:right="41" w:hanging="338"/>
        <w:jc w:val="both"/>
      </w:pPr>
      <w:r>
        <w:t>Catheter Ablation:</w:t>
      </w:r>
      <w:r>
        <w:t xml:space="preserve"> For patients who remain highly symptomatic despite drug therapy, or as a </w:t>
      </w:r>
      <w:proofErr w:type="spellStart"/>
      <w:r>
        <w:t>firstline</w:t>
      </w:r>
      <w:proofErr w:type="spellEnd"/>
      <w:r>
        <w:t xml:space="preserve"> option in selected cases of paroxysmal AF, percutaneous catheter ablation is increasingly </w:t>
      </w:r>
      <w:proofErr w:type="spellStart"/>
      <w:r>
        <w:t>utilized</w:t>
      </w:r>
      <w:proofErr w:type="spellEnd"/>
      <w:r>
        <w:t xml:space="preserve"> within the NHS. This procedure involves passing an ablation catheter via the femoral vein into the left atrium. Using </w:t>
      </w:r>
      <w:proofErr w:type="spellStart"/>
      <w:r>
        <w:t>radiofrequency</w:t>
      </w:r>
      <w:proofErr w:type="spellEnd"/>
      <w:r>
        <w:t xml:space="preserve"> energy (heat) or </w:t>
      </w:r>
      <w:proofErr w:type="spellStart"/>
      <w:r>
        <w:t>cryoablation</w:t>
      </w:r>
      <w:proofErr w:type="spellEnd"/>
      <w:r>
        <w:t xml:space="preserve"> (extreme cold), the operator isolates the pulmonary veins, creating circumferential lines of scar tissue that block abnormal electrical triggers from entering the atr</w:t>
      </w:r>
      <w:r>
        <w:t>ial myocardium (</w:t>
      </w:r>
      <w:proofErr w:type="spellStart"/>
      <w:r>
        <w:t>Calkins</w:t>
      </w:r>
      <w:proofErr w:type="spellEnd"/>
      <w:r>
        <w:t xml:space="preserve"> </w:t>
      </w:r>
      <w:r>
        <w:t>et al.</w:t>
      </w:r>
      <w:r>
        <w:t xml:space="preserve">, 2017). </w:t>
      </w:r>
    </w:p>
    <w:p w14:paraId="480D2315" w14:textId="77777777" w:rsidR="0099082E" w:rsidRDefault="00685AD6">
      <w:pPr>
        <w:spacing w:after="2"/>
        <w:ind w:left="-5" w:right="12"/>
      </w:pPr>
      <w:r>
        <w:t xml:space="preserve">Recently, NICE has updated its procedural guidance to support </w:t>
      </w:r>
      <w:r>
        <w:t>Pulsed Field Ablation (PFA)</w:t>
      </w:r>
      <w:r>
        <w:t xml:space="preserve"> as an alternative to thermal ablation within the NHS (Arrhythmia Alliance, 2026; National </w:t>
      </w:r>
    </w:p>
    <w:p w14:paraId="3B07C3F5" w14:textId="77777777" w:rsidR="0099082E" w:rsidRDefault="00685AD6">
      <w:pPr>
        <w:ind w:left="-5" w:right="12"/>
      </w:pPr>
      <w:r>
        <w:t xml:space="preserve">Institute for Health and Care Excellence, 2025). Unlike traditional </w:t>
      </w:r>
      <w:proofErr w:type="spellStart"/>
      <w:r>
        <w:t>radiofrequency</w:t>
      </w:r>
      <w:proofErr w:type="spellEnd"/>
      <w:r>
        <w:t xml:space="preserve"> or </w:t>
      </w:r>
      <w:proofErr w:type="spellStart"/>
      <w:r>
        <w:t>cryo-energy</w:t>
      </w:r>
      <w:proofErr w:type="spellEnd"/>
      <w:r>
        <w:t xml:space="preserve">, PFA uses ultra-rapid, tissue-selective electrical fields to punch microscopic holes in cell membranes (electroporation). Because cardiac muscle cells are highly sensitive to this energy compared to nearby structures, PFA isolates the pulmonary veins quickly while </w:t>
      </w:r>
      <w:proofErr w:type="spellStart"/>
      <w:r>
        <w:t>minimizing</w:t>
      </w:r>
      <w:proofErr w:type="spellEnd"/>
      <w:r>
        <w:t xml:space="preserve"> the risk of serious complications like </w:t>
      </w:r>
      <w:proofErr w:type="spellStart"/>
      <w:r>
        <w:t>esophageal</w:t>
      </w:r>
      <w:proofErr w:type="spellEnd"/>
      <w:r>
        <w:t xml:space="preserve"> perforation or phrenic nerve injury. This technology helps shorten waiting lists and reduce overall hospital costs (Arrhythmia Alliance, 2026). </w:t>
      </w:r>
    </w:p>
    <w:p w14:paraId="33F553FD" w14:textId="77777777" w:rsidR="0099082E" w:rsidRDefault="00685AD6">
      <w:pPr>
        <w:spacing w:after="40" w:line="259" w:lineRule="auto"/>
        <w:ind w:left="-5" w:right="7"/>
      </w:pPr>
      <w:r>
        <w:t xml:space="preserve">SECTION 3: HEALTHCARE </w:t>
      </w:r>
    </w:p>
    <w:p w14:paraId="65A3DD69" w14:textId="77777777" w:rsidR="0099082E" w:rsidRDefault="00685AD6">
      <w:pPr>
        <w:spacing w:after="184" w:line="259" w:lineRule="auto"/>
        <w:ind w:left="-5" w:right="7"/>
      </w:pPr>
      <w:r>
        <w:t xml:space="preserve">FRAMEWORKS AND POLICY IMPLEMENTATION </w:t>
      </w:r>
    </w:p>
    <w:p w14:paraId="5A71F071" w14:textId="77777777" w:rsidR="0099082E" w:rsidRDefault="00685AD6">
      <w:pPr>
        <w:spacing w:after="37" w:line="259" w:lineRule="auto"/>
        <w:ind w:left="-5" w:right="7"/>
      </w:pPr>
      <w:r>
        <w:t xml:space="preserve">3.1 Comparative Analysis of </w:t>
      </w:r>
    </w:p>
    <w:p w14:paraId="6021FD16" w14:textId="77777777" w:rsidR="0099082E" w:rsidRDefault="00685AD6">
      <w:pPr>
        <w:spacing w:after="184" w:line="259" w:lineRule="auto"/>
        <w:ind w:left="-5" w:right="7"/>
      </w:pPr>
      <w:r>
        <w:t xml:space="preserve">Healthcare Models and Frameworks </w:t>
      </w:r>
    </w:p>
    <w:p w14:paraId="12F70D43" w14:textId="77777777" w:rsidR="0099082E" w:rsidRDefault="00685AD6">
      <w:pPr>
        <w:ind w:left="-5" w:right="12"/>
      </w:pPr>
      <w:r>
        <w:t xml:space="preserve">Improving outcomes for individuals living with chronic, multi-morbid conditions like AF requires moving away from reactive, episodic acute care toward proactive, integrated healthcare models. Two major frameworks help guide this transformation: the House of Care Model within the UK and the international Chronic Care Model (CCM). </w:t>
      </w:r>
    </w:p>
    <w:p w14:paraId="2AC475C5" w14:textId="77777777" w:rsidR="0099082E" w:rsidRDefault="00685AD6">
      <w:pPr>
        <w:spacing w:after="184" w:line="259" w:lineRule="auto"/>
        <w:ind w:left="-5" w:right="7"/>
      </w:pPr>
      <w:r>
        <w:t xml:space="preserve">The UK House of Care Framework </w:t>
      </w:r>
    </w:p>
    <w:p w14:paraId="4DE6C368" w14:textId="77777777" w:rsidR="0099082E" w:rsidRDefault="00685AD6">
      <w:pPr>
        <w:ind w:left="-5" w:right="12"/>
      </w:pPr>
      <w:r>
        <w:t xml:space="preserve">The House of Care framework was developed by the King’s Fund and adopted widely across NHS England (The King's Fund, 2013). It uses the metaphor of a house to represent the interconnected components needed to deliver e </w:t>
      </w:r>
      <w:proofErr w:type="spellStart"/>
      <w:r>
        <w:t>ective</w:t>
      </w:r>
      <w:proofErr w:type="spellEnd"/>
      <w:r>
        <w:t xml:space="preserve">, </w:t>
      </w:r>
      <w:proofErr w:type="spellStart"/>
      <w:r>
        <w:t>person-centered</w:t>
      </w:r>
      <w:proofErr w:type="spellEnd"/>
      <w:r>
        <w:t xml:space="preserve"> care for long-term conditions. </w:t>
      </w:r>
    </w:p>
    <w:p w14:paraId="28E35981" w14:textId="77777777" w:rsidR="0099082E" w:rsidRDefault="00685AD6">
      <w:pPr>
        <w:ind w:left="-5" w:right="12"/>
      </w:pPr>
      <w:r>
        <w:t xml:space="preserve">       THE HOUSE OF CARE  </w:t>
      </w:r>
    </w:p>
    <w:p w14:paraId="34ED72D8" w14:textId="77777777" w:rsidR="0099082E" w:rsidRDefault="00685AD6">
      <w:pPr>
        <w:ind w:left="-5" w:right="12"/>
      </w:pPr>
      <w:r>
        <w:t xml:space="preserve">                       ↓    </w:t>
      </w:r>
      <w:r>
        <w:t xml:space="preserve"> </w:t>
      </w:r>
    </w:p>
    <w:p w14:paraId="145B9F2A" w14:textId="77777777" w:rsidR="0099082E" w:rsidRDefault="00685AD6">
      <w:pPr>
        <w:ind w:left="-5" w:right="12"/>
      </w:pPr>
      <w:r>
        <w:t xml:space="preserve">             ROOF:  Commissioning  </w:t>
      </w:r>
    </w:p>
    <w:p w14:paraId="19F5C7CE" w14:textId="77777777" w:rsidR="0099082E" w:rsidRDefault="00685AD6">
      <w:pPr>
        <w:ind w:left="-5" w:right="12"/>
      </w:pPr>
      <w:r>
        <w:t xml:space="preserve">                       ↓ </w:t>
      </w:r>
    </w:p>
    <w:p w14:paraId="04FEF07F" w14:textId="77777777" w:rsidR="0099082E" w:rsidRDefault="00685AD6">
      <w:pPr>
        <w:ind w:left="-5" w:right="12"/>
      </w:pPr>
      <w:r>
        <w:t xml:space="preserve">       WALL 1:   WALL 2:   </w:t>
      </w:r>
    </w:p>
    <w:p w14:paraId="435CF6A1" w14:textId="77777777" w:rsidR="0099082E" w:rsidRDefault="00685AD6">
      <w:pPr>
        <w:ind w:left="-5" w:right="12"/>
      </w:pPr>
      <w:r>
        <w:t xml:space="preserve">       | Healthcare|  Engaged  | </w:t>
      </w:r>
    </w:p>
    <w:p w14:paraId="606E44B2" w14:textId="77777777" w:rsidR="0099082E" w:rsidRDefault="00685AD6">
      <w:pPr>
        <w:ind w:left="-5" w:right="12"/>
      </w:pPr>
      <w:r>
        <w:t xml:space="preserve">       | Profession|  Informed | </w:t>
      </w:r>
    </w:p>
    <w:p w14:paraId="014E4213" w14:textId="77777777" w:rsidR="0099082E" w:rsidRDefault="00685AD6">
      <w:pPr>
        <w:ind w:left="-5" w:right="12"/>
      </w:pPr>
      <w:r>
        <w:t xml:space="preserve">       |  Partner  |  Patient  |        |___________|___________| </w:t>
      </w:r>
    </w:p>
    <w:p w14:paraId="32498B79" w14:textId="77777777" w:rsidR="0099082E" w:rsidRDefault="00685AD6">
      <w:pPr>
        <w:ind w:left="-5" w:right="12"/>
      </w:pPr>
      <w:r>
        <w:t xml:space="preserve">       |      FOUNDATION:      | </w:t>
      </w:r>
    </w:p>
    <w:p w14:paraId="4A78801E" w14:textId="77777777" w:rsidR="0099082E" w:rsidRDefault="00685AD6">
      <w:pPr>
        <w:ind w:left="-5" w:right="12"/>
      </w:pPr>
      <w:r>
        <w:t xml:space="preserve">       |   System Information  | </w:t>
      </w:r>
    </w:p>
    <w:p w14:paraId="0BD7D81B" w14:textId="77777777" w:rsidR="0099082E" w:rsidRDefault="00685AD6">
      <w:pPr>
        <w:ind w:left="-5" w:right="12"/>
      </w:pPr>
      <w:r>
        <w:t xml:space="preserve">       |_______________________| </w:t>
      </w:r>
    </w:p>
    <w:p w14:paraId="728A2D77" w14:textId="77777777" w:rsidR="0099082E" w:rsidRDefault="00685AD6">
      <w:pPr>
        <w:numPr>
          <w:ilvl w:val="0"/>
          <w:numId w:val="8"/>
        </w:numPr>
        <w:ind w:left="676" w:right="12" w:hanging="338"/>
      </w:pPr>
      <w:r>
        <w:t>The Roof:</w:t>
      </w:r>
      <w:r>
        <w:t xml:space="preserve"> Represents the commissioning framework, ensuring that financial and structural incentives are aligned to support integrated care. </w:t>
      </w:r>
    </w:p>
    <w:p w14:paraId="39FF2E22" w14:textId="77777777" w:rsidR="0099082E" w:rsidRDefault="00685AD6">
      <w:pPr>
        <w:numPr>
          <w:ilvl w:val="0"/>
          <w:numId w:val="8"/>
        </w:numPr>
        <w:ind w:left="676" w:right="12" w:hanging="338"/>
      </w:pPr>
      <w:r>
        <w:t>The Left Wall:</w:t>
      </w:r>
      <w:r>
        <w:t xml:space="preserve"> Represents the health and social care professionals, who must possess the clinical competencies, communication skills, and collaborative mindset to act as partners rather than instructors. </w:t>
      </w:r>
    </w:p>
    <w:p w14:paraId="0D99AA97" w14:textId="77777777" w:rsidR="0099082E" w:rsidRDefault="00685AD6">
      <w:pPr>
        <w:numPr>
          <w:ilvl w:val="0"/>
          <w:numId w:val="8"/>
        </w:numPr>
        <w:ind w:left="676" w:right="12" w:hanging="338"/>
      </w:pPr>
      <w:r>
        <w:t>The Right Wall:</w:t>
      </w:r>
      <w:r>
        <w:t xml:space="preserve"> Represents the engaged, informed patient, equipped with the knowledge, confidence, and self-e </w:t>
      </w:r>
      <w:proofErr w:type="spellStart"/>
      <w:r>
        <w:t>icacy</w:t>
      </w:r>
      <w:proofErr w:type="spellEnd"/>
      <w:r>
        <w:t xml:space="preserve"> to actively manage their health. </w:t>
      </w:r>
    </w:p>
    <w:p w14:paraId="5B322D55" w14:textId="77777777" w:rsidR="0099082E" w:rsidRDefault="00685AD6">
      <w:pPr>
        <w:numPr>
          <w:ilvl w:val="0"/>
          <w:numId w:val="8"/>
        </w:numPr>
        <w:spacing w:after="151" w:line="295" w:lineRule="auto"/>
        <w:ind w:left="676" w:right="12" w:hanging="338"/>
      </w:pPr>
      <w:r>
        <w:t>The Floor/Foundation:</w:t>
      </w:r>
      <w:r>
        <w:t xml:space="preserve"> </w:t>
      </w:r>
      <w:r>
        <w:t xml:space="preserve">Represents the essential data infrastructure, including shared electronic health records, predictive risk analytics, and clinical registries that track population outcomes. </w:t>
      </w:r>
    </w:p>
    <w:p w14:paraId="2F0204D9" w14:textId="77777777" w:rsidR="0099082E" w:rsidRDefault="00685AD6">
      <w:pPr>
        <w:numPr>
          <w:ilvl w:val="0"/>
          <w:numId w:val="8"/>
        </w:numPr>
        <w:ind w:left="676" w:right="12" w:hanging="338"/>
      </w:pPr>
      <w:r>
        <w:t>The Core:</w:t>
      </w:r>
      <w:r>
        <w:t xml:space="preserve"> At the </w:t>
      </w:r>
      <w:proofErr w:type="spellStart"/>
      <w:r>
        <w:t>center</w:t>
      </w:r>
      <w:proofErr w:type="spellEnd"/>
      <w:r>
        <w:t xml:space="preserve"> of the house is the collaborative care planning conversation, where clinicians and patients work together to set </w:t>
      </w:r>
      <w:proofErr w:type="spellStart"/>
      <w:r>
        <w:t>personalized</w:t>
      </w:r>
      <w:proofErr w:type="spellEnd"/>
      <w:r>
        <w:t xml:space="preserve">, realistic goals. </w:t>
      </w:r>
    </w:p>
    <w:p w14:paraId="7B80D30B" w14:textId="77777777" w:rsidR="0099082E" w:rsidRDefault="00685AD6">
      <w:pPr>
        <w:ind w:left="-5" w:right="12"/>
      </w:pPr>
      <w:r>
        <w:t xml:space="preserve">When applied to AF, this model ensures that an annual review is not just a checklist of clinical markers. Instead, it becomes a meaningful dialogue about lifestyle modification, medication adherence, and early symptom recognition, fully aligning with the NHS </w:t>
      </w:r>
      <w:proofErr w:type="spellStart"/>
      <w:r>
        <w:t>personalization</w:t>
      </w:r>
      <w:proofErr w:type="spellEnd"/>
      <w:r>
        <w:t xml:space="preserve"> agenda. </w:t>
      </w:r>
    </w:p>
    <w:p w14:paraId="182D4183" w14:textId="77777777" w:rsidR="0099082E" w:rsidRDefault="00685AD6">
      <w:pPr>
        <w:spacing w:after="184" w:line="259" w:lineRule="auto"/>
        <w:ind w:left="-5" w:right="7"/>
      </w:pPr>
      <w:r>
        <w:t xml:space="preserve">The International Chronic Care Model (CCM) </w:t>
      </w:r>
    </w:p>
    <w:p w14:paraId="1B370374" w14:textId="77777777" w:rsidR="0099082E" w:rsidRDefault="00685AD6">
      <w:pPr>
        <w:spacing w:after="8"/>
        <w:ind w:left="-5" w:right="12"/>
      </w:pPr>
      <w:r>
        <w:t xml:space="preserve">Developed by Edward Wagner in the </w:t>
      </w:r>
    </w:p>
    <w:p w14:paraId="288C29D9" w14:textId="77777777" w:rsidR="0099082E" w:rsidRDefault="00685AD6">
      <w:pPr>
        <w:ind w:left="-5" w:right="12"/>
      </w:pPr>
      <w:r>
        <w:t xml:space="preserve">United States, the Chronic Care Model (CCM) is an internationally </w:t>
      </w:r>
      <w:proofErr w:type="spellStart"/>
      <w:r>
        <w:t>recognized</w:t>
      </w:r>
      <w:proofErr w:type="spellEnd"/>
      <w:r>
        <w:t xml:space="preserve"> framework designed to guide systemic healthcare restructuring (Wagner </w:t>
      </w:r>
      <w:r>
        <w:t>et al.</w:t>
      </w:r>
      <w:r>
        <w:t xml:space="preserve">, 2001). The model </w:t>
      </w:r>
      <w:proofErr w:type="spellStart"/>
      <w:r>
        <w:t>emphasizes</w:t>
      </w:r>
      <w:proofErr w:type="spellEnd"/>
      <w:r>
        <w:t xml:space="preserve"> that </w:t>
      </w:r>
      <w:proofErr w:type="spellStart"/>
      <w:r>
        <w:t>highquality</w:t>
      </w:r>
      <w:proofErr w:type="spellEnd"/>
      <w:r>
        <w:t xml:space="preserve"> care requires productive interactions between an informed, activated patient and a prepared, proactive team of health professionals. It is built upon six core components: </w:t>
      </w:r>
    </w:p>
    <w:p w14:paraId="242E1FDB" w14:textId="77777777" w:rsidR="0099082E" w:rsidRDefault="00685AD6">
      <w:pPr>
        <w:numPr>
          <w:ilvl w:val="0"/>
          <w:numId w:val="9"/>
        </w:numPr>
        <w:ind w:left="676" w:right="12" w:hanging="338"/>
      </w:pPr>
      <w:r>
        <w:t xml:space="preserve">Health System </w:t>
      </w:r>
      <w:proofErr w:type="spellStart"/>
      <w:r>
        <w:t>Organization</w:t>
      </w:r>
      <w:proofErr w:type="spellEnd"/>
      <w:r>
        <w:t>:</w:t>
      </w:r>
      <w:r>
        <w:t xml:space="preserve"> Creating a corporate culture that </w:t>
      </w:r>
      <w:proofErr w:type="spellStart"/>
      <w:r>
        <w:t>prioritizes</w:t>
      </w:r>
      <w:proofErr w:type="spellEnd"/>
      <w:r>
        <w:t xml:space="preserve"> patient safety and rewards chronic disease management rather than just acute throughput. </w:t>
      </w:r>
    </w:p>
    <w:p w14:paraId="1888ECFA" w14:textId="77777777" w:rsidR="0099082E" w:rsidRDefault="00685AD6">
      <w:pPr>
        <w:numPr>
          <w:ilvl w:val="0"/>
          <w:numId w:val="9"/>
        </w:numPr>
        <w:ind w:left="676" w:right="12" w:hanging="338"/>
      </w:pPr>
      <w:r>
        <w:t>Clinical Information Systems:</w:t>
      </w:r>
      <w:r>
        <w:t xml:space="preserve"> </w:t>
      </w:r>
      <w:proofErr w:type="spellStart"/>
      <w:r>
        <w:t>Utilizing</w:t>
      </w:r>
      <w:proofErr w:type="spellEnd"/>
      <w:r>
        <w:t xml:space="preserve"> disease registries to track performance, schedule preventive services, and identify patients who have fallen out of regular follow-up. </w:t>
      </w:r>
    </w:p>
    <w:p w14:paraId="57F7F32F" w14:textId="77777777" w:rsidR="0099082E" w:rsidRDefault="00685AD6">
      <w:pPr>
        <w:numPr>
          <w:ilvl w:val="0"/>
          <w:numId w:val="9"/>
        </w:numPr>
        <w:ind w:left="676" w:right="12" w:hanging="338"/>
      </w:pPr>
      <w:r>
        <w:t>Delivery System Design:</w:t>
      </w:r>
      <w:r>
        <w:t xml:space="preserve"> Restructuring clinical encounters to clearly separate acute care from planned chronic disease management, often by expanding the roles of specialist nurses and clinical pharmacists. </w:t>
      </w:r>
    </w:p>
    <w:tbl>
      <w:tblPr>
        <w:tblStyle w:val="TableGrid"/>
        <w:tblpPr w:vertAnchor="text" w:tblpX="4596" w:tblpY="23"/>
        <w:tblOverlap w:val="never"/>
        <w:tblW w:w="3868" w:type="dxa"/>
        <w:tblInd w:w="0" w:type="dxa"/>
        <w:tblCellMar>
          <w:top w:w="37" w:type="dxa"/>
          <w:left w:w="36" w:type="dxa"/>
          <w:bottom w:w="0" w:type="dxa"/>
          <w:right w:w="0" w:type="dxa"/>
        </w:tblCellMar>
        <w:tblLook w:val="04A0" w:firstRow="1" w:lastRow="0" w:firstColumn="1" w:lastColumn="0" w:noHBand="0" w:noVBand="1"/>
      </w:tblPr>
      <w:tblGrid>
        <w:gridCol w:w="1222"/>
        <w:gridCol w:w="1266"/>
        <w:gridCol w:w="1380"/>
      </w:tblGrid>
      <w:tr w:rsidR="0099082E" w14:paraId="288AB111" w14:textId="77777777">
        <w:trPr>
          <w:trHeight w:val="1819"/>
        </w:trPr>
        <w:tc>
          <w:tcPr>
            <w:tcW w:w="1222" w:type="dxa"/>
            <w:tcBorders>
              <w:top w:val="double" w:sz="4" w:space="0" w:color="000000"/>
              <w:left w:val="double" w:sz="4" w:space="0" w:color="000000"/>
              <w:bottom w:val="double" w:sz="3" w:space="0" w:color="000000"/>
              <w:right w:val="double" w:sz="4" w:space="0" w:color="000000"/>
            </w:tcBorders>
          </w:tcPr>
          <w:p w14:paraId="5E392D09" w14:textId="77777777" w:rsidR="0099082E" w:rsidRDefault="00685AD6">
            <w:pPr>
              <w:spacing w:after="40" w:line="259" w:lineRule="auto"/>
              <w:ind w:left="0" w:firstLine="0"/>
            </w:pPr>
            <w:r>
              <w:t xml:space="preserve">Attribute / </w:t>
            </w:r>
          </w:p>
          <w:p w14:paraId="52819FBD" w14:textId="77777777" w:rsidR="0099082E" w:rsidRDefault="00685AD6">
            <w:pPr>
              <w:spacing w:after="0" w:line="259" w:lineRule="auto"/>
              <w:ind w:left="0" w:firstLine="0"/>
            </w:pPr>
            <w:r>
              <w:t>Focus</w:t>
            </w:r>
            <w:r>
              <w:t xml:space="preserve"> </w:t>
            </w:r>
          </w:p>
        </w:tc>
        <w:tc>
          <w:tcPr>
            <w:tcW w:w="1266" w:type="dxa"/>
            <w:tcBorders>
              <w:top w:val="double" w:sz="4" w:space="0" w:color="000000"/>
              <w:left w:val="double" w:sz="4" w:space="0" w:color="000000"/>
              <w:bottom w:val="double" w:sz="3" w:space="0" w:color="000000"/>
              <w:right w:val="double" w:sz="4" w:space="0" w:color="000000"/>
            </w:tcBorders>
          </w:tcPr>
          <w:p w14:paraId="51D9FDF6" w14:textId="77777777" w:rsidR="0099082E" w:rsidRDefault="00685AD6">
            <w:pPr>
              <w:spacing w:after="40" w:line="259" w:lineRule="auto"/>
              <w:ind w:left="0" w:firstLine="0"/>
            </w:pPr>
            <w:r>
              <w:t xml:space="preserve">The UK </w:t>
            </w:r>
          </w:p>
          <w:p w14:paraId="32F09A37" w14:textId="77777777" w:rsidR="0099082E" w:rsidRDefault="00685AD6">
            <w:pPr>
              <w:spacing w:after="35" w:line="259" w:lineRule="auto"/>
              <w:ind w:left="0" w:firstLine="0"/>
            </w:pPr>
            <w:r>
              <w:t xml:space="preserve">House of </w:t>
            </w:r>
          </w:p>
          <w:p w14:paraId="5358ED45" w14:textId="77777777" w:rsidR="0099082E" w:rsidRDefault="00685AD6">
            <w:pPr>
              <w:spacing w:after="0" w:line="259" w:lineRule="auto"/>
              <w:ind w:left="0" w:firstLine="0"/>
              <w:jc w:val="both"/>
            </w:pPr>
            <w:r>
              <w:t>Care Model</w:t>
            </w:r>
            <w:r>
              <w:t xml:space="preserve"> </w:t>
            </w:r>
          </w:p>
        </w:tc>
        <w:tc>
          <w:tcPr>
            <w:tcW w:w="1380" w:type="dxa"/>
            <w:tcBorders>
              <w:top w:val="double" w:sz="4" w:space="0" w:color="000000"/>
              <w:left w:val="double" w:sz="4" w:space="0" w:color="000000"/>
              <w:bottom w:val="double" w:sz="3" w:space="0" w:color="000000"/>
              <w:right w:val="double" w:sz="3" w:space="0" w:color="000000"/>
            </w:tcBorders>
          </w:tcPr>
          <w:p w14:paraId="1593603D" w14:textId="77777777" w:rsidR="0099082E" w:rsidRDefault="00685AD6">
            <w:pPr>
              <w:spacing w:after="35" w:line="259" w:lineRule="auto"/>
              <w:ind w:left="4" w:firstLine="0"/>
            </w:pPr>
            <w:r>
              <w:t xml:space="preserve">The </w:t>
            </w:r>
          </w:p>
          <w:p w14:paraId="51DFB46A" w14:textId="77777777" w:rsidR="0099082E" w:rsidRDefault="00685AD6">
            <w:pPr>
              <w:spacing w:after="0" w:line="296" w:lineRule="auto"/>
              <w:ind w:left="4" w:right="11" w:firstLine="0"/>
            </w:pPr>
            <w:proofErr w:type="spellStart"/>
            <w:r>
              <w:t>Internationa</w:t>
            </w:r>
            <w:proofErr w:type="spellEnd"/>
            <w:r>
              <w:t xml:space="preserve"> l Chronic </w:t>
            </w:r>
          </w:p>
          <w:p w14:paraId="0E191F73" w14:textId="77777777" w:rsidR="0099082E" w:rsidRDefault="00685AD6">
            <w:pPr>
              <w:spacing w:after="40" w:line="259" w:lineRule="auto"/>
              <w:ind w:left="4" w:firstLine="0"/>
            </w:pPr>
            <w:r>
              <w:t xml:space="preserve">Care Model </w:t>
            </w:r>
          </w:p>
          <w:p w14:paraId="74D8498E" w14:textId="77777777" w:rsidR="0099082E" w:rsidRDefault="00685AD6">
            <w:pPr>
              <w:spacing w:after="0" w:line="259" w:lineRule="auto"/>
              <w:ind w:left="4" w:firstLine="0"/>
            </w:pPr>
            <w:r>
              <w:t>(CCM)</w:t>
            </w:r>
            <w:r>
              <w:t xml:space="preserve"> </w:t>
            </w:r>
          </w:p>
        </w:tc>
      </w:tr>
      <w:tr w:rsidR="0099082E" w14:paraId="3262E7F2" w14:textId="77777777">
        <w:trPr>
          <w:trHeight w:val="2149"/>
        </w:trPr>
        <w:tc>
          <w:tcPr>
            <w:tcW w:w="1222" w:type="dxa"/>
            <w:tcBorders>
              <w:top w:val="double" w:sz="3" w:space="0" w:color="000000"/>
              <w:left w:val="double" w:sz="4" w:space="0" w:color="000000"/>
              <w:bottom w:val="double" w:sz="4" w:space="0" w:color="000000"/>
              <w:right w:val="double" w:sz="4" w:space="0" w:color="000000"/>
            </w:tcBorders>
          </w:tcPr>
          <w:p w14:paraId="6BB7A2FA" w14:textId="77777777" w:rsidR="0099082E" w:rsidRDefault="0099082E">
            <w:pPr>
              <w:spacing w:after="160" w:line="259" w:lineRule="auto"/>
              <w:ind w:left="0" w:firstLine="0"/>
            </w:pPr>
          </w:p>
        </w:tc>
        <w:tc>
          <w:tcPr>
            <w:tcW w:w="1266" w:type="dxa"/>
            <w:tcBorders>
              <w:top w:val="double" w:sz="3" w:space="0" w:color="000000"/>
              <w:left w:val="double" w:sz="4" w:space="0" w:color="000000"/>
              <w:bottom w:val="double" w:sz="4" w:space="0" w:color="000000"/>
              <w:right w:val="double" w:sz="4" w:space="0" w:color="000000"/>
            </w:tcBorders>
          </w:tcPr>
          <w:p w14:paraId="7EF44DCC" w14:textId="77777777" w:rsidR="0099082E" w:rsidRDefault="00685AD6">
            <w:pPr>
              <w:spacing w:after="0" w:line="294" w:lineRule="auto"/>
              <w:ind w:left="0" w:firstLine="0"/>
            </w:pPr>
            <w:r>
              <w:t xml:space="preserve">stress that if one component </w:t>
            </w:r>
          </w:p>
          <w:p w14:paraId="7D598A69" w14:textId="77777777" w:rsidR="0099082E" w:rsidRDefault="00685AD6">
            <w:pPr>
              <w:spacing w:after="0" w:line="259" w:lineRule="auto"/>
              <w:ind w:left="0" w:firstLine="0"/>
            </w:pPr>
            <w:r>
              <w:t xml:space="preserve">fails, the system collapses. </w:t>
            </w:r>
          </w:p>
        </w:tc>
        <w:tc>
          <w:tcPr>
            <w:tcW w:w="1380" w:type="dxa"/>
            <w:tcBorders>
              <w:top w:val="double" w:sz="3" w:space="0" w:color="000000"/>
              <w:left w:val="double" w:sz="4" w:space="0" w:color="000000"/>
              <w:bottom w:val="double" w:sz="4" w:space="0" w:color="000000"/>
              <w:right w:val="double" w:sz="3" w:space="0" w:color="000000"/>
            </w:tcBorders>
          </w:tcPr>
          <w:p w14:paraId="6F1FCF5C" w14:textId="77777777" w:rsidR="0099082E" w:rsidRDefault="00685AD6">
            <w:pPr>
              <w:spacing w:after="0" w:line="259" w:lineRule="auto"/>
              <w:ind w:left="4" w:firstLine="0"/>
            </w:pPr>
            <w:r>
              <w:t xml:space="preserve">influencing a central productive interaction. </w:t>
            </w:r>
          </w:p>
        </w:tc>
      </w:tr>
      <w:tr w:rsidR="0099082E" w14:paraId="01A60A53" w14:textId="77777777">
        <w:trPr>
          <w:trHeight w:val="3098"/>
        </w:trPr>
        <w:tc>
          <w:tcPr>
            <w:tcW w:w="1222" w:type="dxa"/>
            <w:tcBorders>
              <w:top w:val="double" w:sz="4" w:space="0" w:color="000000"/>
              <w:left w:val="double" w:sz="4" w:space="0" w:color="000000"/>
              <w:bottom w:val="double" w:sz="4" w:space="0" w:color="000000"/>
              <w:right w:val="double" w:sz="4" w:space="0" w:color="000000"/>
            </w:tcBorders>
          </w:tcPr>
          <w:p w14:paraId="1768FB92" w14:textId="77777777" w:rsidR="0099082E" w:rsidRDefault="00685AD6">
            <w:pPr>
              <w:spacing w:after="0" w:line="259" w:lineRule="auto"/>
              <w:ind w:left="0" w:firstLine="0"/>
            </w:pPr>
            <w:r>
              <w:t>Operation al Focus</w:t>
            </w:r>
            <w:r>
              <w:t xml:space="preserve"> </w:t>
            </w:r>
          </w:p>
        </w:tc>
        <w:tc>
          <w:tcPr>
            <w:tcW w:w="1266" w:type="dxa"/>
            <w:tcBorders>
              <w:top w:val="double" w:sz="4" w:space="0" w:color="000000"/>
              <w:left w:val="double" w:sz="4" w:space="0" w:color="000000"/>
              <w:bottom w:val="double" w:sz="4" w:space="0" w:color="000000"/>
              <w:right w:val="double" w:sz="4" w:space="0" w:color="000000"/>
            </w:tcBorders>
          </w:tcPr>
          <w:p w14:paraId="3187BC8C" w14:textId="77777777" w:rsidR="0099082E" w:rsidRDefault="00685AD6">
            <w:pPr>
              <w:spacing w:after="0" w:line="294" w:lineRule="auto"/>
              <w:ind w:left="0" w:firstLine="0"/>
            </w:pPr>
            <w:r>
              <w:t xml:space="preserve">Focuses heavily on the </w:t>
            </w:r>
            <w:proofErr w:type="spellStart"/>
            <w:r>
              <w:t>collaborativ</w:t>
            </w:r>
            <w:proofErr w:type="spellEnd"/>
            <w:r>
              <w:t xml:space="preserve"> e care planning </w:t>
            </w:r>
          </w:p>
          <w:p w14:paraId="3F591CA7" w14:textId="77777777" w:rsidR="0099082E" w:rsidRDefault="00685AD6">
            <w:pPr>
              <w:spacing w:after="0" w:line="259" w:lineRule="auto"/>
              <w:ind w:left="0" w:firstLine="0"/>
            </w:pPr>
            <w:r>
              <w:t xml:space="preserve">encounter at the </w:t>
            </w:r>
            <w:proofErr w:type="spellStart"/>
            <w:r>
              <w:t>center</w:t>
            </w:r>
            <w:proofErr w:type="spellEnd"/>
            <w:r>
              <w:t xml:space="preserve">. </w:t>
            </w:r>
          </w:p>
        </w:tc>
        <w:tc>
          <w:tcPr>
            <w:tcW w:w="1380" w:type="dxa"/>
            <w:tcBorders>
              <w:top w:val="double" w:sz="4" w:space="0" w:color="000000"/>
              <w:left w:val="double" w:sz="4" w:space="0" w:color="000000"/>
              <w:bottom w:val="double" w:sz="4" w:space="0" w:color="000000"/>
              <w:right w:val="double" w:sz="3" w:space="0" w:color="000000"/>
            </w:tcBorders>
          </w:tcPr>
          <w:p w14:paraId="58AD0BAE" w14:textId="77777777" w:rsidR="0099082E" w:rsidRDefault="00685AD6">
            <w:pPr>
              <w:spacing w:after="0" w:line="259" w:lineRule="auto"/>
              <w:ind w:left="4" w:firstLine="0"/>
            </w:pPr>
            <w:r>
              <w:t xml:space="preserve">Places strong emphasis on system-level </w:t>
            </w:r>
            <w:proofErr w:type="spellStart"/>
            <w:r>
              <w:t>reorganizatio</w:t>
            </w:r>
            <w:proofErr w:type="spellEnd"/>
            <w:r>
              <w:t xml:space="preserve"> n and electronic registries. </w:t>
            </w:r>
          </w:p>
        </w:tc>
      </w:tr>
      <w:tr w:rsidR="0099082E" w14:paraId="249DE884" w14:textId="77777777">
        <w:trPr>
          <w:trHeight w:val="2776"/>
        </w:trPr>
        <w:tc>
          <w:tcPr>
            <w:tcW w:w="1222" w:type="dxa"/>
            <w:tcBorders>
              <w:top w:val="double" w:sz="4" w:space="0" w:color="000000"/>
              <w:left w:val="double" w:sz="4" w:space="0" w:color="000000"/>
              <w:bottom w:val="double" w:sz="4" w:space="0" w:color="000000"/>
              <w:right w:val="double" w:sz="4" w:space="0" w:color="000000"/>
            </w:tcBorders>
          </w:tcPr>
          <w:p w14:paraId="59E6CC25" w14:textId="77777777" w:rsidR="0099082E" w:rsidRDefault="00685AD6">
            <w:pPr>
              <w:spacing w:after="40" w:line="259" w:lineRule="auto"/>
              <w:ind w:left="0" w:firstLine="0"/>
              <w:jc w:val="both"/>
            </w:pPr>
            <w:proofErr w:type="spellStart"/>
            <w:r>
              <w:t>Communit</w:t>
            </w:r>
            <w:proofErr w:type="spellEnd"/>
          </w:p>
          <w:p w14:paraId="063297EA" w14:textId="77777777" w:rsidR="0099082E" w:rsidRDefault="00685AD6">
            <w:pPr>
              <w:spacing w:after="0" w:line="259" w:lineRule="auto"/>
              <w:ind w:left="0" w:firstLine="0"/>
            </w:pPr>
            <w:r>
              <w:t>y Linkage</w:t>
            </w:r>
            <w:r>
              <w:t xml:space="preserve"> </w:t>
            </w:r>
          </w:p>
        </w:tc>
        <w:tc>
          <w:tcPr>
            <w:tcW w:w="1266" w:type="dxa"/>
            <w:tcBorders>
              <w:top w:val="double" w:sz="4" w:space="0" w:color="000000"/>
              <w:left w:val="double" w:sz="4" w:space="0" w:color="000000"/>
              <w:bottom w:val="double" w:sz="4" w:space="0" w:color="000000"/>
              <w:right w:val="double" w:sz="4" w:space="0" w:color="000000"/>
            </w:tcBorders>
          </w:tcPr>
          <w:p w14:paraId="5DFA9D3C" w14:textId="77777777" w:rsidR="0099082E" w:rsidRDefault="00685AD6">
            <w:pPr>
              <w:spacing w:after="0" w:line="259" w:lineRule="auto"/>
              <w:ind w:left="0" w:firstLine="0"/>
            </w:pPr>
            <w:r>
              <w:t xml:space="preserve">Integrates social prescribing into the clinical care planning process. </w:t>
            </w:r>
          </w:p>
        </w:tc>
        <w:tc>
          <w:tcPr>
            <w:tcW w:w="1380" w:type="dxa"/>
            <w:tcBorders>
              <w:top w:val="double" w:sz="4" w:space="0" w:color="000000"/>
              <w:left w:val="double" w:sz="4" w:space="0" w:color="000000"/>
              <w:bottom w:val="double" w:sz="4" w:space="0" w:color="000000"/>
              <w:right w:val="double" w:sz="3" w:space="0" w:color="000000"/>
            </w:tcBorders>
          </w:tcPr>
          <w:p w14:paraId="726EED99" w14:textId="77777777" w:rsidR="0099082E" w:rsidRDefault="00685AD6">
            <w:pPr>
              <w:spacing w:after="0" w:line="259" w:lineRule="auto"/>
              <w:ind w:left="4" w:firstLine="0"/>
            </w:pPr>
            <w:proofErr w:type="spellStart"/>
            <w:r>
              <w:t>Emphasizes</w:t>
            </w:r>
            <w:proofErr w:type="spellEnd"/>
            <w:r>
              <w:t xml:space="preserve"> external community resources as an independent structural pillar. </w:t>
            </w:r>
          </w:p>
        </w:tc>
      </w:tr>
    </w:tbl>
    <w:tbl>
      <w:tblPr>
        <w:tblStyle w:val="TableGrid"/>
        <w:tblpPr w:vertAnchor="text" w:tblpX="22" w:tblpY="7792"/>
        <w:tblOverlap w:val="never"/>
        <w:tblW w:w="3866" w:type="dxa"/>
        <w:tblInd w:w="0" w:type="dxa"/>
        <w:tblCellMar>
          <w:top w:w="38" w:type="dxa"/>
          <w:left w:w="36" w:type="dxa"/>
          <w:bottom w:w="0" w:type="dxa"/>
          <w:right w:w="0" w:type="dxa"/>
        </w:tblCellMar>
        <w:tblLook w:val="04A0" w:firstRow="1" w:lastRow="0" w:firstColumn="1" w:lastColumn="0" w:noHBand="0" w:noVBand="1"/>
      </w:tblPr>
      <w:tblGrid>
        <w:gridCol w:w="1220"/>
        <w:gridCol w:w="1267"/>
        <w:gridCol w:w="1379"/>
      </w:tblGrid>
      <w:tr w:rsidR="0099082E" w14:paraId="5F103445" w14:textId="77777777">
        <w:trPr>
          <w:trHeight w:val="1820"/>
        </w:trPr>
        <w:tc>
          <w:tcPr>
            <w:tcW w:w="1220" w:type="dxa"/>
            <w:tcBorders>
              <w:top w:val="double" w:sz="4" w:space="0" w:color="000000"/>
              <w:left w:val="double" w:sz="4" w:space="0" w:color="000000"/>
              <w:bottom w:val="double" w:sz="4" w:space="0" w:color="000000"/>
              <w:right w:val="double" w:sz="3" w:space="0" w:color="000000"/>
            </w:tcBorders>
          </w:tcPr>
          <w:p w14:paraId="58EDD303" w14:textId="77777777" w:rsidR="0099082E" w:rsidRDefault="00685AD6">
            <w:pPr>
              <w:spacing w:after="40" w:line="259" w:lineRule="auto"/>
              <w:ind w:left="0" w:firstLine="0"/>
            </w:pPr>
            <w:r>
              <w:t xml:space="preserve">Attribute / </w:t>
            </w:r>
          </w:p>
          <w:p w14:paraId="36C509BC" w14:textId="77777777" w:rsidR="0099082E" w:rsidRDefault="00685AD6">
            <w:pPr>
              <w:spacing w:after="0" w:line="259" w:lineRule="auto"/>
              <w:ind w:left="0" w:firstLine="0"/>
            </w:pPr>
            <w:r>
              <w:t>Focus</w:t>
            </w:r>
            <w:r>
              <w:t xml:space="preserve"> </w:t>
            </w:r>
          </w:p>
        </w:tc>
        <w:tc>
          <w:tcPr>
            <w:tcW w:w="1267" w:type="dxa"/>
            <w:tcBorders>
              <w:top w:val="double" w:sz="4" w:space="0" w:color="000000"/>
              <w:left w:val="double" w:sz="3" w:space="0" w:color="000000"/>
              <w:bottom w:val="double" w:sz="4" w:space="0" w:color="000000"/>
              <w:right w:val="double" w:sz="4" w:space="0" w:color="000000"/>
            </w:tcBorders>
          </w:tcPr>
          <w:p w14:paraId="40133D80" w14:textId="77777777" w:rsidR="0099082E" w:rsidRDefault="00685AD6">
            <w:pPr>
              <w:spacing w:after="35" w:line="259" w:lineRule="auto"/>
              <w:ind w:left="1" w:firstLine="0"/>
            </w:pPr>
            <w:r>
              <w:t xml:space="preserve">The UK </w:t>
            </w:r>
          </w:p>
          <w:p w14:paraId="3D2B26ED" w14:textId="77777777" w:rsidR="0099082E" w:rsidRDefault="00685AD6">
            <w:pPr>
              <w:spacing w:after="37" w:line="259" w:lineRule="auto"/>
              <w:ind w:left="1" w:firstLine="0"/>
            </w:pPr>
            <w:r>
              <w:t xml:space="preserve">House of </w:t>
            </w:r>
          </w:p>
          <w:p w14:paraId="3B811A41" w14:textId="77777777" w:rsidR="0099082E" w:rsidRDefault="00685AD6">
            <w:pPr>
              <w:spacing w:after="0" w:line="259" w:lineRule="auto"/>
              <w:ind w:left="1" w:firstLine="0"/>
              <w:jc w:val="both"/>
            </w:pPr>
            <w:r>
              <w:t>Care Model</w:t>
            </w:r>
            <w:r>
              <w:t xml:space="preserve"> </w:t>
            </w:r>
          </w:p>
        </w:tc>
        <w:tc>
          <w:tcPr>
            <w:tcW w:w="1379" w:type="dxa"/>
            <w:tcBorders>
              <w:top w:val="double" w:sz="4" w:space="0" w:color="000000"/>
              <w:left w:val="double" w:sz="4" w:space="0" w:color="000000"/>
              <w:bottom w:val="double" w:sz="4" w:space="0" w:color="000000"/>
              <w:right w:val="double" w:sz="4" w:space="0" w:color="000000"/>
            </w:tcBorders>
          </w:tcPr>
          <w:p w14:paraId="62D90661" w14:textId="77777777" w:rsidR="0099082E" w:rsidRDefault="00685AD6">
            <w:pPr>
              <w:spacing w:after="40" w:line="259" w:lineRule="auto"/>
              <w:ind w:left="1" w:firstLine="0"/>
            </w:pPr>
            <w:r>
              <w:t xml:space="preserve">The </w:t>
            </w:r>
          </w:p>
          <w:p w14:paraId="3AD69E1E" w14:textId="77777777" w:rsidR="0099082E" w:rsidRDefault="00685AD6">
            <w:pPr>
              <w:spacing w:after="2"/>
              <w:ind w:left="1" w:right="9" w:firstLine="0"/>
            </w:pPr>
            <w:proofErr w:type="spellStart"/>
            <w:r>
              <w:t>Internationa</w:t>
            </w:r>
            <w:proofErr w:type="spellEnd"/>
            <w:r>
              <w:t xml:space="preserve"> l Chronic </w:t>
            </w:r>
          </w:p>
          <w:p w14:paraId="567CA76F" w14:textId="77777777" w:rsidR="0099082E" w:rsidRDefault="00685AD6">
            <w:pPr>
              <w:spacing w:after="37" w:line="259" w:lineRule="auto"/>
              <w:ind w:left="1" w:firstLine="0"/>
            </w:pPr>
            <w:r>
              <w:t xml:space="preserve">Care Model </w:t>
            </w:r>
          </w:p>
          <w:p w14:paraId="0730328E" w14:textId="77777777" w:rsidR="0099082E" w:rsidRDefault="00685AD6">
            <w:pPr>
              <w:spacing w:after="0" w:line="259" w:lineRule="auto"/>
              <w:ind w:left="1" w:firstLine="0"/>
            </w:pPr>
            <w:r>
              <w:t>(CCM)</w:t>
            </w:r>
            <w:r>
              <w:t xml:space="preserve"> </w:t>
            </w:r>
          </w:p>
        </w:tc>
      </w:tr>
      <w:tr w:rsidR="0099082E" w14:paraId="7AB1CC71" w14:textId="77777777">
        <w:trPr>
          <w:trHeight w:val="2459"/>
        </w:trPr>
        <w:tc>
          <w:tcPr>
            <w:tcW w:w="1220" w:type="dxa"/>
            <w:tcBorders>
              <w:top w:val="double" w:sz="4" w:space="0" w:color="000000"/>
              <w:left w:val="double" w:sz="4" w:space="0" w:color="000000"/>
              <w:bottom w:val="double" w:sz="3" w:space="0" w:color="000000"/>
              <w:right w:val="double" w:sz="3" w:space="0" w:color="000000"/>
            </w:tcBorders>
          </w:tcPr>
          <w:p w14:paraId="0BB22E3C" w14:textId="77777777" w:rsidR="0099082E" w:rsidRDefault="00685AD6">
            <w:pPr>
              <w:spacing w:after="0" w:line="259" w:lineRule="auto"/>
              <w:ind w:left="0" w:firstLine="0"/>
            </w:pPr>
            <w:r>
              <w:t>Primary Origin</w:t>
            </w:r>
            <w:r>
              <w:t xml:space="preserve"> </w:t>
            </w:r>
          </w:p>
        </w:tc>
        <w:tc>
          <w:tcPr>
            <w:tcW w:w="1267" w:type="dxa"/>
            <w:tcBorders>
              <w:top w:val="double" w:sz="4" w:space="0" w:color="000000"/>
              <w:left w:val="double" w:sz="3" w:space="0" w:color="000000"/>
              <w:bottom w:val="double" w:sz="3" w:space="0" w:color="000000"/>
              <w:right w:val="double" w:sz="4" w:space="0" w:color="000000"/>
            </w:tcBorders>
          </w:tcPr>
          <w:p w14:paraId="4DA46E3E" w14:textId="77777777" w:rsidR="0099082E" w:rsidRDefault="00685AD6">
            <w:pPr>
              <w:spacing w:after="3" w:line="293" w:lineRule="auto"/>
              <w:ind w:left="1" w:firstLine="0"/>
            </w:pPr>
            <w:r>
              <w:t xml:space="preserve">Built specifically for the NHS context (The </w:t>
            </w:r>
          </w:p>
          <w:p w14:paraId="38260E13" w14:textId="77777777" w:rsidR="0099082E" w:rsidRDefault="00685AD6">
            <w:pPr>
              <w:spacing w:after="35" w:line="259" w:lineRule="auto"/>
              <w:ind w:left="1" w:firstLine="0"/>
            </w:pPr>
            <w:r>
              <w:t xml:space="preserve">King’s </w:t>
            </w:r>
          </w:p>
          <w:p w14:paraId="26F6C8AB" w14:textId="77777777" w:rsidR="0099082E" w:rsidRDefault="00685AD6">
            <w:pPr>
              <w:spacing w:after="40" w:line="259" w:lineRule="auto"/>
              <w:ind w:left="1" w:firstLine="0"/>
            </w:pPr>
            <w:r>
              <w:t xml:space="preserve">Fund, </w:t>
            </w:r>
          </w:p>
          <w:p w14:paraId="647D12D3" w14:textId="77777777" w:rsidR="0099082E" w:rsidRDefault="00685AD6">
            <w:pPr>
              <w:spacing w:after="0" w:line="259" w:lineRule="auto"/>
              <w:ind w:left="1" w:firstLine="0"/>
            </w:pPr>
            <w:r>
              <w:t xml:space="preserve">2013). </w:t>
            </w:r>
          </w:p>
        </w:tc>
        <w:tc>
          <w:tcPr>
            <w:tcW w:w="1379" w:type="dxa"/>
            <w:tcBorders>
              <w:top w:val="double" w:sz="4" w:space="0" w:color="000000"/>
              <w:left w:val="double" w:sz="4" w:space="0" w:color="000000"/>
              <w:bottom w:val="double" w:sz="3" w:space="0" w:color="000000"/>
              <w:right w:val="double" w:sz="4" w:space="0" w:color="000000"/>
            </w:tcBorders>
          </w:tcPr>
          <w:p w14:paraId="2D48062A" w14:textId="77777777" w:rsidR="0099082E" w:rsidRDefault="00685AD6">
            <w:pPr>
              <w:spacing w:after="0" w:line="294" w:lineRule="auto"/>
              <w:ind w:left="1" w:right="69" w:firstLine="0"/>
              <w:jc w:val="both"/>
            </w:pPr>
            <w:r>
              <w:t xml:space="preserve">Developed in the US, widely </w:t>
            </w:r>
          </w:p>
          <w:p w14:paraId="3F21471C" w14:textId="77777777" w:rsidR="0099082E" w:rsidRDefault="00685AD6">
            <w:pPr>
              <w:spacing w:after="0" w:line="259" w:lineRule="auto"/>
              <w:ind w:left="1" w:firstLine="0"/>
            </w:pPr>
            <w:r>
              <w:t xml:space="preserve">adopted globally (Wagner </w:t>
            </w:r>
            <w:r>
              <w:t>et al.</w:t>
            </w:r>
            <w:r>
              <w:t xml:space="preserve">, 2001). </w:t>
            </w:r>
          </w:p>
        </w:tc>
      </w:tr>
      <w:tr w:rsidR="0099082E" w14:paraId="17E9AD2E" w14:textId="77777777">
        <w:trPr>
          <w:trHeight w:val="1025"/>
        </w:trPr>
        <w:tc>
          <w:tcPr>
            <w:tcW w:w="1220" w:type="dxa"/>
            <w:tcBorders>
              <w:top w:val="double" w:sz="3" w:space="0" w:color="000000"/>
              <w:left w:val="double" w:sz="4" w:space="0" w:color="000000"/>
              <w:bottom w:val="double" w:sz="4" w:space="0" w:color="000000"/>
              <w:right w:val="double" w:sz="3" w:space="0" w:color="000000"/>
            </w:tcBorders>
          </w:tcPr>
          <w:p w14:paraId="11FD1200" w14:textId="77777777" w:rsidR="0099082E" w:rsidRDefault="00685AD6">
            <w:pPr>
              <w:spacing w:after="0" w:line="259" w:lineRule="auto"/>
              <w:ind w:left="0" w:firstLine="0"/>
            </w:pPr>
            <w:r>
              <w:t>Structural Metaphor</w:t>
            </w:r>
            <w:r>
              <w:t xml:space="preserve"> </w:t>
            </w:r>
          </w:p>
        </w:tc>
        <w:tc>
          <w:tcPr>
            <w:tcW w:w="1267" w:type="dxa"/>
            <w:tcBorders>
              <w:top w:val="double" w:sz="3" w:space="0" w:color="000000"/>
              <w:left w:val="double" w:sz="3" w:space="0" w:color="000000"/>
              <w:bottom w:val="double" w:sz="4" w:space="0" w:color="000000"/>
              <w:right w:val="double" w:sz="4" w:space="0" w:color="000000"/>
            </w:tcBorders>
          </w:tcPr>
          <w:p w14:paraId="34A842B9" w14:textId="77777777" w:rsidR="0099082E" w:rsidRDefault="00685AD6">
            <w:pPr>
              <w:spacing w:after="0" w:line="259" w:lineRule="auto"/>
              <w:ind w:left="1" w:firstLine="0"/>
            </w:pPr>
            <w:r>
              <w:t xml:space="preserve">Uses a house structure to </w:t>
            </w:r>
          </w:p>
        </w:tc>
        <w:tc>
          <w:tcPr>
            <w:tcW w:w="1379" w:type="dxa"/>
            <w:tcBorders>
              <w:top w:val="double" w:sz="3" w:space="0" w:color="000000"/>
              <w:left w:val="double" w:sz="4" w:space="0" w:color="000000"/>
              <w:bottom w:val="double" w:sz="4" w:space="0" w:color="000000"/>
              <w:right w:val="double" w:sz="4" w:space="0" w:color="000000"/>
            </w:tcBorders>
          </w:tcPr>
          <w:p w14:paraId="361479F1" w14:textId="77777777" w:rsidR="0099082E" w:rsidRDefault="00685AD6">
            <w:pPr>
              <w:spacing w:after="0" w:line="294" w:lineRule="auto"/>
              <w:ind w:left="1" w:firstLine="0"/>
              <w:jc w:val="both"/>
            </w:pPr>
            <w:r>
              <w:t xml:space="preserve">Consists of six distinct </w:t>
            </w:r>
          </w:p>
          <w:p w14:paraId="4A96D802" w14:textId="77777777" w:rsidR="0099082E" w:rsidRDefault="00685AD6">
            <w:pPr>
              <w:spacing w:after="0" w:line="259" w:lineRule="auto"/>
              <w:ind w:left="1" w:firstLine="0"/>
              <w:jc w:val="both"/>
            </w:pPr>
            <w:r>
              <w:t xml:space="preserve">components </w:t>
            </w:r>
          </w:p>
        </w:tc>
      </w:tr>
    </w:tbl>
    <w:p w14:paraId="7AA57920" w14:textId="77777777" w:rsidR="0099082E" w:rsidRDefault="00685AD6">
      <w:pPr>
        <w:numPr>
          <w:ilvl w:val="0"/>
          <w:numId w:val="9"/>
        </w:numPr>
        <w:ind w:left="676" w:right="12" w:hanging="338"/>
      </w:pPr>
      <w:r>
        <w:t>Decision Support:</w:t>
      </w:r>
      <w:r>
        <w:t xml:space="preserve"> Embedding evidence-based clinical guidelines directly into electronic medical records to reduce unwarranted clinical variation. </w:t>
      </w:r>
    </w:p>
    <w:p w14:paraId="3924C267" w14:textId="77777777" w:rsidR="0099082E" w:rsidRDefault="00685AD6">
      <w:pPr>
        <w:numPr>
          <w:ilvl w:val="0"/>
          <w:numId w:val="9"/>
        </w:numPr>
        <w:spacing w:after="151" w:line="295" w:lineRule="auto"/>
        <w:ind w:left="676" w:right="12" w:hanging="338"/>
      </w:pPr>
      <w:r>
        <w:t>Self-Management Support:</w:t>
      </w:r>
      <w:r>
        <w:t xml:space="preserve"> </w:t>
      </w:r>
      <w:proofErr w:type="spellStart"/>
      <w:r>
        <w:t>Emphasizing</w:t>
      </w:r>
      <w:proofErr w:type="spellEnd"/>
      <w:r>
        <w:t xml:space="preserve"> the patient's central role in managing their condition through goal-setting, action planning, and problem-solving. </w:t>
      </w:r>
    </w:p>
    <w:p w14:paraId="5242B3F9" w14:textId="77777777" w:rsidR="0099082E" w:rsidRDefault="00685AD6">
      <w:pPr>
        <w:numPr>
          <w:ilvl w:val="0"/>
          <w:numId w:val="9"/>
        </w:numPr>
        <w:ind w:left="676" w:right="12" w:hanging="338"/>
      </w:pPr>
      <w:r>
        <w:t>Community Resources and Policies:</w:t>
      </w:r>
      <w:r>
        <w:t xml:space="preserve"> Linking healthcare </w:t>
      </w:r>
      <w:proofErr w:type="spellStart"/>
      <w:r>
        <w:t>organizations</w:t>
      </w:r>
      <w:proofErr w:type="spellEnd"/>
      <w:r>
        <w:t xml:space="preserve"> with </w:t>
      </w:r>
      <w:proofErr w:type="spellStart"/>
      <w:r>
        <w:t>communitybased</w:t>
      </w:r>
      <w:proofErr w:type="spellEnd"/>
      <w:r>
        <w:t xml:space="preserve"> assets, such as exercise programs, smoking cessation groups, and peer support networks. </w:t>
      </w:r>
    </w:p>
    <w:p w14:paraId="63FF2707" w14:textId="77777777" w:rsidR="0099082E" w:rsidRDefault="00685AD6">
      <w:pPr>
        <w:spacing w:after="184" w:line="259" w:lineRule="auto"/>
        <w:ind w:left="-5" w:right="7"/>
      </w:pPr>
      <w:r>
        <w:t xml:space="preserve">Comparative Matrix of Frameworks </w:t>
      </w:r>
    </w:p>
    <w:p w14:paraId="4E893400" w14:textId="77777777" w:rsidR="0099082E" w:rsidRDefault="00685AD6">
      <w:pPr>
        <w:ind w:left="-5" w:right="12"/>
      </w:pPr>
      <w:r>
        <w:t xml:space="preserve">While both frameworks share the ultimate goal of improving long-term outcomes, they </w:t>
      </w:r>
      <w:proofErr w:type="spellStart"/>
      <w:r>
        <w:t>di</w:t>
      </w:r>
      <w:proofErr w:type="spellEnd"/>
      <w:r>
        <w:tab/>
        <w:t xml:space="preserve">er slightly in structure and emphasis: </w:t>
      </w:r>
    </w:p>
    <w:p w14:paraId="009CB287" w14:textId="77777777" w:rsidR="0099082E" w:rsidRDefault="0099082E">
      <w:pPr>
        <w:sectPr w:rsidR="0099082E">
          <w:type w:val="continuous"/>
          <w:pgSz w:w="12240" w:h="15840"/>
          <w:pgMar w:top="1353" w:right="1890" w:bottom="1374" w:left="1872" w:header="720" w:footer="720" w:gutter="0"/>
          <w:cols w:num="2" w:space="635"/>
        </w:sectPr>
      </w:pPr>
    </w:p>
    <w:p w14:paraId="1679A64F" w14:textId="77777777" w:rsidR="0099082E" w:rsidRDefault="00685AD6">
      <w:pPr>
        <w:spacing w:after="40" w:line="259" w:lineRule="auto"/>
        <w:ind w:left="-5" w:right="7"/>
      </w:pPr>
      <w:r>
        <w:t xml:space="preserve">3.2 Critical Examination of UK </w:t>
      </w:r>
    </w:p>
    <w:p w14:paraId="53EDE031" w14:textId="77777777" w:rsidR="0099082E" w:rsidRDefault="00685AD6">
      <w:pPr>
        <w:spacing w:after="184" w:line="259" w:lineRule="auto"/>
        <w:ind w:left="-5" w:right="7"/>
      </w:pPr>
      <w:r>
        <w:t xml:space="preserve">National and Local Political Agendas </w:t>
      </w:r>
    </w:p>
    <w:p w14:paraId="67BEA5AE" w14:textId="77777777" w:rsidR="0099082E" w:rsidRDefault="00685AD6">
      <w:pPr>
        <w:ind w:left="-5" w:right="12"/>
      </w:pPr>
      <w:r>
        <w:t xml:space="preserve">The management of AF is directly influenced by national healthcare policies and local operational agendas across the UK. </w:t>
      </w:r>
    </w:p>
    <w:p w14:paraId="17E6FFB2" w14:textId="77777777" w:rsidR="0099082E" w:rsidRDefault="00685AD6">
      <w:pPr>
        <w:spacing w:after="184" w:line="259" w:lineRule="auto"/>
        <w:ind w:left="-5" w:right="7"/>
      </w:pPr>
      <w:r>
        <w:t xml:space="preserve">The NHS Long Term Plan (LTP) </w:t>
      </w:r>
    </w:p>
    <w:p w14:paraId="13EC1055" w14:textId="77777777" w:rsidR="0099082E" w:rsidRDefault="0099082E">
      <w:pPr>
        <w:sectPr w:rsidR="0099082E">
          <w:type w:val="continuous"/>
          <w:pgSz w:w="12240" w:h="15840"/>
          <w:pgMar w:top="11244" w:right="2062" w:bottom="0" w:left="6446" w:header="720" w:footer="720" w:gutter="0"/>
          <w:cols w:space="720"/>
        </w:sectPr>
      </w:pPr>
    </w:p>
    <w:p w14:paraId="623B36FD" w14:textId="77777777" w:rsidR="0099082E" w:rsidRDefault="00685AD6">
      <w:pPr>
        <w:ind w:left="-5" w:right="12"/>
      </w:pPr>
      <w:r>
        <w:t xml:space="preserve">The NHS Long Term Plan places a major focus on preventing cardiovascular disease (CVD), identifying it as the single largest area where the NHS can save lives over a ten-year period (NHS England, 2019). A core objective of the plan is to prevent up to 150,000 heart attacks, strokes, and dementia cases. </w:t>
      </w:r>
    </w:p>
    <w:p w14:paraId="14B964E6" w14:textId="77777777" w:rsidR="0099082E" w:rsidRDefault="00685AD6">
      <w:pPr>
        <w:ind w:left="-5" w:right="12"/>
      </w:pPr>
      <w:r>
        <w:t xml:space="preserve">To achieve this, the plan mandates a major expansion of opportunistic and targeted screening for the "ABC" conditions: Atrial Fibrillation, Blood Pressure, and Cholesterol. In practice, this policy has shifted funding toward deploying digital health tools in primary care, such as mobile ECG devices (e.g., AliveCor </w:t>
      </w:r>
      <w:proofErr w:type="spellStart"/>
      <w:r>
        <w:t>KardiaMobile</w:t>
      </w:r>
      <w:proofErr w:type="spellEnd"/>
      <w:r>
        <w:t xml:space="preserve">) and wearable pulse monitors, allowing for rapid detection of undiagnosed AF during routine appointments (NHS England, 2019). </w:t>
      </w:r>
    </w:p>
    <w:p w14:paraId="27608EFE" w14:textId="77777777" w:rsidR="0099082E" w:rsidRDefault="00685AD6">
      <w:pPr>
        <w:spacing w:after="184" w:line="259" w:lineRule="auto"/>
        <w:ind w:left="-5" w:right="7"/>
      </w:pPr>
      <w:r>
        <w:t xml:space="preserve">Integrated Care Systems (ICS) and Local ICBs </w:t>
      </w:r>
    </w:p>
    <w:p w14:paraId="3E5A6C08" w14:textId="77777777" w:rsidR="0099082E" w:rsidRDefault="00685AD6">
      <w:pPr>
        <w:spacing w:after="2"/>
        <w:ind w:left="-5" w:right="12"/>
      </w:pPr>
      <w:r>
        <w:t xml:space="preserve">Under the Health and Care Act 2022, the establishment of Integrated Care Systems (ICSs) and Integrated Care </w:t>
      </w:r>
    </w:p>
    <w:p w14:paraId="2DEF4CDE" w14:textId="77777777" w:rsidR="0099082E" w:rsidRDefault="00685AD6">
      <w:pPr>
        <w:ind w:left="-5" w:right="12"/>
      </w:pPr>
      <w:r>
        <w:t xml:space="preserve">Boards (ICBs) replaced old Clinical Commissioning Groups (CCGs). This structural reform aims to break down traditional institutional barriers between primary care, secondary hospital trusts, and social care services. </w:t>
      </w:r>
    </w:p>
    <w:p w14:paraId="5064B1F2" w14:textId="77777777" w:rsidR="0099082E" w:rsidRDefault="00685AD6">
      <w:pPr>
        <w:ind w:left="-5" w:right="12"/>
      </w:pPr>
      <w:r>
        <w:t xml:space="preserve">For AF management, this model allows ICBs to commission integrated, areawide clinical pathways. Rather than managing a patient through disconnected visits to a GP, a hospital cardiologist, and a social worker, local pathways now </w:t>
      </w:r>
      <w:proofErr w:type="spellStart"/>
      <w:r>
        <w:t>utilize</w:t>
      </w:r>
      <w:proofErr w:type="spellEnd"/>
      <w:r>
        <w:t xml:space="preserve"> cross-functional community networks. These networks include community pharmacists who screen for AF during medication reviews, rapid-access arrhythmia clinics, and integrated stroke prevention teams, ensuring smoother care transitions. </w:t>
      </w:r>
    </w:p>
    <w:p w14:paraId="420B6DD3" w14:textId="77777777" w:rsidR="0099082E" w:rsidRDefault="00685AD6">
      <w:pPr>
        <w:spacing w:after="184" w:line="259" w:lineRule="auto"/>
        <w:ind w:left="-5" w:right="7"/>
      </w:pPr>
      <w:r>
        <w:t xml:space="preserve">The Quality and Outcomes Framework (QOF) </w:t>
      </w:r>
    </w:p>
    <w:p w14:paraId="4B811A7B" w14:textId="77777777" w:rsidR="0099082E" w:rsidRDefault="00685AD6">
      <w:pPr>
        <w:ind w:left="-5" w:right="12"/>
      </w:pPr>
      <w:r>
        <w:t xml:space="preserve">The Quality and Outcomes Framework (QOF) serves as a key financial incentive mechanism within UK general practice, directly shaping how primary care teams </w:t>
      </w:r>
      <w:proofErr w:type="spellStart"/>
      <w:r>
        <w:t>prioritize</w:t>
      </w:r>
      <w:proofErr w:type="spellEnd"/>
      <w:r>
        <w:t xml:space="preserve"> long-term conditions. For the 2025/26 financial year, the AF domain contains specific, high-value indicators that drive clinical </w:t>
      </w:r>
      <w:proofErr w:type="spellStart"/>
      <w:r>
        <w:t>behavior</w:t>
      </w:r>
      <w:proofErr w:type="spellEnd"/>
      <w:r>
        <w:t xml:space="preserve"> (NHS England, 2025): </w:t>
      </w:r>
    </w:p>
    <w:p w14:paraId="32E1D0ED" w14:textId="77777777" w:rsidR="0099082E" w:rsidRDefault="00685AD6">
      <w:pPr>
        <w:numPr>
          <w:ilvl w:val="0"/>
          <w:numId w:val="10"/>
        </w:numPr>
        <w:ind w:left="676" w:right="12" w:hanging="338"/>
      </w:pPr>
      <w:r>
        <w:t>Indicator AF007:</w:t>
      </w:r>
      <w:r>
        <w:t xml:space="preserve"> Requires primary care practices to maintain an accurate, up-to-date register of all patients with a documented diagnosis of AF. </w:t>
      </w:r>
    </w:p>
    <w:p w14:paraId="1C18F1B0" w14:textId="77777777" w:rsidR="0099082E" w:rsidRDefault="00685AD6">
      <w:pPr>
        <w:numPr>
          <w:ilvl w:val="0"/>
          <w:numId w:val="10"/>
        </w:numPr>
        <w:ind w:left="676" w:right="12" w:hanging="338"/>
      </w:pPr>
      <w:r>
        <w:t>Indicator AF008:</w:t>
      </w:r>
      <w:r>
        <w:t xml:space="preserve"> </w:t>
      </w:r>
      <w:proofErr w:type="spellStart"/>
      <w:r>
        <w:t>Incentivizes</w:t>
      </w:r>
      <w:proofErr w:type="spellEnd"/>
      <w:r>
        <w:t xml:space="preserve"> practices to ensure that all patients with an AF diagnosis and a score of (or 1 in men) are actively prescribed an appropriate oral anticoagulant (DOAC or Warfarin), unless a clear, documented medical contraindication exists. </w:t>
      </w:r>
    </w:p>
    <w:p w14:paraId="03FC9B66" w14:textId="77777777" w:rsidR="0099082E" w:rsidRDefault="00685AD6">
      <w:pPr>
        <w:ind w:left="-5" w:right="12"/>
      </w:pPr>
      <w:r>
        <w:t xml:space="preserve">While QOF has successfully driven up national anticoagulation rates and significantly reduced the number of preventable, AF-related strokes across the country, it faces criticism from public health researchers. Critics argue </w:t>
      </w:r>
      <w:r>
        <w:t xml:space="preserve">that QOF can encourage a "tick-box" approach to medicine, </w:t>
      </w:r>
      <w:proofErr w:type="spellStart"/>
      <w:r>
        <w:t>prioritizing</w:t>
      </w:r>
      <w:proofErr w:type="spellEnd"/>
      <w:r>
        <w:t xml:space="preserve"> numerical targets over deep, </w:t>
      </w:r>
      <w:proofErr w:type="spellStart"/>
      <w:r>
        <w:t>personalized</w:t>
      </w:r>
      <w:proofErr w:type="spellEnd"/>
      <w:r>
        <w:t xml:space="preserve"> care. It can also lead to a hyper-focus on single conditions, which may not align with the complex needs of older patients living with multiple, interacting long-term illnesses (Boyd </w:t>
      </w:r>
      <w:r>
        <w:t>et al.</w:t>
      </w:r>
      <w:r>
        <w:t xml:space="preserve">, 2005). </w:t>
      </w:r>
    </w:p>
    <w:p w14:paraId="0CE23CD9" w14:textId="77777777" w:rsidR="0099082E" w:rsidRDefault="00685AD6">
      <w:pPr>
        <w:spacing w:after="40" w:line="259" w:lineRule="auto"/>
        <w:ind w:left="-5" w:right="7"/>
      </w:pPr>
      <w:r>
        <w:t xml:space="preserve">SECTION 4: PERSON-CENTRED </w:t>
      </w:r>
    </w:p>
    <w:p w14:paraId="5E450B6D" w14:textId="77777777" w:rsidR="0099082E" w:rsidRDefault="00685AD6">
      <w:pPr>
        <w:spacing w:after="35" w:line="259" w:lineRule="auto"/>
        <w:ind w:left="-5" w:right="7"/>
      </w:pPr>
      <w:r>
        <w:t xml:space="preserve">APPROACHES AND </w:t>
      </w:r>
    </w:p>
    <w:p w14:paraId="19D43016" w14:textId="77777777" w:rsidR="0099082E" w:rsidRDefault="00685AD6">
      <w:pPr>
        <w:spacing w:after="184" w:line="259" w:lineRule="auto"/>
        <w:ind w:left="-5" w:right="7"/>
      </w:pPr>
      <w:r>
        <w:t xml:space="preserve">RECOMMENDATIONS </w:t>
      </w:r>
    </w:p>
    <w:p w14:paraId="7C458D83" w14:textId="77777777" w:rsidR="0099082E" w:rsidRDefault="00685AD6">
      <w:pPr>
        <w:spacing w:after="184" w:line="259" w:lineRule="auto"/>
        <w:ind w:left="-5" w:right="7"/>
      </w:pPr>
      <w:r>
        <w:t xml:space="preserve">4.1 Holistic Person-Centred Care and the Social Prescribing Mechanism </w:t>
      </w:r>
    </w:p>
    <w:p w14:paraId="1352CC69" w14:textId="77777777" w:rsidR="0099082E" w:rsidRDefault="00685AD6">
      <w:pPr>
        <w:ind w:left="-5" w:right="12"/>
      </w:pPr>
      <w:r>
        <w:t xml:space="preserve">Moving from a purely medical model to a holistic, </w:t>
      </w:r>
      <w:proofErr w:type="spellStart"/>
      <w:r>
        <w:t>person-centered</w:t>
      </w:r>
      <w:proofErr w:type="spellEnd"/>
      <w:r>
        <w:t xml:space="preserve"> approach is essential for e </w:t>
      </w:r>
      <w:proofErr w:type="spellStart"/>
      <w:r>
        <w:t>ective</w:t>
      </w:r>
      <w:proofErr w:type="spellEnd"/>
      <w:r>
        <w:t xml:space="preserve"> AF management (Epping-Jordan </w:t>
      </w:r>
      <w:r>
        <w:t>et al.</w:t>
      </w:r>
      <w:r>
        <w:t xml:space="preserve">, 2004). This shift requires clinicians to move away from asking </w:t>
      </w:r>
      <w:r>
        <w:t>"What is the matter with this patient?"</w:t>
      </w:r>
      <w:r>
        <w:t xml:space="preserve"> and instead focus on </w:t>
      </w:r>
      <w:r>
        <w:t>"What matters to this patient?"</w:t>
      </w:r>
      <w:r>
        <w:t xml:space="preserve"> Holistic care treats the individual as an active partner in their health journey, fully acknowledging that their physical symptoms are deeply intertwined with their psychological state, social environment, and financial stability. </w:t>
      </w:r>
    </w:p>
    <w:p w14:paraId="6A788852" w14:textId="77777777" w:rsidR="0099082E" w:rsidRDefault="00685AD6">
      <w:pPr>
        <w:ind w:left="-5" w:right="12"/>
      </w:pPr>
      <w:r>
        <w:t xml:space="preserve">A key mechanism within the NHS to support this approach is </w:t>
      </w:r>
      <w:r>
        <w:t>Social Prescribing</w:t>
      </w:r>
      <w:r>
        <w:t>, coordinated by primary care Link Workers (</w:t>
      </w:r>
      <w:proofErr w:type="spellStart"/>
      <w:r>
        <w:t>Dayson</w:t>
      </w:r>
      <w:proofErr w:type="spellEnd"/>
      <w:r>
        <w:t xml:space="preserve"> and </w:t>
      </w:r>
      <w:proofErr w:type="spellStart"/>
      <w:r>
        <w:t>Bashir</w:t>
      </w:r>
      <w:proofErr w:type="spellEnd"/>
      <w:r>
        <w:t xml:space="preserve">, 2014). Social prescribing </w:t>
      </w:r>
      <w:proofErr w:type="spellStart"/>
      <w:r>
        <w:t>recognizes</w:t>
      </w:r>
      <w:proofErr w:type="spellEnd"/>
      <w:r>
        <w:t xml:space="preserve"> that health is heavily influenced by wider social determinants that cannot be addressed by medication alone. </w:t>
      </w:r>
    </w:p>
    <w:p w14:paraId="2D12AA20" w14:textId="77777777" w:rsidR="0099082E" w:rsidRDefault="00685AD6">
      <w:pPr>
        <w:spacing w:after="9"/>
        <w:ind w:left="-5" w:right="12"/>
      </w:pPr>
      <w:r>
        <w:t>[Primary Care Consultation] ──</w:t>
      </w:r>
      <w:r>
        <w:t>►</w:t>
      </w:r>
      <w:r>
        <w:t xml:space="preserve"> [Link </w:t>
      </w:r>
    </w:p>
    <w:p w14:paraId="40155C86" w14:textId="77777777" w:rsidR="0099082E" w:rsidRDefault="00685AD6">
      <w:pPr>
        <w:spacing w:after="151" w:line="295" w:lineRule="auto"/>
        <w:ind w:left="0" w:right="41" w:firstLine="0"/>
        <w:jc w:val="both"/>
      </w:pPr>
      <w:r>
        <w:t>Worker Referral] ──</w:t>
      </w:r>
      <w:r>
        <w:t>►</w:t>
      </w:r>
      <w:r>
        <w:t xml:space="preserve"> [Community Asset Mapping] ──</w:t>
      </w:r>
      <w:r>
        <w:t>►</w:t>
      </w:r>
      <w:r>
        <w:t xml:space="preserve"> [Enrolment in Peer Groups] </w:t>
      </w:r>
    </w:p>
    <w:p w14:paraId="0E8B64CA" w14:textId="77777777" w:rsidR="0099082E" w:rsidRDefault="00685AD6">
      <w:pPr>
        <w:ind w:left="-5" w:right="12"/>
      </w:pPr>
      <w:r>
        <w:t xml:space="preserve">For an individual living with AF, a social prescribing pathway might connect them to: </w:t>
      </w:r>
    </w:p>
    <w:p w14:paraId="14A64046" w14:textId="77777777" w:rsidR="0099082E" w:rsidRDefault="00685AD6">
      <w:pPr>
        <w:numPr>
          <w:ilvl w:val="1"/>
          <w:numId w:val="11"/>
        </w:numPr>
        <w:spacing w:after="151" w:line="295" w:lineRule="auto"/>
        <w:ind w:left="676" w:right="12" w:hanging="338"/>
      </w:pPr>
      <w:r>
        <w:t xml:space="preserve">Local, low-impact exercise classes tailored for cardiac rehabilitation, helping to safely rebuild physical stamina and reduce anxiety around exertion. </w:t>
      </w:r>
    </w:p>
    <w:p w14:paraId="48FC7B52" w14:textId="77777777" w:rsidR="0099082E" w:rsidRDefault="00685AD6">
      <w:pPr>
        <w:numPr>
          <w:ilvl w:val="1"/>
          <w:numId w:val="11"/>
        </w:numPr>
        <w:ind w:left="676" w:right="12" w:hanging="338"/>
      </w:pPr>
      <w:r>
        <w:t xml:space="preserve">Volunteer networks and peer support groups, reducing the social isolation caused by the unpredictability of their condition. </w:t>
      </w:r>
    </w:p>
    <w:p w14:paraId="1913D3FB" w14:textId="77777777" w:rsidR="0099082E" w:rsidRDefault="00685AD6">
      <w:pPr>
        <w:numPr>
          <w:ilvl w:val="1"/>
          <w:numId w:val="11"/>
        </w:numPr>
        <w:spacing w:after="4"/>
        <w:ind w:left="676" w:right="12" w:hanging="338"/>
      </w:pPr>
      <w:r>
        <w:t xml:space="preserve">Local welfare and debt </w:t>
      </w:r>
      <w:proofErr w:type="spellStart"/>
      <w:r>
        <w:t>counseling</w:t>
      </w:r>
      <w:proofErr w:type="spellEnd"/>
      <w:r>
        <w:t xml:space="preserve"> services, helping to </w:t>
      </w:r>
    </w:p>
    <w:p w14:paraId="28B7F9D6" w14:textId="77777777" w:rsidR="0099082E" w:rsidRDefault="00685AD6">
      <w:pPr>
        <w:ind w:left="687" w:right="12"/>
      </w:pPr>
      <w:r>
        <w:t xml:space="preserve">alleviate the financial stress that can worsen hypertension and trigger arrhythmic episodes. </w:t>
      </w:r>
    </w:p>
    <w:p w14:paraId="34F83C51" w14:textId="77777777" w:rsidR="0099082E" w:rsidRDefault="00685AD6">
      <w:pPr>
        <w:spacing w:after="184" w:line="259" w:lineRule="auto"/>
        <w:ind w:left="-5" w:right="7"/>
      </w:pPr>
      <w:r>
        <w:t xml:space="preserve">4.2 Evidence-Based Self-Management Interventions </w:t>
      </w:r>
    </w:p>
    <w:p w14:paraId="322EC465" w14:textId="77777777" w:rsidR="0099082E" w:rsidRDefault="00685AD6">
      <w:pPr>
        <w:ind w:left="-5" w:right="12"/>
      </w:pPr>
      <w:r>
        <w:t xml:space="preserve">Empowering patients to actively </w:t>
      </w:r>
      <w:proofErr w:type="spellStart"/>
      <w:r>
        <w:t>selfmanage</w:t>
      </w:r>
      <w:proofErr w:type="spellEnd"/>
      <w:r>
        <w:t xml:space="preserve"> is crucial for reducing the longterm burden of AF on healthcare systems (Barlow </w:t>
      </w:r>
      <w:r>
        <w:t>et al.</w:t>
      </w:r>
      <w:r>
        <w:t xml:space="preserve">, 2002). Successful self-management relies on providing structured, evidence-based education that builds confidence and health literacy. </w:t>
      </w:r>
    </w:p>
    <w:p w14:paraId="47312FC8" w14:textId="77777777" w:rsidR="0099082E" w:rsidRDefault="00685AD6">
      <w:pPr>
        <w:spacing w:after="184" w:line="259" w:lineRule="auto"/>
        <w:ind w:left="-5" w:right="7"/>
      </w:pPr>
      <w:r>
        <w:t xml:space="preserve">Digital Health Tools and SelfMonitoring </w:t>
      </w:r>
    </w:p>
    <w:p w14:paraId="4502E45F" w14:textId="77777777" w:rsidR="0099082E" w:rsidRDefault="00685AD6">
      <w:pPr>
        <w:ind w:left="-5" w:right="12"/>
      </w:pPr>
      <w:r>
        <w:t xml:space="preserve">The use of consumer technology has transformed AF self-management. Clinically validated smartphone applications and smartwatches equipped with </w:t>
      </w:r>
      <w:proofErr w:type="spellStart"/>
      <w:r>
        <w:t>photoplethysmography</w:t>
      </w:r>
      <w:proofErr w:type="spellEnd"/>
      <w:r>
        <w:t xml:space="preserve"> </w:t>
      </w:r>
      <w:r>
        <w:t>(PPG) or single-lead ECG monitors allow patients to track their heart rhythm in real-time (</w:t>
      </w:r>
      <w:proofErr w:type="spellStart"/>
      <w:r>
        <w:t>Guo</w:t>
      </w:r>
      <w:proofErr w:type="spellEnd"/>
      <w:r>
        <w:t xml:space="preserve"> </w:t>
      </w:r>
      <w:r>
        <w:t>et al.</w:t>
      </w:r>
      <w:r>
        <w:t xml:space="preserve">, 2019). </w:t>
      </w:r>
    </w:p>
    <w:p w14:paraId="1AFFECC0" w14:textId="77777777" w:rsidR="0099082E" w:rsidRDefault="00685AD6">
      <w:pPr>
        <w:ind w:left="-5" w:right="82"/>
      </w:pPr>
      <w:r>
        <w:t xml:space="preserve">When integrated into a structured care plan, these tools help patients </w:t>
      </w:r>
      <w:proofErr w:type="spellStart"/>
      <w:r>
        <w:t>di</w:t>
      </w:r>
      <w:proofErr w:type="spellEnd"/>
      <w:r>
        <w:t xml:space="preserve"> </w:t>
      </w:r>
      <w:proofErr w:type="spellStart"/>
      <w:r>
        <w:t>erentiate</w:t>
      </w:r>
      <w:proofErr w:type="spellEnd"/>
      <w:r>
        <w:t xml:space="preserve"> between benign sinus tachycardia and genuine AF paroxysms, reducing unnecessary Emergency Department attendances. Crucially, digital self-monitoring must be accompanied by a clear "safety-netting" framework, ensuring patients know exactly when a reading warrants routine review versus urgent medical attention. </w:t>
      </w:r>
    </w:p>
    <w:p w14:paraId="672A4C3A" w14:textId="77777777" w:rsidR="0099082E" w:rsidRDefault="00685AD6">
      <w:pPr>
        <w:spacing w:after="9"/>
        <w:ind w:left="-5" w:right="12"/>
      </w:pPr>
      <w:r>
        <w:t>[Smartwatch PPG/ECG Log] ──</w:t>
      </w:r>
      <w:r>
        <w:t>►</w:t>
      </w:r>
      <w:r>
        <w:t xml:space="preserve"> </w:t>
      </w:r>
    </w:p>
    <w:p w14:paraId="5CBB3C0A" w14:textId="77777777" w:rsidR="0099082E" w:rsidRDefault="00685AD6">
      <w:pPr>
        <w:spacing w:after="14"/>
        <w:ind w:left="-5" w:right="12"/>
      </w:pPr>
      <w:r>
        <w:t>Patient App Dashboard ──</w:t>
      </w:r>
      <w:r>
        <w:t>►</w:t>
      </w:r>
      <w:r>
        <w:t xml:space="preserve"> [Shared </w:t>
      </w:r>
    </w:p>
    <w:p w14:paraId="15FB25D9" w14:textId="77777777" w:rsidR="0099082E" w:rsidRDefault="00685AD6">
      <w:pPr>
        <w:ind w:left="-5" w:right="12"/>
      </w:pPr>
      <w:r>
        <w:t>Care Consultation] ──</w:t>
      </w:r>
      <w:r>
        <w:t>►</w:t>
      </w:r>
      <w:r>
        <w:t xml:space="preserve"> Targeted Treatment Adjustments </w:t>
      </w:r>
    </w:p>
    <w:p w14:paraId="5EE7C3FB" w14:textId="77777777" w:rsidR="0099082E" w:rsidRDefault="00685AD6">
      <w:pPr>
        <w:spacing w:after="184" w:line="259" w:lineRule="auto"/>
        <w:ind w:left="-5" w:right="7"/>
      </w:pPr>
      <w:r>
        <w:t xml:space="preserve">Structured Educational Programs </w:t>
      </w:r>
    </w:p>
    <w:p w14:paraId="7C565F54" w14:textId="77777777" w:rsidR="0099082E" w:rsidRDefault="00685AD6">
      <w:pPr>
        <w:ind w:left="-5" w:right="12"/>
      </w:pPr>
      <w:r>
        <w:t xml:space="preserve">Patients require targeted education on a range of essential self-management </w:t>
      </w:r>
      <w:proofErr w:type="spellStart"/>
      <w:r>
        <w:t>behaviors</w:t>
      </w:r>
      <w:proofErr w:type="spellEnd"/>
      <w:r>
        <w:t xml:space="preserve"> (Clark </w:t>
      </w:r>
      <w:r>
        <w:t>et al.</w:t>
      </w:r>
      <w:r>
        <w:t xml:space="preserve">, 2014): </w:t>
      </w:r>
    </w:p>
    <w:p w14:paraId="18940FFB" w14:textId="77777777" w:rsidR="0099082E" w:rsidRDefault="00685AD6">
      <w:pPr>
        <w:numPr>
          <w:ilvl w:val="0"/>
          <w:numId w:val="12"/>
        </w:numPr>
        <w:spacing w:after="0" w:line="259" w:lineRule="auto"/>
        <w:ind w:left="676" w:right="12" w:hanging="338"/>
      </w:pPr>
      <w:r>
        <w:t>Medication Adherence:</w:t>
      </w:r>
      <w:r>
        <w:t xml:space="preserve"> </w:t>
      </w:r>
    </w:p>
    <w:p w14:paraId="0335CA68" w14:textId="77777777" w:rsidR="0099082E" w:rsidRDefault="00685AD6">
      <w:pPr>
        <w:ind w:left="687" w:right="12"/>
      </w:pPr>
      <w:r>
        <w:t xml:space="preserve">Understanding the short half-life of DOACs is vital; missing even a single dose can rapidly eliminate thromboembolic protection, unlike older medications like Warfarin. </w:t>
      </w:r>
    </w:p>
    <w:p w14:paraId="41A2B06D" w14:textId="77777777" w:rsidR="0099082E" w:rsidRDefault="00685AD6">
      <w:pPr>
        <w:numPr>
          <w:ilvl w:val="0"/>
          <w:numId w:val="12"/>
        </w:numPr>
        <w:ind w:left="676" w:right="12" w:hanging="338"/>
      </w:pPr>
      <w:r>
        <w:t>Symptom Recognition:</w:t>
      </w:r>
      <w:r>
        <w:t xml:space="preserve"> Learning to identify warning signs of major complications, such as an irregular pulse paired with sudden slurred speech or unilateral weakness (indicative of a stroke), alongside </w:t>
      </w:r>
      <w:proofErr w:type="spellStart"/>
      <w:r>
        <w:t>recognizing</w:t>
      </w:r>
      <w:proofErr w:type="spellEnd"/>
      <w:r>
        <w:t xml:space="preserve"> signs of internal bleeding like unexplained bruising or dark, tarry stools. </w:t>
      </w:r>
    </w:p>
    <w:p w14:paraId="19572BBB" w14:textId="77777777" w:rsidR="0099082E" w:rsidRDefault="00685AD6">
      <w:pPr>
        <w:numPr>
          <w:ilvl w:val="0"/>
          <w:numId w:val="12"/>
        </w:numPr>
        <w:spacing w:after="3"/>
        <w:ind w:left="676" w:right="12" w:hanging="338"/>
      </w:pPr>
      <w:r>
        <w:t>Lifestyle Modification:</w:t>
      </w:r>
      <w:r>
        <w:t xml:space="preserve"> Adopting practical strategies for sustainable weight loss, incorporating moderate physical </w:t>
      </w:r>
    </w:p>
    <w:p w14:paraId="40355F27" w14:textId="77777777" w:rsidR="0099082E" w:rsidRDefault="00685AD6">
      <w:pPr>
        <w:ind w:left="687" w:right="12"/>
      </w:pPr>
      <w:r>
        <w:t xml:space="preserve">activity, and strictly limiting alcohol and ca </w:t>
      </w:r>
      <w:proofErr w:type="spellStart"/>
      <w:r>
        <w:t>eine</w:t>
      </w:r>
      <w:proofErr w:type="spellEnd"/>
      <w:r>
        <w:t xml:space="preserve"> intake to reduce the frequency and severity of arrhythmic episodes. </w:t>
      </w:r>
    </w:p>
    <w:p w14:paraId="5A903A2D" w14:textId="77777777" w:rsidR="0099082E" w:rsidRDefault="00685AD6">
      <w:pPr>
        <w:spacing w:after="184" w:line="259" w:lineRule="auto"/>
        <w:ind w:left="-5" w:right="7"/>
      </w:pPr>
      <w:r>
        <w:t xml:space="preserve">4.3 End-of-Life Care Considerations in Advanced Frailty </w:t>
      </w:r>
    </w:p>
    <w:p w14:paraId="6A14B679" w14:textId="77777777" w:rsidR="0099082E" w:rsidRDefault="00685AD6">
      <w:pPr>
        <w:ind w:left="-5" w:right="12"/>
      </w:pPr>
      <w:r>
        <w:t xml:space="preserve">In the advanced stages of long-term conditions, especially when AF coexists with severe heart failure, </w:t>
      </w:r>
      <w:proofErr w:type="spellStart"/>
      <w:r>
        <w:t>multiinfarct</w:t>
      </w:r>
      <w:proofErr w:type="spellEnd"/>
      <w:r>
        <w:t xml:space="preserve"> dementia, or advanced </w:t>
      </w:r>
      <w:proofErr w:type="spellStart"/>
      <w:r>
        <w:t>multiorgan</w:t>
      </w:r>
      <w:proofErr w:type="spellEnd"/>
      <w:r>
        <w:t xml:space="preserve"> frailty, the clinical focus must shift from prolongation of life to </w:t>
      </w:r>
      <w:proofErr w:type="spellStart"/>
      <w:r>
        <w:t>optimization</w:t>
      </w:r>
      <w:proofErr w:type="spellEnd"/>
      <w:r>
        <w:t xml:space="preserve"> of comfort and quality of life (</w:t>
      </w:r>
      <w:proofErr w:type="spellStart"/>
      <w:r>
        <w:t>Jaarsma</w:t>
      </w:r>
      <w:proofErr w:type="spellEnd"/>
      <w:r>
        <w:t xml:space="preserve"> </w:t>
      </w:r>
      <w:r>
        <w:t>et al.</w:t>
      </w:r>
      <w:r>
        <w:t xml:space="preserve">, 2009). </w:t>
      </w:r>
    </w:p>
    <w:p w14:paraId="37A92FE7" w14:textId="77777777" w:rsidR="0099082E" w:rsidRDefault="00685AD6">
      <w:pPr>
        <w:spacing w:after="184" w:line="259" w:lineRule="auto"/>
        <w:ind w:left="-5" w:right="7"/>
      </w:pPr>
      <w:r>
        <w:t xml:space="preserve">Deciding to De-escalate and </w:t>
      </w:r>
      <w:proofErr w:type="spellStart"/>
      <w:r>
        <w:t>Deprescribe</w:t>
      </w:r>
      <w:proofErr w:type="spellEnd"/>
      <w:r>
        <w:t xml:space="preserve"> </w:t>
      </w:r>
    </w:p>
    <w:p w14:paraId="709F72A1" w14:textId="77777777" w:rsidR="0099082E" w:rsidRDefault="00685AD6">
      <w:pPr>
        <w:ind w:left="-5" w:right="12"/>
      </w:pPr>
      <w:r>
        <w:t xml:space="preserve">As a patient approaches the end of life, the continuing benefit of routine therapies must be carefully reevaluated (Scott </w:t>
      </w:r>
      <w:r>
        <w:t>et al.</w:t>
      </w:r>
      <w:r>
        <w:t xml:space="preserve">, 2015). Anticoagulation with DOACs or Warfarin, which is maintained for years to prevent stroke, can become a significant hazard in the presence of advanced frailty, frequent falls, or spontaneous bleeding. </w:t>
      </w:r>
    </w:p>
    <w:p w14:paraId="2FFD6FCB" w14:textId="77777777" w:rsidR="0099082E" w:rsidRDefault="00685AD6">
      <w:pPr>
        <w:ind w:left="-5" w:right="12"/>
      </w:pPr>
      <w:r>
        <w:t xml:space="preserve">In the final weeks or days of life, clinicians, in close consultation with the patient and their family, should actively consider discontinuing oral anticoagulation to </w:t>
      </w:r>
      <w:proofErr w:type="spellStart"/>
      <w:r>
        <w:t>minimize</w:t>
      </w:r>
      <w:proofErr w:type="spellEnd"/>
      <w:r>
        <w:t xml:space="preserve"> the risk of distressing hemorrhagic complications, shifting the therapeutic priority entirely to comfort. </w:t>
      </w:r>
    </w:p>
    <w:p w14:paraId="28B68867" w14:textId="77777777" w:rsidR="0099082E" w:rsidRDefault="00685AD6">
      <w:pPr>
        <w:spacing w:after="184" w:line="259" w:lineRule="auto"/>
        <w:ind w:left="-5" w:right="7"/>
      </w:pPr>
      <w:r>
        <w:t xml:space="preserve">Managing Symptoms in Palliative Care </w:t>
      </w:r>
    </w:p>
    <w:p w14:paraId="7D9BA018" w14:textId="77777777" w:rsidR="0099082E" w:rsidRDefault="00685AD6">
      <w:pPr>
        <w:ind w:left="-5" w:right="12"/>
      </w:pPr>
      <w:r>
        <w:t xml:space="preserve">When rhythm control is no longer appropriate, terminal symptom management focuses on maintaining comfort and reducing distress: </w:t>
      </w:r>
    </w:p>
    <w:p w14:paraId="5659C043" w14:textId="77777777" w:rsidR="0099082E" w:rsidRDefault="00685AD6">
      <w:pPr>
        <w:numPr>
          <w:ilvl w:val="0"/>
          <w:numId w:val="13"/>
        </w:numPr>
        <w:ind w:left="676" w:right="12" w:hanging="338"/>
      </w:pPr>
      <w:r>
        <w:t>Rate Control for Comfort:</w:t>
      </w:r>
      <w:r>
        <w:t xml:space="preserve"> </w:t>
      </w:r>
      <w:proofErr w:type="spellStart"/>
      <w:r>
        <w:t>Lowdose</w:t>
      </w:r>
      <w:proofErr w:type="spellEnd"/>
      <w:r>
        <w:t xml:space="preserve"> -blockers or digoxin may be maintained to prevent rapid, distressing palpitations or acute pulmonary </w:t>
      </w:r>
      <w:proofErr w:type="spellStart"/>
      <w:r>
        <w:t>edema</w:t>
      </w:r>
      <w:proofErr w:type="spellEnd"/>
      <w:r>
        <w:t xml:space="preserve">, provided the patient can still swallow or medication can be delivered via alternative routes. </w:t>
      </w:r>
    </w:p>
    <w:p w14:paraId="4C31BACF" w14:textId="77777777" w:rsidR="0099082E" w:rsidRDefault="00685AD6">
      <w:pPr>
        <w:numPr>
          <w:ilvl w:val="0"/>
          <w:numId w:val="13"/>
        </w:numPr>
        <w:ind w:left="676" w:right="12" w:hanging="338"/>
      </w:pPr>
      <w:r>
        <w:t>Alleviating Dyspnea and Anxiety:</w:t>
      </w:r>
      <w:r>
        <w:t xml:space="preserve"> Subcutaneous infusions of low-dose opioids (e.g., Morphine) via a syringe driver are highly e </w:t>
      </w:r>
      <w:proofErr w:type="spellStart"/>
      <w:r>
        <w:t>ective</w:t>
      </w:r>
      <w:proofErr w:type="spellEnd"/>
      <w:r>
        <w:t xml:space="preserve"> at easing terminal breathlessness, while low-dose benzodiazepines (e.g., </w:t>
      </w:r>
      <w:proofErr w:type="spellStart"/>
      <w:r>
        <w:t>Midazolam</w:t>
      </w:r>
      <w:proofErr w:type="spellEnd"/>
      <w:r>
        <w:t xml:space="preserve">) can help manage associated anxiety and agitation. </w:t>
      </w:r>
    </w:p>
    <w:p w14:paraId="2AD86354" w14:textId="77777777" w:rsidR="0099082E" w:rsidRDefault="00685AD6">
      <w:pPr>
        <w:spacing w:after="184" w:line="259" w:lineRule="auto"/>
        <w:ind w:left="-5" w:right="7"/>
      </w:pPr>
      <w:r>
        <w:t xml:space="preserve">Anticipatory Care Planning (ACP) </w:t>
      </w:r>
    </w:p>
    <w:p w14:paraId="4A6755F9" w14:textId="77777777" w:rsidR="0099082E" w:rsidRDefault="00685AD6">
      <w:pPr>
        <w:ind w:left="-5" w:right="12"/>
      </w:pPr>
      <w:r>
        <w:t>Anticipatory Care Planning should be initiated well before a patient reaches the terminal phase, while they still retain full decision-making capacity (</w:t>
      </w:r>
      <w:proofErr w:type="spellStart"/>
      <w:r>
        <w:t>Sudore</w:t>
      </w:r>
      <w:proofErr w:type="spellEnd"/>
      <w:r>
        <w:t xml:space="preserve"> and Fried, 2010). Key components of a comprehensive ACP for a patient with advanced cardiovascular disease include: </w:t>
      </w:r>
    </w:p>
    <w:p w14:paraId="7959FDBB" w14:textId="77777777" w:rsidR="0099082E" w:rsidRDefault="00685AD6">
      <w:pPr>
        <w:numPr>
          <w:ilvl w:val="0"/>
          <w:numId w:val="13"/>
        </w:numPr>
        <w:spacing w:after="0" w:line="259" w:lineRule="auto"/>
        <w:ind w:left="676" w:right="12" w:hanging="338"/>
      </w:pPr>
      <w:r>
        <w:t xml:space="preserve">Documenting Care </w:t>
      </w:r>
    </w:p>
    <w:p w14:paraId="0C67EBB1" w14:textId="77777777" w:rsidR="0099082E" w:rsidRDefault="00685AD6">
      <w:pPr>
        <w:ind w:left="687" w:right="12"/>
      </w:pPr>
      <w:r>
        <w:t>Preferences:</w:t>
      </w:r>
      <w:r>
        <w:t xml:space="preserve"> Formally recording the patient's choices regarding preferred place of care and preferred place of death (e.g., home, hospice, or care facility). </w:t>
      </w:r>
    </w:p>
    <w:p w14:paraId="09C9A96A" w14:textId="77777777" w:rsidR="0099082E" w:rsidRDefault="00685AD6">
      <w:pPr>
        <w:numPr>
          <w:ilvl w:val="0"/>
          <w:numId w:val="13"/>
        </w:numPr>
        <w:spacing w:after="151" w:line="295" w:lineRule="auto"/>
        <w:ind w:left="676" w:right="12" w:hanging="338"/>
      </w:pPr>
      <w:r>
        <w:t>Treatment Limitations:</w:t>
      </w:r>
      <w:r>
        <w:t xml:space="preserve"> </w:t>
      </w:r>
      <w:r>
        <w:t xml:space="preserve">Documenting clear decisions regarding hospital readmissions, intravenous antibiotic therapy for recurring infections, and defining a clear </w:t>
      </w:r>
      <w:r>
        <w:t>Do Not Attempt Cardiopulmonary Resuscitation</w:t>
      </w:r>
      <w:r>
        <w:t xml:space="preserve"> (DNACPR) status. </w:t>
      </w:r>
    </w:p>
    <w:p w14:paraId="1874FF42" w14:textId="77777777" w:rsidR="0099082E" w:rsidRDefault="00685AD6">
      <w:pPr>
        <w:numPr>
          <w:ilvl w:val="0"/>
          <w:numId w:val="13"/>
        </w:numPr>
        <w:ind w:left="676" w:right="12" w:hanging="338"/>
      </w:pPr>
      <w:r>
        <w:t>Legal Protections:</w:t>
      </w:r>
      <w:r>
        <w:t xml:space="preserve"> Encouraging the formal appointment of a Lasting Power of Attorney (LPA) for Health and Welfare, ensuring that a trusted family member can advocate for the patient's documented wishes if they lose capacity. </w:t>
      </w:r>
    </w:p>
    <w:p w14:paraId="5B713FD9" w14:textId="77777777" w:rsidR="0099082E" w:rsidRDefault="00685AD6">
      <w:pPr>
        <w:spacing w:after="184" w:line="259" w:lineRule="auto"/>
        <w:ind w:left="-5" w:right="7"/>
      </w:pPr>
      <w:r>
        <w:t xml:space="preserve">SECTION 5: STRATEGIC RECOMMENDATIONS FOR PRACTICE </w:t>
      </w:r>
    </w:p>
    <w:p w14:paraId="22AB3C81" w14:textId="77777777" w:rsidR="0099082E" w:rsidRDefault="00685AD6">
      <w:pPr>
        <w:spacing w:after="184" w:line="259" w:lineRule="auto"/>
        <w:ind w:left="-5" w:right="7"/>
      </w:pPr>
      <w:r>
        <w:t xml:space="preserve">5.1 Strategic Recommendation 1: Community Arrhythmia Clinics </w:t>
      </w:r>
    </w:p>
    <w:p w14:paraId="1E3CDE15" w14:textId="77777777" w:rsidR="0099082E" w:rsidRDefault="00685AD6">
      <w:pPr>
        <w:numPr>
          <w:ilvl w:val="0"/>
          <w:numId w:val="13"/>
        </w:numPr>
        <w:ind w:left="676" w:right="12" w:hanging="338"/>
      </w:pPr>
      <w:r>
        <w:t>Rationale:</w:t>
      </w:r>
      <w:r>
        <w:t xml:space="preserve"> To </w:t>
      </w:r>
      <w:proofErr w:type="spellStart"/>
      <w:r>
        <w:t>operationalize</w:t>
      </w:r>
      <w:proofErr w:type="spellEnd"/>
      <w:r>
        <w:t xml:space="preserve"> the integrated care goals of the Health and Care Act 2022 and the NHS Long Term Plan, reducing the fragmentation of care across primary and secondary sectors. </w:t>
      </w:r>
    </w:p>
    <w:p w14:paraId="20208E78" w14:textId="77777777" w:rsidR="0099082E" w:rsidRDefault="00685AD6">
      <w:pPr>
        <w:numPr>
          <w:ilvl w:val="0"/>
          <w:numId w:val="13"/>
        </w:numPr>
        <w:ind w:left="676" w:right="12" w:hanging="338"/>
      </w:pPr>
      <w:r>
        <w:t>Action:</w:t>
      </w:r>
      <w:r>
        <w:t xml:space="preserve"> Integrated Care Boards (ICBs) should commission community-based clinics where patients can access diagnostic 12-lead ECGs, echocardiography, ORBIT bleeding risk evaluations, and DOAC initiation during a single appointment. This service should </w:t>
      </w:r>
    </w:p>
    <w:p w14:paraId="1C0645F9" w14:textId="77777777" w:rsidR="0099082E" w:rsidRDefault="0099082E">
      <w:pPr>
        <w:sectPr w:rsidR="0099082E">
          <w:type w:val="continuous"/>
          <w:pgSz w:w="12240" w:h="15840"/>
          <w:pgMar w:top="1353" w:right="1884" w:bottom="1487" w:left="1872" w:header="720" w:footer="720" w:gutter="0"/>
          <w:cols w:num="2" w:space="638"/>
        </w:sectPr>
      </w:pPr>
    </w:p>
    <w:p w14:paraId="37B713A9" w14:textId="77777777" w:rsidR="0099082E" w:rsidRDefault="00685AD6">
      <w:pPr>
        <w:ind w:left="687" w:right="12"/>
      </w:pPr>
      <w:r>
        <w:t xml:space="preserve">be led by Advanced Nurse Practitioners (ANPs) and Specialist Clinical Pharmacists, with a direct communication link to regional cardiology </w:t>
      </w:r>
      <w:proofErr w:type="spellStart"/>
      <w:r>
        <w:t>centers</w:t>
      </w:r>
      <w:proofErr w:type="spellEnd"/>
      <w:r>
        <w:t xml:space="preserve">. </w:t>
      </w:r>
    </w:p>
    <w:p w14:paraId="057A08B3" w14:textId="77777777" w:rsidR="0099082E" w:rsidRDefault="00685AD6">
      <w:pPr>
        <w:spacing w:after="184" w:line="259" w:lineRule="auto"/>
        <w:ind w:left="-5" w:right="7"/>
      </w:pPr>
      <w:r>
        <w:t xml:space="preserve">5.2 Strategic Recommendation 2: Coproduction of Structured SelfManagement Digital Pathways </w:t>
      </w:r>
    </w:p>
    <w:p w14:paraId="35AC6763" w14:textId="77777777" w:rsidR="0099082E" w:rsidRDefault="00685AD6">
      <w:pPr>
        <w:numPr>
          <w:ilvl w:val="0"/>
          <w:numId w:val="13"/>
        </w:numPr>
        <w:ind w:left="676" w:right="12" w:hanging="338"/>
      </w:pPr>
      <w:r>
        <w:t>Rationale:</w:t>
      </w:r>
      <w:r>
        <w:t xml:space="preserve"> To strengthen </w:t>
      </w:r>
      <w:proofErr w:type="spellStart"/>
      <w:r>
        <w:t>selfmanagement</w:t>
      </w:r>
      <w:proofErr w:type="spellEnd"/>
      <w:r>
        <w:t xml:space="preserve"> support, fully aligning with the UK House of Care framework by actively engaging and informing patients. </w:t>
      </w:r>
    </w:p>
    <w:p w14:paraId="320708D2" w14:textId="77777777" w:rsidR="0099082E" w:rsidRDefault="00685AD6">
      <w:pPr>
        <w:numPr>
          <w:ilvl w:val="0"/>
          <w:numId w:val="13"/>
        </w:numPr>
        <w:ind w:left="676" w:right="12" w:hanging="338"/>
      </w:pPr>
      <w:r>
        <w:t>Action:</w:t>
      </w:r>
      <w:r>
        <w:t xml:space="preserve"> Primary care networks (PCNs) should implement a coproduced digital platform that connects validated wearable devices directly with primary care health records. This platform should feature interactive modules focused on DOAC medication adherence, the dangers of alcohol-induced </w:t>
      </w:r>
      <w:proofErr w:type="spellStart"/>
      <w:r>
        <w:t>remodeling</w:t>
      </w:r>
      <w:proofErr w:type="spellEnd"/>
      <w:r>
        <w:t xml:space="preserve">, and structured lifestyle goals, supported by asynchronous messaging with a designated care coordinator. </w:t>
      </w:r>
    </w:p>
    <w:p w14:paraId="52EA418C" w14:textId="77777777" w:rsidR="0099082E" w:rsidRDefault="00685AD6">
      <w:pPr>
        <w:spacing w:after="34" w:line="259" w:lineRule="auto"/>
        <w:ind w:left="-5" w:right="7"/>
      </w:pPr>
      <w:r>
        <w:t xml:space="preserve">5.3 Strategic Recommendation 3: Mandated Core Competency </w:t>
      </w:r>
    </w:p>
    <w:p w14:paraId="7FE168DA" w14:textId="77777777" w:rsidR="0099082E" w:rsidRDefault="00685AD6">
      <w:pPr>
        <w:spacing w:after="184" w:line="259" w:lineRule="auto"/>
        <w:ind w:left="-5" w:right="7"/>
      </w:pPr>
      <w:r>
        <w:t xml:space="preserve">Protocols for Anticipatory Care Planning in Advanced Frailty </w:t>
      </w:r>
    </w:p>
    <w:p w14:paraId="058080F7" w14:textId="77777777" w:rsidR="0099082E" w:rsidRDefault="00685AD6">
      <w:pPr>
        <w:numPr>
          <w:ilvl w:val="0"/>
          <w:numId w:val="13"/>
        </w:numPr>
        <w:ind w:left="676" w:right="12" w:hanging="338"/>
      </w:pPr>
      <w:r>
        <w:t>Rationale:</w:t>
      </w:r>
      <w:r>
        <w:t xml:space="preserve"> To address existing variations in end-of-life care quality, ensuring that </w:t>
      </w:r>
      <w:proofErr w:type="spellStart"/>
      <w:r>
        <w:t>personcentered</w:t>
      </w:r>
      <w:proofErr w:type="spellEnd"/>
      <w:r>
        <w:t xml:space="preserve"> care remains a priority through the final stages of advanced frailty. </w:t>
      </w:r>
    </w:p>
    <w:p w14:paraId="2DE02A52" w14:textId="77777777" w:rsidR="0099082E" w:rsidRDefault="00685AD6">
      <w:pPr>
        <w:ind w:left="687" w:right="12"/>
      </w:pPr>
      <w:r>
        <w:t>Action:</w:t>
      </w:r>
      <w:r>
        <w:t xml:space="preserve"> General practices should introduce an electronic clinical trigger within their systems. This trigger would mandate an Anticipatory Care Plan review whenever an AF patient aged over 80 experiences two or more unplanned hospital admissions within a six-month period, or displays an ORBIT score indicating high bleeding risk alongside advanced frailty. This review will guide timely decisions on medication </w:t>
      </w:r>
      <w:proofErr w:type="spellStart"/>
      <w:r>
        <w:t>optimization</w:t>
      </w:r>
      <w:proofErr w:type="spellEnd"/>
      <w:r>
        <w:t xml:space="preserve">, DNACPR status, and local palliative care coordination. </w:t>
      </w:r>
    </w:p>
    <w:p w14:paraId="0BC4542C" w14:textId="77777777" w:rsidR="0099082E" w:rsidRDefault="00685AD6">
      <w:pPr>
        <w:spacing w:after="35" w:line="259" w:lineRule="auto"/>
        <w:ind w:left="-5" w:right="7"/>
      </w:pPr>
      <w:r>
        <w:t xml:space="preserve">SECTION 6: COMPREHENSIVE </w:t>
      </w:r>
    </w:p>
    <w:p w14:paraId="05DDE14C" w14:textId="77777777" w:rsidR="0099082E" w:rsidRDefault="00685AD6">
      <w:pPr>
        <w:spacing w:after="184" w:line="259" w:lineRule="auto"/>
        <w:ind w:left="-5" w:right="7"/>
      </w:pPr>
      <w:r>
        <w:t xml:space="preserve">BIBLIOGRAPHY (HARVARD REFERENCING) </w:t>
      </w:r>
    </w:p>
    <w:p w14:paraId="2C18D4C3" w14:textId="77777777" w:rsidR="0099082E" w:rsidRDefault="00685AD6">
      <w:pPr>
        <w:numPr>
          <w:ilvl w:val="0"/>
          <w:numId w:val="13"/>
        </w:numPr>
        <w:spacing w:after="3"/>
        <w:ind w:left="676" w:right="12" w:hanging="338"/>
      </w:pPr>
      <w:r>
        <w:t xml:space="preserve">Abed, H.S., </w:t>
      </w:r>
      <w:proofErr w:type="spellStart"/>
      <w:r>
        <w:t>Wittert</w:t>
      </w:r>
      <w:proofErr w:type="spellEnd"/>
      <w:r>
        <w:t xml:space="preserve">, G.A., </w:t>
      </w:r>
      <w:proofErr w:type="spellStart"/>
      <w:r>
        <w:t>Leong</w:t>
      </w:r>
      <w:proofErr w:type="spellEnd"/>
      <w:r>
        <w:t xml:space="preserve">, D.P., </w:t>
      </w:r>
      <w:proofErr w:type="spellStart"/>
      <w:r>
        <w:t>Shirazi</w:t>
      </w:r>
      <w:proofErr w:type="spellEnd"/>
      <w:r>
        <w:t xml:space="preserve">, M.G., </w:t>
      </w:r>
      <w:proofErr w:type="spellStart"/>
      <w:r>
        <w:t>Bahrami</w:t>
      </w:r>
      <w:proofErr w:type="spellEnd"/>
      <w:r>
        <w:t xml:space="preserve">, B., </w:t>
      </w:r>
    </w:p>
    <w:p w14:paraId="4FA70080" w14:textId="77777777" w:rsidR="0099082E" w:rsidRDefault="00685AD6">
      <w:pPr>
        <w:spacing w:after="8"/>
        <w:ind w:left="687" w:right="12"/>
      </w:pPr>
      <w:proofErr w:type="spellStart"/>
      <w:r>
        <w:t>Middeldorp</w:t>
      </w:r>
      <w:proofErr w:type="spellEnd"/>
      <w:r>
        <w:t xml:space="preserve">, M.E., </w:t>
      </w:r>
      <w:proofErr w:type="spellStart"/>
      <w:r>
        <w:t>Lorimer</w:t>
      </w:r>
      <w:proofErr w:type="spellEnd"/>
      <w:r>
        <w:t xml:space="preserve">, M., </w:t>
      </w:r>
    </w:p>
    <w:p w14:paraId="54CB092A" w14:textId="77777777" w:rsidR="0099082E" w:rsidRDefault="00685AD6">
      <w:pPr>
        <w:spacing w:after="2"/>
        <w:ind w:left="687" w:right="12"/>
      </w:pPr>
      <w:proofErr w:type="spellStart"/>
      <w:r>
        <w:t>Lau</w:t>
      </w:r>
      <w:proofErr w:type="spellEnd"/>
      <w:r>
        <w:t xml:space="preserve">, D.H., Sanders, P. and </w:t>
      </w:r>
      <w:proofErr w:type="spellStart"/>
      <w:r>
        <w:t>Abhayaratna</w:t>
      </w:r>
      <w:proofErr w:type="spellEnd"/>
      <w:r>
        <w:t xml:space="preserve">, W.P. (2013) 'E </w:t>
      </w:r>
      <w:proofErr w:type="spellStart"/>
      <w:r>
        <w:t>ect</w:t>
      </w:r>
      <w:proofErr w:type="spellEnd"/>
      <w:r>
        <w:t xml:space="preserve"> of weight reduction and </w:t>
      </w:r>
    </w:p>
    <w:p w14:paraId="0C2B61DC" w14:textId="77777777" w:rsidR="0099082E" w:rsidRDefault="00685AD6">
      <w:pPr>
        <w:spacing w:after="10"/>
        <w:ind w:left="687" w:right="12"/>
      </w:pPr>
      <w:proofErr w:type="spellStart"/>
      <w:r>
        <w:t>cardiometabolic</w:t>
      </w:r>
      <w:proofErr w:type="spellEnd"/>
      <w:r>
        <w:t xml:space="preserve"> risk factor </w:t>
      </w:r>
    </w:p>
    <w:p w14:paraId="7755E0FA" w14:textId="77777777" w:rsidR="0099082E" w:rsidRDefault="00685AD6">
      <w:pPr>
        <w:spacing w:after="5"/>
        <w:ind w:left="687" w:right="12"/>
      </w:pPr>
      <w:r>
        <w:t xml:space="preserve">management on symptom </w:t>
      </w:r>
    </w:p>
    <w:p w14:paraId="34A4CF88" w14:textId="77777777" w:rsidR="0099082E" w:rsidRDefault="00685AD6">
      <w:pPr>
        <w:spacing w:after="151" w:line="295" w:lineRule="auto"/>
        <w:ind w:left="677" w:right="245" w:firstLine="0"/>
        <w:jc w:val="both"/>
      </w:pPr>
      <w:r>
        <w:t xml:space="preserve">burden and severity in patients with atrial fibrillation: a </w:t>
      </w:r>
      <w:proofErr w:type="spellStart"/>
      <w:r>
        <w:t>randomized</w:t>
      </w:r>
      <w:proofErr w:type="spellEnd"/>
      <w:r>
        <w:t xml:space="preserve"> controlled trial', </w:t>
      </w:r>
      <w:r>
        <w:t>JAMA</w:t>
      </w:r>
      <w:r>
        <w:t xml:space="preserve">, 310(19), pp. 2050-2060. </w:t>
      </w:r>
    </w:p>
    <w:p w14:paraId="31BA5FDC" w14:textId="77777777" w:rsidR="0099082E" w:rsidRDefault="00685AD6">
      <w:pPr>
        <w:numPr>
          <w:ilvl w:val="0"/>
          <w:numId w:val="13"/>
        </w:numPr>
        <w:spacing w:after="3" w:line="293" w:lineRule="auto"/>
        <w:ind w:left="676" w:right="12" w:hanging="338"/>
      </w:pPr>
      <w:r>
        <w:t xml:space="preserve">Arrhythmia Alliance (2026) </w:t>
      </w:r>
      <w:r>
        <w:t xml:space="preserve">Transforming atrial fibrillation management by targeting </w:t>
      </w:r>
      <w:proofErr w:type="spellStart"/>
      <w:r>
        <w:t>comorbidities</w:t>
      </w:r>
      <w:proofErr w:type="spellEnd"/>
      <w:r>
        <w:t xml:space="preserve"> and reducing atrial fibrillation burden: the 10th </w:t>
      </w:r>
    </w:p>
    <w:p w14:paraId="55FC5163" w14:textId="77777777" w:rsidR="0099082E" w:rsidRDefault="00685AD6">
      <w:pPr>
        <w:spacing w:after="155" w:line="293" w:lineRule="auto"/>
        <w:ind w:left="687"/>
      </w:pPr>
      <w:r>
        <w:t>AFNET/EHRA consensus conference</w:t>
      </w:r>
      <w:r>
        <w:t xml:space="preserve">. Available at: </w:t>
      </w:r>
      <w:r>
        <w:rPr>
          <w:color w:val="467886"/>
          <w:u w:val="single" w:color="467886"/>
        </w:rPr>
        <w:t>https://heartrhythmalliance.org/ aa/uk/new-guidelines-issued-forcare-of-atrial-fibrillation-patients</w:t>
      </w:r>
      <w:r>
        <w:t xml:space="preserve"> (Accessed: 25 June 2026). </w:t>
      </w:r>
    </w:p>
    <w:p w14:paraId="4BCB3455" w14:textId="77777777" w:rsidR="0099082E" w:rsidRDefault="00685AD6">
      <w:pPr>
        <w:numPr>
          <w:ilvl w:val="0"/>
          <w:numId w:val="13"/>
        </w:numPr>
        <w:ind w:left="676" w:right="12" w:hanging="338"/>
      </w:pPr>
      <w:r>
        <w:t xml:space="preserve">Barlow, J., Wright, C., </w:t>
      </w:r>
      <w:proofErr w:type="spellStart"/>
      <w:r>
        <w:t>Sheasby</w:t>
      </w:r>
      <w:proofErr w:type="spellEnd"/>
      <w:r>
        <w:t xml:space="preserve">, J., Turner, A. and </w:t>
      </w:r>
      <w:proofErr w:type="spellStart"/>
      <w:r>
        <w:t>Hainsworth</w:t>
      </w:r>
      <w:proofErr w:type="spellEnd"/>
      <w:r>
        <w:t xml:space="preserve">, J. (2002) 'Self-management approaches for people with chronic conditions: a review', </w:t>
      </w:r>
      <w:r>
        <w:t xml:space="preserve">Patient Education and </w:t>
      </w:r>
      <w:proofErr w:type="spellStart"/>
      <w:r>
        <w:t>Counseling</w:t>
      </w:r>
      <w:proofErr w:type="spellEnd"/>
      <w:r>
        <w:t xml:space="preserve">, 48(2), pp. 177-187. </w:t>
      </w:r>
    </w:p>
    <w:p w14:paraId="4DA373E6" w14:textId="77777777" w:rsidR="0099082E" w:rsidRDefault="00685AD6">
      <w:pPr>
        <w:numPr>
          <w:ilvl w:val="0"/>
          <w:numId w:val="13"/>
        </w:numPr>
        <w:spacing w:after="3" w:line="293" w:lineRule="auto"/>
        <w:ind w:left="676" w:right="12" w:hanging="338"/>
      </w:pPr>
      <w:r>
        <w:t xml:space="preserve">Beacon Health System (2025) </w:t>
      </w:r>
      <w:r>
        <w:t>Caregiving for someone with atrial fibrillation</w:t>
      </w:r>
      <w:r>
        <w:t xml:space="preserve">. Available at: </w:t>
      </w:r>
    </w:p>
    <w:p w14:paraId="12A2224A" w14:textId="77777777" w:rsidR="0099082E" w:rsidRDefault="00685AD6">
      <w:pPr>
        <w:spacing w:line="293" w:lineRule="auto"/>
        <w:ind w:left="687"/>
      </w:pPr>
      <w:r>
        <w:rPr>
          <w:color w:val="467886"/>
          <w:u w:val="single" w:color="467886"/>
        </w:rPr>
        <w:t>https://www.beaconhealthsyste m.org/library/articles/caregivingfor-someone-with-atrialfibrillation?content_id=ART20118648</w:t>
      </w:r>
      <w:r>
        <w:t xml:space="preserve"> (Accessed: 25 June 2026). </w:t>
      </w:r>
    </w:p>
    <w:p w14:paraId="710A1B4A" w14:textId="77777777" w:rsidR="0099082E" w:rsidRDefault="00685AD6">
      <w:pPr>
        <w:numPr>
          <w:ilvl w:val="0"/>
          <w:numId w:val="13"/>
        </w:numPr>
        <w:ind w:left="676" w:right="12" w:hanging="338"/>
      </w:pPr>
      <w:r>
        <w:t xml:space="preserve">Boyd, C.M., Darer, J., Boult, C., Fried, L.P., Boult, L. and Wu, A.W. (2005) 'Clinical practice guidelines for older adults with multiple chronic diseases: implications for pay for performance', </w:t>
      </w:r>
      <w:r>
        <w:t>JAMA</w:t>
      </w:r>
      <w:r>
        <w:t xml:space="preserve">, 294(6), pp. 716-724. </w:t>
      </w:r>
    </w:p>
    <w:p w14:paraId="2BC5DEBE" w14:textId="77777777" w:rsidR="0099082E" w:rsidRDefault="00685AD6">
      <w:pPr>
        <w:numPr>
          <w:ilvl w:val="0"/>
          <w:numId w:val="13"/>
        </w:numPr>
        <w:spacing w:after="3" w:line="293" w:lineRule="auto"/>
        <w:ind w:left="676" w:right="12" w:hanging="338"/>
      </w:pPr>
      <w:r>
        <w:t xml:space="preserve">British Heart Foundation (2026) </w:t>
      </w:r>
      <w:r>
        <w:t>Global Cardiovascular Disease Factsheet</w:t>
      </w:r>
      <w:r>
        <w:t xml:space="preserve">. London: BHF. Available at: </w:t>
      </w:r>
      <w:r>
        <w:rPr>
          <w:color w:val="467886"/>
          <w:u w:val="single" w:color="467886"/>
        </w:rPr>
        <w:t>https://www.bhf.org.uk//media/files/forprofessionals/research/heartstatistics/bhf-cvd-statisticsglobal-factsheet-jan26.pdf</w:t>
      </w:r>
      <w:r>
        <w:t xml:space="preserve"> (Accessed: 25 June 2026). </w:t>
      </w:r>
    </w:p>
    <w:p w14:paraId="60FEF869" w14:textId="77777777" w:rsidR="0099082E" w:rsidRDefault="00685AD6">
      <w:pPr>
        <w:ind w:left="348" w:right="12"/>
      </w:pPr>
      <w:proofErr w:type="spellStart"/>
      <w:r>
        <w:t>Burstein</w:t>
      </w:r>
      <w:proofErr w:type="spellEnd"/>
      <w:r>
        <w:t xml:space="preserve">, B. and </w:t>
      </w:r>
      <w:proofErr w:type="spellStart"/>
      <w:r>
        <w:t>Nattel</w:t>
      </w:r>
      <w:proofErr w:type="spellEnd"/>
      <w:r>
        <w:t xml:space="preserve">, S. (2008) 'Atrial structural </w:t>
      </w:r>
      <w:proofErr w:type="spellStart"/>
      <w:r>
        <w:t>remodeling</w:t>
      </w:r>
      <w:proofErr w:type="spellEnd"/>
      <w:r>
        <w:t xml:space="preserve"> as an </w:t>
      </w:r>
      <w:proofErr w:type="spellStart"/>
      <w:r>
        <w:t>arrhythmogenic</w:t>
      </w:r>
      <w:proofErr w:type="spellEnd"/>
      <w:r>
        <w:t xml:space="preserve"> substrate for atrial fibrillation', </w:t>
      </w:r>
      <w:r>
        <w:t>Journal of the American College of Cardiology</w:t>
      </w:r>
      <w:r>
        <w:t xml:space="preserve">, 51(13), pp. 1225-1236. </w:t>
      </w:r>
    </w:p>
    <w:p w14:paraId="308CC8BC" w14:textId="77777777" w:rsidR="0099082E" w:rsidRDefault="00685AD6">
      <w:pPr>
        <w:numPr>
          <w:ilvl w:val="0"/>
          <w:numId w:val="13"/>
        </w:numPr>
        <w:spacing w:after="0"/>
        <w:ind w:left="676" w:right="12" w:hanging="338"/>
      </w:pPr>
      <w:proofErr w:type="spellStart"/>
      <w:r>
        <w:t>Calkins</w:t>
      </w:r>
      <w:proofErr w:type="spellEnd"/>
      <w:r>
        <w:t xml:space="preserve">, H., </w:t>
      </w:r>
      <w:proofErr w:type="spellStart"/>
      <w:r>
        <w:t>Hindricks</w:t>
      </w:r>
      <w:proofErr w:type="spellEnd"/>
      <w:r>
        <w:t xml:space="preserve">, G., </w:t>
      </w:r>
    </w:p>
    <w:p w14:paraId="23FDA00D" w14:textId="77777777" w:rsidR="0099082E" w:rsidRDefault="00685AD6">
      <w:pPr>
        <w:spacing w:after="10"/>
        <w:ind w:left="348" w:right="12"/>
      </w:pPr>
      <w:proofErr w:type="spellStart"/>
      <w:r>
        <w:t>Cappato</w:t>
      </w:r>
      <w:proofErr w:type="spellEnd"/>
      <w:r>
        <w:t xml:space="preserve">, R., Kim, Y.H., Saad, </w:t>
      </w:r>
    </w:p>
    <w:p w14:paraId="53F1DEB3" w14:textId="77777777" w:rsidR="0099082E" w:rsidRDefault="00685AD6">
      <w:pPr>
        <w:spacing w:after="5"/>
        <w:ind w:left="348" w:right="12"/>
      </w:pPr>
      <w:r>
        <w:t xml:space="preserve">E.B., </w:t>
      </w:r>
      <w:proofErr w:type="spellStart"/>
      <w:r>
        <w:t>Aguinaga</w:t>
      </w:r>
      <w:proofErr w:type="spellEnd"/>
      <w:r>
        <w:t xml:space="preserve">, L., </w:t>
      </w:r>
      <w:proofErr w:type="spellStart"/>
      <w:r>
        <w:t>Akar</w:t>
      </w:r>
      <w:proofErr w:type="spellEnd"/>
      <w:r>
        <w:t xml:space="preserve">, J.G., </w:t>
      </w:r>
    </w:p>
    <w:p w14:paraId="00F959EA" w14:textId="77777777" w:rsidR="0099082E" w:rsidRDefault="00685AD6">
      <w:pPr>
        <w:spacing w:after="10"/>
        <w:ind w:left="348" w:right="12"/>
      </w:pPr>
      <w:proofErr w:type="spellStart"/>
      <w:r>
        <w:t>Badhwar</w:t>
      </w:r>
      <w:proofErr w:type="spellEnd"/>
      <w:r>
        <w:t xml:space="preserve">, V., </w:t>
      </w:r>
      <w:proofErr w:type="spellStart"/>
      <w:r>
        <w:t>Brugada</w:t>
      </w:r>
      <w:proofErr w:type="spellEnd"/>
      <w:r>
        <w:t xml:space="preserve">, J., </w:t>
      </w:r>
      <w:proofErr w:type="spellStart"/>
      <w:r>
        <w:t>Camm</w:t>
      </w:r>
      <w:proofErr w:type="spellEnd"/>
      <w:r>
        <w:t xml:space="preserve">, </w:t>
      </w:r>
    </w:p>
    <w:p w14:paraId="78FB1429" w14:textId="77777777" w:rsidR="0099082E" w:rsidRDefault="00685AD6">
      <w:pPr>
        <w:spacing w:after="5"/>
        <w:ind w:left="348" w:right="12"/>
      </w:pPr>
      <w:r>
        <w:t xml:space="preserve">J. and Chen, P.S. (2017) '2017 </w:t>
      </w:r>
    </w:p>
    <w:p w14:paraId="534164E7" w14:textId="77777777" w:rsidR="0099082E" w:rsidRDefault="00685AD6">
      <w:pPr>
        <w:ind w:left="348" w:right="12"/>
      </w:pPr>
      <w:r>
        <w:t xml:space="preserve">HRS/EHRA/ECAS/APHRS/SOLAE CE expert consensus statement on catheter and surgical ablation of atrial fibrillation', </w:t>
      </w:r>
      <w:r>
        <w:t>Heart Rhythm</w:t>
      </w:r>
      <w:r>
        <w:t xml:space="preserve">, 14(10), pp. e275-e444. </w:t>
      </w:r>
    </w:p>
    <w:p w14:paraId="0EC8C877" w14:textId="77777777" w:rsidR="0099082E" w:rsidRDefault="00685AD6">
      <w:pPr>
        <w:numPr>
          <w:ilvl w:val="0"/>
          <w:numId w:val="14"/>
        </w:numPr>
        <w:ind w:right="12" w:hanging="338"/>
      </w:pPr>
      <w:proofErr w:type="spellStart"/>
      <w:r>
        <w:t>Chourdakis</w:t>
      </w:r>
      <w:proofErr w:type="spellEnd"/>
      <w:r>
        <w:t xml:space="preserve">, E., </w:t>
      </w:r>
      <w:proofErr w:type="spellStart"/>
      <w:r>
        <w:t>Koniari</w:t>
      </w:r>
      <w:proofErr w:type="spellEnd"/>
      <w:r>
        <w:t xml:space="preserve">, I., </w:t>
      </w:r>
      <w:proofErr w:type="spellStart"/>
      <w:r>
        <w:t>Velissaris</w:t>
      </w:r>
      <w:proofErr w:type="spellEnd"/>
      <w:r>
        <w:t xml:space="preserve">, D. and </w:t>
      </w:r>
      <w:proofErr w:type="spellStart"/>
      <w:r>
        <w:t>Kounis</w:t>
      </w:r>
      <w:proofErr w:type="spellEnd"/>
      <w:r>
        <w:t xml:space="preserve">, N.G. (2024) 'Sex disparities in atrial fibrillation: epidemiology, mechanisms, and clinical outcomes', </w:t>
      </w:r>
      <w:r>
        <w:t>Journal of Clinical Medicine</w:t>
      </w:r>
      <w:r>
        <w:t xml:space="preserve">, 13(4), p. 1102. </w:t>
      </w:r>
    </w:p>
    <w:p w14:paraId="47BF28D7" w14:textId="77777777" w:rsidR="0099082E" w:rsidRDefault="00685AD6">
      <w:pPr>
        <w:numPr>
          <w:ilvl w:val="0"/>
          <w:numId w:val="14"/>
        </w:numPr>
        <w:spacing w:after="0"/>
        <w:ind w:right="12" w:hanging="338"/>
      </w:pPr>
      <w:r>
        <w:t xml:space="preserve">Clark, A.M., King-Shier, K.M., </w:t>
      </w:r>
    </w:p>
    <w:p w14:paraId="0B8E8F02" w14:textId="77777777" w:rsidR="0099082E" w:rsidRDefault="00685AD6">
      <w:pPr>
        <w:spacing w:after="5"/>
        <w:ind w:left="348" w:right="12"/>
      </w:pPr>
      <w:r>
        <w:t xml:space="preserve">Thompson, D.R., </w:t>
      </w:r>
      <w:proofErr w:type="spellStart"/>
      <w:r>
        <w:t>Spaling</w:t>
      </w:r>
      <w:proofErr w:type="spellEnd"/>
      <w:r>
        <w:t xml:space="preserve">, M.A., </w:t>
      </w:r>
    </w:p>
    <w:p w14:paraId="7710FD77" w14:textId="77777777" w:rsidR="0099082E" w:rsidRDefault="00685AD6">
      <w:pPr>
        <w:spacing w:after="2"/>
        <w:ind w:left="348" w:right="12"/>
      </w:pPr>
      <w:r>
        <w:t xml:space="preserve">Duncan, A.S., Stone, J.A., </w:t>
      </w:r>
      <w:proofErr w:type="spellStart"/>
      <w:r>
        <w:t>Jaglal</w:t>
      </w:r>
      <w:proofErr w:type="spellEnd"/>
      <w:r>
        <w:t xml:space="preserve">, S.B. and Strain, F.A. (2014) 'A qualitative systematic review of influences on self-care in adults with atrial fibrillation', </w:t>
      </w:r>
      <w:r>
        <w:t xml:space="preserve">European </w:t>
      </w:r>
    </w:p>
    <w:p w14:paraId="61D8B1D8" w14:textId="77777777" w:rsidR="0099082E" w:rsidRDefault="00685AD6">
      <w:pPr>
        <w:spacing w:line="293" w:lineRule="auto"/>
        <w:ind w:left="333"/>
      </w:pPr>
      <w:r>
        <w:t>Journal of Cardiovascular Nursing</w:t>
      </w:r>
      <w:r>
        <w:t xml:space="preserve">, 13(5), pp. 412-421. </w:t>
      </w:r>
    </w:p>
    <w:p w14:paraId="512B8FCC" w14:textId="77777777" w:rsidR="0099082E" w:rsidRDefault="00685AD6">
      <w:pPr>
        <w:numPr>
          <w:ilvl w:val="0"/>
          <w:numId w:val="14"/>
        </w:numPr>
        <w:spacing w:after="3" w:line="293" w:lineRule="auto"/>
        <w:ind w:right="12" w:hanging="338"/>
      </w:pPr>
      <w:proofErr w:type="spellStart"/>
      <w:r>
        <w:t>Dayson</w:t>
      </w:r>
      <w:proofErr w:type="spellEnd"/>
      <w:r>
        <w:t xml:space="preserve">, C. and </w:t>
      </w:r>
      <w:proofErr w:type="spellStart"/>
      <w:r>
        <w:t>Bashir</w:t>
      </w:r>
      <w:proofErr w:type="spellEnd"/>
      <w:r>
        <w:t xml:space="preserve">, N. (2014) </w:t>
      </w:r>
      <w:r>
        <w:t xml:space="preserve">The social and economic impact of the Rotherham Social </w:t>
      </w:r>
    </w:p>
    <w:p w14:paraId="0F386745" w14:textId="77777777" w:rsidR="0099082E" w:rsidRDefault="00685AD6">
      <w:pPr>
        <w:spacing w:after="3" w:line="293" w:lineRule="auto"/>
        <w:ind w:left="333"/>
      </w:pPr>
      <w:r>
        <w:t>Prescribing Pilot</w:t>
      </w:r>
      <w:r>
        <w:t xml:space="preserve">. She </w:t>
      </w:r>
      <w:proofErr w:type="spellStart"/>
      <w:r>
        <w:t>ield</w:t>
      </w:r>
      <w:proofErr w:type="spellEnd"/>
      <w:r>
        <w:t xml:space="preserve">: </w:t>
      </w:r>
    </w:p>
    <w:p w14:paraId="01DE7399" w14:textId="77777777" w:rsidR="0099082E" w:rsidRDefault="00685AD6">
      <w:pPr>
        <w:ind w:left="348" w:right="12"/>
      </w:pPr>
      <w:r>
        <w:t xml:space="preserve">She </w:t>
      </w:r>
      <w:proofErr w:type="spellStart"/>
      <w:r>
        <w:t>ield</w:t>
      </w:r>
      <w:proofErr w:type="spellEnd"/>
      <w:r>
        <w:t xml:space="preserve"> Hallam University. </w:t>
      </w:r>
    </w:p>
    <w:p w14:paraId="4E056A88" w14:textId="77777777" w:rsidR="0099082E" w:rsidRDefault="0099082E">
      <w:pPr>
        <w:sectPr w:rsidR="0099082E">
          <w:headerReference w:type="even" r:id="rId10"/>
          <w:headerReference w:type="default" r:id="rId11"/>
          <w:headerReference w:type="first" r:id="rId12"/>
          <w:pgSz w:w="12240" w:h="15840"/>
          <w:pgMar w:top="1353" w:right="1903" w:bottom="1638" w:left="1872" w:header="1429" w:footer="720" w:gutter="0"/>
          <w:cols w:num="2" w:space="684"/>
        </w:sectPr>
      </w:pPr>
    </w:p>
    <w:p w14:paraId="40D4B4DB" w14:textId="77777777" w:rsidR="0099082E" w:rsidRDefault="00685AD6">
      <w:pPr>
        <w:numPr>
          <w:ilvl w:val="0"/>
          <w:numId w:val="14"/>
        </w:numPr>
        <w:spacing w:after="3" w:line="293" w:lineRule="auto"/>
        <w:ind w:right="12" w:hanging="338"/>
      </w:pPr>
      <w:r>
        <w:t xml:space="preserve">Department of Health and Social </w:t>
      </w:r>
      <w:r>
        <w:tab/>
      </w:r>
      <w:proofErr w:type="spellStart"/>
      <w:r>
        <w:t>GPnotebook</w:t>
      </w:r>
      <w:proofErr w:type="spellEnd"/>
      <w:r>
        <w:t xml:space="preserve"> (2025) </w:t>
      </w:r>
      <w:r>
        <w:t xml:space="preserve">Paroxysmal </w:t>
      </w:r>
      <w:r>
        <w:t xml:space="preserve">Care (2025) </w:t>
      </w:r>
      <w:r>
        <w:t xml:space="preserve">Atrial fibrillation: </w:t>
      </w:r>
      <w:r>
        <w:tab/>
        <w:t>atrial fibrillation (AF): Prevalence</w:t>
      </w:r>
      <w:r>
        <w:t xml:space="preserve">. </w:t>
      </w:r>
    </w:p>
    <w:p w14:paraId="3B2B110C" w14:textId="77777777" w:rsidR="0099082E" w:rsidRDefault="00685AD6">
      <w:pPr>
        <w:tabs>
          <w:tab w:val="center" w:pos="1590"/>
          <w:tab w:val="center" w:pos="5507"/>
        </w:tabs>
        <w:spacing w:after="3" w:line="293" w:lineRule="auto"/>
        <w:ind w:left="0" w:firstLine="0"/>
      </w:pPr>
      <w:r>
        <w:rPr>
          <w:rFonts w:ascii="Calibri" w:eastAsia="Calibri" w:hAnsi="Calibri" w:cs="Calibri"/>
          <w:sz w:val="22"/>
        </w:rPr>
        <w:tab/>
      </w:r>
      <w:r>
        <w:t xml:space="preserve">QOF prevalence (All ages) </w:t>
      </w:r>
      <w:r>
        <w:tab/>
      </w:r>
      <w:r>
        <w:t xml:space="preserve">Available at: </w:t>
      </w:r>
    </w:p>
    <w:p w14:paraId="7E39CAE1" w14:textId="77777777" w:rsidR="0099082E" w:rsidRDefault="00685AD6">
      <w:pPr>
        <w:spacing w:after="2"/>
        <w:ind w:left="348" w:right="12"/>
      </w:pPr>
      <w:r>
        <w:t>2024/25</w:t>
      </w:r>
      <w:r>
        <w:t xml:space="preserve">. London: Fingertips </w:t>
      </w:r>
      <w:r>
        <w:rPr>
          <w:color w:val="467886"/>
          <w:u w:val="single" w:color="467886"/>
        </w:rPr>
        <w:t>https://gpnotebook.com/en</w:t>
      </w:r>
      <w:r>
        <w:t xml:space="preserve">Public Health Profiles. Available </w:t>
      </w:r>
      <w:r>
        <w:rPr>
          <w:color w:val="467886"/>
          <w:u w:val="single" w:color="467886"/>
        </w:rPr>
        <w:t>GB/pages/cardiovascular-</w:t>
      </w:r>
    </w:p>
    <w:p w14:paraId="0A290B8F" w14:textId="77777777" w:rsidR="0099082E" w:rsidRDefault="00685AD6">
      <w:pPr>
        <w:tabs>
          <w:tab w:val="center" w:pos="465"/>
          <w:tab w:val="center" w:pos="6285"/>
        </w:tabs>
        <w:spacing w:after="3" w:line="293" w:lineRule="auto"/>
        <w:ind w:left="0" w:firstLine="0"/>
      </w:pPr>
      <w:r>
        <w:rPr>
          <w:rFonts w:ascii="Calibri" w:eastAsia="Calibri" w:hAnsi="Calibri" w:cs="Calibri"/>
          <w:sz w:val="22"/>
        </w:rPr>
        <w:tab/>
      </w:r>
      <w:r>
        <w:t xml:space="preserve">at: </w:t>
      </w:r>
      <w:r>
        <w:tab/>
      </w:r>
      <w:r>
        <w:rPr>
          <w:color w:val="467886"/>
          <w:u w:val="single" w:color="467886"/>
        </w:rPr>
        <w:t>medicine/paroxysmal-atrial-</w:t>
      </w:r>
    </w:p>
    <w:p w14:paraId="63AD1D20" w14:textId="77777777" w:rsidR="0099082E" w:rsidRDefault="00685AD6">
      <w:pPr>
        <w:spacing w:after="3" w:line="293" w:lineRule="auto"/>
        <w:ind w:left="333"/>
      </w:pPr>
      <w:r>
        <w:rPr>
          <w:color w:val="467886"/>
          <w:u w:val="single" w:color="467886"/>
        </w:rPr>
        <w:t>https://fingertips.phe.org.uk/sear</w:t>
      </w:r>
      <w:r>
        <w:rPr>
          <w:color w:val="467886"/>
          <w:u w:val="single" w:color="467886"/>
        </w:rPr>
        <w:tab/>
      </w:r>
      <w:proofErr w:type="spellStart"/>
      <w:r>
        <w:rPr>
          <w:color w:val="467886"/>
          <w:u w:val="single" w:color="467886"/>
        </w:rPr>
        <w:t>fibrillation-af</w:t>
      </w:r>
      <w:proofErr w:type="spellEnd"/>
      <w:r>
        <w:rPr>
          <w:color w:val="467886"/>
          <w:u w:val="single" w:color="467886"/>
        </w:rPr>
        <w:t>/prevalence</w:t>
      </w:r>
      <w:r>
        <w:t xml:space="preserve"> </w:t>
      </w:r>
      <w:r>
        <w:rPr>
          <w:color w:val="467886"/>
          <w:u w:val="single" w:color="467886"/>
        </w:rPr>
        <w:t>ch/fibrillation</w:t>
      </w:r>
      <w:r>
        <w:t xml:space="preserve"> (Accessed: 25 June </w:t>
      </w:r>
      <w:r>
        <w:tab/>
        <w:t xml:space="preserve">(Accessed: 25 June 2026). </w:t>
      </w:r>
    </w:p>
    <w:p w14:paraId="03434CF7" w14:textId="77777777" w:rsidR="0099082E" w:rsidRDefault="00685AD6">
      <w:pPr>
        <w:spacing w:after="0"/>
        <w:ind w:left="348" w:right="12"/>
      </w:pPr>
      <w:r>
        <w:t xml:space="preserve">2026). </w:t>
      </w:r>
    </w:p>
    <w:p w14:paraId="47EC4844" w14:textId="77777777" w:rsidR="0099082E" w:rsidRDefault="00685AD6">
      <w:pPr>
        <w:numPr>
          <w:ilvl w:val="0"/>
          <w:numId w:val="14"/>
        </w:numPr>
        <w:spacing w:after="41" w:line="216" w:lineRule="auto"/>
        <w:ind w:right="12" w:hanging="338"/>
      </w:pPr>
      <w:r>
        <w:t xml:space="preserve">Grand View Research (2026) </w:t>
      </w:r>
      <w:r>
        <w:t xml:space="preserve">UK </w:t>
      </w:r>
    </w:p>
    <w:p w14:paraId="4E9D3CCF" w14:textId="77777777" w:rsidR="0099082E" w:rsidRDefault="00685AD6">
      <w:pPr>
        <w:numPr>
          <w:ilvl w:val="0"/>
          <w:numId w:val="14"/>
        </w:numPr>
        <w:spacing w:after="3"/>
        <w:ind w:right="12" w:hanging="338"/>
      </w:pPr>
      <w:proofErr w:type="spellStart"/>
      <w:r>
        <w:t>Ellinor</w:t>
      </w:r>
      <w:proofErr w:type="spellEnd"/>
      <w:r>
        <w:t xml:space="preserve">, P.T., </w:t>
      </w:r>
      <w:proofErr w:type="spellStart"/>
      <w:r>
        <w:t>Lunetta</w:t>
      </w:r>
      <w:proofErr w:type="spellEnd"/>
      <w:r>
        <w:t xml:space="preserve">, K.L., Albert, </w:t>
      </w:r>
      <w:r>
        <w:tab/>
      </w:r>
      <w:r>
        <w:t xml:space="preserve">Atrial Fibrillation Market Size &amp; </w:t>
      </w:r>
      <w:r>
        <w:t xml:space="preserve">C.M., Glazer, N.L., Ritchie, M.D., </w:t>
      </w:r>
      <w:r>
        <w:tab/>
      </w:r>
      <w:r>
        <w:t>Outlook, 2026-2033</w:t>
      </w:r>
      <w:r>
        <w:t xml:space="preserve">. London: Smith, A.V., </w:t>
      </w:r>
      <w:proofErr w:type="spellStart"/>
      <w:r>
        <w:t>Arking</w:t>
      </w:r>
      <w:proofErr w:type="spellEnd"/>
      <w:r>
        <w:t>, D.E., Müller-</w:t>
      </w:r>
      <w:r>
        <w:tab/>
        <w:t xml:space="preserve">Grand View Research. Available </w:t>
      </w:r>
      <w:proofErr w:type="spellStart"/>
      <w:r>
        <w:t>Nurasyid</w:t>
      </w:r>
      <w:proofErr w:type="spellEnd"/>
      <w:r>
        <w:t xml:space="preserve">, M., </w:t>
      </w:r>
      <w:proofErr w:type="spellStart"/>
      <w:r>
        <w:t>Krijthe</w:t>
      </w:r>
      <w:proofErr w:type="spellEnd"/>
      <w:r>
        <w:t xml:space="preserve">, B.P., </w:t>
      </w:r>
      <w:proofErr w:type="spellStart"/>
      <w:r>
        <w:t>Lubitz</w:t>
      </w:r>
      <w:proofErr w:type="spellEnd"/>
      <w:r>
        <w:t xml:space="preserve">, </w:t>
      </w:r>
      <w:r>
        <w:tab/>
        <w:t xml:space="preserve">at: </w:t>
      </w:r>
    </w:p>
    <w:p w14:paraId="0132B575" w14:textId="77777777" w:rsidR="0099082E" w:rsidRDefault="00685AD6">
      <w:pPr>
        <w:spacing w:after="2"/>
        <w:ind w:left="348" w:right="12"/>
      </w:pPr>
      <w:r>
        <w:t xml:space="preserve">S.A. and Sullivan, L.M. (2012) </w:t>
      </w:r>
      <w:r>
        <w:tab/>
      </w:r>
      <w:r>
        <w:rPr>
          <w:color w:val="467886"/>
          <w:u w:val="single" w:color="467886"/>
        </w:rPr>
        <w:t xml:space="preserve">https://www.grandviewresearch. </w:t>
      </w:r>
      <w:r>
        <w:t xml:space="preserve">'Meta-analysis of genome-wide </w:t>
      </w:r>
      <w:r>
        <w:tab/>
      </w:r>
      <w:r>
        <w:rPr>
          <w:color w:val="467886"/>
          <w:u w:val="single" w:color="467886"/>
        </w:rPr>
        <w:t>com/horizon/outlook/</w:t>
      </w:r>
      <w:proofErr w:type="spellStart"/>
      <w:r>
        <w:rPr>
          <w:color w:val="467886"/>
          <w:u w:val="single" w:color="467886"/>
        </w:rPr>
        <w:t>atrial</w:t>
      </w:r>
      <w:r>
        <w:t>association</w:t>
      </w:r>
      <w:proofErr w:type="spellEnd"/>
      <w:r>
        <w:t xml:space="preserve"> studies identifies 10 </w:t>
      </w:r>
      <w:r>
        <w:tab/>
      </w:r>
      <w:r>
        <w:rPr>
          <w:color w:val="467886"/>
          <w:u w:val="single" w:color="467886"/>
        </w:rPr>
        <w:t>fibrillation-market/uk</w:t>
      </w:r>
      <w:r>
        <w:t xml:space="preserve"> (Accessed: loci associated with atrial </w:t>
      </w:r>
      <w:r>
        <w:tab/>
        <w:t xml:space="preserve">25 June 2026). </w:t>
      </w:r>
    </w:p>
    <w:p w14:paraId="1167FE55" w14:textId="77777777" w:rsidR="0099082E" w:rsidRDefault="00685AD6">
      <w:pPr>
        <w:spacing w:after="0"/>
        <w:ind w:left="348" w:right="12"/>
      </w:pPr>
      <w:r>
        <w:t xml:space="preserve">fibrillation', </w:t>
      </w:r>
      <w:r>
        <w:t>Nature Genetics</w:t>
      </w:r>
      <w:r>
        <w:t xml:space="preserve">, </w:t>
      </w:r>
    </w:p>
    <w:p w14:paraId="5D94B887" w14:textId="77777777" w:rsidR="0099082E" w:rsidRDefault="00685AD6">
      <w:pPr>
        <w:numPr>
          <w:ilvl w:val="0"/>
          <w:numId w:val="14"/>
        </w:numPr>
        <w:spacing w:after="41" w:line="216" w:lineRule="auto"/>
        <w:ind w:right="12" w:hanging="338"/>
      </w:pPr>
      <w:proofErr w:type="spellStart"/>
      <w:r>
        <w:t>Guo</w:t>
      </w:r>
      <w:proofErr w:type="spellEnd"/>
      <w:r>
        <w:t xml:space="preserve">, Y., Wang, H., Zhang, H., Liu, </w:t>
      </w:r>
    </w:p>
    <w:p w14:paraId="2D77FA7C" w14:textId="77777777" w:rsidR="0099082E" w:rsidRDefault="00685AD6">
      <w:pPr>
        <w:spacing w:after="0"/>
        <w:ind w:left="348" w:right="12"/>
      </w:pPr>
      <w:r>
        <w:t xml:space="preserve">44(6), pp. 670-675. </w:t>
      </w:r>
    </w:p>
    <w:p w14:paraId="6ED12456" w14:textId="77777777" w:rsidR="0099082E" w:rsidRDefault="00685AD6">
      <w:pPr>
        <w:spacing w:after="9"/>
        <w:ind w:left="4923" w:right="12"/>
      </w:pPr>
      <w:r>
        <w:t xml:space="preserve">T., </w:t>
      </w:r>
      <w:proofErr w:type="spellStart"/>
      <w:r>
        <w:t>Liang</w:t>
      </w:r>
      <w:proofErr w:type="spellEnd"/>
      <w:r>
        <w:t xml:space="preserve">, Z., </w:t>
      </w:r>
      <w:proofErr w:type="spellStart"/>
      <w:r>
        <w:t>Xing</w:t>
      </w:r>
      <w:proofErr w:type="spellEnd"/>
      <w:r>
        <w:t xml:space="preserve">, Y. and Lip, G.Y. </w:t>
      </w:r>
    </w:p>
    <w:p w14:paraId="686BE768" w14:textId="77777777" w:rsidR="0099082E" w:rsidRDefault="00685AD6">
      <w:pPr>
        <w:numPr>
          <w:ilvl w:val="0"/>
          <w:numId w:val="14"/>
        </w:numPr>
        <w:spacing w:after="3"/>
        <w:ind w:right="12" w:hanging="338"/>
      </w:pPr>
      <w:r>
        <w:t xml:space="preserve">Epping-Jordan, J.A., Pruitt, S.D., </w:t>
      </w:r>
      <w:r>
        <w:tab/>
        <w:t xml:space="preserve">(2019) 'Mobile health technology </w:t>
      </w:r>
      <w:proofErr w:type="spellStart"/>
      <w:r>
        <w:t>Bengoa</w:t>
      </w:r>
      <w:proofErr w:type="spellEnd"/>
      <w:r>
        <w:t xml:space="preserve">, R. and Wagner, E.H. </w:t>
      </w:r>
      <w:r>
        <w:tab/>
        <w:t xml:space="preserve">for atrial fibrillation screening (2004) 'Improving the quality of </w:t>
      </w:r>
      <w:r>
        <w:tab/>
        <w:t xml:space="preserve">Opportunities and challenges', health care for chronic </w:t>
      </w:r>
      <w:r>
        <w:tab/>
      </w:r>
      <w:r>
        <w:t xml:space="preserve">International Journal of </w:t>
      </w:r>
      <w:r>
        <w:t xml:space="preserve">conditions', </w:t>
      </w:r>
      <w:r>
        <w:t xml:space="preserve">Quality and Safety in </w:t>
      </w:r>
      <w:r>
        <w:tab/>
        <w:t>Cardiology</w:t>
      </w:r>
      <w:r>
        <w:t xml:space="preserve">, 282, pp. 47-51. </w:t>
      </w:r>
      <w:r>
        <w:t>Health Care</w:t>
      </w:r>
      <w:r>
        <w:t xml:space="preserve">, 13(4), pp. 299-305. </w:t>
      </w:r>
    </w:p>
    <w:p w14:paraId="0E997DD7" w14:textId="77777777" w:rsidR="0099082E" w:rsidRDefault="00685AD6">
      <w:pPr>
        <w:numPr>
          <w:ilvl w:val="0"/>
          <w:numId w:val="14"/>
        </w:numPr>
        <w:spacing w:after="6"/>
        <w:ind w:right="12" w:hanging="338"/>
      </w:pPr>
      <w:proofErr w:type="spellStart"/>
      <w:r>
        <w:t>Haïssaguerre</w:t>
      </w:r>
      <w:proofErr w:type="spellEnd"/>
      <w:r>
        <w:t xml:space="preserve">, M., </w:t>
      </w:r>
      <w:proofErr w:type="spellStart"/>
      <w:r>
        <w:t>Jaïs</w:t>
      </w:r>
      <w:proofErr w:type="spellEnd"/>
      <w:r>
        <w:t xml:space="preserve">, P., Shah, </w:t>
      </w:r>
      <w:r>
        <w:rPr>
          <w:sz w:val="19"/>
        </w:rPr>
        <w:t></w:t>
      </w:r>
      <w:r>
        <w:rPr>
          <w:sz w:val="29"/>
          <w:vertAlign w:val="subscript"/>
        </w:rPr>
        <w:t xml:space="preserve"> </w:t>
      </w:r>
      <w:r>
        <w:rPr>
          <w:sz w:val="29"/>
          <w:vertAlign w:val="subscript"/>
        </w:rPr>
        <w:tab/>
      </w:r>
      <w:r>
        <w:t xml:space="preserve">European Society of Cardiology </w:t>
      </w:r>
      <w:r>
        <w:tab/>
        <w:t xml:space="preserve">D.C., Takahashi, A., </w:t>
      </w:r>
      <w:proofErr w:type="spellStart"/>
      <w:r>
        <w:t>Hocini</w:t>
      </w:r>
      <w:proofErr w:type="spellEnd"/>
      <w:r>
        <w:t xml:space="preserve">, M., (2025) </w:t>
      </w:r>
      <w:r>
        <w:t xml:space="preserve">Global surge in serious </w:t>
      </w:r>
      <w:r>
        <w:tab/>
      </w:r>
      <w:proofErr w:type="spellStart"/>
      <w:r>
        <w:t>Quiniou</w:t>
      </w:r>
      <w:proofErr w:type="spellEnd"/>
      <w:r>
        <w:t xml:space="preserve">, G., </w:t>
      </w:r>
      <w:proofErr w:type="spellStart"/>
      <w:r>
        <w:t>Garrigue</w:t>
      </w:r>
      <w:proofErr w:type="spellEnd"/>
      <w:r>
        <w:t xml:space="preserve">, S., Le </w:t>
      </w:r>
      <w:r>
        <w:t xml:space="preserve">heart rhythm disorders sparks </w:t>
      </w:r>
      <w:r>
        <w:tab/>
      </w:r>
      <w:proofErr w:type="spellStart"/>
      <w:r>
        <w:t>Mouroux</w:t>
      </w:r>
      <w:proofErr w:type="spellEnd"/>
      <w:r>
        <w:t xml:space="preserve">, A., Le </w:t>
      </w:r>
      <w:proofErr w:type="spellStart"/>
      <w:r>
        <w:t>Métayer</w:t>
      </w:r>
      <w:proofErr w:type="spellEnd"/>
      <w:r>
        <w:t xml:space="preserve">, P. and </w:t>
      </w:r>
      <w:r>
        <w:t xml:space="preserve">urgent call to action from </w:t>
      </w:r>
      <w:r>
        <w:tab/>
      </w:r>
      <w:proofErr w:type="spellStart"/>
      <w:r>
        <w:t>Clémenty</w:t>
      </w:r>
      <w:proofErr w:type="spellEnd"/>
      <w:r>
        <w:t xml:space="preserve">, J. (1998) 'Spontaneous </w:t>
      </w:r>
      <w:r>
        <w:t>experts: 1 in 3 people at risk</w:t>
      </w:r>
      <w:r>
        <w:t xml:space="preserve">. </w:t>
      </w:r>
      <w:r>
        <w:tab/>
        <w:t xml:space="preserve">initiation of atrial fibrillation by Sophia </w:t>
      </w:r>
      <w:proofErr w:type="spellStart"/>
      <w:r>
        <w:t>Antipolis</w:t>
      </w:r>
      <w:proofErr w:type="spellEnd"/>
      <w:r>
        <w:t xml:space="preserve">: ESC Press </w:t>
      </w:r>
      <w:r>
        <w:tab/>
        <w:t xml:space="preserve">ectopic beats originating in the O ice. Available at: </w:t>
      </w:r>
      <w:r>
        <w:tab/>
        <w:t xml:space="preserve">pulmonary veins', </w:t>
      </w:r>
      <w:r>
        <w:t xml:space="preserve">New England </w:t>
      </w:r>
    </w:p>
    <w:p w14:paraId="317D5AA7" w14:textId="77777777" w:rsidR="0099082E" w:rsidRDefault="00685AD6">
      <w:pPr>
        <w:spacing w:after="3" w:line="293" w:lineRule="auto"/>
        <w:ind w:left="333"/>
      </w:pPr>
      <w:r>
        <w:rPr>
          <w:color w:val="467886"/>
          <w:u w:val="single" w:color="467886"/>
        </w:rPr>
        <w:t>https://www.escardio.org/news/</w:t>
      </w:r>
      <w:r>
        <w:rPr>
          <w:color w:val="467886"/>
          <w:u w:val="single" w:color="467886"/>
        </w:rPr>
        <w:tab/>
      </w:r>
      <w:r>
        <w:t>Journal of Medicine</w:t>
      </w:r>
      <w:r>
        <w:t xml:space="preserve">, 339(10), pp. </w:t>
      </w:r>
      <w:r>
        <w:rPr>
          <w:color w:val="467886"/>
          <w:u w:val="single" w:color="467886"/>
        </w:rPr>
        <w:t>press/press-releases/global-</w:t>
      </w:r>
      <w:r>
        <w:rPr>
          <w:color w:val="467886"/>
          <w:u w:val="single" w:color="467886"/>
        </w:rPr>
        <w:tab/>
      </w:r>
      <w:r>
        <w:t xml:space="preserve">659-666. </w:t>
      </w:r>
    </w:p>
    <w:p w14:paraId="310B7F54" w14:textId="77777777" w:rsidR="0099082E" w:rsidRDefault="00685AD6">
      <w:pPr>
        <w:spacing w:after="3" w:line="293" w:lineRule="auto"/>
        <w:ind w:left="333"/>
      </w:pPr>
      <w:r>
        <w:rPr>
          <w:color w:val="467886"/>
          <w:u w:val="single" w:color="467886"/>
        </w:rPr>
        <w:t>surge-in-serious-heart-rhythm-</w:t>
      </w:r>
    </w:p>
    <w:p w14:paraId="21207802" w14:textId="77777777" w:rsidR="0099082E" w:rsidRDefault="00685AD6">
      <w:pPr>
        <w:numPr>
          <w:ilvl w:val="0"/>
          <w:numId w:val="14"/>
        </w:numPr>
        <w:spacing w:after="3" w:line="216" w:lineRule="auto"/>
        <w:ind w:right="12" w:hanging="338"/>
      </w:pPr>
      <w:proofErr w:type="spellStart"/>
      <w:r>
        <w:t>Hindricks</w:t>
      </w:r>
      <w:proofErr w:type="spellEnd"/>
      <w:r>
        <w:t xml:space="preserve">, G., </w:t>
      </w:r>
      <w:proofErr w:type="spellStart"/>
      <w:r>
        <w:t>Potpara</w:t>
      </w:r>
      <w:proofErr w:type="spellEnd"/>
      <w:r>
        <w:t xml:space="preserve">, T., </w:t>
      </w:r>
      <w:r>
        <w:rPr>
          <w:color w:val="467886"/>
          <w:u w:val="single" w:color="467886"/>
        </w:rPr>
        <w:t>disorders-sparks-urgent-call-to-</w:t>
      </w:r>
    </w:p>
    <w:p w14:paraId="75A8AAEE" w14:textId="77777777" w:rsidR="0099082E" w:rsidRDefault="00685AD6">
      <w:pPr>
        <w:spacing w:after="0"/>
        <w:ind w:left="4923" w:right="12"/>
      </w:pPr>
      <w:proofErr w:type="spellStart"/>
      <w:r>
        <w:t>Dagres</w:t>
      </w:r>
      <w:proofErr w:type="spellEnd"/>
      <w:r>
        <w:t xml:space="preserve">, N., </w:t>
      </w:r>
      <w:proofErr w:type="spellStart"/>
      <w:r>
        <w:t>Arbelo</w:t>
      </w:r>
      <w:proofErr w:type="spellEnd"/>
      <w:r>
        <w:t xml:space="preserve">, E., </w:t>
      </w:r>
      <w:proofErr w:type="spellStart"/>
      <w:r>
        <w:t>Bax</w:t>
      </w:r>
      <w:proofErr w:type="spellEnd"/>
      <w:r>
        <w:t xml:space="preserve">, J.J., </w:t>
      </w:r>
    </w:p>
    <w:p w14:paraId="62B2743B" w14:textId="77777777" w:rsidR="0099082E" w:rsidRDefault="00685AD6">
      <w:pPr>
        <w:spacing w:after="0"/>
        <w:ind w:left="348" w:right="12"/>
      </w:pPr>
      <w:r>
        <w:rPr>
          <w:color w:val="467886"/>
          <w:u w:val="single" w:color="467886"/>
        </w:rPr>
        <w:t>action-from/</w:t>
      </w:r>
      <w:r>
        <w:t xml:space="preserve"> (Accessed: 25 June </w:t>
      </w:r>
    </w:p>
    <w:p w14:paraId="7321DA5D" w14:textId="77777777" w:rsidR="0099082E" w:rsidRDefault="00685AD6">
      <w:pPr>
        <w:spacing w:after="0"/>
        <w:ind w:left="4923" w:right="12"/>
      </w:pPr>
      <w:proofErr w:type="spellStart"/>
      <w:r>
        <w:t>Blomström-Lundqvist</w:t>
      </w:r>
      <w:proofErr w:type="spellEnd"/>
      <w:r>
        <w:t xml:space="preserve">, C., </w:t>
      </w:r>
    </w:p>
    <w:p w14:paraId="74C3274E" w14:textId="77777777" w:rsidR="0099082E" w:rsidRDefault="00685AD6">
      <w:pPr>
        <w:spacing w:after="0"/>
        <w:ind w:left="348" w:right="12"/>
      </w:pPr>
      <w:r>
        <w:t xml:space="preserve">2026). </w:t>
      </w:r>
    </w:p>
    <w:p w14:paraId="7DC7CF65" w14:textId="77777777" w:rsidR="0099082E" w:rsidRDefault="00685AD6">
      <w:pPr>
        <w:spacing w:after="8"/>
        <w:ind w:left="4923" w:right="12"/>
      </w:pPr>
      <w:proofErr w:type="spellStart"/>
      <w:r>
        <w:t>Boriani</w:t>
      </w:r>
      <w:proofErr w:type="spellEnd"/>
      <w:r>
        <w:t xml:space="preserve">, G., </w:t>
      </w:r>
      <w:proofErr w:type="spellStart"/>
      <w:r>
        <w:t>Castella</w:t>
      </w:r>
      <w:proofErr w:type="spellEnd"/>
      <w:r>
        <w:t xml:space="preserve">, M., Dan, </w:t>
      </w:r>
    </w:p>
    <w:p w14:paraId="756C63D4" w14:textId="77777777" w:rsidR="0099082E" w:rsidRDefault="00685AD6">
      <w:pPr>
        <w:spacing w:after="0"/>
        <w:ind w:left="4923" w:right="12"/>
      </w:pPr>
      <w:r>
        <w:t xml:space="preserve">G.A., </w:t>
      </w:r>
      <w:proofErr w:type="spellStart"/>
      <w:r>
        <w:t>Drossart</w:t>
      </w:r>
      <w:proofErr w:type="spellEnd"/>
      <w:r>
        <w:t xml:space="preserve">, I. and </w:t>
      </w:r>
      <w:proofErr w:type="spellStart"/>
      <w:r>
        <w:t>Folliguet</w:t>
      </w:r>
      <w:proofErr w:type="spellEnd"/>
      <w:r>
        <w:t xml:space="preserve">, T. </w:t>
      </w:r>
    </w:p>
    <w:p w14:paraId="5A3EABE2" w14:textId="77777777" w:rsidR="0099082E" w:rsidRDefault="0099082E">
      <w:pPr>
        <w:sectPr w:rsidR="0099082E">
          <w:type w:val="continuous"/>
          <w:pgSz w:w="12240" w:h="15840"/>
          <w:pgMar w:top="1440" w:right="1896" w:bottom="1440" w:left="2210" w:header="720" w:footer="720" w:gutter="0"/>
          <w:cols w:space="720"/>
        </w:sectPr>
      </w:pPr>
    </w:p>
    <w:p w14:paraId="3154DE49" w14:textId="77777777" w:rsidR="0099082E" w:rsidRDefault="00685AD6">
      <w:pPr>
        <w:spacing w:after="2"/>
        <w:ind w:left="348" w:right="86"/>
      </w:pPr>
      <w:r>
        <w:t xml:space="preserve">(2021) '2020 ESC Guidelines for </w:t>
      </w:r>
      <w:r>
        <w:tab/>
      </w:r>
      <w:r>
        <w:t>American College of Cardiology</w:t>
      </w:r>
      <w:r>
        <w:t xml:space="preserve">, the diagnosis and management </w:t>
      </w:r>
      <w:r>
        <w:tab/>
        <w:t xml:space="preserve">63(23), pp. 2489-2491. of atrial fibrillation developed in </w:t>
      </w:r>
    </w:p>
    <w:p w14:paraId="1FE0608D" w14:textId="77777777" w:rsidR="0099082E" w:rsidRDefault="00685AD6">
      <w:pPr>
        <w:tabs>
          <w:tab w:val="center" w:pos="4617"/>
          <w:tab w:val="right" w:pos="8114"/>
        </w:tabs>
        <w:spacing w:after="0"/>
        <w:ind w:left="0" w:firstLine="0"/>
      </w:pPr>
      <w:r>
        <w:rPr>
          <w:rFonts w:ascii="Calibri" w:eastAsia="Calibri" w:hAnsi="Calibri" w:cs="Calibri"/>
          <w:sz w:val="22"/>
        </w:rPr>
        <w:tab/>
      </w:r>
      <w:r>
        <w:rPr>
          <w:sz w:val="19"/>
        </w:rPr>
        <w:t></w:t>
      </w:r>
      <w:r>
        <w:rPr>
          <w:sz w:val="29"/>
          <w:vertAlign w:val="subscript"/>
        </w:rPr>
        <w:t xml:space="preserve"> </w:t>
      </w:r>
      <w:r>
        <w:rPr>
          <w:sz w:val="29"/>
          <w:vertAlign w:val="subscript"/>
        </w:rPr>
        <w:tab/>
      </w:r>
      <w:r>
        <w:t xml:space="preserve">Lip, G.Y., Brechin, C.M. and Lane, </w:t>
      </w:r>
    </w:p>
    <w:p w14:paraId="7DE4C661" w14:textId="77777777" w:rsidR="0099082E" w:rsidRDefault="00685AD6">
      <w:pPr>
        <w:spacing w:after="0"/>
        <w:ind w:left="348" w:right="12"/>
      </w:pPr>
      <w:r>
        <w:t xml:space="preserve">collaboration with the European </w:t>
      </w:r>
    </w:p>
    <w:p w14:paraId="4C9B6A2E" w14:textId="77777777" w:rsidR="0099082E" w:rsidRDefault="00685AD6">
      <w:pPr>
        <w:spacing w:after="0"/>
        <w:ind w:left="4923" w:right="12"/>
      </w:pPr>
      <w:r>
        <w:t xml:space="preserve">D.A. (2016) 'The global burden of </w:t>
      </w:r>
    </w:p>
    <w:p w14:paraId="0145329E" w14:textId="77777777" w:rsidR="0099082E" w:rsidRDefault="00685AD6">
      <w:pPr>
        <w:spacing w:after="0" w:line="216" w:lineRule="auto"/>
        <w:ind w:left="4912" w:right="301" w:hanging="4574"/>
      </w:pPr>
      <w:r>
        <w:t xml:space="preserve">Association for Cardio-Thoracic atrial fibrillation', </w:t>
      </w:r>
      <w:r>
        <w:t xml:space="preserve">International </w:t>
      </w:r>
    </w:p>
    <w:p w14:paraId="56B38AF3" w14:textId="77777777" w:rsidR="0099082E" w:rsidRDefault="00685AD6">
      <w:pPr>
        <w:spacing w:after="0"/>
        <w:ind w:left="348" w:right="12"/>
      </w:pPr>
      <w:r>
        <w:t xml:space="preserve">Surgery (EACTS)', </w:t>
      </w:r>
      <w:r>
        <w:t xml:space="preserve">European Heart </w:t>
      </w:r>
    </w:p>
    <w:p w14:paraId="40E664EB" w14:textId="77777777" w:rsidR="0099082E" w:rsidRDefault="00685AD6">
      <w:pPr>
        <w:spacing w:after="3" w:line="293" w:lineRule="auto"/>
        <w:ind w:left="4923"/>
      </w:pPr>
      <w:r>
        <w:t>Journal of Clinical Practice</w:t>
      </w:r>
      <w:r>
        <w:t xml:space="preserve">, </w:t>
      </w:r>
    </w:p>
    <w:p w14:paraId="61BA6C1A" w14:textId="77777777" w:rsidR="0099082E" w:rsidRDefault="00685AD6">
      <w:pPr>
        <w:spacing w:after="0"/>
        <w:ind w:left="348" w:right="12"/>
      </w:pPr>
      <w:r>
        <w:t>Journal</w:t>
      </w:r>
      <w:r>
        <w:t xml:space="preserve">, 42(5), pp. 373-498. </w:t>
      </w:r>
    </w:p>
    <w:p w14:paraId="47D20E64" w14:textId="77777777" w:rsidR="0099082E" w:rsidRDefault="00685AD6">
      <w:pPr>
        <w:spacing w:after="11"/>
        <w:ind w:left="4923" w:right="12"/>
      </w:pPr>
      <w:r>
        <w:t xml:space="preserve">70(4), pp. 263-267. </w:t>
      </w:r>
    </w:p>
    <w:p w14:paraId="607EF036" w14:textId="77777777" w:rsidR="0099082E" w:rsidRDefault="00685AD6">
      <w:pPr>
        <w:numPr>
          <w:ilvl w:val="0"/>
          <w:numId w:val="15"/>
        </w:numPr>
        <w:spacing w:after="0"/>
        <w:ind w:right="12" w:hanging="338"/>
      </w:pPr>
      <w:proofErr w:type="spellStart"/>
      <w:r>
        <w:t>Jaarsma</w:t>
      </w:r>
      <w:proofErr w:type="spellEnd"/>
      <w:r>
        <w:t xml:space="preserve">, T., Beattie, J.M., Ryder, </w:t>
      </w:r>
    </w:p>
    <w:p w14:paraId="00D23850" w14:textId="77777777" w:rsidR="0099082E" w:rsidRDefault="00685AD6">
      <w:pPr>
        <w:numPr>
          <w:ilvl w:val="0"/>
          <w:numId w:val="15"/>
        </w:numPr>
        <w:spacing w:after="0"/>
        <w:ind w:right="12" w:hanging="338"/>
      </w:pPr>
      <w:r>
        <w:t xml:space="preserve">Mayo Clinic (2024) </w:t>
      </w:r>
      <w:r>
        <w:t xml:space="preserve">Atrial </w:t>
      </w:r>
    </w:p>
    <w:p w14:paraId="1BC70FBC" w14:textId="77777777" w:rsidR="0099082E" w:rsidRDefault="00685AD6">
      <w:pPr>
        <w:spacing w:after="0" w:line="216" w:lineRule="auto"/>
        <w:ind w:right="31"/>
        <w:jc w:val="right"/>
      </w:pPr>
      <w:r>
        <w:t xml:space="preserve">M., Hughes, C.M., </w:t>
      </w:r>
      <w:proofErr w:type="spellStart"/>
      <w:r>
        <w:t>McDonagh</w:t>
      </w:r>
      <w:proofErr w:type="spellEnd"/>
      <w:r>
        <w:t xml:space="preserve">, T., </w:t>
      </w:r>
      <w:r>
        <w:t>fibrillation and managing stress</w:t>
      </w:r>
      <w:r>
        <w:t xml:space="preserve">. </w:t>
      </w:r>
    </w:p>
    <w:p w14:paraId="3EB35B64" w14:textId="77777777" w:rsidR="0099082E" w:rsidRDefault="00685AD6">
      <w:pPr>
        <w:spacing w:after="0"/>
        <w:ind w:left="348" w:right="12"/>
      </w:pPr>
      <w:r>
        <w:t xml:space="preserve">Hamilton, G., Lomas, O., de </w:t>
      </w:r>
    </w:p>
    <w:p w14:paraId="01C5E43C" w14:textId="77777777" w:rsidR="0099082E" w:rsidRDefault="00685AD6">
      <w:pPr>
        <w:spacing w:after="0" w:line="259" w:lineRule="auto"/>
        <w:ind w:left="2909"/>
        <w:jc w:val="center"/>
      </w:pPr>
      <w:r>
        <w:t xml:space="preserve">Available at: </w:t>
      </w:r>
    </w:p>
    <w:p w14:paraId="1FD185F3" w14:textId="77777777" w:rsidR="0099082E" w:rsidRDefault="00685AD6">
      <w:pPr>
        <w:spacing w:after="0" w:line="216" w:lineRule="auto"/>
        <w:ind w:right="30"/>
        <w:jc w:val="right"/>
      </w:pPr>
      <w:proofErr w:type="spellStart"/>
      <w:r>
        <w:t>Walden-Rothenny</w:t>
      </w:r>
      <w:proofErr w:type="spellEnd"/>
      <w:r>
        <w:t xml:space="preserve">, S. and </w:t>
      </w:r>
      <w:r>
        <w:rPr>
          <w:color w:val="467886"/>
          <w:u w:val="single" w:color="467886"/>
        </w:rPr>
        <w:t>https://www.mayoclinic.org/dise</w:t>
      </w:r>
    </w:p>
    <w:p w14:paraId="440C7EF1" w14:textId="77777777" w:rsidR="0099082E" w:rsidRDefault="00685AD6">
      <w:pPr>
        <w:spacing w:after="0" w:line="216" w:lineRule="auto"/>
        <w:ind w:left="4912" w:right="1001" w:hanging="4574"/>
      </w:pPr>
      <w:proofErr w:type="spellStart"/>
      <w:r>
        <w:t>Strömberg</w:t>
      </w:r>
      <w:proofErr w:type="spellEnd"/>
      <w:r>
        <w:t xml:space="preserve">, A. (2009) 'Palliative </w:t>
      </w:r>
      <w:proofErr w:type="spellStart"/>
      <w:r>
        <w:rPr>
          <w:color w:val="467886"/>
          <w:u w:val="single" w:color="467886"/>
        </w:rPr>
        <w:t>ases-conditions</w:t>
      </w:r>
      <w:proofErr w:type="spellEnd"/>
      <w:r>
        <w:rPr>
          <w:color w:val="467886"/>
          <w:u w:val="single" w:color="467886"/>
        </w:rPr>
        <w:t>/atrial-</w:t>
      </w:r>
    </w:p>
    <w:p w14:paraId="2E6EAEDB" w14:textId="77777777" w:rsidR="0099082E" w:rsidRDefault="00685AD6">
      <w:pPr>
        <w:spacing w:after="0" w:line="216" w:lineRule="auto"/>
        <w:ind w:left="4912" w:right="676" w:hanging="4574"/>
      </w:pPr>
      <w:r>
        <w:t xml:space="preserve">care in patients with advanced </w:t>
      </w:r>
      <w:r>
        <w:rPr>
          <w:color w:val="467886"/>
          <w:u w:val="single" w:color="467886"/>
        </w:rPr>
        <w:t>fibrillation/in-depth/atrial-</w:t>
      </w:r>
    </w:p>
    <w:p w14:paraId="6736D016" w14:textId="77777777" w:rsidR="0099082E" w:rsidRDefault="00685AD6">
      <w:pPr>
        <w:spacing w:after="0" w:line="216" w:lineRule="auto"/>
        <w:ind w:right="117"/>
        <w:jc w:val="right"/>
      </w:pPr>
      <w:r>
        <w:t xml:space="preserve">heart failure', </w:t>
      </w:r>
      <w:r>
        <w:t xml:space="preserve">European Journal of </w:t>
      </w:r>
      <w:r>
        <w:rPr>
          <w:color w:val="467886"/>
          <w:u w:val="single" w:color="467886"/>
        </w:rPr>
        <w:t>fibrillation-managing-stress/art-</w:t>
      </w:r>
    </w:p>
    <w:p w14:paraId="3CD9D59A" w14:textId="77777777" w:rsidR="0099082E" w:rsidRDefault="00685AD6">
      <w:pPr>
        <w:spacing w:after="0"/>
        <w:ind w:left="348" w:right="12"/>
      </w:pPr>
      <w:r>
        <w:t>Heart Failure</w:t>
      </w:r>
      <w:r>
        <w:t xml:space="preserve">, 11(5), pp. 433-443. </w:t>
      </w:r>
    </w:p>
    <w:p w14:paraId="0BE44738" w14:textId="77777777" w:rsidR="0099082E" w:rsidRDefault="00685AD6">
      <w:pPr>
        <w:spacing w:after="3" w:line="230" w:lineRule="auto"/>
        <w:ind w:left="-15" w:right="209" w:firstLine="4913"/>
      </w:pPr>
      <w:r>
        <w:rPr>
          <w:color w:val="467886"/>
          <w:u w:val="single" w:color="467886"/>
        </w:rPr>
        <w:t>20118647</w:t>
      </w:r>
      <w:r>
        <w:t xml:space="preserve"> (Accessed: 25 June </w:t>
      </w:r>
      <w:r>
        <w:rPr>
          <w:sz w:val="19"/>
        </w:rPr>
        <w:t></w:t>
      </w:r>
      <w:r>
        <w:rPr>
          <w:sz w:val="29"/>
          <w:vertAlign w:val="subscript"/>
        </w:rPr>
        <w:t xml:space="preserve"> </w:t>
      </w:r>
      <w:r>
        <w:t xml:space="preserve">Lane, D.A., </w:t>
      </w:r>
      <w:proofErr w:type="spellStart"/>
      <w:r>
        <w:t>Skjøth</w:t>
      </w:r>
      <w:proofErr w:type="spellEnd"/>
      <w:r>
        <w:t xml:space="preserve">, f., Lip, G.Y., 2026). </w:t>
      </w:r>
    </w:p>
    <w:p w14:paraId="4F8CF3C1" w14:textId="77777777" w:rsidR="0099082E" w:rsidRDefault="00685AD6">
      <w:pPr>
        <w:spacing w:after="0"/>
        <w:ind w:left="348" w:right="12"/>
      </w:pPr>
      <w:r>
        <w:t xml:space="preserve">Larsen, T.B. and </w:t>
      </w:r>
      <w:proofErr w:type="spellStart"/>
      <w:r>
        <w:t>Kotecha</w:t>
      </w:r>
      <w:proofErr w:type="spellEnd"/>
      <w:r>
        <w:t xml:space="preserve">, D. </w:t>
      </w:r>
    </w:p>
    <w:p w14:paraId="6D7006BB" w14:textId="77777777" w:rsidR="0099082E" w:rsidRDefault="00685AD6">
      <w:pPr>
        <w:tabs>
          <w:tab w:val="center" w:pos="4617"/>
          <w:tab w:val="right" w:pos="8114"/>
        </w:tabs>
        <w:spacing w:after="0"/>
        <w:ind w:left="0" w:firstLine="0"/>
      </w:pPr>
      <w:r>
        <w:rPr>
          <w:rFonts w:ascii="Calibri" w:eastAsia="Calibri" w:hAnsi="Calibri" w:cs="Calibri"/>
          <w:sz w:val="22"/>
        </w:rPr>
        <w:tab/>
      </w:r>
      <w:r>
        <w:rPr>
          <w:sz w:val="19"/>
        </w:rPr>
        <w:t></w:t>
      </w:r>
      <w:r>
        <w:rPr>
          <w:sz w:val="29"/>
          <w:vertAlign w:val="subscript"/>
        </w:rPr>
        <w:t xml:space="preserve"> </w:t>
      </w:r>
      <w:r>
        <w:rPr>
          <w:sz w:val="29"/>
          <w:vertAlign w:val="subscript"/>
        </w:rPr>
        <w:tab/>
      </w:r>
      <w:r>
        <w:t xml:space="preserve">Mayo Clinic (2025) </w:t>
      </w:r>
      <w:r>
        <w:t xml:space="preserve">Caregiving for </w:t>
      </w:r>
    </w:p>
    <w:p w14:paraId="7DBF290B" w14:textId="77777777" w:rsidR="0099082E" w:rsidRDefault="00685AD6">
      <w:pPr>
        <w:spacing w:after="0" w:line="216" w:lineRule="auto"/>
        <w:ind w:left="0" w:right="209" w:firstLine="0"/>
        <w:jc w:val="right"/>
      </w:pPr>
      <w:r>
        <w:t xml:space="preserve">(2015) 'Temporal trends in </w:t>
      </w:r>
      <w:r>
        <w:t>someone with atrial fibrillation</w:t>
      </w:r>
      <w:r>
        <w:t xml:space="preserve">. </w:t>
      </w:r>
    </w:p>
    <w:p w14:paraId="2996879B" w14:textId="77777777" w:rsidR="0099082E" w:rsidRDefault="00685AD6">
      <w:pPr>
        <w:spacing w:after="0"/>
        <w:ind w:left="348" w:right="12"/>
      </w:pPr>
      <w:r>
        <w:t xml:space="preserve">incidence, prevalence, and </w:t>
      </w:r>
    </w:p>
    <w:p w14:paraId="0EDCFB7C" w14:textId="77777777" w:rsidR="0099082E" w:rsidRDefault="00685AD6">
      <w:pPr>
        <w:spacing w:after="0" w:line="259" w:lineRule="auto"/>
        <w:ind w:left="2909"/>
        <w:jc w:val="center"/>
      </w:pPr>
      <w:r>
        <w:t xml:space="preserve">Available at: </w:t>
      </w:r>
    </w:p>
    <w:p w14:paraId="4EA88409" w14:textId="77777777" w:rsidR="0099082E" w:rsidRDefault="00685AD6">
      <w:pPr>
        <w:spacing w:after="0" w:line="216" w:lineRule="auto"/>
        <w:ind w:right="31"/>
        <w:jc w:val="right"/>
      </w:pPr>
      <w:r>
        <w:t xml:space="preserve">mortality of atrial fibrillation in </w:t>
      </w:r>
      <w:r>
        <w:rPr>
          <w:color w:val="467886"/>
          <w:u w:val="single" w:color="467886"/>
        </w:rPr>
        <w:t>https://www.mayoclinic.org/dise</w:t>
      </w:r>
    </w:p>
    <w:p w14:paraId="31DE2BC1" w14:textId="77777777" w:rsidR="0099082E" w:rsidRDefault="00685AD6">
      <w:pPr>
        <w:spacing w:after="0" w:line="216" w:lineRule="auto"/>
        <w:ind w:left="4912" w:right="1001" w:hanging="4574"/>
      </w:pPr>
      <w:r>
        <w:t xml:space="preserve">the UK from 2000 to 2012', </w:t>
      </w:r>
      <w:r>
        <w:t xml:space="preserve">The </w:t>
      </w:r>
      <w:proofErr w:type="spellStart"/>
      <w:r>
        <w:rPr>
          <w:color w:val="467886"/>
          <w:u w:val="single" w:color="467886"/>
        </w:rPr>
        <w:t>ases-conditions</w:t>
      </w:r>
      <w:proofErr w:type="spellEnd"/>
      <w:r>
        <w:rPr>
          <w:color w:val="467886"/>
          <w:u w:val="single" w:color="467886"/>
        </w:rPr>
        <w:t>/atrial-</w:t>
      </w:r>
    </w:p>
    <w:p w14:paraId="334166D4" w14:textId="77777777" w:rsidR="0099082E" w:rsidRDefault="00685AD6">
      <w:pPr>
        <w:spacing w:after="3" w:line="216" w:lineRule="auto"/>
        <w:ind w:left="4897" w:right="298" w:hanging="4574"/>
      </w:pPr>
      <w:r>
        <w:t>American Journal of Medicine</w:t>
      </w:r>
      <w:r>
        <w:t xml:space="preserve">, </w:t>
      </w:r>
      <w:r>
        <w:rPr>
          <w:color w:val="467886"/>
          <w:u w:val="single" w:color="467886"/>
        </w:rPr>
        <w:t>fibrillation/in-depth/caregiver-</w:t>
      </w:r>
    </w:p>
    <w:p w14:paraId="6F129314" w14:textId="77777777" w:rsidR="0099082E" w:rsidRDefault="00685AD6">
      <w:pPr>
        <w:spacing w:after="0"/>
        <w:ind w:left="348" w:right="12"/>
      </w:pPr>
      <w:r>
        <w:t xml:space="preserve">128(12), pp. 1319-1326. </w:t>
      </w:r>
    </w:p>
    <w:p w14:paraId="36A14BB8" w14:textId="77777777" w:rsidR="0099082E" w:rsidRDefault="00685AD6">
      <w:pPr>
        <w:spacing w:after="3" w:line="293" w:lineRule="auto"/>
        <w:ind w:left="4923"/>
      </w:pPr>
      <w:r>
        <w:rPr>
          <w:color w:val="467886"/>
          <w:u w:val="single" w:color="467886"/>
        </w:rPr>
        <w:t>atrial-fibrillation/art-20118648</w:t>
      </w:r>
      <w:r>
        <w:t xml:space="preserve"> </w:t>
      </w:r>
    </w:p>
    <w:p w14:paraId="64E2A96F" w14:textId="77777777" w:rsidR="0099082E" w:rsidRDefault="00685AD6">
      <w:pPr>
        <w:numPr>
          <w:ilvl w:val="0"/>
          <w:numId w:val="16"/>
        </w:numPr>
        <w:spacing w:after="0"/>
        <w:ind w:right="12" w:hanging="338"/>
      </w:pPr>
      <w:proofErr w:type="spellStart"/>
      <w:r>
        <w:t>Lau</w:t>
      </w:r>
      <w:proofErr w:type="spellEnd"/>
      <w:r>
        <w:t xml:space="preserve">, D.H., </w:t>
      </w:r>
      <w:proofErr w:type="spellStart"/>
      <w:r>
        <w:t>Schotten</w:t>
      </w:r>
      <w:proofErr w:type="spellEnd"/>
      <w:r>
        <w:t xml:space="preserve">, U., </w:t>
      </w:r>
      <w:r>
        <w:tab/>
        <w:t xml:space="preserve">(Accessed: 25 June 2026). </w:t>
      </w:r>
    </w:p>
    <w:p w14:paraId="668AEE20" w14:textId="77777777" w:rsidR="0099082E" w:rsidRDefault="00685AD6">
      <w:pPr>
        <w:spacing w:after="0"/>
        <w:ind w:left="348" w:right="12"/>
      </w:pPr>
      <w:proofErr w:type="spellStart"/>
      <w:r>
        <w:t>Mahajan</w:t>
      </w:r>
      <w:proofErr w:type="spellEnd"/>
      <w:r>
        <w:t xml:space="preserve">, R., Antic, N.A., McEvoy, </w:t>
      </w:r>
    </w:p>
    <w:p w14:paraId="7ADE238E" w14:textId="77777777" w:rsidR="0099082E" w:rsidRDefault="00685AD6">
      <w:pPr>
        <w:numPr>
          <w:ilvl w:val="0"/>
          <w:numId w:val="16"/>
        </w:numPr>
        <w:spacing w:after="0"/>
        <w:ind w:right="12" w:hanging="338"/>
      </w:pPr>
      <w:r>
        <w:t xml:space="preserve">National Institute for Health and </w:t>
      </w:r>
    </w:p>
    <w:p w14:paraId="3706E7F0" w14:textId="77777777" w:rsidR="0099082E" w:rsidRDefault="00685AD6">
      <w:pPr>
        <w:spacing w:after="0"/>
        <w:ind w:left="348" w:right="12"/>
      </w:pPr>
      <w:r>
        <w:t xml:space="preserve">R.D., Sanders, P. and </w:t>
      </w:r>
      <w:proofErr w:type="spellStart"/>
      <w:r>
        <w:t>Kalman</w:t>
      </w:r>
      <w:proofErr w:type="spellEnd"/>
      <w:r>
        <w:t xml:space="preserve">, </w:t>
      </w:r>
    </w:p>
    <w:p w14:paraId="1EFCA480" w14:textId="77777777" w:rsidR="0099082E" w:rsidRDefault="00685AD6">
      <w:pPr>
        <w:spacing w:after="0"/>
        <w:ind w:left="4923" w:right="12"/>
      </w:pPr>
      <w:r>
        <w:t xml:space="preserve">Care Excellence (NICE) (2021) </w:t>
      </w:r>
    </w:p>
    <w:p w14:paraId="5D3F92D2" w14:textId="77777777" w:rsidR="0099082E" w:rsidRDefault="00685AD6">
      <w:pPr>
        <w:spacing w:after="0"/>
        <w:ind w:left="348" w:right="12"/>
      </w:pPr>
      <w:r>
        <w:t xml:space="preserve">J.M. (2017) 'Atrial fibrillation in </w:t>
      </w:r>
    </w:p>
    <w:p w14:paraId="6AF077B3" w14:textId="77777777" w:rsidR="0099082E" w:rsidRDefault="00685AD6">
      <w:pPr>
        <w:spacing w:after="3" w:line="293" w:lineRule="auto"/>
        <w:ind w:left="4923"/>
      </w:pPr>
      <w:r>
        <w:t xml:space="preserve">Atrial fibrillation: diagnosis and </w:t>
      </w:r>
    </w:p>
    <w:p w14:paraId="262D0012" w14:textId="77777777" w:rsidR="0099082E" w:rsidRDefault="00685AD6">
      <w:pPr>
        <w:spacing w:after="3" w:line="216" w:lineRule="auto"/>
        <w:ind w:left="4897" w:right="317" w:hanging="4574"/>
      </w:pPr>
      <w:r>
        <w:t xml:space="preserve">obstructive sleep apnea: </w:t>
      </w:r>
      <w:r>
        <w:t xml:space="preserve">management (NICE Guideline </w:t>
      </w:r>
    </w:p>
    <w:p w14:paraId="2768778D" w14:textId="77777777" w:rsidR="0099082E" w:rsidRDefault="00685AD6">
      <w:pPr>
        <w:spacing w:after="0"/>
        <w:ind w:left="348" w:right="12"/>
      </w:pPr>
      <w:r>
        <w:t xml:space="preserve">mechanisms, clinical </w:t>
      </w:r>
    </w:p>
    <w:p w14:paraId="6DBF1ADC" w14:textId="77777777" w:rsidR="0099082E" w:rsidRDefault="00685AD6">
      <w:pPr>
        <w:spacing w:after="0"/>
        <w:ind w:left="4923" w:right="12"/>
      </w:pPr>
      <w:r>
        <w:t>NG196)</w:t>
      </w:r>
      <w:r>
        <w:t xml:space="preserve">. London: NICE. Available </w:t>
      </w:r>
    </w:p>
    <w:p w14:paraId="5776646E" w14:textId="77777777" w:rsidR="0099082E" w:rsidRDefault="00685AD6">
      <w:pPr>
        <w:spacing w:after="0"/>
        <w:ind w:left="348" w:right="12"/>
      </w:pPr>
      <w:r>
        <w:t xml:space="preserve">significance, and therapeutic </w:t>
      </w:r>
    </w:p>
    <w:p w14:paraId="73F7A933" w14:textId="77777777" w:rsidR="0099082E" w:rsidRDefault="00685AD6">
      <w:pPr>
        <w:spacing w:after="0" w:line="259" w:lineRule="auto"/>
        <w:ind w:left="2909" w:right="934"/>
        <w:jc w:val="center"/>
      </w:pPr>
      <w:r>
        <w:t xml:space="preserve">at: </w:t>
      </w:r>
    </w:p>
    <w:p w14:paraId="7F22F02D" w14:textId="77777777" w:rsidR="0099082E" w:rsidRDefault="00685AD6">
      <w:pPr>
        <w:spacing w:after="0" w:line="216" w:lineRule="auto"/>
        <w:ind w:right="30"/>
        <w:jc w:val="right"/>
      </w:pPr>
      <w:r>
        <w:t xml:space="preserve">implications', </w:t>
      </w:r>
      <w:r>
        <w:t xml:space="preserve">Journal of the </w:t>
      </w:r>
      <w:r>
        <w:rPr>
          <w:color w:val="467886"/>
          <w:u w:val="single" w:color="467886"/>
        </w:rPr>
        <w:t>https://www.nice.org.uk/guidanc</w:t>
      </w:r>
    </w:p>
    <w:p w14:paraId="7A64E8B4" w14:textId="77777777" w:rsidR="0099082E" w:rsidRDefault="00685AD6">
      <w:pPr>
        <w:spacing w:after="3" w:line="216" w:lineRule="auto"/>
        <w:ind w:left="4897" w:right="515" w:hanging="4574"/>
      </w:pPr>
      <w:r>
        <w:t>American College of Cardiology</w:t>
      </w:r>
      <w:r>
        <w:t xml:space="preserve">, </w:t>
      </w:r>
      <w:r>
        <w:rPr>
          <w:color w:val="467886"/>
          <w:u w:val="single" w:color="467886"/>
        </w:rPr>
        <w:t>e/</w:t>
      </w:r>
      <w:proofErr w:type="spellStart"/>
      <w:r>
        <w:rPr>
          <w:color w:val="467886"/>
          <w:u w:val="single" w:color="467886"/>
        </w:rPr>
        <w:t>ng196</w:t>
      </w:r>
      <w:proofErr w:type="spellEnd"/>
      <w:r>
        <w:t xml:space="preserve"> (Accessed: 25 June </w:t>
      </w:r>
    </w:p>
    <w:p w14:paraId="0C40330F" w14:textId="77777777" w:rsidR="0099082E" w:rsidRDefault="00685AD6">
      <w:pPr>
        <w:spacing w:after="0"/>
        <w:ind w:left="348" w:right="12"/>
      </w:pPr>
      <w:r>
        <w:t xml:space="preserve">69(7), pp. 844-856. </w:t>
      </w:r>
    </w:p>
    <w:p w14:paraId="15F38F0F" w14:textId="77777777" w:rsidR="0099082E" w:rsidRDefault="00685AD6">
      <w:pPr>
        <w:spacing w:after="41" w:line="259" w:lineRule="auto"/>
        <w:ind w:left="2909" w:right="577"/>
        <w:jc w:val="center"/>
      </w:pPr>
      <w:r>
        <w:t xml:space="preserve">2026). </w:t>
      </w:r>
    </w:p>
    <w:p w14:paraId="3BC3E64D" w14:textId="77777777" w:rsidR="0099082E" w:rsidRDefault="00685AD6">
      <w:pPr>
        <w:numPr>
          <w:ilvl w:val="0"/>
          <w:numId w:val="17"/>
        </w:numPr>
        <w:spacing w:after="0"/>
        <w:ind w:right="12" w:hanging="338"/>
      </w:pPr>
      <w:r>
        <w:t xml:space="preserve">Lip, G.Y. (2014) 'Atrial fibrillation </w:t>
      </w:r>
    </w:p>
    <w:p w14:paraId="6566E61F" w14:textId="77777777" w:rsidR="0099082E" w:rsidRDefault="00685AD6">
      <w:pPr>
        <w:numPr>
          <w:ilvl w:val="0"/>
          <w:numId w:val="17"/>
        </w:numPr>
        <w:spacing w:after="0"/>
        <w:ind w:right="12" w:hanging="338"/>
      </w:pPr>
      <w:r>
        <w:t xml:space="preserve">National Institute for Health and </w:t>
      </w:r>
    </w:p>
    <w:p w14:paraId="37971E69" w14:textId="77777777" w:rsidR="0099082E" w:rsidRDefault="00685AD6">
      <w:pPr>
        <w:spacing w:after="0"/>
        <w:ind w:left="348" w:right="12"/>
      </w:pPr>
      <w:r>
        <w:t xml:space="preserve">and Virchow's triad revisited: an </w:t>
      </w:r>
    </w:p>
    <w:p w14:paraId="3B76723E" w14:textId="77777777" w:rsidR="0099082E" w:rsidRDefault="00685AD6">
      <w:pPr>
        <w:spacing w:after="0"/>
        <w:ind w:left="4923" w:right="12"/>
      </w:pPr>
      <w:r>
        <w:t xml:space="preserve">Care Excellence (NICE) (2025) </w:t>
      </w:r>
    </w:p>
    <w:p w14:paraId="4A099508" w14:textId="77777777" w:rsidR="0099082E" w:rsidRDefault="00685AD6">
      <w:pPr>
        <w:spacing w:after="0"/>
        <w:ind w:left="348" w:right="12"/>
      </w:pPr>
      <w:r>
        <w:t xml:space="preserve">essential review of </w:t>
      </w:r>
    </w:p>
    <w:p w14:paraId="6CA72BF2" w14:textId="77777777" w:rsidR="0099082E" w:rsidRDefault="00685AD6">
      <w:pPr>
        <w:spacing w:after="3" w:line="293" w:lineRule="auto"/>
        <w:ind w:left="4923"/>
      </w:pPr>
      <w:r>
        <w:t xml:space="preserve">Pulsed field ablation for atrial </w:t>
      </w:r>
    </w:p>
    <w:p w14:paraId="644DCD29" w14:textId="77777777" w:rsidR="0099082E" w:rsidRDefault="00685AD6">
      <w:pPr>
        <w:spacing w:after="3" w:line="216" w:lineRule="auto"/>
        <w:ind w:left="4897" w:right="771" w:hanging="4574"/>
      </w:pPr>
      <w:proofErr w:type="spellStart"/>
      <w:r>
        <w:t>thrombogenesis</w:t>
      </w:r>
      <w:proofErr w:type="spellEnd"/>
      <w:r>
        <w:t xml:space="preserve"> in atrial </w:t>
      </w:r>
      <w:r>
        <w:t xml:space="preserve">fibrillation: Interventional </w:t>
      </w:r>
    </w:p>
    <w:p w14:paraId="17C48D77" w14:textId="77777777" w:rsidR="0099082E" w:rsidRDefault="00685AD6">
      <w:pPr>
        <w:spacing w:after="3" w:line="293" w:lineRule="auto"/>
        <w:ind w:left="333"/>
      </w:pPr>
      <w:r>
        <w:t xml:space="preserve">fibrillation', </w:t>
      </w:r>
      <w:r>
        <w:t xml:space="preserve">Journal of the </w:t>
      </w:r>
    </w:p>
    <w:p w14:paraId="6A73D376" w14:textId="77777777" w:rsidR="0099082E" w:rsidRDefault="0099082E">
      <w:pPr>
        <w:sectPr w:rsidR="0099082E">
          <w:headerReference w:type="even" r:id="rId13"/>
          <w:headerReference w:type="default" r:id="rId14"/>
          <w:headerReference w:type="first" r:id="rId15"/>
          <w:pgSz w:w="12240" w:h="15840"/>
          <w:pgMar w:top="1440" w:right="1916" w:bottom="1440" w:left="2210" w:header="720" w:footer="720" w:gutter="0"/>
          <w:cols w:space="720"/>
        </w:sectPr>
      </w:pPr>
    </w:p>
    <w:p w14:paraId="78844FC6" w14:textId="77777777" w:rsidR="0099082E" w:rsidRDefault="00685AD6">
      <w:pPr>
        <w:spacing w:after="153" w:line="293" w:lineRule="auto"/>
        <w:ind w:left="687"/>
      </w:pPr>
      <w:r>
        <w:t>procedures guidance</w:t>
      </w:r>
      <w:r>
        <w:t xml:space="preserve">. London: NICE.  </w:t>
      </w:r>
    </w:p>
    <w:p w14:paraId="06F54D14" w14:textId="77777777" w:rsidR="0099082E" w:rsidRDefault="00685AD6">
      <w:pPr>
        <w:numPr>
          <w:ilvl w:val="0"/>
          <w:numId w:val="17"/>
        </w:numPr>
        <w:ind w:right="12" w:hanging="338"/>
      </w:pPr>
      <w:r>
        <w:t xml:space="preserve">NHS England (2019) </w:t>
      </w:r>
      <w:r>
        <w:t>The NHS Long Term Plan</w:t>
      </w:r>
      <w:r>
        <w:t xml:space="preserve">. London: NHS England.  </w:t>
      </w:r>
    </w:p>
    <w:p w14:paraId="0B9AAC32" w14:textId="77777777" w:rsidR="0099082E" w:rsidRDefault="00685AD6">
      <w:pPr>
        <w:numPr>
          <w:ilvl w:val="0"/>
          <w:numId w:val="17"/>
        </w:numPr>
        <w:spacing w:after="158" w:line="293" w:lineRule="auto"/>
        <w:ind w:right="12" w:hanging="338"/>
      </w:pPr>
      <w:r>
        <w:t xml:space="preserve">NHS England (2025) </w:t>
      </w:r>
      <w:r>
        <w:t>Quality and Outcomes Framework guidance for 2025/26</w:t>
      </w:r>
      <w:r>
        <w:t xml:space="preserve">. London: NHS England. Available at: </w:t>
      </w:r>
      <w:r>
        <w:rPr>
          <w:color w:val="467886"/>
          <w:u w:val="single" w:color="467886"/>
        </w:rPr>
        <w:t>https://www.england.nhs.uk/wpcontent/uploads/2025/03/quality -outcomes-framework-</w:t>
      </w:r>
      <w:proofErr w:type="spellStart"/>
      <w:r>
        <w:rPr>
          <w:color w:val="467886"/>
          <w:u w:val="single" w:color="467886"/>
        </w:rPr>
        <w:t>guidancefor-2025-26.pdf</w:t>
      </w:r>
      <w:proofErr w:type="spellEnd"/>
      <w:r>
        <w:t xml:space="preserve"> (Accessed: 25 June 2026).  </w:t>
      </w:r>
    </w:p>
    <w:p w14:paraId="47CCA8EB" w14:textId="77777777" w:rsidR="0099082E" w:rsidRDefault="00685AD6">
      <w:pPr>
        <w:numPr>
          <w:ilvl w:val="0"/>
          <w:numId w:val="17"/>
        </w:numPr>
        <w:spacing w:after="2"/>
        <w:ind w:right="12" w:hanging="338"/>
      </w:pPr>
      <w:r>
        <w:t xml:space="preserve">Open Heart (2026) 'Epidemiology, economic burden and mortality of atrial fibrillation </w:t>
      </w:r>
    </w:p>
    <w:p w14:paraId="11792667" w14:textId="77777777" w:rsidR="0099082E" w:rsidRDefault="00685AD6">
      <w:pPr>
        <w:ind w:left="687" w:right="12"/>
      </w:pPr>
      <w:r>
        <w:t xml:space="preserve">in a region with very high life expectancy: a contemporary, population-based analysis', </w:t>
      </w:r>
      <w:r>
        <w:t>Open Heart</w:t>
      </w:r>
      <w:r>
        <w:t xml:space="preserve">, 13(1), pp. e004007. </w:t>
      </w:r>
    </w:p>
    <w:p w14:paraId="6FC2E786" w14:textId="77777777" w:rsidR="0099082E" w:rsidRDefault="00685AD6">
      <w:pPr>
        <w:numPr>
          <w:ilvl w:val="0"/>
          <w:numId w:val="17"/>
        </w:numPr>
        <w:spacing w:after="153" w:line="293" w:lineRule="auto"/>
        <w:ind w:right="12" w:hanging="338"/>
      </w:pPr>
      <w:r>
        <w:t xml:space="preserve">ResearchGate (2025) </w:t>
      </w:r>
      <w:r>
        <w:t>Atrial Fibrillation in the United Kingdom: Predicting Costs of an Emerging Epidemic</w:t>
      </w:r>
      <w:r>
        <w:t xml:space="preserve">. Available at: </w:t>
      </w:r>
      <w:r>
        <w:rPr>
          <w:color w:val="467886"/>
          <w:u w:val="single" w:color="467886"/>
        </w:rPr>
        <w:t xml:space="preserve">https://www.researchgate.net/p </w:t>
      </w:r>
      <w:proofErr w:type="spellStart"/>
      <w:r>
        <w:rPr>
          <w:color w:val="467886"/>
          <w:u w:val="single" w:color="467886"/>
        </w:rPr>
        <w:t>ublication</w:t>
      </w:r>
      <w:proofErr w:type="spellEnd"/>
      <w:r>
        <w:rPr>
          <w:color w:val="467886"/>
          <w:u w:val="single" w:color="467886"/>
        </w:rPr>
        <w:t>/</w:t>
      </w:r>
      <w:proofErr w:type="spellStart"/>
      <w:r>
        <w:rPr>
          <w:color w:val="467886"/>
          <w:u w:val="single" w:color="467886"/>
        </w:rPr>
        <w:t>347946517_Atrial_Fibr</w:t>
      </w:r>
      <w:proofErr w:type="spellEnd"/>
      <w:r>
        <w:rPr>
          <w:color w:val="467886"/>
          <w:u w:val="single" w:color="467886"/>
        </w:rPr>
        <w:t xml:space="preserve"> illation_in_the_United_Kingdom_ Predicting_Costs_of_an_Emergin g_Epidemic</w:t>
      </w:r>
      <w:r>
        <w:t xml:space="preserve"> (Accessed: 25 June 2026). </w:t>
      </w:r>
    </w:p>
    <w:p w14:paraId="23390308" w14:textId="77777777" w:rsidR="0099082E" w:rsidRDefault="00685AD6">
      <w:pPr>
        <w:numPr>
          <w:ilvl w:val="0"/>
          <w:numId w:val="17"/>
        </w:numPr>
        <w:spacing w:after="3"/>
        <w:ind w:right="12" w:hanging="338"/>
      </w:pPr>
      <w:r>
        <w:t xml:space="preserve">Scott, I.A., </w:t>
      </w:r>
      <w:proofErr w:type="spellStart"/>
      <w:r>
        <w:t>Hilmer</w:t>
      </w:r>
      <w:proofErr w:type="spellEnd"/>
      <w:r>
        <w:t xml:space="preserve">, S.N., Reeve, E., Potter, K., Le </w:t>
      </w:r>
      <w:proofErr w:type="spellStart"/>
      <w:r>
        <w:t>Couteur</w:t>
      </w:r>
      <w:proofErr w:type="spellEnd"/>
      <w:r>
        <w:t xml:space="preserve">, D., </w:t>
      </w:r>
    </w:p>
    <w:p w14:paraId="5D360D6A" w14:textId="77777777" w:rsidR="0099082E" w:rsidRDefault="00685AD6">
      <w:pPr>
        <w:ind w:left="687" w:right="12"/>
      </w:pPr>
      <w:r>
        <w:t xml:space="preserve">Rigby, D., </w:t>
      </w:r>
      <w:proofErr w:type="spellStart"/>
      <w:r>
        <w:t>Gnjidic</w:t>
      </w:r>
      <w:proofErr w:type="spellEnd"/>
      <w:r>
        <w:t xml:space="preserve">, D., Del Mar, C.B., Roughead, E.E., Page, A. and Jansen, J. (2015) 'Reducing inappropriate </w:t>
      </w:r>
      <w:proofErr w:type="spellStart"/>
      <w:r>
        <w:t>polypharmacy</w:t>
      </w:r>
      <w:proofErr w:type="spellEnd"/>
      <w:r>
        <w:t xml:space="preserve">: the process of </w:t>
      </w:r>
      <w:proofErr w:type="spellStart"/>
      <w:r>
        <w:t>deprescribing</w:t>
      </w:r>
      <w:proofErr w:type="spellEnd"/>
      <w:r>
        <w:t xml:space="preserve">', </w:t>
      </w:r>
      <w:r>
        <w:t>JAMA Internal Medicine</w:t>
      </w:r>
      <w:r>
        <w:t xml:space="preserve">, 175(5), pp. 827-834. </w:t>
      </w:r>
    </w:p>
    <w:p w14:paraId="7DAD8E98" w14:textId="77777777" w:rsidR="0099082E" w:rsidRDefault="00685AD6">
      <w:pPr>
        <w:numPr>
          <w:ilvl w:val="0"/>
          <w:numId w:val="17"/>
        </w:numPr>
        <w:ind w:right="12" w:hanging="338"/>
      </w:pPr>
      <w:proofErr w:type="spellStart"/>
      <w:r>
        <w:t>Sudore</w:t>
      </w:r>
      <w:proofErr w:type="spellEnd"/>
      <w:r>
        <w:t xml:space="preserve">, R.L. and Fried, T.R. (2010) 'Redefining the "planning" in advance care planning: preparing lay-persons to choose and help make medical decisions', </w:t>
      </w:r>
      <w:r>
        <w:t>Annals of Medicine</w:t>
      </w:r>
      <w:r>
        <w:t xml:space="preserve">, 153(4), pp. 256-261. </w:t>
      </w:r>
    </w:p>
    <w:p w14:paraId="06445D6D" w14:textId="77777777" w:rsidR="0099082E" w:rsidRDefault="00685AD6">
      <w:pPr>
        <w:numPr>
          <w:ilvl w:val="0"/>
          <w:numId w:val="17"/>
        </w:numPr>
        <w:spacing w:line="293" w:lineRule="auto"/>
        <w:ind w:right="12" w:hanging="338"/>
      </w:pPr>
      <w:r>
        <w:t xml:space="preserve">The King's Fund (2013) </w:t>
      </w:r>
      <w:r>
        <w:t>Delivering better services for people with long-term conditions: Building the house of care</w:t>
      </w:r>
      <w:r>
        <w:t xml:space="preserve">. London: The King's Fund. </w:t>
      </w:r>
    </w:p>
    <w:p w14:paraId="07C0C9FC" w14:textId="77777777" w:rsidR="0099082E" w:rsidRDefault="00685AD6">
      <w:pPr>
        <w:numPr>
          <w:ilvl w:val="0"/>
          <w:numId w:val="17"/>
        </w:numPr>
        <w:ind w:right="12" w:hanging="338"/>
      </w:pPr>
      <w:proofErr w:type="spellStart"/>
      <w:r>
        <w:t>Vakili</w:t>
      </w:r>
      <w:proofErr w:type="spellEnd"/>
      <w:r>
        <w:t xml:space="preserve">, B., Kaplan, R.C. and Chang, O.Y. (2011) 'Ethnic </w:t>
      </w:r>
      <w:proofErr w:type="spellStart"/>
      <w:r>
        <w:t>di</w:t>
      </w:r>
      <w:proofErr w:type="spellEnd"/>
      <w:r>
        <w:t xml:space="preserve"> </w:t>
      </w:r>
      <w:proofErr w:type="spellStart"/>
      <w:r>
        <w:t>erences</w:t>
      </w:r>
      <w:proofErr w:type="spellEnd"/>
      <w:r>
        <w:t xml:space="preserve"> in the prevalence and incidence of atrial fibrillation', </w:t>
      </w:r>
      <w:r>
        <w:t>Journal of the National Medical Association</w:t>
      </w:r>
      <w:r>
        <w:t xml:space="preserve">, 103(5), pp. 415-420. </w:t>
      </w:r>
    </w:p>
    <w:p w14:paraId="0A11828C" w14:textId="77777777" w:rsidR="0099082E" w:rsidRDefault="00685AD6">
      <w:pPr>
        <w:numPr>
          <w:ilvl w:val="0"/>
          <w:numId w:val="17"/>
        </w:numPr>
        <w:ind w:right="12" w:hanging="338"/>
      </w:pPr>
      <w:r>
        <w:t xml:space="preserve">Wagner, E.H., Austin, B.T., Davis, C., Hindmarsh, M., Schaefer, J. and Bonomi, A. (2001) 'Improving outcomes in chronic illness', </w:t>
      </w:r>
      <w:r>
        <w:t>Managed Care Quarterly</w:t>
      </w:r>
      <w:r>
        <w:t xml:space="preserve">, 9(4), pp. 14-23. </w:t>
      </w:r>
    </w:p>
    <w:p w14:paraId="5CC9D899" w14:textId="77777777" w:rsidR="0099082E" w:rsidRDefault="00685AD6">
      <w:pPr>
        <w:numPr>
          <w:ilvl w:val="0"/>
          <w:numId w:val="17"/>
        </w:numPr>
        <w:spacing w:after="3" w:line="293" w:lineRule="auto"/>
        <w:ind w:right="12" w:hanging="338"/>
      </w:pPr>
      <w:r>
        <w:t xml:space="preserve">WebMD (2025) </w:t>
      </w:r>
      <w:r>
        <w:t xml:space="preserve">What to Know About </w:t>
      </w:r>
      <w:proofErr w:type="spellStart"/>
      <w:r>
        <w:t>AFib</w:t>
      </w:r>
      <w:proofErr w:type="spellEnd"/>
      <w:r>
        <w:t xml:space="preserve"> and Your Mental Health</w:t>
      </w:r>
      <w:r>
        <w:t xml:space="preserve">. Available at: </w:t>
      </w:r>
      <w:r>
        <w:rPr>
          <w:color w:val="467886"/>
          <w:u w:val="single" w:color="467886"/>
        </w:rPr>
        <w:t>https://www.webmd.com/heart-</w:t>
      </w:r>
    </w:p>
    <w:p w14:paraId="46875813" w14:textId="77777777" w:rsidR="0099082E" w:rsidRDefault="00685AD6">
      <w:pPr>
        <w:spacing w:after="153" w:line="294" w:lineRule="auto"/>
        <w:ind w:left="338" w:right="336" w:firstLine="0"/>
        <w:jc w:val="both"/>
      </w:pPr>
      <w:r>
        <w:rPr>
          <w:color w:val="467886"/>
          <w:u w:val="single" w:color="467886"/>
        </w:rPr>
        <w:t>disease/atrial-fibrillation/</w:t>
      </w:r>
      <w:proofErr w:type="spellStart"/>
      <w:r>
        <w:rPr>
          <w:color w:val="467886"/>
          <w:u w:val="single" w:color="467886"/>
        </w:rPr>
        <w:t>afibmental-health</w:t>
      </w:r>
      <w:proofErr w:type="spellEnd"/>
      <w:r>
        <w:t xml:space="preserve"> (Accessed: 25 June 2026). </w:t>
      </w:r>
    </w:p>
    <w:p w14:paraId="514A995B" w14:textId="77777777" w:rsidR="0099082E" w:rsidRDefault="00685AD6">
      <w:pPr>
        <w:numPr>
          <w:ilvl w:val="0"/>
          <w:numId w:val="17"/>
        </w:numPr>
        <w:ind w:right="12" w:hanging="338"/>
      </w:pPr>
      <w:proofErr w:type="spellStart"/>
      <w:r>
        <w:t>Wij</w:t>
      </w:r>
      <w:proofErr w:type="spellEnd"/>
      <w:r>
        <w:t xml:space="preserve"> els, M.C., </w:t>
      </w:r>
      <w:proofErr w:type="spellStart"/>
      <w:r>
        <w:t>Kirchhof</w:t>
      </w:r>
      <w:proofErr w:type="spellEnd"/>
      <w:r>
        <w:t xml:space="preserve">, C.J., </w:t>
      </w:r>
      <w:proofErr w:type="spellStart"/>
      <w:r>
        <w:t>Dorland</w:t>
      </w:r>
      <w:proofErr w:type="spellEnd"/>
      <w:r>
        <w:t xml:space="preserve">, R. and </w:t>
      </w:r>
      <w:proofErr w:type="spellStart"/>
      <w:r>
        <w:t>Allessie</w:t>
      </w:r>
      <w:proofErr w:type="spellEnd"/>
      <w:r>
        <w:t xml:space="preserve">, M.A. (1995) 'Atrial fibrillation begets atrial fibrillation: a study in awake chronically instrumented goats', </w:t>
      </w:r>
      <w:r>
        <w:t>Circulation</w:t>
      </w:r>
      <w:r>
        <w:t xml:space="preserve">, 92(7), pp. 1954-1968. </w:t>
      </w:r>
    </w:p>
    <w:p w14:paraId="35EA2AB3" w14:textId="77777777" w:rsidR="0099082E" w:rsidRDefault="00685AD6">
      <w:pPr>
        <w:spacing w:after="0" w:line="259" w:lineRule="auto"/>
        <w:ind w:left="0" w:firstLine="0"/>
      </w:pPr>
      <w:r>
        <w:t xml:space="preserve"> </w:t>
      </w:r>
    </w:p>
    <w:sectPr w:rsidR="0099082E">
      <w:type w:val="continuous"/>
      <w:pgSz w:w="12240" w:h="15840"/>
      <w:pgMar w:top="1353" w:right="1897" w:bottom="1506" w:left="1872" w:header="720" w:footer="720" w:gutter="0"/>
      <w:cols w:num="2" w:space="104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8C1AD5" w14:textId="77777777" w:rsidR="00685AD6" w:rsidRDefault="00685AD6">
      <w:pPr>
        <w:spacing w:after="0" w:line="240" w:lineRule="auto"/>
      </w:pPr>
      <w:r>
        <w:separator/>
      </w:r>
    </w:p>
  </w:endnote>
  <w:endnote w:type="continuationSeparator" w:id="0">
    <w:p w14:paraId="686D3527" w14:textId="77777777" w:rsidR="00685AD6" w:rsidRDefault="00685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785244" w14:textId="77777777" w:rsidR="00685AD6" w:rsidRDefault="00685AD6">
      <w:pPr>
        <w:spacing w:after="0" w:line="240" w:lineRule="auto"/>
      </w:pPr>
      <w:r>
        <w:separator/>
      </w:r>
    </w:p>
  </w:footnote>
  <w:footnote w:type="continuationSeparator" w:id="0">
    <w:p w14:paraId="2356EC9C" w14:textId="77777777" w:rsidR="00685AD6" w:rsidRDefault="00685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960934" w14:textId="77777777" w:rsidR="0099082E" w:rsidRDefault="0099082E">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B9D6D7" w14:textId="77777777" w:rsidR="0099082E" w:rsidRDefault="0099082E">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58F5F76" w14:textId="77777777" w:rsidR="0099082E" w:rsidRDefault="0099082E">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26FBCE" w14:textId="77777777" w:rsidR="0099082E" w:rsidRDefault="00685AD6">
    <w:pPr>
      <w:spacing w:after="0" w:line="259" w:lineRule="auto"/>
      <w:ind w:left="1446" w:firstLine="0"/>
      <w:jc w:val="center"/>
    </w:pPr>
    <w:r>
      <w:rPr>
        <w:sz w:val="19"/>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CC4C4B" w14:textId="77777777" w:rsidR="0099082E" w:rsidRDefault="00685AD6">
    <w:pPr>
      <w:spacing w:after="0" w:line="259" w:lineRule="auto"/>
      <w:ind w:left="1446" w:firstLine="0"/>
      <w:jc w:val="center"/>
    </w:pPr>
    <w:r>
      <w:rPr>
        <w:sz w:val="19"/>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514B7CF" w14:textId="77777777" w:rsidR="0099082E" w:rsidRDefault="00685AD6">
    <w:pPr>
      <w:spacing w:after="0" w:line="259" w:lineRule="auto"/>
      <w:ind w:left="1446" w:firstLine="0"/>
      <w:jc w:val="center"/>
    </w:pPr>
    <w:r>
      <w:rPr>
        <w:sz w:val="19"/>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108D05" w14:textId="77777777" w:rsidR="0099082E" w:rsidRDefault="0099082E">
    <w:pPr>
      <w:spacing w:after="160" w:line="259" w:lineRule="auto"/>
      <w:ind w:lef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263A37" w14:textId="77777777" w:rsidR="0099082E" w:rsidRDefault="0099082E">
    <w:pPr>
      <w:spacing w:after="160" w:line="259" w:lineRule="auto"/>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5AFAB" w14:textId="77777777" w:rsidR="0099082E" w:rsidRDefault="0099082E">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1C07FA"/>
    <w:multiLevelType w:val="hybridMultilevel"/>
    <w:tmpl w:val="FFFFFFFF"/>
    <w:lvl w:ilvl="0" w:tplc="807CA31E">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2ED87C94">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A92A448E">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650610FA">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C5C6F752">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C93CA2EA">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91BEC196">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2FDC72F8">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D8E03EC">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 w15:restartNumberingAfterBreak="0">
    <w:nsid w:val="253062E9"/>
    <w:multiLevelType w:val="hybridMultilevel"/>
    <w:tmpl w:val="FFFFFFFF"/>
    <w:lvl w:ilvl="0" w:tplc="93329382">
      <w:start w:val="1"/>
      <w:numFmt w:val="bullet"/>
      <w:lvlText w:val="•"/>
      <w:lvlJc w:val="left"/>
      <w:pPr>
        <w:ind w:left="2618"/>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71064BB4">
      <w:start w:val="1"/>
      <w:numFmt w:val="bullet"/>
      <w:lvlText w:val="o"/>
      <w:lvlJc w:val="left"/>
      <w:pPr>
        <w:ind w:left="336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A64845C">
      <w:start w:val="1"/>
      <w:numFmt w:val="bullet"/>
      <w:lvlText w:val="▪"/>
      <w:lvlJc w:val="left"/>
      <w:pPr>
        <w:ind w:left="408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6700F9FE">
      <w:start w:val="1"/>
      <w:numFmt w:val="bullet"/>
      <w:lvlText w:val="•"/>
      <w:lvlJc w:val="left"/>
      <w:pPr>
        <w:ind w:left="480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4F282424">
      <w:start w:val="1"/>
      <w:numFmt w:val="bullet"/>
      <w:lvlText w:val="o"/>
      <w:lvlJc w:val="left"/>
      <w:pPr>
        <w:ind w:left="552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C8121486">
      <w:start w:val="1"/>
      <w:numFmt w:val="bullet"/>
      <w:lvlText w:val="▪"/>
      <w:lvlJc w:val="left"/>
      <w:pPr>
        <w:ind w:left="624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C8502B14">
      <w:start w:val="1"/>
      <w:numFmt w:val="bullet"/>
      <w:lvlText w:val="•"/>
      <w:lvlJc w:val="left"/>
      <w:pPr>
        <w:ind w:left="696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7B2196E">
      <w:start w:val="1"/>
      <w:numFmt w:val="bullet"/>
      <w:lvlText w:val="o"/>
      <w:lvlJc w:val="left"/>
      <w:pPr>
        <w:ind w:left="768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EDCEB140">
      <w:start w:val="1"/>
      <w:numFmt w:val="bullet"/>
      <w:lvlText w:val="▪"/>
      <w:lvlJc w:val="left"/>
      <w:pPr>
        <w:ind w:left="840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2" w15:restartNumberingAfterBreak="0">
    <w:nsid w:val="32134442"/>
    <w:multiLevelType w:val="hybridMultilevel"/>
    <w:tmpl w:val="FFFFFFFF"/>
    <w:lvl w:ilvl="0" w:tplc="A5183962">
      <w:start w:val="1"/>
      <w:numFmt w:val="decimal"/>
      <w:lvlText w:val="%1."/>
      <w:lvlJc w:val="left"/>
      <w:pPr>
        <w:ind w:left="677"/>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E35862AC">
      <w:start w:val="1"/>
      <w:numFmt w:val="lowerLetter"/>
      <w:lvlText w:val="%2"/>
      <w:lvlJc w:val="left"/>
      <w:pPr>
        <w:ind w:left="14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F0F21064">
      <w:start w:val="1"/>
      <w:numFmt w:val="lowerRoman"/>
      <w:lvlText w:val="%3"/>
      <w:lvlJc w:val="left"/>
      <w:pPr>
        <w:ind w:left="21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4B28A632">
      <w:start w:val="1"/>
      <w:numFmt w:val="decimal"/>
      <w:lvlText w:val="%4"/>
      <w:lvlJc w:val="left"/>
      <w:pPr>
        <w:ind w:left="28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70587F28">
      <w:start w:val="1"/>
      <w:numFmt w:val="lowerLetter"/>
      <w:lvlText w:val="%5"/>
      <w:lvlJc w:val="left"/>
      <w:pPr>
        <w:ind w:left="357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A26A4E18">
      <w:start w:val="1"/>
      <w:numFmt w:val="lowerRoman"/>
      <w:lvlText w:val="%6"/>
      <w:lvlJc w:val="left"/>
      <w:pPr>
        <w:ind w:left="429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777E8A54">
      <w:start w:val="1"/>
      <w:numFmt w:val="decimal"/>
      <w:lvlText w:val="%7"/>
      <w:lvlJc w:val="left"/>
      <w:pPr>
        <w:ind w:left="50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58B4865A">
      <w:start w:val="1"/>
      <w:numFmt w:val="lowerLetter"/>
      <w:lvlText w:val="%8"/>
      <w:lvlJc w:val="left"/>
      <w:pPr>
        <w:ind w:left="57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CF266556">
      <w:start w:val="1"/>
      <w:numFmt w:val="lowerRoman"/>
      <w:lvlText w:val="%9"/>
      <w:lvlJc w:val="left"/>
      <w:pPr>
        <w:ind w:left="64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3" w15:restartNumberingAfterBreak="0">
    <w:nsid w:val="33D51D67"/>
    <w:multiLevelType w:val="hybridMultilevel"/>
    <w:tmpl w:val="FFFFFFFF"/>
    <w:lvl w:ilvl="0" w:tplc="617EB0FC">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4FBEB514">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5B3EC744">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F9803688">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57221ABC">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13561308">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68E0D07E">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32821F50">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A018366C">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4" w15:restartNumberingAfterBreak="0">
    <w:nsid w:val="33E940E5"/>
    <w:multiLevelType w:val="hybridMultilevel"/>
    <w:tmpl w:val="FFFFFFFF"/>
    <w:lvl w:ilvl="0" w:tplc="A4582E4E">
      <w:start w:val="1"/>
      <w:numFmt w:val="bullet"/>
      <w:lvlText w:val="•"/>
      <w:lvlJc w:val="left"/>
      <w:pPr>
        <w:ind w:left="338"/>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E158743C">
      <w:start w:val="1"/>
      <w:numFmt w:val="bullet"/>
      <w:lvlText w:val="o"/>
      <w:lvlJc w:val="left"/>
      <w:pPr>
        <w:ind w:left="14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AED6CDC8">
      <w:start w:val="1"/>
      <w:numFmt w:val="bullet"/>
      <w:lvlText w:val="▪"/>
      <w:lvlJc w:val="left"/>
      <w:pPr>
        <w:ind w:left="21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02F484C0">
      <w:start w:val="1"/>
      <w:numFmt w:val="bullet"/>
      <w:lvlText w:val="•"/>
      <w:lvlJc w:val="left"/>
      <w:pPr>
        <w:ind w:left="28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3AFA1440">
      <w:start w:val="1"/>
      <w:numFmt w:val="bullet"/>
      <w:lvlText w:val="o"/>
      <w:lvlJc w:val="left"/>
      <w:pPr>
        <w:ind w:left="35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29AE7A9E">
      <w:start w:val="1"/>
      <w:numFmt w:val="bullet"/>
      <w:lvlText w:val="▪"/>
      <w:lvlJc w:val="left"/>
      <w:pPr>
        <w:ind w:left="43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83E448B8">
      <w:start w:val="1"/>
      <w:numFmt w:val="bullet"/>
      <w:lvlText w:val="•"/>
      <w:lvlJc w:val="left"/>
      <w:pPr>
        <w:ind w:left="50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2D0C814C">
      <w:start w:val="1"/>
      <w:numFmt w:val="bullet"/>
      <w:lvlText w:val="o"/>
      <w:lvlJc w:val="left"/>
      <w:pPr>
        <w:ind w:left="57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C79E9208">
      <w:start w:val="1"/>
      <w:numFmt w:val="bullet"/>
      <w:lvlText w:val="▪"/>
      <w:lvlJc w:val="left"/>
      <w:pPr>
        <w:ind w:left="64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5" w15:restartNumberingAfterBreak="0">
    <w:nsid w:val="35605C10"/>
    <w:multiLevelType w:val="hybridMultilevel"/>
    <w:tmpl w:val="FFFFFFFF"/>
    <w:lvl w:ilvl="0" w:tplc="23B07CFC">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2ED05B10">
      <w:start w:val="1"/>
      <w:numFmt w:val="bullet"/>
      <w:lvlText w:val="o"/>
      <w:lvlJc w:val="left"/>
      <w:pPr>
        <w:ind w:left="131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D7325BA8">
      <w:start w:val="1"/>
      <w:numFmt w:val="bullet"/>
      <w:lvlText w:val="▪"/>
      <w:lvlJc w:val="left"/>
      <w:pPr>
        <w:ind w:left="203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BFDCD27E">
      <w:start w:val="1"/>
      <w:numFmt w:val="bullet"/>
      <w:lvlText w:val="•"/>
      <w:lvlJc w:val="left"/>
      <w:pPr>
        <w:ind w:left="275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D214D584">
      <w:start w:val="1"/>
      <w:numFmt w:val="bullet"/>
      <w:lvlText w:val="o"/>
      <w:lvlJc w:val="left"/>
      <w:pPr>
        <w:ind w:left="347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A6686CEA">
      <w:start w:val="1"/>
      <w:numFmt w:val="bullet"/>
      <w:lvlText w:val="▪"/>
      <w:lvlJc w:val="left"/>
      <w:pPr>
        <w:ind w:left="419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CE44A9A6">
      <w:start w:val="1"/>
      <w:numFmt w:val="bullet"/>
      <w:lvlText w:val="•"/>
      <w:lvlJc w:val="left"/>
      <w:pPr>
        <w:ind w:left="491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5543B32">
      <w:start w:val="1"/>
      <w:numFmt w:val="bullet"/>
      <w:lvlText w:val="o"/>
      <w:lvlJc w:val="left"/>
      <w:pPr>
        <w:ind w:left="563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4AC4B3D2">
      <w:start w:val="1"/>
      <w:numFmt w:val="bullet"/>
      <w:lvlText w:val="▪"/>
      <w:lvlJc w:val="left"/>
      <w:pPr>
        <w:ind w:left="635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6" w15:restartNumberingAfterBreak="0">
    <w:nsid w:val="4A85263F"/>
    <w:multiLevelType w:val="hybridMultilevel"/>
    <w:tmpl w:val="FFFFFFFF"/>
    <w:lvl w:ilvl="0" w:tplc="044E774A">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D22A1F3E">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DFA2FA62">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4AA6272C">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37A049C2">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171CEB16">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2FAC4338">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8FCF468">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F41EA656">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7" w15:restartNumberingAfterBreak="0">
    <w:nsid w:val="4DD779C0"/>
    <w:multiLevelType w:val="hybridMultilevel"/>
    <w:tmpl w:val="FFFFFFFF"/>
    <w:lvl w:ilvl="0" w:tplc="3378FAFA">
      <w:start w:val="1"/>
      <w:numFmt w:val="bullet"/>
      <w:lvlText w:val="•"/>
      <w:lvlJc w:val="left"/>
      <w:pPr>
        <w:ind w:left="662"/>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F8B4A99C">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45DA25D0">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FE1CFE9E">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8CE21F7C">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4104A5B2">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203E574C">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80A48DEA">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E054BAF0">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8" w15:restartNumberingAfterBreak="0">
    <w:nsid w:val="5A1D5274"/>
    <w:multiLevelType w:val="hybridMultilevel"/>
    <w:tmpl w:val="FFFFFFFF"/>
    <w:lvl w:ilvl="0" w:tplc="E3C8EB86">
      <w:start w:val="1"/>
      <w:numFmt w:val="decimal"/>
      <w:lvlText w:val="%1."/>
      <w:lvlJc w:val="left"/>
      <w:pPr>
        <w:ind w:left="677"/>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34E83268">
      <w:start w:val="1"/>
      <w:numFmt w:val="lowerLetter"/>
      <w:lvlText w:val="%2"/>
      <w:lvlJc w:val="left"/>
      <w:pPr>
        <w:ind w:left="14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1848DF54">
      <w:start w:val="1"/>
      <w:numFmt w:val="lowerRoman"/>
      <w:lvlText w:val="%3"/>
      <w:lvlJc w:val="left"/>
      <w:pPr>
        <w:ind w:left="21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46A46FE4">
      <w:start w:val="1"/>
      <w:numFmt w:val="decimal"/>
      <w:lvlText w:val="%4"/>
      <w:lvlJc w:val="left"/>
      <w:pPr>
        <w:ind w:left="28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FBA0E2B0">
      <w:start w:val="1"/>
      <w:numFmt w:val="lowerLetter"/>
      <w:lvlText w:val="%5"/>
      <w:lvlJc w:val="left"/>
      <w:pPr>
        <w:ind w:left="357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023E5C70">
      <w:start w:val="1"/>
      <w:numFmt w:val="lowerRoman"/>
      <w:lvlText w:val="%6"/>
      <w:lvlJc w:val="left"/>
      <w:pPr>
        <w:ind w:left="429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8BC20226">
      <w:start w:val="1"/>
      <w:numFmt w:val="decimal"/>
      <w:lvlText w:val="%7"/>
      <w:lvlJc w:val="left"/>
      <w:pPr>
        <w:ind w:left="501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B63A72FC">
      <w:start w:val="1"/>
      <w:numFmt w:val="lowerLetter"/>
      <w:lvlText w:val="%8"/>
      <w:lvlJc w:val="left"/>
      <w:pPr>
        <w:ind w:left="57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99A25364">
      <w:start w:val="1"/>
      <w:numFmt w:val="lowerRoman"/>
      <w:lvlText w:val="%9"/>
      <w:lvlJc w:val="left"/>
      <w:pPr>
        <w:ind w:left="645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abstractNum w:abstractNumId="9" w15:restartNumberingAfterBreak="0">
    <w:nsid w:val="5A5A0B08"/>
    <w:multiLevelType w:val="hybridMultilevel"/>
    <w:tmpl w:val="FFFFFFFF"/>
    <w:lvl w:ilvl="0" w:tplc="D9D8ABEC">
      <w:start w:val="1"/>
      <w:numFmt w:val="bullet"/>
      <w:lvlText w:val="•"/>
      <w:lvlJc w:val="left"/>
      <w:pPr>
        <w:ind w:left="2618"/>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0D04BEBA">
      <w:start w:val="1"/>
      <w:numFmt w:val="bullet"/>
      <w:lvlText w:val="o"/>
      <w:lvlJc w:val="left"/>
      <w:pPr>
        <w:ind w:left="336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A068219C">
      <w:start w:val="1"/>
      <w:numFmt w:val="bullet"/>
      <w:lvlText w:val="▪"/>
      <w:lvlJc w:val="left"/>
      <w:pPr>
        <w:ind w:left="408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E0023774">
      <w:start w:val="1"/>
      <w:numFmt w:val="bullet"/>
      <w:lvlText w:val="•"/>
      <w:lvlJc w:val="left"/>
      <w:pPr>
        <w:ind w:left="480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B5843104">
      <w:start w:val="1"/>
      <w:numFmt w:val="bullet"/>
      <w:lvlText w:val="o"/>
      <w:lvlJc w:val="left"/>
      <w:pPr>
        <w:ind w:left="552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DE5AC544">
      <w:start w:val="1"/>
      <w:numFmt w:val="bullet"/>
      <w:lvlText w:val="▪"/>
      <w:lvlJc w:val="left"/>
      <w:pPr>
        <w:ind w:left="624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5E9E3FAA">
      <w:start w:val="1"/>
      <w:numFmt w:val="bullet"/>
      <w:lvlText w:val="•"/>
      <w:lvlJc w:val="left"/>
      <w:pPr>
        <w:ind w:left="696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BCBE58BA">
      <w:start w:val="1"/>
      <w:numFmt w:val="bullet"/>
      <w:lvlText w:val="o"/>
      <w:lvlJc w:val="left"/>
      <w:pPr>
        <w:ind w:left="768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FEA727A">
      <w:start w:val="1"/>
      <w:numFmt w:val="bullet"/>
      <w:lvlText w:val="▪"/>
      <w:lvlJc w:val="left"/>
      <w:pPr>
        <w:ind w:left="8407"/>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0" w15:restartNumberingAfterBreak="0">
    <w:nsid w:val="6BC074E7"/>
    <w:multiLevelType w:val="hybridMultilevel"/>
    <w:tmpl w:val="FFFFFFFF"/>
    <w:lvl w:ilvl="0" w:tplc="297E0A2C">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9C562332">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54882CE">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79CE611A">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7E30940E">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402ADB7A">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749E6A62">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CE9829AA">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C9927A40">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1" w15:restartNumberingAfterBreak="0">
    <w:nsid w:val="72A8789E"/>
    <w:multiLevelType w:val="hybridMultilevel"/>
    <w:tmpl w:val="FFFFFFFF"/>
    <w:lvl w:ilvl="0" w:tplc="53068892">
      <w:start w:val="1"/>
      <w:numFmt w:val="bullet"/>
      <w:lvlText w:val="•"/>
      <w:lvlJc w:val="left"/>
      <w:pPr>
        <w:ind w:left="36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CEC4DC00">
      <w:start w:val="1"/>
      <w:numFmt w:val="bullet"/>
      <w:lvlRestart w:val="0"/>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2" w:tplc="B0AAF9DE">
      <w:start w:val="1"/>
      <w:numFmt w:val="bullet"/>
      <w:lvlText w:val="▪"/>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62DC07CC">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9F04FAB6">
      <w:start w:val="1"/>
      <w:numFmt w:val="bullet"/>
      <w:lvlText w:val="o"/>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B2E2019E">
      <w:start w:val="1"/>
      <w:numFmt w:val="bullet"/>
      <w:lvlText w:val="▪"/>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7BB2D828">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C3E8B1E">
      <w:start w:val="1"/>
      <w:numFmt w:val="bullet"/>
      <w:lvlText w:val="o"/>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9D82EC26">
      <w:start w:val="1"/>
      <w:numFmt w:val="bullet"/>
      <w:lvlText w:val="▪"/>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2" w15:restartNumberingAfterBreak="0">
    <w:nsid w:val="734D1239"/>
    <w:multiLevelType w:val="hybridMultilevel"/>
    <w:tmpl w:val="FFFFFFFF"/>
    <w:lvl w:ilvl="0" w:tplc="7674DCF4">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01C4F61E">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636A4FE">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51EE8BF4">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8CEE066E">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E46A7142">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90849394">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3F2CD69C">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AB2EB3AC">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3" w15:restartNumberingAfterBreak="0">
    <w:nsid w:val="74826682"/>
    <w:multiLevelType w:val="hybridMultilevel"/>
    <w:tmpl w:val="FFFFFFFF"/>
    <w:lvl w:ilvl="0" w:tplc="B97653BC">
      <w:start w:val="1"/>
      <w:numFmt w:val="bullet"/>
      <w:lvlText w:val="•"/>
      <w:lvlJc w:val="left"/>
      <w:pPr>
        <w:ind w:left="662"/>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AE244FE8">
      <w:start w:val="1"/>
      <w:numFmt w:val="bullet"/>
      <w:lvlText w:val="o"/>
      <w:lvlJc w:val="left"/>
      <w:pPr>
        <w:ind w:left="12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CC880D0A">
      <w:start w:val="1"/>
      <w:numFmt w:val="bullet"/>
      <w:lvlText w:val="▪"/>
      <w:lvlJc w:val="left"/>
      <w:pPr>
        <w:ind w:left="20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AC86FBD4">
      <w:start w:val="1"/>
      <w:numFmt w:val="bullet"/>
      <w:lvlText w:val="•"/>
      <w:lvlJc w:val="left"/>
      <w:pPr>
        <w:ind w:left="27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788E8614">
      <w:start w:val="1"/>
      <w:numFmt w:val="bullet"/>
      <w:lvlText w:val="o"/>
      <w:lvlJc w:val="left"/>
      <w:pPr>
        <w:ind w:left="34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4A4E0BD6">
      <w:start w:val="1"/>
      <w:numFmt w:val="bullet"/>
      <w:lvlText w:val="▪"/>
      <w:lvlJc w:val="left"/>
      <w:pPr>
        <w:ind w:left="41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80F22B70">
      <w:start w:val="1"/>
      <w:numFmt w:val="bullet"/>
      <w:lvlText w:val="•"/>
      <w:lvlJc w:val="left"/>
      <w:pPr>
        <w:ind w:left="48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BC62A6F0">
      <w:start w:val="1"/>
      <w:numFmt w:val="bullet"/>
      <w:lvlText w:val="o"/>
      <w:lvlJc w:val="left"/>
      <w:pPr>
        <w:ind w:left="561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BCB8568E">
      <w:start w:val="1"/>
      <w:numFmt w:val="bullet"/>
      <w:lvlText w:val="▪"/>
      <w:lvlJc w:val="left"/>
      <w:pPr>
        <w:ind w:left="633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4" w15:restartNumberingAfterBreak="0">
    <w:nsid w:val="79214C62"/>
    <w:multiLevelType w:val="hybridMultilevel"/>
    <w:tmpl w:val="FFFFFFFF"/>
    <w:lvl w:ilvl="0" w:tplc="30A6A208">
      <w:start w:val="1"/>
      <w:numFmt w:val="bullet"/>
      <w:lvlText w:val="•"/>
      <w:lvlJc w:val="left"/>
      <w:pPr>
        <w:ind w:left="338"/>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B4EC35A8">
      <w:start w:val="1"/>
      <w:numFmt w:val="bullet"/>
      <w:lvlText w:val="o"/>
      <w:lvlJc w:val="left"/>
      <w:pPr>
        <w:ind w:left="29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C94ACCCC">
      <w:start w:val="1"/>
      <w:numFmt w:val="bullet"/>
      <w:lvlText w:val="▪"/>
      <w:lvlJc w:val="left"/>
      <w:pPr>
        <w:ind w:left="36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6BB6BE6E">
      <w:start w:val="1"/>
      <w:numFmt w:val="bullet"/>
      <w:lvlText w:val="•"/>
      <w:lvlJc w:val="left"/>
      <w:pPr>
        <w:ind w:left="43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1586FCB8">
      <w:start w:val="1"/>
      <w:numFmt w:val="bullet"/>
      <w:lvlText w:val="o"/>
      <w:lvlJc w:val="left"/>
      <w:pPr>
        <w:ind w:left="50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C054E21A">
      <w:start w:val="1"/>
      <w:numFmt w:val="bullet"/>
      <w:lvlText w:val="▪"/>
      <w:lvlJc w:val="left"/>
      <w:pPr>
        <w:ind w:left="57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7966AD5C">
      <w:start w:val="1"/>
      <w:numFmt w:val="bullet"/>
      <w:lvlText w:val="•"/>
      <w:lvlJc w:val="left"/>
      <w:pPr>
        <w:ind w:left="65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332CA864">
      <w:start w:val="1"/>
      <w:numFmt w:val="bullet"/>
      <w:lvlText w:val="o"/>
      <w:lvlJc w:val="left"/>
      <w:pPr>
        <w:ind w:left="72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7EB8CB70">
      <w:start w:val="1"/>
      <w:numFmt w:val="bullet"/>
      <w:lvlText w:val="▪"/>
      <w:lvlJc w:val="left"/>
      <w:pPr>
        <w:ind w:left="79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5" w15:restartNumberingAfterBreak="0">
    <w:nsid w:val="7C813ACC"/>
    <w:multiLevelType w:val="hybridMultilevel"/>
    <w:tmpl w:val="FFFFFFFF"/>
    <w:lvl w:ilvl="0" w:tplc="E110A154">
      <w:start w:val="1"/>
      <w:numFmt w:val="decimal"/>
      <w:lvlText w:val="%1."/>
      <w:lvlJc w:val="left"/>
      <w:pPr>
        <w:ind w:left="23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8D0C9914">
      <w:start w:val="1"/>
      <w:numFmt w:val="bullet"/>
      <w:lvlText w:val="•"/>
      <w:lvlJc w:val="left"/>
      <w:pPr>
        <w:ind w:left="669"/>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2" w:tplc="1294151C">
      <w:start w:val="1"/>
      <w:numFmt w:val="bullet"/>
      <w:lvlText w:val="▪"/>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37B6B230">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5BF65C14">
      <w:start w:val="1"/>
      <w:numFmt w:val="bullet"/>
      <w:lvlText w:val="o"/>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00260400">
      <w:start w:val="1"/>
      <w:numFmt w:val="bullet"/>
      <w:lvlText w:val="▪"/>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E03AD468">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FEE78EC">
      <w:start w:val="1"/>
      <w:numFmt w:val="bullet"/>
      <w:lvlText w:val="o"/>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96D26E14">
      <w:start w:val="1"/>
      <w:numFmt w:val="bullet"/>
      <w:lvlText w:val="▪"/>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6" w15:restartNumberingAfterBreak="0">
    <w:nsid w:val="7FC02D7F"/>
    <w:multiLevelType w:val="hybridMultilevel"/>
    <w:tmpl w:val="FFFFFFFF"/>
    <w:lvl w:ilvl="0" w:tplc="2078FCCC">
      <w:start w:val="1"/>
      <w:numFmt w:val="bullet"/>
      <w:lvlText w:val="•"/>
      <w:lvlJc w:val="left"/>
      <w:pPr>
        <w:ind w:left="677"/>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A776F39C">
      <w:start w:val="1"/>
      <w:numFmt w:val="bullet"/>
      <w:lvlText w:val="o"/>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37309C9E">
      <w:start w:val="1"/>
      <w:numFmt w:val="bullet"/>
      <w:lvlText w:val="▪"/>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FC0AAAFC">
      <w:start w:val="1"/>
      <w:numFmt w:val="bullet"/>
      <w:lvlText w:val="•"/>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FE2C87C0">
      <w:start w:val="1"/>
      <w:numFmt w:val="bullet"/>
      <w:lvlText w:val="o"/>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398CF81E">
      <w:start w:val="1"/>
      <w:numFmt w:val="bullet"/>
      <w:lvlText w:val="▪"/>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3DD45CA0">
      <w:start w:val="1"/>
      <w:numFmt w:val="bullet"/>
      <w:lvlText w:val="•"/>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C3EE0B9C">
      <w:start w:val="1"/>
      <w:numFmt w:val="bullet"/>
      <w:lvlText w:val="o"/>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AFC6C34C">
      <w:start w:val="1"/>
      <w:numFmt w:val="bullet"/>
      <w:lvlText w:val="▪"/>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num w:numId="1" w16cid:durableId="704208956">
    <w:abstractNumId w:val="10"/>
  </w:num>
  <w:num w:numId="2" w16cid:durableId="2024241410">
    <w:abstractNumId w:val="12"/>
  </w:num>
  <w:num w:numId="3" w16cid:durableId="463430239">
    <w:abstractNumId w:val="8"/>
  </w:num>
  <w:num w:numId="4" w16cid:durableId="1123766750">
    <w:abstractNumId w:val="3"/>
  </w:num>
  <w:num w:numId="5" w16cid:durableId="1486778490">
    <w:abstractNumId w:val="13"/>
  </w:num>
  <w:num w:numId="6" w16cid:durableId="1074548862">
    <w:abstractNumId w:val="15"/>
  </w:num>
  <w:num w:numId="7" w16cid:durableId="1693990050">
    <w:abstractNumId w:val="7"/>
  </w:num>
  <w:num w:numId="8" w16cid:durableId="931160694">
    <w:abstractNumId w:val="6"/>
  </w:num>
  <w:num w:numId="9" w16cid:durableId="211045694">
    <w:abstractNumId w:val="2"/>
  </w:num>
  <w:num w:numId="10" w16cid:durableId="820270893">
    <w:abstractNumId w:val="16"/>
  </w:num>
  <w:num w:numId="11" w16cid:durableId="840202412">
    <w:abstractNumId w:val="11"/>
  </w:num>
  <w:num w:numId="12" w16cid:durableId="652831947">
    <w:abstractNumId w:val="0"/>
  </w:num>
  <w:num w:numId="13" w16cid:durableId="1782337522">
    <w:abstractNumId w:val="5"/>
  </w:num>
  <w:num w:numId="14" w16cid:durableId="1492402541">
    <w:abstractNumId w:val="14"/>
  </w:num>
  <w:num w:numId="15" w16cid:durableId="289897743">
    <w:abstractNumId w:val="9"/>
  </w:num>
  <w:num w:numId="16" w16cid:durableId="316153943">
    <w:abstractNumId w:val="1"/>
  </w:num>
  <w:num w:numId="17" w16cid:durableId="2125732864">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082E"/>
    <w:rsid w:val="00685AD6"/>
    <w:rsid w:val="0099082E"/>
    <w:rsid w:val="00AD620E"/>
    <w:rsid w:val="00BB5AEC"/>
    <w:rsid w:val="00BF1DC1"/>
    <w:rsid w:val="00EB1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55CBF2"/>
  <w15:docId w15:val="{AD09822E-58D2-DD4A-AB0F-A3D2FB4FE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291" w:lineRule="auto"/>
      <w:ind w:left="10" w:hanging="10"/>
    </w:pPr>
    <w:rPr>
      <w:rFonts w:ascii="Times New Roman" w:eastAsia="Times New Roman" w:hAnsi="Times New Roman" w:cs="Times New Roman"/>
      <w:color w:val="000000"/>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7.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6.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5.xml"/><Relationship Id="rId5" Type="http://schemas.openxmlformats.org/officeDocument/2006/relationships/footnotes" Target="footnotes.xml"/><Relationship Id="rId15" Type="http://schemas.openxmlformats.org/officeDocument/2006/relationships/header" Target="header9.xml"/><Relationship Id="rId10"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7706</Words>
  <Characters>43930</Characters>
  <Application>Microsoft Office Word</Application>
  <DocSecurity>0</DocSecurity>
  <Lines>366</Lines>
  <Paragraphs>103</Paragraphs>
  <ScaleCrop>false</ScaleCrop>
  <Company/>
  <LinksUpToDate>false</LinksUpToDate>
  <CharactersWithSpaces>51533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Document1</dc:title>
  <dc:subject/>
  <dc:creator/>
  <cp:keywords/>
  <cp:lastModifiedBy>Sikandarbhai Ayadanbhai Ramani (2541466)</cp:lastModifiedBy>
  <cp:revision>2</cp:revision>
  <dcterms:created xsi:type="dcterms:W3CDTF">2026-07-16T16:11:00Z</dcterms:created>
  <dcterms:modified xsi:type="dcterms:W3CDTF">2026-07-16T16:11:00Z</dcterms:modified>
</cp:coreProperties>
</file>