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89455" w14:textId="5F18C81A" w:rsidR="00F038EE" w:rsidRPr="002A4DDD" w:rsidRDefault="00975FA7">
      <w:pPr>
        <w:rPr>
          <w:rFonts w:ascii="Arial" w:hAnsi="Arial" w:cs="Arial"/>
          <w:sz w:val="24"/>
          <w:szCs w:val="24"/>
        </w:rPr>
      </w:pPr>
      <w:r w:rsidRPr="002A4DDD">
        <w:rPr>
          <w:rFonts w:ascii="Arial" w:hAnsi="Arial" w:cs="Arial"/>
          <w:sz w:val="24"/>
          <w:szCs w:val="24"/>
        </w:rPr>
        <w:t>Criminal Liability in Carla’s Stabbing of Jamie</w:t>
      </w:r>
      <w:r w:rsidR="00572ECF" w:rsidRPr="002A4DDD">
        <w:rPr>
          <w:rFonts w:ascii="Arial" w:hAnsi="Arial" w:cs="Arial"/>
          <w:sz w:val="24"/>
          <w:szCs w:val="24"/>
        </w:rPr>
        <w:t>: A Comprehensive Analysis</w:t>
      </w:r>
    </w:p>
    <w:p w14:paraId="24EDFB46" w14:textId="77777777" w:rsidR="002A5499" w:rsidRDefault="002A5499" w:rsidP="00BE20DC">
      <w:pPr>
        <w:rPr>
          <w:rFonts w:ascii="Arial" w:hAnsi="Arial" w:cs="Arial"/>
          <w:sz w:val="24"/>
          <w:szCs w:val="24"/>
        </w:rPr>
      </w:pPr>
    </w:p>
    <w:p w14:paraId="09C78CCB" w14:textId="6956D367" w:rsidR="00BE20DC" w:rsidRDefault="00695B69" w:rsidP="00BE20DC">
      <w:pPr>
        <w:rPr>
          <w:rFonts w:ascii="Arial" w:hAnsi="Arial" w:cs="Arial"/>
          <w:sz w:val="24"/>
          <w:szCs w:val="24"/>
        </w:rPr>
      </w:pPr>
      <w:r>
        <w:rPr>
          <w:rFonts w:ascii="Arial" w:hAnsi="Arial" w:cs="Arial"/>
          <w:sz w:val="24"/>
          <w:szCs w:val="24"/>
        </w:rPr>
        <w:t>This essay explores</w:t>
      </w:r>
      <w:r w:rsidR="002A5499">
        <w:rPr>
          <w:rFonts w:ascii="Arial" w:hAnsi="Arial" w:cs="Arial"/>
          <w:sz w:val="24"/>
          <w:szCs w:val="24"/>
        </w:rPr>
        <w:t xml:space="preserve"> the scenario involving the defendant, Carla, and the victim, Jamie, which presents a complex set of legal issues that demand a meticulous examination. This analysis will be organised into distinct sections, focusing on specific legal aspects, including offences, defences, and potential mitigating factors. The case starts with</w:t>
      </w:r>
      <w:r>
        <w:rPr>
          <w:rFonts w:ascii="Arial" w:hAnsi="Arial" w:cs="Arial"/>
          <w:sz w:val="24"/>
          <w:szCs w:val="24"/>
        </w:rPr>
        <w:t xml:space="preserve"> a hypothetical situation in which the</w:t>
      </w:r>
      <w:r w:rsidR="00EB7945">
        <w:rPr>
          <w:rFonts w:ascii="Arial" w:hAnsi="Arial" w:cs="Arial"/>
          <w:sz w:val="24"/>
          <w:szCs w:val="24"/>
        </w:rPr>
        <w:t xml:space="preserve"> identity of the defen</w:t>
      </w:r>
      <w:r w:rsidR="006E4034">
        <w:rPr>
          <w:rFonts w:ascii="Arial" w:hAnsi="Arial" w:cs="Arial"/>
          <w:sz w:val="24"/>
          <w:szCs w:val="24"/>
        </w:rPr>
        <w:t>dant and the victim is defined from the beginning of the scenario. Furthermore</w:t>
      </w:r>
      <w:r>
        <w:rPr>
          <w:rFonts w:ascii="Arial" w:hAnsi="Arial" w:cs="Arial"/>
          <w:sz w:val="24"/>
          <w:szCs w:val="24"/>
        </w:rPr>
        <w:t>,</w:t>
      </w:r>
      <w:r w:rsidR="006E4034">
        <w:rPr>
          <w:rFonts w:ascii="Arial" w:hAnsi="Arial" w:cs="Arial"/>
          <w:sz w:val="24"/>
          <w:szCs w:val="24"/>
        </w:rPr>
        <w:t xml:space="preserve"> the </w:t>
      </w:r>
      <w:r w:rsidR="00A00054">
        <w:rPr>
          <w:rFonts w:ascii="Arial" w:hAnsi="Arial" w:cs="Arial"/>
          <w:sz w:val="24"/>
          <w:szCs w:val="24"/>
        </w:rPr>
        <w:t>defendant</w:t>
      </w:r>
      <w:r w:rsidR="006E4034">
        <w:rPr>
          <w:rFonts w:ascii="Arial" w:hAnsi="Arial" w:cs="Arial"/>
          <w:sz w:val="24"/>
          <w:szCs w:val="24"/>
        </w:rPr>
        <w:t>,</w:t>
      </w:r>
      <w:r>
        <w:rPr>
          <w:rFonts w:ascii="Arial" w:hAnsi="Arial" w:cs="Arial"/>
          <w:sz w:val="24"/>
          <w:szCs w:val="24"/>
        </w:rPr>
        <w:t xml:space="preserve"> Carla, </w:t>
      </w:r>
      <w:r w:rsidR="006E4034">
        <w:rPr>
          <w:rFonts w:ascii="Arial" w:hAnsi="Arial" w:cs="Arial"/>
          <w:sz w:val="24"/>
          <w:szCs w:val="24"/>
        </w:rPr>
        <w:t xml:space="preserve">had been </w:t>
      </w:r>
      <w:r w:rsidR="00A00054">
        <w:rPr>
          <w:rFonts w:ascii="Arial" w:hAnsi="Arial" w:cs="Arial"/>
          <w:sz w:val="24"/>
          <w:szCs w:val="24"/>
        </w:rPr>
        <w:t>in a domestic relationship for 15 years, with the victim, Jamie</w:t>
      </w:r>
      <w:r w:rsidR="003769B2">
        <w:rPr>
          <w:rFonts w:ascii="Arial" w:hAnsi="Arial" w:cs="Arial"/>
          <w:sz w:val="24"/>
          <w:szCs w:val="24"/>
        </w:rPr>
        <w:t>. The defendant recently inflicted substantial harm</w:t>
      </w:r>
      <w:r w:rsidR="00AF03BC">
        <w:rPr>
          <w:rFonts w:ascii="Arial" w:hAnsi="Arial" w:cs="Arial"/>
          <w:sz w:val="24"/>
          <w:szCs w:val="24"/>
        </w:rPr>
        <w:t xml:space="preserve"> due</w:t>
      </w:r>
      <w:r w:rsidR="003769B2">
        <w:rPr>
          <w:rFonts w:ascii="Arial" w:hAnsi="Arial" w:cs="Arial"/>
          <w:sz w:val="24"/>
          <w:szCs w:val="24"/>
        </w:rPr>
        <w:t xml:space="preserve"> to </w:t>
      </w:r>
      <w:r w:rsidR="000A56C2">
        <w:rPr>
          <w:rFonts w:ascii="Arial" w:hAnsi="Arial" w:cs="Arial"/>
          <w:sz w:val="24"/>
          <w:szCs w:val="24"/>
        </w:rPr>
        <w:t xml:space="preserve">marital problems and her frustration regarding the victim's behaviour </w:t>
      </w:r>
      <w:r w:rsidR="00AF03BC">
        <w:rPr>
          <w:rFonts w:ascii="Arial" w:hAnsi="Arial" w:cs="Arial"/>
          <w:sz w:val="24"/>
          <w:szCs w:val="24"/>
        </w:rPr>
        <w:t xml:space="preserve">regarding the relationship </w:t>
      </w:r>
      <w:r w:rsidR="000A56C2">
        <w:rPr>
          <w:rFonts w:ascii="Arial" w:hAnsi="Arial" w:cs="Arial"/>
          <w:sz w:val="24"/>
          <w:szCs w:val="24"/>
        </w:rPr>
        <w:t>and his drinking problem. After</w:t>
      </w:r>
      <w:r>
        <w:rPr>
          <w:rFonts w:ascii="Arial" w:hAnsi="Arial" w:cs="Arial"/>
          <w:sz w:val="24"/>
          <w:szCs w:val="24"/>
        </w:rPr>
        <w:t xml:space="preserve"> </w:t>
      </w:r>
      <w:r w:rsidR="00F94353">
        <w:rPr>
          <w:rFonts w:ascii="Arial" w:hAnsi="Arial" w:cs="Arial"/>
          <w:sz w:val="24"/>
          <w:szCs w:val="24"/>
        </w:rPr>
        <w:t>a furious altercation with her spouse</w:t>
      </w:r>
      <w:r w:rsidR="003D213D">
        <w:rPr>
          <w:rFonts w:ascii="Arial" w:hAnsi="Arial" w:cs="Arial"/>
          <w:sz w:val="24"/>
          <w:szCs w:val="24"/>
        </w:rPr>
        <w:t>, the</w:t>
      </w:r>
      <w:r w:rsidR="005A65E0">
        <w:rPr>
          <w:rFonts w:ascii="Arial" w:hAnsi="Arial" w:cs="Arial"/>
          <w:sz w:val="24"/>
          <w:szCs w:val="24"/>
        </w:rPr>
        <w:t xml:space="preserve"> defendant,</w:t>
      </w:r>
      <w:r w:rsidR="00F94353">
        <w:rPr>
          <w:rFonts w:ascii="Arial" w:hAnsi="Arial" w:cs="Arial"/>
          <w:sz w:val="24"/>
          <w:szCs w:val="24"/>
        </w:rPr>
        <w:t xml:space="preserve"> engages in extreme action, prompting </w:t>
      </w:r>
      <w:r w:rsidR="00852E73">
        <w:rPr>
          <w:rFonts w:ascii="Arial" w:hAnsi="Arial" w:cs="Arial"/>
          <w:sz w:val="24"/>
          <w:szCs w:val="24"/>
        </w:rPr>
        <w:t>inquiries</w:t>
      </w:r>
      <w:r w:rsidR="00F94353">
        <w:rPr>
          <w:rFonts w:ascii="Arial" w:hAnsi="Arial" w:cs="Arial"/>
          <w:sz w:val="24"/>
          <w:szCs w:val="24"/>
        </w:rPr>
        <w:t xml:space="preserve"> regarding</w:t>
      </w:r>
      <w:r w:rsidR="00545F71">
        <w:rPr>
          <w:rFonts w:ascii="Arial" w:hAnsi="Arial" w:cs="Arial"/>
          <w:sz w:val="24"/>
          <w:szCs w:val="24"/>
        </w:rPr>
        <w:t xml:space="preserve"> </w:t>
      </w:r>
      <w:r w:rsidR="00852E73">
        <w:rPr>
          <w:rFonts w:ascii="Arial" w:hAnsi="Arial" w:cs="Arial"/>
          <w:sz w:val="24"/>
          <w:szCs w:val="24"/>
        </w:rPr>
        <w:t>possible criminal offences, their</w:t>
      </w:r>
      <w:r w:rsidR="009B20C1">
        <w:rPr>
          <w:rFonts w:ascii="Arial" w:hAnsi="Arial" w:cs="Arial"/>
          <w:sz w:val="24"/>
          <w:szCs w:val="24"/>
        </w:rPr>
        <w:t xml:space="preserve"> boundaries, consequences, and potential defences. </w:t>
      </w:r>
      <w:r w:rsidR="00854C4E">
        <w:rPr>
          <w:rFonts w:ascii="Arial" w:hAnsi="Arial" w:cs="Arial"/>
          <w:sz w:val="24"/>
          <w:szCs w:val="24"/>
        </w:rPr>
        <w:t>Un</w:t>
      </w:r>
      <w:r w:rsidR="00545F71">
        <w:rPr>
          <w:rFonts w:ascii="Arial" w:hAnsi="Arial" w:cs="Arial"/>
          <w:sz w:val="24"/>
          <w:szCs w:val="24"/>
        </w:rPr>
        <w:t>der United Kingdom legislation</w:t>
      </w:r>
      <w:r w:rsidR="00854C4E">
        <w:rPr>
          <w:rFonts w:ascii="Arial" w:hAnsi="Arial" w:cs="Arial"/>
          <w:sz w:val="24"/>
          <w:szCs w:val="24"/>
        </w:rPr>
        <w:t xml:space="preserve">, </w:t>
      </w:r>
      <w:r w:rsidR="00BE20DC">
        <w:rPr>
          <w:rFonts w:ascii="Arial" w:hAnsi="Arial" w:cs="Arial"/>
          <w:sz w:val="24"/>
          <w:szCs w:val="24"/>
        </w:rPr>
        <w:t xml:space="preserve">depending on Carla's level of intent and the degree of the victim’s injuries, the offences of Attempted Murder can be relevant (Legislation GOV, 2010). The defendant, Carla, caused intentionally substantial harm to the victim, Jamie, and as a result, may also be charged under Wounding and Grievous Bodily Harm (GBH) Section 18 OAPA 1861 (Sentencing Council, 2018). Given the marital relationship between the defendant and victim, potential charges related to domestic violence offences, such as those under the Domestic Violence, Crime and Victims Act 2004, may also be considered. </w:t>
      </w:r>
    </w:p>
    <w:p w14:paraId="3AF5C75E" w14:textId="77777777" w:rsidR="004964BF" w:rsidRDefault="002A5499" w:rsidP="005B0ECE">
      <w:pPr>
        <w:tabs>
          <w:tab w:val="left" w:pos="1116"/>
        </w:tabs>
        <w:rPr>
          <w:rFonts w:ascii="Arial" w:hAnsi="Arial" w:cs="Arial"/>
          <w:sz w:val="24"/>
          <w:szCs w:val="24"/>
        </w:rPr>
      </w:pPr>
      <w:r>
        <w:rPr>
          <w:rFonts w:ascii="Arial" w:hAnsi="Arial" w:cs="Arial"/>
          <w:sz w:val="24"/>
          <w:szCs w:val="24"/>
        </w:rPr>
        <w:t>According to the scenario given, o</w:t>
      </w:r>
      <w:r w:rsidR="005B0ECE">
        <w:rPr>
          <w:rFonts w:ascii="Arial" w:hAnsi="Arial" w:cs="Arial"/>
          <w:sz w:val="24"/>
          <w:szCs w:val="24"/>
        </w:rPr>
        <w:t>ne</w:t>
      </w:r>
      <w:r w:rsidR="00EB1D6F">
        <w:rPr>
          <w:rFonts w:ascii="Arial" w:hAnsi="Arial" w:cs="Arial"/>
          <w:sz w:val="24"/>
          <w:szCs w:val="24"/>
        </w:rPr>
        <w:t xml:space="preserve"> of the most serious accusations she might face is </w:t>
      </w:r>
      <w:r w:rsidR="004B2526">
        <w:rPr>
          <w:rFonts w:ascii="Arial" w:hAnsi="Arial" w:cs="Arial"/>
          <w:sz w:val="24"/>
          <w:szCs w:val="24"/>
        </w:rPr>
        <w:t>Attempted Murder</w:t>
      </w:r>
      <w:r w:rsidR="00C12CFB">
        <w:rPr>
          <w:rFonts w:ascii="Arial" w:hAnsi="Arial" w:cs="Arial"/>
          <w:sz w:val="24"/>
          <w:szCs w:val="24"/>
        </w:rPr>
        <w:t xml:space="preserve">, underscoring the utmost seriousness and legal consequences tied to </w:t>
      </w:r>
      <w:r w:rsidR="008F135D">
        <w:rPr>
          <w:rFonts w:ascii="Arial" w:hAnsi="Arial" w:cs="Arial"/>
          <w:sz w:val="24"/>
          <w:szCs w:val="24"/>
        </w:rPr>
        <w:t xml:space="preserve">her purpose and the degree of the victim’s injuries (Legislation </w:t>
      </w:r>
      <w:r w:rsidR="00E932B2">
        <w:rPr>
          <w:rFonts w:ascii="Arial" w:hAnsi="Arial" w:cs="Arial"/>
          <w:sz w:val="24"/>
          <w:szCs w:val="24"/>
        </w:rPr>
        <w:t xml:space="preserve">GOV). In this example, the actus reus would include the </w:t>
      </w:r>
      <w:r w:rsidR="00994FE3">
        <w:rPr>
          <w:rFonts w:ascii="Arial" w:hAnsi="Arial" w:cs="Arial"/>
          <w:sz w:val="24"/>
          <w:szCs w:val="24"/>
        </w:rPr>
        <w:t>defendant's</w:t>
      </w:r>
      <w:r w:rsidR="003A014D">
        <w:rPr>
          <w:rFonts w:ascii="Arial" w:hAnsi="Arial" w:cs="Arial"/>
          <w:sz w:val="24"/>
          <w:szCs w:val="24"/>
        </w:rPr>
        <w:t xml:space="preserve"> intentional act of stabbing the victim, </w:t>
      </w:r>
      <w:r w:rsidR="004964BF">
        <w:rPr>
          <w:rFonts w:ascii="Arial" w:hAnsi="Arial" w:cs="Arial"/>
          <w:sz w:val="24"/>
          <w:szCs w:val="24"/>
        </w:rPr>
        <w:t>implying a tangible and explicit action that goes beyond mere preparation (Rosen, 1999). H</w:t>
      </w:r>
      <w:r w:rsidR="003A014D">
        <w:rPr>
          <w:rFonts w:ascii="Arial" w:hAnsi="Arial" w:cs="Arial"/>
          <w:sz w:val="24"/>
          <w:szCs w:val="24"/>
        </w:rPr>
        <w:t>owever</w:t>
      </w:r>
      <w:r w:rsidR="00994FE3">
        <w:rPr>
          <w:rFonts w:ascii="Arial" w:hAnsi="Arial" w:cs="Arial"/>
          <w:sz w:val="24"/>
          <w:szCs w:val="24"/>
        </w:rPr>
        <w:t>,</w:t>
      </w:r>
      <w:r w:rsidR="003A014D">
        <w:rPr>
          <w:rFonts w:ascii="Arial" w:hAnsi="Arial" w:cs="Arial"/>
          <w:sz w:val="24"/>
          <w:szCs w:val="24"/>
        </w:rPr>
        <w:t xml:space="preserve"> </w:t>
      </w:r>
      <w:r w:rsidR="004964BF">
        <w:rPr>
          <w:rFonts w:ascii="Arial" w:hAnsi="Arial" w:cs="Arial"/>
          <w:sz w:val="24"/>
          <w:szCs w:val="24"/>
        </w:rPr>
        <w:t>the significance of the men’s rea of the defendant, Carla, during the stabbing becomes paramount, in which if she possessed a conscious and deliberate desire to cause the victim’s, Jamie’s,</w:t>
      </w:r>
      <w:r w:rsidR="00A51914">
        <w:rPr>
          <w:rFonts w:ascii="Arial" w:hAnsi="Arial" w:cs="Arial"/>
          <w:sz w:val="24"/>
          <w:szCs w:val="24"/>
        </w:rPr>
        <w:t xml:space="preserve"> </w:t>
      </w:r>
      <w:r w:rsidR="00994FE3">
        <w:rPr>
          <w:rFonts w:ascii="Arial" w:hAnsi="Arial" w:cs="Arial"/>
          <w:sz w:val="24"/>
          <w:szCs w:val="24"/>
        </w:rPr>
        <w:t>death</w:t>
      </w:r>
      <w:r w:rsidR="004964BF">
        <w:rPr>
          <w:rFonts w:ascii="Arial" w:hAnsi="Arial" w:cs="Arial"/>
          <w:sz w:val="24"/>
          <w:szCs w:val="24"/>
        </w:rPr>
        <w:t>, then the mental state required for attempted murder is satisfied.</w:t>
      </w:r>
      <w:r w:rsidR="00A51914">
        <w:rPr>
          <w:rFonts w:ascii="Arial" w:hAnsi="Arial" w:cs="Arial"/>
          <w:sz w:val="24"/>
          <w:szCs w:val="24"/>
        </w:rPr>
        <w:t xml:space="preserve"> (Smith, Hogan &amp; Ormerod, 2020</w:t>
      </w:r>
      <w:r w:rsidR="00994FE3">
        <w:rPr>
          <w:rFonts w:ascii="Arial" w:hAnsi="Arial" w:cs="Arial"/>
          <w:sz w:val="24"/>
          <w:szCs w:val="24"/>
        </w:rPr>
        <w:t>)</w:t>
      </w:r>
      <w:r w:rsidR="00355FEA">
        <w:rPr>
          <w:rFonts w:ascii="Arial" w:hAnsi="Arial" w:cs="Arial"/>
          <w:sz w:val="24"/>
          <w:szCs w:val="24"/>
        </w:rPr>
        <w:t xml:space="preserve">. </w:t>
      </w:r>
    </w:p>
    <w:p w14:paraId="4C0C44C4" w14:textId="2CD0C2AB" w:rsidR="00F11B06" w:rsidRDefault="00355FEA" w:rsidP="005B0ECE">
      <w:pPr>
        <w:tabs>
          <w:tab w:val="left" w:pos="1116"/>
        </w:tabs>
        <w:rPr>
          <w:rFonts w:ascii="Arial" w:hAnsi="Arial" w:cs="Arial"/>
          <w:sz w:val="24"/>
          <w:szCs w:val="24"/>
        </w:rPr>
      </w:pPr>
      <w:r>
        <w:rPr>
          <w:rFonts w:ascii="Arial" w:hAnsi="Arial" w:cs="Arial"/>
          <w:sz w:val="24"/>
          <w:szCs w:val="24"/>
        </w:rPr>
        <w:t xml:space="preserve">On the other hand, if the defendant purposefully injured the </w:t>
      </w:r>
      <w:r w:rsidR="0057597B">
        <w:rPr>
          <w:rFonts w:ascii="Arial" w:hAnsi="Arial" w:cs="Arial"/>
          <w:sz w:val="24"/>
          <w:szCs w:val="24"/>
        </w:rPr>
        <w:t>victim severely, then Grievous Bodily Harm with Intent,</w:t>
      </w:r>
      <w:r w:rsidR="00405F23">
        <w:rPr>
          <w:rFonts w:ascii="Arial" w:hAnsi="Arial" w:cs="Arial"/>
          <w:sz w:val="24"/>
          <w:szCs w:val="24"/>
        </w:rPr>
        <w:t xml:space="preserve"> applies under the Offences Against the Person Act 1861, section 18</w:t>
      </w:r>
      <w:r w:rsidR="002B62E6">
        <w:rPr>
          <w:rFonts w:ascii="Arial" w:hAnsi="Arial" w:cs="Arial"/>
          <w:sz w:val="24"/>
          <w:szCs w:val="24"/>
        </w:rPr>
        <w:t xml:space="preserve">. </w:t>
      </w:r>
      <w:r w:rsidR="004964BF">
        <w:rPr>
          <w:rFonts w:ascii="Arial" w:hAnsi="Arial" w:cs="Arial"/>
          <w:sz w:val="24"/>
          <w:szCs w:val="24"/>
        </w:rPr>
        <w:t xml:space="preserve">The actus reus encompasses the deliberate infliction of severe physical harm, </w:t>
      </w:r>
      <w:r w:rsidR="00F11B06">
        <w:rPr>
          <w:rFonts w:ascii="Arial" w:hAnsi="Arial" w:cs="Arial"/>
          <w:sz w:val="24"/>
          <w:szCs w:val="24"/>
        </w:rPr>
        <w:t xml:space="preserve">in </w:t>
      </w:r>
      <w:r w:rsidR="004964BF">
        <w:rPr>
          <w:rFonts w:ascii="Arial" w:hAnsi="Arial" w:cs="Arial"/>
          <w:sz w:val="24"/>
          <w:szCs w:val="24"/>
        </w:rPr>
        <w:t>which the stabbing caused significant harm, which satisfies the criminal act</w:t>
      </w:r>
      <w:r w:rsidR="00F11B06">
        <w:rPr>
          <w:rFonts w:ascii="Arial" w:hAnsi="Arial" w:cs="Arial"/>
          <w:sz w:val="24"/>
          <w:szCs w:val="24"/>
        </w:rPr>
        <w:t xml:space="preserve"> (Huxley-Binns, 2014).</w:t>
      </w:r>
      <w:r w:rsidR="004964BF">
        <w:rPr>
          <w:rFonts w:ascii="Arial" w:hAnsi="Arial" w:cs="Arial"/>
          <w:sz w:val="24"/>
          <w:szCs w:val="24"/>
        </w:rPr>
        <w:t xml:space="preserve"> </w:t>
      </w:r>
      <w:r w:rsidR="00D4442B">
        <w:rPr>
          <w:rFonts w:ascii="Arial" w:hAnsi="Arial" w:cs="Arial"/>
          <w:sz w:val="24"/>
          <w:szCs w:val="24"/>
        </w:rPr>
        <w:t xml:space="preserve">According to </w:t>
      </w:r>
      <w:proofErr w:type="spellStart"/>
      <w:r w:rsidR="00D4442B">
        <w:rPr>
          <w:rFonts w:ascii="Arial" w:hAnsi="Arial" w:cs="Arial"/>
          <w:sz w:val="24"/>
          <w:szCs w:val="24"/>
        </w:rPr>
        <w:t>Fewtrell</w:t>
      </w:r>
      <w:proofErr w:type="spellEnd"/>
      <w:r w:rsidR="00D4442B">
        <w:rPr>
          <w:rFonts w:ascii="Arial" w:hAnsi="Arial" w:cs="Arial"/>
          <w:sz w:val="24"/>
          <w:szCs w:val="24"/>
        </w:rPr>
        <w:t xml:space="preserve"> (1948),</w:t>
      </w:r>
      <w:r w:rsidR="002B62E6">
        <w:rPr>
          <w:rFonts w:ascii="Arial" w:hAnsi="Arial" w:cs="Arial"/>
          <w:sz w:val="24"/>
          <w:szCs w:val="24"/>
        </w:rPr>
        <w:t xml:space="preserve"> men’s rea necessitates a specific intent to cause substantial harm, or</w:t>
      </w:r>
      <w:r w:rsidR="00B41807">
        <w:rPr>
          <w:rFonts w:ascii="Arial" w:hAnsi="Arial" w:cs="Arial"/>
          <w:sz w:val="24"/>
          <w:szCs w:val="24"/>
        </w:rPr>
        <w:t xml:space="preserve"> at least, </w:t>
      </w:r>
      <w:r w:rsidR="00C54E02">
        <w:rPr>
          <w:rFonts w:ascii="Arial" w:hAnsi="Arial" w:cs="Arial"/>
          <w:sz w:val="24"/>
          <w:szCs w:val="24"/>
        </w:rPr>
        <w:t>recklessness</w:t>
      </w:r>
      <w:r w:rsidR="00B41807">
        <w:rPr>
          <w:rFonts w:ascii="Arial" w:hAnsi="Arial" w:cs="Arial"/>
          <w:sz w:val="24"/>
          <w:szCs w:val="24"/>
        </w:rPr>
        <w:t xml:space="preserve"> as </w:t>
      </w:r>
      <w:r w:rsidR="00E14AFC">
        <w:rPr>
          <w:rFonts w:ascii="Arial" w:hAnsi="Arial" w:cs="Arial"/>
          <w:sz w:val="24"/>
          <w:szCs w:val="24"/>
        </w:rPr>
        <w:t>to whether such harm would occur</w:t>
      </w:r>
      <w:r w:rsidR="002A5499">
        <w:rPr>
          <w:rFonts w:ascii="Arial" w:hAnsi="Arial" w:cs="Arial"/>
          <w:sz w:val="24"/>
          <w:szCs w:val="24"/>
        </w:rPr>
        <w:t>. In contrast, actus</w:t>
      </w:r>
      <w:r w:rsidR="00E14AFC">
        <w:rPr>
          <w:rFonts w:ascii="Arial" w:hAnsi="Arial" w:cs="Arial"/>
          <w:sz w:val="24"/>
          <w:szCs w:val="24"/>
        </w:rPr>
        <w:t xml:space="preserve"> reus involves the imposition of grievous bodily</w:t>
      </w:r>
      <w:r w:rsidR="00C54E02">
        <w:rPr>
          <w:rFonts w:ascii="Arial" w:hAnsi="Arial" w:cs="Arial"/>
          <w:sz w:val="24"/>
          <w:szCs w:val="24"/>
        </w:rPr>
        <w:t xml:space="preserve"> </w:t>
      </w:r>
      <w:r w:rsidR="00E14AFC">
        <w:rPr>
          <w:rFonts w:ascii="Arial" w:hAnsi="Arial" w:cs="Arial"/>
          <w:sz w:val="24"/>
          <w:szCs w:val="24"/>
        </w:rPr>
        <w:t xml:space="preserve">harm, such as </w:t>
      </w:r>
      <w:r w:rsidR="00C54E02">
        <w:rPr>
          <w:rFonts w:ascii="Arial" w:hAnsi="Arial" w:cs="Arial"/>
          <w:sz w:val="24"/>
          <w:szCs w:val="24"/>
        </w:rPr>
        <w:t>stabbing. In discussing the complexities of men’s rea, scholars argue that the intent to cause harm or recklessness is a crucial element in establishing criminal liability (Doe, 2018)</w:t>
      </w:r>
      <w:r w:rsidR="00BE49D1">
        <w:rPr>
          <w:rFonts w:ascii="Arial" w:hAnsi="Arial" w:cs="Arial"/>
          <w:sz w:val="24"/>
          <w:szCs w:val="24"/>
        </w:rPr>
        <w:t>.</w:t>
      </w:r>
    </w:p>
    <w:p w14:paraId="53EFE44A" w14:textId="7A0E6D2D" w:rsidR="00134F28" w:rsidRDefault="00BE49D1" w:rsidP="005B0ECE">
      <w:pPr>
        <w:tabs>
          <w:tab w:val="left" w:pos="1116"/>
        </w:tabs>
        <w:rPr>
          <w:rFonts w:ascii="Arial" w:hAnsi="Arial" w:cs="Arial"/>
          <w:sz w:val="24"/>
          <w:szCs w:val="24"/>
        </w:rPr>
      </w:pPr>
      <w:r>
        <w:rPr>
          <w:rFonts w:ascii="Arial" w:hAnsi="Arial" w:cs="Arial"/>
          <w:sz w:val="24"/>
          <w:szCs w:val="24"/>
        </w:rPr>
        <w:t xml:space="preserve"> </w:t>
      </w:r>
      <w:r w:rsidR="00F11B06">
        <w:rPr>
          <w:rFonts w:ascii="Arial" w:hAnsi="Arial" w:cs="Arial"/>
          <w:sz w:val="24"/>
          <w:szCs w:val="24"/>
        </w:rPr>
        <w:t>Another offence, in this case, is based on the injuries of the victim, in which</w:t>
      </w:r>
      <w:r>
        <w:rPr>
          <w:rFonts w:ascii="Arial" w:hAnsi="Arial" w:cs="Arial"/>
          <w:sz w:val="24"/>
          <w:szCs w:val="24"/>
        </w:rPr>
        <w:t xml:space="preserve">, </w:t>
      </w:r>
      <w:r w:rsidR="0022387F">
        <w:rPr>
          <w:rFonts w:ascii="Arial" w:hAnsi="Arial" w:cs="Arial"/>
          <w:sz w:val="24"/>
          <w:szCs w:val="24"/>
        </w:rPr>
        <w:t xml:space="preserve">if the injuries she sustained do not </w:t>
      </w:r>
      <w:r w:rsidR="00083DA9">
        <w:rPr>
          <w:rFonts w:ascii="Arial" w:hAnsi="Arial" w:cs="Arial"/>
          <w:sz w:val="24"/>
          <w:szCs w:val="24"/>
        </w:rPr>
        <w:t>satisfy</w:t>
      </w:r>
      <w:r w:rsidR="0022387F">
        <w:rPr>
          <w:rFonts w:ascii="Arial" w:hAnsi="Arial" w:cs="Arial"/>
          <w:sz w:val="24"/>
          <w:szCs w:val="24"/>
        </w:rPr>
        <w:t xml:space="preserve"> the threshold for grievous bodily harm, she may still be charged under the Offences Against the Person Act 1861, section</w:t>
      </w:r>
      <w:r w:rsidR="00083DA9">
        <w:rPr>
          <w:rFonts w:ascii="Arial" w:hAnsi="Arial" w:cs="Arial"/>
          <w:sz w:val="24"/>
          <w:szCs w:val="24"/>
        </w:rPr>
        <w:t xml:space="preserve"> 47, Assault </w:t>
      </w:r>
      <w:r w:rsidR="00083DA9">
        <w:rPr>
          <w:rFonts w:ascii="Arial" w:hAnsi="Arial" w:cs="Arial"/>
          <w:sz w:val="24"/>
          <w:szCs w:val="24"/>
        </w:rPr>
        <w:lastRenderedPageBreak/>
        <w:t>Occasioning Actual bodily harm section</w:t>
      </w:r>
      <w:r w:rsidR="00F11B06">
        <w:rPr>
          <w:rFonts w:ascii="Arial" w:hAnsi="Arial" w:cs="Arial"/>
          <w:sz w:val="24"/>
          <w:szCs w:val="24"/>
        </w:rPr>
        <w:t>. Actus reus in this offence is the harm inflicted, which must exceed minor injuries, and the injury produced by the defendant to the victim fits the criteria for actual bodily harm</w:t>
      </w:r>
      <w:r w:rsidR="00E528D1">
        <w:rPr>
          <w:rFonts w:ascii="Arial" w:hAnsi="Arial" w:cs="Arial"/>
          <w:sz w:val="24"/>
          <w:szCs w:val="24"/>
        </w:rPr>
        <w:t xml:space="preserve"> </w:t>
      </w:r>
      <w:r w:rsidR="00A11260">
        <w:rPr>
          <w:rFonts w:ascii="Arial" w:hAnsi="Arial" w:cs="Arial"/>
          <w:sz w:val="24"/>
          <w:szCs w:val="24"/>
        </w:rPr>
        <w:t>(</w:t>
      </w:r>
      <w:r w:rsidR="00066E8C">
        <w:rPr>
          <w:rFonts w:ascii="Arial" w:hAnsi="Arial" w:cs="Arial"/>
          <w:sz w:val="24"/>
          <w:szCs w:val="24"/>
        </w:rPr>
        <w:t>White,</w:t>
      </w:r>
      <w:r w:rsidR="00A11260">
        <w:rPr>
          <w:rFonts w:ascii="Arial" w:hAnsi="Arial" w:cs="Arial"/>
          <w:sz w:val="24"/>
          <w:szCs w:val="24"/>
        </w:rPr>
        <w:t xml:space="preserve"> 2015).</w:t>
      </w:r>
      <w:r w:rsidR="000608E3">
        <w:rPr>
          <w:rFonts w:ascii="Arial" w:hAnsi="Arial" w:cs="Arial"/>
          <w:sz w:val="24"/>
          <w:szCs w:val="24"/>
        </w:rPr>
        <w:t xml:space="preserve"> </w:t>
      </w:r>
      <w:r w:rsidR="00DD6AB9">
        <w:rPr>
          <w:rFonts w:ascii="Arial" w:hAnsi="Arial" w:cs="Arial"/>
          <w:sz w:val="24"/>
          <w:szCs w:val="24"/>
        </w:rPr>
        <w:t xml:space="preserve">The men’s rea necessitated either a state of irresponsibility or a deliberate intention to cause injury, in our case, if Carla knew the potential harm that her actions could cause, regardless of whether she deliberately intended the harm, the mental state of recklessness is evident (Monaghan, 2022). </w:t>
      </w:r>
    </w:p>
    <w:p w14:paraId="13FCCEF5" w14:textId="4EFCC4DF" w:rsidR="00A95B8E" w:rsidRDefault="00A95B8E" w:rsidP="00A95B8E">
      <w:pPr>
        <w:rPr>
          <w:rFonts w:ascii="Arial" w:hAnsi="Arial" w:cs="Arial"/>
          <w:sz w:val="24"/>
          <w:szCs w:val="24"/>
        </w:rPr>
      </w:pPr>
      <w:r w:rsidRPr="002A5499">
        <w:rPr>
          <w:rFonts w:ascii="Arial" w:hAnsi="Arial" w:cs="Arial"/>
          <w:sz w:val="24"/>
          <w:szCs w:val="24"/>
        </w:rPr>
        <w:t>Additionally, the Criminal Justice Act of 1988, Section 139, opens the door to a possible Possession of an Offensive Weapon charge due to the usage of a kitchen knife during the dispute. In this offence</w:t>
      </w:r>
      <w:r w:rsidR="00DD6AB9">
        <w:rPr>
          <w:rFonts w:ascii="Arial" w:hAnsi="Arial" w:cs="Arial"/>
          <w:sz w:val="24"/>
          <w:szCs w:val="24"/>
        </w:rPr>
        <w:t>,</w:t>
      </w:r>
      <w:r w:rsidRPr="002A5499">
        <w:rPr>
          <w:rFonts w:ascii="Arial" w:hAnsi="Arial" w:cs="Arial"/>
          <w:sz w:val="24"/>
          <w:szCs w:val="24"/>
        </w:rPr>
        <w:t xml:space="preserve"> the guilty act involves the defendant, Carla, having custody over an offensive weapon, as the kitchen knife was used after the confession of the victim, Jamie, causing him serious injuries</w:t>
      </w:r>
      <w:r w:rsidR="00DD6AB9">
        <w:rPr>
          <w:rFonts w:ascii="Arial" w:hAnsi="Arial" w:cs="Arial"/>
          <w:sz w:val="24"/>
          <w:szCs w:val="24"/>
        </w:rPr>
        <w:t xml:space="preserve"> (Hering, 2018). </w:t>
      </w:r>
      <w:r w:rsidRPr="002A5499">
        <w:rPr>
          <w:rFonts w:ascii="Arial" w:hAnsi="Arial" w:cs="Arial"/>
          <w:sz w:val="24"/>
          <w:szCs w:val="24"/>
        </w:rPr>
        <w:t xml:space="preserve">Men's rea for possessing an offensive weapon typically entails knowing that the object in question is an offensive weapon or having the intention to use it for illegal purposes. When it comes to the kitchen knife, the prosecution might have to prove that the defendant understood that it would be illegal to possess it under the specified conditions </w:t>
      </w:r>
      <w:r w:rsidR="00DD6AB9">
        <w:rPr>
          <w:rFonts w:ascii="Arial" w:hAnsi="Arial" w:cs="Arial"/>
          <w:sz w:val="24"/>
          <w:szCs w:val="24"/>
        </w:rPr>
        <w:t>or</w:t>
      </w:r>
      <w:r w:rsidRPr="002A5499">
        <w:rPr>
          <w:rFonts w:ascii="Arial" w:hAnsi="Arial" w:cs="Arial"/>
          <w:sz w:val="24"/>
          <w:szCs w:val="24"/>
        </w:rPr>
        <w:t xml:space="preserve"> that </w:t>
      </w:r>
      <w:r w:rsidR="00DD6AB9">
        <w:rPr>
          <w:rFonts w:ascii="Arial" w:hAnsi="Arial" w:cs="Arial"/>
          <w:sz w:val="24"/>
          <w:szCs w:val="24"/>
        </w:rPr>
        <w:t xml:space="preserve">it was </w:t>
      </w:r>
      <w:r w:rsidRPr="002A5499">
        <w:rPr>
          <w:rFonts w:ascii="Arial" w:hAnsi="Arial" w:cs="Arial"/>
          <w:sz w:val="24"/>
          <w:szCs w:val="24"/>
        </w:rPr>
        <w:t>planned to use it as a weapon.</w:t>
      </w:r>
    </w:p>
    <w:p w14:paraId="649C53A9" w14:textId="77777777" w:rsidR="00A95B8E" w:rsidRDefault="00A95B8E" w:rsidP="00A95B8E">
      <w:pPr>
        <w:rPr>
          <w:rFonts w:ascii="Arial" w:hAnsi="Arial" w:cs="Arial"/>
          <w:sz w:val="24"/>
          <w:szCs w:val="24"/>
        </w:rPr>
      </w:pPr>
      <w:r>
        <w:rPr>
          <w:rFonts w:ascii="Arial" w:hAnsi="Arial" w:cs="Arial"/>
          <w:sz w:val="24"/>
          <w:szCs w:val="24"/>
        </w:rPr>
        <w:t>Considering the defendant and victims' marital situation, a specific category of offences under the Domestic Violence Crime, and Victims Act 2004 becomes relevant (Guardian, 2009). According to Garcia et al. (2022), these offences, designed for intimate relationships, criminalise physical or emotional abuse, emphasising the interconnection of actus Reus and men’s rea, emphasising the importance of considering the emotional state of the defended, which involves knowledge or recklessness about the likely consequences of the behaviour.</w:t>
      </w:r>
    </w:p>
    <w:p w14:paraId="53655E7B" w14:textId="2239841F" w:rsidR="00745F66" w:rsidRDefault="00E2701C" w:rsidP="00745F66">
      <w:pPr>
        <w:tabs>
          <w:tab w:val="left" w:pos="1116"/>
        </w:tabs>
        <w:rPr>
          <w:rFonts w:ascii="Arial" w:hAnsi="Arial" w:cs="Arial"/>
          <w:sz w:val="24"/>
          <w:szCs w:val="24"/>
        </w:rPr>
      </w:pPr>
      <w:r>
        <w:rPr>
          <w:rFonts w:ascii="Arial" w:hAnsi="Arial" w:cs="Arial"/>
          <w:sz w:val="24"/>
          <w:szCs w:val="24"/>
        </w:rPr>
        <w:t>The level of intent</w:t>
      </w:r>
      <w:r w:rsidR="00086834">
        <w:rPr>
          <w:rFonts w:ascii="Arial" w:hAnsi="Arial" w:cs="Arial"/>
          <w:sz w:val="24"/>
          <w:szCs w:val="24"/>
        </w:rPr>
        <w:t xml:space="preserve">ion </w:t>
      </w:r>
      <w:r>
        <w:rPr>
          <w:rFonts w:ascii="Arial" w:hAnsi="Arial" w:cs="Arial"/>
          <w:sz w:val="24"/>
          <w:szCs w:val="24"/>
        </w:rPr>
        <w:t xml:space="preserve">and </w:t>
      </w:r>
      <w:r w:rsidR="006B214D">
        <w:rPr>
          <w:rFonts w:ascii="Arial" w:hAnsi="Arial" w:cs="Arial"/>
          <w:sz w:val="24"/>
          <w:szCs w:val="24"/>
        </w:rPr>
        <w:t>recklessness</w:t>
      </w:r>
      <w:r>
        <w:rPr>
          <w:rFonts w:ascii="Arial" w:hAnsi="Arial" w:cs="Arial"/>
          <w:sz w:val="24"/>
          <w:szCs w:val="24"/>
        </w:rPr>
        <w:t xml:space="preserve"> are </w:t>
      </w:r>
      <w:r w:rsidR="00086834">
        <w:rPr>
          <w:rFonts w:ascii="Arial" w:hAnsi="Arial" w:cs="Arial"/>
          <w:sz w:val="24"/>
          <w:szCs w:val="24"/>
        </w:rPr>
        <w:t>pivotal</w:t>
      </w:r>
      <w:r>
        <w:rPr>
          <w:rFonts w:ascii="Arial" w:hAnsi="Arial" w:cs="Arial"/>
          <w:sz w:val="24"/>
          <w:szCs w:val="24"/>
        </w:rPr>
        <w:t xml:space="preserve"> concepts in shaping the </w:t>
      </w:r>
      <w:r w:rsidR="006C00C1">
        <w:rPr>
          <w:rFonts w:ascii="Arial" w:hAnsi="Arial" w:cs="Arial"/>
          <w:sz w:val="24"/>
          <w:szCs w:val="24"/>
        </w:rPr>
        <w:t>men's</w:t>
      </w:r>
      <w:r>
        <w:rPr>
          <w:rFonts w:ascii="Arial" w:hAnsi="Arial" w:cs="Arial"/>
          <w:sz w:val="24"/>
          <w:szCs w:val="24"/>
        </w:rPr>
        <w:t xml:space="preserve"> rea</w:t>
      </w:r>
      <w:r w:rsidR="003F777A">
        <w:rPr>
          <w:rFonts w:ascii="Arial" w:hAnsi="Arial" w:cs="Arial"/>
          <w:sz w:val="24"/>
          <w:szCs w:val="24"/>
        </w:rPr>
        <w:t xml:space="preserve"> component of the </w:t>
      </w:r>
      <w:r w:rsidR="006C00C1">
        <w:rPr>
          <w:rFonts w:ascii="Arial" w:hAnsi="Arial" w:cs="Arial"/>
          <w:sz w:val="24"/>
          <w:szCs w:val="24"/>
        </w:rPr>
        <w:t>offence</w:t>
      </w:r>
      <w:r w:rsidR="006B214D">
        <w:rPr>
          <w:rFonts w:ascii="Arial" w:hAnsi="Arial" w:cs="Arial"/>
          <w:sz w:val="24"/>
          <w:szCs w:val="24"/>
        </w:rPr>
        <w:t xml:space="preserve">, </w:t>
      </w:r>
      <w:r w:rsidR="006C00C1">
        <w:rPr>
          <w:rFonts w:ascii="Arial" w:hAnsi="Arial" w:cs="Arial"/>
          <w:sz w:val="24"/>
          <w:szCs w:val="24"/>
        </w:rPr>
        <w:t xml:space="preserve">in </w:t>
      </w:r>
      <w:r w:rsidR="006B214D">
        <w:rPr>
          <w:rFonts w:ascii="Arial" w:hAnsi="Arial" w:cs="Arial"/>
          <w:sz w:val="24"/>
          <w:szCs w:val="24"/>
        </w:rPr>
        <w:t>which the i</w:t>
      </w:r>
      <w:r w:rsidR="003F777A">
        <w:rPr>
          <w:rFonts w:ascii="Arial" w:hAnsi="Arial" w:cs="Arial"/>
          <w:sz w:val="24"/>
          <w:szCs w:val="24"/>
        </w:rPr>
        <w:t xml:space="preserve">ntention is the deliberate and conscious desire of an individual to </w:t>
      </w:r>
      <w:r w:rsidR="006B214D">
        <w:rPr>
          <w:rFonts w:ascii="Arial" w:hAnsi="Arial" w:cs="Arial"/>
          <w:sz w:val="24"/>
          <w:szCs w:val="24"/>
        </w:rPr>
        <w:t>achieve</w:t>
      </w:r>
      <w:r w:rsidR="003F777A">
        <w:rPr>
          <w:rFonts w:ascii="Arial" w:hAnsi="Arial" w:cs="Arial"/>
          <w:sz w:val="24"/>
          <w:szCs w:val="24"/>
        </w:rPr>
        <w:t xml:space="preserve"> a particular </w:t>
      </w:r>
      <w:r w:rsidR="00B63D44">
        <w:rPr>
          <w:rFonts w:ascii="Arial" w:hAnsi="Arial" w:cs="Arial"/>
          <w:sz w:val="24"/>
          <w:szCs w:val="24"/>
        </w:rPr>
        <w:t>outcome</w:t>
      </w:r>
      <w:r w:rsidR="00A85A51">
        <w:rPr>
          <w:rFonts w:ascii="Arial" w:hAnsi="Arial" w:cs="Arial"/>
          <w:sz w:val="24"/>
          <w:szCs w:val="24"/>
        </w:rPr>
        <w:t xml:space="preserve">, demonstrating the utmost level of </w:t>
      </w:r>
      <w:r w:rsidR="006C00C1">
        <w:rPr>
          <w:rFonts w:ascii="Arial" w:hAnsi="Arial" w:cs="Arial"/>
          <w:sz w:val="24"/>
          <w:szCs w:val="24"/>
        </w:rPr>
        <w:t>men’s</w:t>
      </w:r>
      <w:r w:rsidR="00A85A51">
        <w:rPr>
          <w:rFonts w:ascii="Arial" w:hAnsi="Arial" w:cs="Arial"/>
          <w:sz w:val="24"/>
          <w:szCs w:val="24"/>
        </w:rPr>
        <w:t xml:space="preserve"> rea, </w:t>
      </w:r>
      <w:r w:rsidR="006C00C1">
        <w:rPr>
          <w:rFonts w:ascii="Arial" w:hAnsi="Arial" w:cs="Arial"/>
          <w:sz w:val="24"/>
          <w:szCs w:val="24"/>
        </w:rPr>
        <w:t>signifying</w:t>
      </w:r>
      <w:r w:rsidR="00FA4D1F">
        <w:rPr>
          <w:rFonts w:ascii="Arial" w:hAnsi="Arial" w:cs="Arial"/>
          <w:sz w:val="24"/>
          <w:szCs w:val="24"/>
        </w:rPr>
        <w:t xml:space="preserve"> that the </w:t>
      </w:r>
      <w:r w:rsidR="006C00C1">
        <w:rPr>
          <w:rFonts w:ascii="Arial" w:hAnsi="Arial" w:cs="Arial"/>
          <w:sz w:val="24"/>
          <w:szCs w:val="24"/>
        </w:rPr>
        <w:t>individual</w:t>
      </w:r>
      <w:r w:rsidR="00FA4D1F">
        <w:rPr>
          <w:rFonts w:ascii="Arial" w:hAnsi="Arial" w:cs="Arial"/>
          <w:sz w:val="24"/>
          <w:szCs w:val="24"/>
        </w:rPr>
        <w:t xml:space="preserve"> acted with a distinct aim or </w:t>
      </w:r>
      <w:r w:rsidR="00B90378">
        <w:rPr>
          <w:rFonts w:ascii="Arial" w:hAnsi="Arial" w:cs="Arial"/>
          <w:sz w:val="24"/>
          <w:szCs w:val="24"/>
        </w:rPr>
        <w:t>objective</w:t>
      </w:r>
      <w:r w:rsidR="00931BCA">
        <w:rPr>
          <w:rFonts w:ascii="Arial" w:hAnsi="Arial" w:cs="Arial"/>
          <w:sz w:val="24"/>
          <w:szCs w:val="24"/>
        </w:rPr>
        <w:t xml:space="preserve"> (Spain, 2011)</w:t>
      </w:r>
      <w:r w:rsidR="00B90378">
        <w:rPr>
          <w:rFonts w:ascii="Arial" w:hAnsi="Arial" w:cs="Arial"/>
          <w:sz w:val="24"/>
          <w:szCs w:val="24"/>
        </w:rPr>
        <w:t>.</w:t>
      </w:r>
      <w:r w:rsidR="00046B43">
        <w:rPr>
          <w:rFonts w:ascii="Arial" w:hAnsi="Arial" w:cs="Arial"/>
          <w:sz w:val="24"/>
          <w:szCs w:val="24"/>
        </w:rPr>
        <w:t xml:space="preserve"> For instance, crimes like </w:t>
      </w:r>
      <w:r w:rsidR="008804EB">
        <w:rPr>
          <w:rFonts w:ascii="Arial" w:hAnsi="Arial" w:cs="Arial"/>
          <w:sz w:val="24"/>
          <w:szCs w:val="24"/>
        </w:rPr>
        <w:t>homicide</w:t>
      </w:r>
      <w:r w:rsidR="00046B43">
        <w:rPr>
          <w:rFonts w:ascii="Arial" w:hAnsi="Arial" w:cs="Arial"/>
          <w:sz w:val="24"/>
          <w:szCs w:val="24"/>
        </w:rPr>
        <w:t xml:space="preserve"> or specific types of physical </w:t>
      </w:r>
      <w:r w:rsidR="008804EB">
        <w:rPr>
          <w:rFonts w:ascii="Arial" w:hAnsi="Arial" w:cs="Arial"/>
          <w:sz w:val="24"/>
          <w:szCs w:val="24"/>
        </w:rPr>
        <w:t>aggression</w:t>
      </w:r>
      <w:r w:rsidR="00046B43">
        <w:rPr>
          <w:rFonts w:ascii="Arial" w:hAnsi="Arial" w:cs="Arial"/>
          <w:sz w:val="24"/>
          <w:szCs w:val="24"/>
        </w:rPr>
        <w:t xml:space="preserve"> need the establishment of the </w:t>
      </w:r>
      <w:r w:rsidR="008804EB">
        <w:rPr>
          <w:rFonts w:ascii="Arial" w:hAnsi="Arial" w:cs="Arial"/>
          <w:sz w:val="24"/>
          <w:szCs w:val="24"/>
        </w:rPr>
        <w:t>defendant's</w:t>
      </w:r>
      <w:r w:rsidR="00046B43">
        <w:rPr>
          <w:rFonts w:ascii="Arial" w:hAnsi="Arial" w:cs="Arial"/>
          <w:sz w:val="24"/>
          <w:szCs w:val="24"/>
        </w:rPr>
        <w:t xml:space="preserve"> intention </w:t>
      </w:r>
      <w:r w:rsidR="008804EB">
        <w:rPr>
          <w:rFonts w:ascii="Arial" w:hAnsi="Arial" w:cs="Arial"/>
          <w:sz w:val="24"/>
          <w:szCs w:val="24"/>
        </w:rPr>
        <w:t>to cause harm or death.</w:t>
      </w:r>
      <w:r w:rsidR="00455030">
        <w:rPr>
          <w:rFonts w:ascii="Arial" w:hAnsi="Arial" w:cs="Arial"/>
          <w:sz w:val="24"/>
          <w:szCs w:val="24"/>
        </w:rPr>
        <w:t xml:space="preserve"> </w:t>
      </w:r>
    </w:p>
    <w:p w14:paraId="2B3B2C90" w14:textId="4DC68190" w:rsidR="001F3137" w:rsidRPr="001F3137" w:rsidRDefault="001F3137" w:rsidP="00745F66">
      <w:pPr>
        <w:tabs>
          <w:tab w:val="left" w:pos="1116"/>
        </w:tabs>
        <w:rPr>
          <w:rFonts w:ascii="Arial" w:hAnsi="Arial" w:cs="Arial"/>
          <w:sz w:val="24"/>
          <w:szCs w:val="24"/>
        </w:rPr>
      </w:pPr>
      <w:r w:rsidRPr="001F3137">
        <w:rPr>
          <w:rFonts w:ascii="Arial" w:hAnsi="Arial" w:cs="Arial"/>
          <w:sz w:val="24"/>
          <w:szCs w:val="24"/>
        </w:rPr>
        <w:t>When analysing the potential defences for Carla in the given scenario</w:t>
      </w:r>
      <w:r w:rsidR="00170D5E">
        <w:rPr>
          <w:rFonts w:ascii="Arial" w:hAnsi="Arial" w:cs="Arial"/>
          <w:sz w:val="24"/>
          <w:szCs w:val="24"/>
        </w:rPr>
        <w:t>,</w:t>
      </w:r>
      <w:r w:rsidRPr="001F3137">
        <w:rPr>
          <w:rFonts w:ascii="Arial" w:hAnsi="Arial" w:cs="Arial"/>
          <w:sz w:val="24"/>
          <w:szCs w:val="24"/>
        </w:rPr>
        <w:t xml:space="preserve"> her actions may establish criminal </w:t>
      </w:r>
      <w:r w:rsidR="006C00C1" w:rsidRPr="001F3137">
        <w:rPr>
          <w:rFonts w:ascii="Arial" w:hAnsi="Arial" w:cs="Arial"/>
          <w:sz w:val="24"/>
          <w:szCs w:val="24"/>
        </w:rPr>
        <w:t>liability,</w:t>
      </w:r>
      <w:r w:rsidR="00251768">
        <w:rPr>
          <w:rFonts w:ascii="Arial" w:hAnsi="Arial" w:cs="Arial"/>
          <w:sz w:val="24"/>
          <w:szCs w:val="24"/>
        </w:rPr>
        <w:t xml:space="preserve"> but</w:t>
      </w:r>
      <w:r w:rsidRPr="001F3137">
        <w:rPr>
          <w:rFonts w:ascii="Arial" w:hAnsi="Arial" w:cs="Arial"/>
          <w:sz w:val="24"/>
          <w:szCs w:val="24"/>
        </w:rPr>
        <w:t xml:space="preserve"> it is important to note that certain defences have the potential to mitigate or even negate her culpability.</w:t>
      </w:r>
      <w:r>
        <w:rPr>
          <w:rFonts w:ascii="Arial" w:hAnsi="Arial" w:cs="Arial"/>
          <w:sz w:val="24"/>
          <w:szCs w:val="24"/>
        </w:rPr>
        <w:t xml:space="preserve"> </w:t>
      </w:r>
      <w:r w:rsidRPr="001F3137">
        <w:rPr>
          <w:rFonts w:ascii="Arial" w:hAnsi="Arial" w:cs="Arial"/>
          <w:sz w:val="24"/>
          <w:szCs w:val="24"/>
        </w:rPr>
        <w:t xml:space="preserve">In the context of </w:t>
      </w:r>
      <w:r w:rsidR="00251768">
        <w:rPr>
          <w:rFonts w:ascii="Arial" w:hAnsi="Arial" w:cs="Arial"/>
          <w:sz w:val="24"/>
          <w:szCs w:val="24"/>
        </w:rPr>
        <w:t>self-defence</w:t>
      </w:r>
      <w:r w:rsidRPr="001F3137">
        <w:rPr>
          <w:rFonts w:ascii="Arial" w:hAnsi="Arial" w:cs="Arial"/>
          <w:sz w:val="24"/>
          <w:szCs w:val="24"/>
        </w:rPr>
        <w:t xml:space="preserve">, it is crucial to note that Carla </w:t>
      </w:r>
      <w:r w:rsidR="006C00C1">
        <w:rPr>
          <w:rFonts w:ascii="Arial" w:hAnsi="Arial" w:cs="Arial"/>
          <w:sz w:val="24"/>
          <w:szCs w:val="24"/>
        </w:rPr>
        <w:t>can</w:t>
      </w:r>
      <w:r w:rsidRPr="001F3137">
        <w:rPr>
          <w:rFonts w:ascii="Arial" w:hAnsi="Arial" w:cs="Arial"/>
          <w:sz w:val="24"/>
          <w:szCs w:val="24"/>
        </w:rPr>
        <w:t xml:space="preserve"> invoke the principle of </w:t>
      </w:r>
      <w:r w:rsidR="006C00C1">
        <w:rPr>
          <w:rFonts w:ascii="Arial" w:hAnsi="Arial" w:cs="Arial"/>
          <w:sz w:val="24"/>
          <w:szCs w:val="24"/>
        </w:rPr>
        <w:t>self-defence</w:t>
      </w:r>
      <w:r w:rsidRPr="001F3137">
        <w:rPr>
          <w:rFonts w:ascii="Arial" w:hAnsi="Arial" w:cs="Arial"/>
          <w:sz w:val="24"/>
          <w:szCs w:val="24"/>
        </w:rPr>
        <w:t xml:space="preserve"> if she can demonstrate that her belief in an impending danger </w:t>
      </w:r>
      <w:r w:rsidR="008804EB">
        <w:rPr>
          <w:rFonts w:ascii="Arial" w:hAnsi="Arial" w:cs="Arial"/>
          <w:sz w:val="24"/>
          <w:szCs w:val="24"/>
        </w:rPr>
        <w:t>is</w:t>
      </w:r>
      <w:r w:rsidRPr="001F3137">
        <w:rPr>
          <w:rFonts w:ascii="Arial" w:hAnsi="Arial" w:cs="Arial"/>
          <w:sz w:val="24"/>
          <w:szCs w:val="24"/>
        </w:rPr>
        <w:t xml:space="preserve"> both reasonable and sincere</w:t>
      </w:r>
      <w:r w:rsidR="00BD0C84">
        <w:rPr>
          <w:rFonts w:ascii="Arial" w:hAnsi="Arial" w:cs="Arial"/>
          <w:sz w:val="24"/>
          <w:szCs w:val="24"/>
        </w:rPr>
        <w:t xml:space="preserve">, especially </w:t>
      </w:r>
      <w:r w:rsidR="00E80B1B">
        <w:rPr>
          <w:rFonts w:ascii="Arial" w:hAnsi="Arial" w:cs="Arial"/>
          <w:sz w:val="24"/>
          <w:szCs w:val="24"/>
        </w:rPr>
        <w:t>since</w:t>
      </w:r>
      <w:r w:rsidR="00BD0C84">
        <w:rPr>
          <w:rFonts w:ascii="Arial" w:hAnsi="Arial" w:cs="Arial"/>
          <w:sz w:val="24"/>
          <w:szCs w:val="24"/>
        </w:rPr>
        <w:t xml:space="preserve"> Jamie came intoxicated </w:t>
      </w:r>
      <w:r w:rsidR="00E80B1B">
        <w:rPr>
          <w:rFonts w:ascii="Arial" w:hAnsi="Arial" w:cs="Arial"/>
          <w:sz w:val="24"/>
          <w:szCs w:val="24"/>
        </w:rPr>
        <w:t>home,</w:t>
      </w:r>
      <w:r w:rsidR="00BD0C84">
        <w:rPr>
          <w:rFonts w:ascii="Arial" w:hAnsi="Arial" w:cs="Arial"/>
          <w:sz w:val="24"/>
          <w:szCs w:val="24"/>
        </w:rPr>
        <w:t xml:space="preserve"> </w:t>
      </w:r>
      <w:r w:rsidR="00E80B1B">
        <w:rPr>
          <w:rFonts w:ascii="Arial" w:hAnsi="Arial" w:cs="Arial"/>
          <w:sz w:val="24"/>
          <w:szCs w:val="24"/>
        </w:rPr>
        <w:t xml:space="preserve">she may </w:t>
      </w:r>
      <w:r w:rsidR="00745F66">
        <w:rPr>
          <w:rFonts w:ascii="Arial" w:hAnsi="Arial" w:cs="Arial"/>
          <w:sz w:val="24"/>
          <w:szCs w:val="24"/>
        </w:rPr>
        <w:t>feel</w:t>
      </w:r>
      <w:r w:rsidR="00E80B1B">
        <w:rPr>
          <w:rFonts w:ascii="Arial" w:hAnsi="Arial" w:cs="Arial"/>
          <w:sz w:val="24"/>
          <w:szCs w:val="24"/>
        </w:rPr>
        <w:t xml:space="preserve"> threatened. </w:t>
      </w:r>
      <w:r w:rsidRPr="001F3137">
        <w:rPr>
          <w:rFonts w:ascii="Arial" w:hAnsi="Arial" w:cs="Arial"/>
          <w:sz w:val="24"/>
          <w:szCs w:val="24"/>
        </w:rPr>
        <w:t xml:space="preserve">Furthermore, it is imperative to emphasise that Carla's response, in terms of employing force, must align with the level of threat she perceived </w:t>
      </w:r>
      <w:r w:rsidR="008653B1">
        <w:rPr>
          <w:rFonts w:ascii="Arial" w:hAnsi="Arial" w:cs="Arial"/>
          <w:sz w:val="24"/>
          <w:szCs w:val="24"/>
        </w:rPr>
        <w:t>(Hill, 2012</w:t>
      </w:r>
      <w:r w:rsidR="00BD0C84">
        <w:rPr>
          <w:rFonts w:ascii="Arial" w:hAnsi="Arial" w:cs="Arial"/>
          <w:sz w:val="24"/>
          <w:szCs w:val="24"/>
        </w:rPr>
        <w:t>).</w:t>
      </w:r>
      <w:r w:rsidR="00BD0C84" w:rsidRPr="001F3137">
        <w:rPr>
          <w:rFonts w:ascii="Arial" w:hAnsi="Arial" w:cs="Arial"/>
          <w:sz w:val="24"/>
          <w:szCs w:val="24"/>
        </w:rPr>
        <w:t xml:space="preserve"> </w:t>
      </w:r>
    </w:p>
    <w:p w14:paraId="3511B6D5" w14:textId="37984803" w:rsidR="00E753E4" w:rsidRPr="00E753E4" w:rsidRDefault="001F3137" w:rsidP="00E753E4">
      <w:pPr>
        <w:rPr>
          <w:rFonts w:ascii="Arial" w:hAnsi="Arial" w:cs="Arial"/>
          <w:sz w:val="24"/>
          <w:szCs w:val="24"/>
        </w:rPr>
      </w:pPr>
      <w:r w:rsidRPr="001F3137">
        <w:rPr>
          <w:rFonts w:ascii="Arial" w:hAnsi="Arial" w:cs="Arial"/>
          <w:sz w:val="24"/>
          <w:szCs w:val="24"/>
        </w:rPr>
        <w:t xml:space="preserve">Carla may assert that her actions were a result of an acute loss of control, which, if proven, has the potential to mitigate a charge of murder to one of manslaughter </w:t>
      </w:r>
      <w:r w:rsidR="005C6EBC">
        <w:rPr>
          <w:rFonts w:ascii="Arial" w:hAnsi="Arial" w:cs="Arial"/>
          <w:sz w:val="24"/>
          <w:szCs w:val="24"/>
        </w:rPr>
        <w:t>following</w:t>
      </w:r>
      <w:r w:rsidRPr="001F3137">
        <w:rPr>
          <w:rFonts w:ascii="Arial" w:hAnsi="Arial" w:cs="Arial"/>
          <w:sz w:val="24"/>
          <w:szCs w:val="24"/>
        </w:rPr>
        <w:t xml:space="preserve"> the provisions outlined in the Coroners and Justice Act 2009, specifically Section 54</w:t>
      </w:r>
      <w:r w:rsidR="00B704D1">
        <w:rPr>
          <w:rFonts w:ascii="Arial" w:hAnsi="Arial" w:cs="Arial"/>
          <w:sz w:val="24"/>
          <w:szCs w:val="24"/>
        </w:rPr>
        <w:t xml:space="preserve"> (Law Teacher, 2009).</w:t>
      </w:r>
      <w:r w:rsidRPr="001F3137">
        <w:rPr>
          <w:rFonts w:ascii="Arial" w:hAnsi="Arial" w:cs="Arial"/>
          <w:sz w:val="24"/>
          <w:szCs w:val="24"/>
        </w:rPr>
        <w:t xml:space="preserve"> </w:t>
      </w:r>
      <w:r w:rsidR="00E80B1B">
        <w:rPr>
          <w:rFonts w:ascii="Arial" w:hAnsi="Arial" w:cs="Arial"/>
          <w:sz w:val="24"/>
          <w:szCs w:val="24"/>
        </w:rPr>
        <w:t>To</w:t>
      </w:r>
      <w:r w:rsidRPr="001F3137">
        <w:rPr>
          <w:rFonts w:ascii="Arial" w:hAnsi="Arial" w:cs="Arial"/>
          <w:sz w:val="24"/>
          <w:szCs w:val="24"/>
        </w:rPr>
        <w:t xml:space="preserve"> achieve success in this defence, Carla must effectively showcase that the loss of control she experienced was a direct </w:t>
      </w:r>
      <w:r w:rsidRPr="001F3137">
        <w:rPr>
          <w:rFonts w:ascii="Arial" w:hAnsi="Arial" w:cs="Arial"/>
          <w:sz w:val="24"/>
          <w:szCs w:val="24"/>
        </w:rPr>
        <w:lastRenderedPageBreak/>
        <w:t>consequence of a qualifying trigger. These triggers may include a genuine fear of encountering serious violence or a justified feeling of being gravely wronged</w:t>
      </w:r>
      <w:r w:rsidR="00420AC4">
        <w:rPr>
          <w:rFonts w:ascii="Arial" w:hAnsi="Arial" w:cs="Arial"/>
          <w:sz w:val="24"/>
          <w:szCs w:val="24"/>
        </w:rPr>
        <w:t>, in this case,</w:t>
      </w:r>
      <w:r w:rsidR="00420AC4" w:rsidRPr="00E753E4">
        <w:rPr>
          <w:rFonts w:ascii="Arial" w:hAnsi="Arial" w:cs="Arial"/>
          <w:sz w:val="24"/>
          <w:szCs w:val="24"/>
        </w:rPr>
        <w:t xml:space="preserve"> Jamie's extramarital involvement with Emma, a colleague, amidst a fervent altercation, may potentially be deemed a qualifying catalyst </w:t>
      </w:r>
      <w:r w:rsidR="00420AC4">
        <w:rPr>
          <w:rFonts w:ascii="Arial" w:hAnsi="Arial" w:cs="Arial"/>
          <w:sz w:val="24"/>
          <w:szCs w:val="24"/>
        </w:rPr>
        <w:t>under</w:t>
      </w:r>
      <w:r w:rsidR="00420AC4" w:rsidRPr="00E753E4">
        <w:rPr>
          <w:rFonts w:ascii="Arial" w:hAnsi="Arial" w:cs="Arial"/>
          <w:sz w:val="24"/>
          <w:szCs w:val="24"/>
        </w:rPr>
        <w:t xml:space="preserve"> the provisions enshrined within the Coroners and Justice Act of 2009. Carla, in a state of profound emotional distress characterised by a potent combination of anger and sadness, may assert that her subsequent conduct was causally linked to the </w:t>
      </w:r>
      <w:r w:rsidR="003E2794" w:rsidRPr="00E753E4">
        <w:rPr>
          <w:rFonts w:ascii="Arial" w:hAnsi="Arial" w:cs="Arial"/>
          <w:sz w:val="24"/>
          <w:szCs w:val="24"/>
        </w:rPr>
        <w:t>acute</w:t>
      </w:r>
      <w:r w:rsidR="00420AC4" w:rsidRPr="00E753E4">
        <w:rPr>
          <w:rFonts w:ascii="Arial" w:hAnsi="Arial" w:cs="Arial"/>
          <w:sz w:val="24"/>
          <w:szCs w:val="24"/>
        </w:rPr>
        <w:t xml:space="preserve"> and intense emotional upheaval, thereby precipitating a consequential loss of self-regulation.</w:t>
      </w:r>
      <w:r w:rsidR="005557EF">
        <w:rPr>
          <w:rFonts w:ascii="Arial" w:hAnsi="Arial" w:cs="Arial"/>
          <w:sz w:val="24"/>
          <w:szCs w:val="24"/>
        </w:rPr>
        <w:t xml:space="preserve"> </w:t>
      </w:r>
      <w:r w:rsidR="00E753E4" w:rsidRPr="00E753E4">
        <w:rPr>
          <w:rFonts w:ascii="Arial" w:hAnsi="Arial" w:cs="Arial"/>
          <w:sz w:val="24"/>
          <w:szCs w:val="24"/>
        </w:rPr>
        <w:t xml:space="preserve">Furthermore, it is </w:t>
      </w:r>
      <w:r w:rsidR="005557EF">
        <w:rPr>
          <w:rFonts w:ascii="Arial" w:hAnsi="Arial" w:cs="Arial"/>
          <w:sz w:val="24"/>
          <w:szCs w:val="24"/>
        </w:rPr>
        <w:t>important</w:t>
      </w:r>
      <w:r w:rsidR="00E753E4" w:rsidRPr="00E753E4">
        <w:rPr>
          <w:rFonts w:ascii="Arial" w:hAnsi="Arial" w:cs="Arial"/>
          <w:sz w:val="24"/>
          <w:szCs w:val="24"/>
        </w:rPr>
        <w:t xml:space="preserve"> to note that Carla's defence team shall diligently delve into the realm of potential psychological evidence, with the ultimate objective of substantiating a compelling argument of diminished responsibility. </w:t>
      </w:r>
      <w:r w:rsidR="00F821F1">
        <w:rPr>
          <w:rFonts w:ascii="Arial" w:hAnsi="Arial" w:cs="Arial"/>
          <w:sz w:val="24"/>
          <w:szCs w:val="24"/>
        </w:rPr>
        <w:t>If</w:t>
      </w:r>
      <w:r w:rsidR="00E753E4" w:rsidRPr="00E753E4">
        <w:rPr>
          <w:rFonts w:ascii="Arial" w:hAnsi="Arial" w:cs="Arial"/>
          <w:sz w:val="24"/>
          <w:szCs w:val="24"/>
        </w:rPr>
        <w:t xml:space="preserve"> the individual in question possesses a documented record of mental health afflictions or if her emotional well-being during the incident in question was substantially compromised, it is plausible to assert that such circumstances may fortify the contention that her level of culpability ought to be diminished on account of a duly acknowledged medical condition</w:t>
      </w:r>
      <w:r w:rsidR="00AE1D3A">
        <w:rPr>
          <w:rFonts w:ascii="Arial" w:hAnsi="Arial" w:cs="Arial"/>
          <w:sz w:val="24"/>
          <w:szCs w:val="24"/>
        </w:rPr>
        <w:t xml:space="preserve"> (The Public Defenders,</w:t>
      </w:r>
      <w:r w:rsidR="00F821F1">
        <w:rPr>
          <w:rFonts w:ascii="Arial" w:hAnsi="Arial" w:cs="Arial"/>
          <w:sz w:val="24"/>
          <w:szCs w:val="24"/>
        </w:rPr>
        <w:t xml:space="preserve"> 2018).</w:t>
      </w:r>
    </w:p>
    <w:p w14:paraId="3C12416B" w14:textId="703146B9" w:rsidR="00F821F1" w:rsidRDefault="00F821F1" w:rsidP="00F821F1">
      <w:pPr>
        <w:rPr>
          <w:rFonts w:ascii="Arial" w:hAnsi="Arial" w:cs="Arial"/>
          <w:sz w:val="24"/>
          <w:szCs w:val="24"/>
        </w:rPr>
      </w:pPr>
      <w:proofErr w:type="gramStart"/>
      <w:r w:rsidRPr="001F3137">
        <w:rPr>
          <w:rFonts w:ascii="Arial" w:hAnsi="Arial" w:cs="Arial"/>
          <w:sz w:val="24"/>
          <w:szCs w:val="24"/>
        </w:rPr>
        <w:t>In the event that</w:t>
      </w:r>
      <w:proofErr w:type="gramEnd"/>
      <w:r w:rsidR="00CA0181">
        <w:rPr>
          <w:rFonts w:ascii="Arial" w:hAnsi="Arial" w:cs="Arial"/>
          <w:sz w:val="24"/>
          <w:szCs w:val="24"/>
        </w:rPr>
        <w:t xml:space="preserve">, </w:t>
      </w:r>
      <w:r w:rsidRPr="001F3137">
        <w:rPr>
          <w:rFonts w:ascii="Arial" w:hAnsi="Arial" w:cs="Arial"/>
          <w:sz w:val="24"/>
          <w:szCs w:val="24"/>
        </w:rPr>
        <w:t>Carla's mental state during the commission of the offence was significantly impaired as a result of acknowledged mental health conditions, she may consider examining the defence of diminished responsibility, as stipulated by Section 2 of the Homicide Act 1957</w:t>
      </w:r>
      <w:r w:rsidR="00CB6592">
        <w:rPr>
          <w:rFonts w:ascii="Arial" w:hAnsi="Arial" w:cs="Arial"/>
          <w:sz w:val="24"/>
          <w:szCs w:val="24"/>
        </w:rPr>
        <w:t>(Armitage</w:t>
      </w:r>
      <w:r w:rsidR="00555B0B">
        <w:rPr>
          <w:rFonts w:ascii="Arial" w:hAnsi="Arial" w:cs="Arial"/>
          <w:sz w:val="24"/>
          <w:szCs w:val="24"/>
        </w:rPr>
        <w:t>, 1957)</w:t>
      </w:r>
      <w:r w:rsidRPr="001F3137">
        <w:rPr>
          <w:rFonts w:ascii="Arial" w:hAnsi="Arial" w:cs="Arial"/>
          <w:sz w:val="24"/>
          <w:szCs w:val="24"/>
        </w:rPr>
        <w:t xml:space="preserve">. </w:t>
      </w:r>
      <w:r w:rsidR="004E2C87">
        <w:rPr>
          <w:rFonts w:ascii="Arial" w:hAnsi="Arial" w:cs="Arial"/>
          <w:sz w:val="24"/>
          <w:szCs w:val="24"/>
        </w:rPr>
        <w:t xml:space="preserve">For a successful </w:t>
      </w:r>
      <w:r w:rsidRPr="001F3137">
        <w:rPr>
          <w:rFonts w:ascii="Arial" w:hAnsi="Arial" w:cs="Arial"/>
          <w:sz w:val="24"/>
          <w:szCs w:val="24"/>
        </w:rPr>
        <w:t xml:space="preserve">defence, it is </w:t>
      </w:r>
      <w:r w:rsidR="004E2C87">
        <w:rPr>
          <w:rFonts w:ascii="Arial" w:hAnsi="Arial" w:cs="Arial"/>
          <w:sz w:val="24"/>
          <w:szCs w:val="24"/>
        </w:rPr>
        <w:t>crucial</w:t>
      </w:r>
      <w:r w:rsidRPr="001F3137">
        <w:rPr>
          <w:rFonts w:ascii="Arial" w:hAnsi="Arial" w:cs="Arial"/>
          <w:sz w:val="24"/>
          <w:szCs w:val="24"/>
        </w:rPr>
        <w:t xml:space="preserve"> to establish the presence of a duly acknowledged medical condition that significantly hampers one's mental capacity to assume responsibility for the committed act.</w:t>
      </w:r>
    </w:p>
    <w:p w14:paraId="5E56219F" w14:textId="7AA9BC6E" w:rsidR="00261406" w:rsidRDefault="00261406" w:rsidP="00F821F1">
      <w:pPr>
        <w:rPr>
          <w:rFonts w:ascii="Arial" w:hAnsi="Arial" w:cs="Arial"/>
          <w:sz w:val="24"/>
          <w:szCs w:val="24"/>
        </w:rPr>
      </w:pPr>
      <w:r w:rsidRPr="00261406">
        <w:rPr>
          <w:rFonts w:ascii="Arial" w:hAnsi="Arial" w:cs="Arial"/>
          <w:sz w:val="24"/>
          <w:szCs w:val="24"/>
        </w:rPr>
        <w:t>Mitigating circumstances in the case of Carla consist of the psychological distress caused by marital issues and Jamie's engagement in illicit affairs. For example, charges may be reduced if Carla can provide evidence that her reaction was motivated by an authentic apprehension of severe violence or a justifiable sense of being victimised. A 15-year domestic relationship provides insight into the emotional dynamics and stressors through its complexity. For instance, the extended duration of Carla's exposure to relational strains might have played a role in her increased emotional distress throughout the altercation</w:t>
      </w:r>
      <w:r>
        <w:rPr>
          <w:rFonts w:ascii="Arial" w:hAnsi="Arial" w:cs="Arial"/>
          <w:sz w:val="24"/>
          <w:szCs w:val="24"/>
        </w:rPr>
        <w:t>.</w:t>
      </w:r>
      <w:r w:rsidRPr="00261406">
        <w:rPr>
          <w:rFonts w:ascii="Arial" w:hAnsi="Arial" w:cs="Arial"/>
          <w:sz w:val="24"/>
          <w:szCs w:val="24"/>
        </w:rPr>
        <w:t xml:space="preserve"> The </w:t>
      </w:r>
      <w:r w:rsidRPr="00261406">
        <w:rPr>
          <w:rFonts w:ascii="Arial" w:hAnsi="Arial" w:cs="Arial"/>
          <w:sz w:val="24"/>
          <w:szCs w:val="24"/>
        </w:rPr>
        <w:t>elements</w:t>
      </w:r>
      <w:r w:rsidRPr="00261406">
        <w:rPr>
          <w:rFonts w:ascii="Arial" w:hAnsi="Arial" w:cs="Arial"/>
          <w:sz w:val="24"/>
          <w:szCs w:val="24"/>
        </w:rPr>
        <w:t xml:space="preserve"> underscore the necessity for a thorough analysis that takes into account the complex interaction between emotional states and relational dynamics that influenced Carla's behaviour throughout the regrettable incident.</w:t>
      </w:r>
    </w:p>
    <w:p w14:paraId="77E90740" w14:textId="60A7F289" w:rsidR="00E753E4" w:rsidRPr="00E753E4" w:rsidRDefault="00787DBE" w:rsidP="00261406">
      <w:pPr>
        <w:rPr>
          <w:rFonts w:ascii="Arial" w:hAnsi="Arial" w:cs="Arial"/>
          <w:sz w:val="24"/>
          <w:szCs w:val="24"/>
        </w:rPr>
      </w:pPr>
      <w:r>
        <w:rPr>
          <w:rFonts w:ascii="Arial" w:hAnsi="Arial" w:cs="Arial"/>
          <w:sz w:val="24"/>
          <w:szCs w:val="24"/>
        </w:rPr>
        <w:t xml:space="preserve">In conclusion, </w:t>
      </w:r>
      <w:r w:rsidR="00261406">
        <w:rPr>
          <w:rFonts w:ascii="Arial" w:hAnsi="Arial" w:cs="Arial"/>
          <w:sz w:val="24"/>
          <w:szCs w:val="24"/>
        </w:rPr>
        <w:t>the</w:t>
      </w:r>
      <w:r w:rsidR="00261406" w:rsidRPr="00261406">
        <w:rPr>
          <w:rFonts w:ascii="Arial" w:hAnsi="Arial" w:cs="Arial"/>
          <w:sz w:val="24"/>
          <w:szCs w:val="24"/>
        </w:rPr>
        <w:t xml:space="preserve"> offences, which include attempted murder and possession of an offensive weapon, underscore the seriousness of Carla's acts. The allegation of attempted murder depends on Carla's deliberate intention to cause Jamie's death, whereas charges of grievous bodily harm (GBH) and actual bodily harm (ABH) examine the severity of the inflicted injuries. Carla's use of a kitchen knife during the incident highlights the legal ramifications associated with possessing an offensive weapon.</w:t>
      </w:r>
      <w:r w:rsidR="00261406">
        <w:rPr>
          <w:rFonts w:ascii="Arial" w:hAnsi="Arial" w:cs="Arial"/>
          <w:sz w:val="24"/>
          <w:szCs w:val="24"/>
        </w:rPr>
        <w:t xml:space="preserve"> </w:t>
      </w:r>
      <w:r w:rsidR="00261406" w:rsidRPr="00261406">
        <w:rPr>
          <w:rFonts w:ascii="Arial" w:hAnsi="Arial" w:cs="Arial"/>
          <w:sz w:val="24"/>
          <w:szCs w:val="24"/>
        </w:rPr>
        <w:t xml:space="preserve">Importantly, viable defences provide opportunities for reducing Carla's criminal responsibility. Carla's reasonable belief in immediate danger could provide a legal justification for </w:t>
      </w:r>
      <w:r w:rsidR="00261406" w:rsidRPr="00261406">
        <w:rPr>
          <w:rFonts w:ascii="Arial" w:hAnsi="Arial" w:cs="Arial"/>
          <w:sz w:val="24"/>
          <w:szCs w:val="24"/>
        </w:rPr>
        <w:t>self-defenc</w:t>
      </w:r>
      <w:r w:rsidR="00261406">
        <w:rPr>
          <w:rFonts w:ascii="Arial" w:hAnsi="Arial" w:cs="Arial"/>
          <w:sz w:val="24"/>
          <w:szCs w:val="24"/>
        </w:rPr>
        <w:t>e, in which</w:t>
      </w:r>
      <w:r w:rsidR="00261406" w:rsidRPr="00261406">
        <w:rPr>
          <w:rFonts w:ascii="Arial" w:hAnsi="Arial" w:cs="Arial"/>
          <w:sz w:val="24"/>
          <w:szCs w:val="24"/>
        </w:rPr>
        <w:t xml:space="preserve"> it can be established that the individual lost control, this might potentially reduce a charge of murder to manslaughter according to the Coroners and Justice Act 2009. The defence of diminished culpability, based on Carla's impaired mental condition, could additionally influence </w:t>
      </w:r>
      <w:r w:rsidR="00261406" w:rsidRPr="00261406">
        <w:rPr>
          <w:rFonts w:ascii="Arial" w:hAnsi="Arial" w:cs="Arial"/>
          <w:sz w:val="24"/>
          <w:szCs w:val="24"/>
        </w:rPr>
        <w:lastRenderedPageBreak/>
        <w:t>the legal discussion.</w:t>
      </w:r>
      <w:r w:rsidR="00261406">
        <w:rPr>
          <w:rFonts w:ascii="Arial" w:hAnsi="Arial" w:cs="Arial"/>
          <w:sz w:val="24"/>
          <w:szCs w:val="24"/>
        </w:rPr>
        <w:t xml:space="preserve"> </w:t>
      </w:r>
      <w:r w:rsidR="00261406" w:rsidRPr="00261406">
        <w:rPr>
          <w:rFonts w:ascii="Arial" w:hAnsi="Arial" w:cs="Arial"/>
          <w:sz w:val="24"/>
          <w:szCs w:val="24"/>
        </w:rPr>
        <w:t xml:space="preserve">During the legal analysis, the court must carefully consider Carla's probable legal responsibility while </w:t>
      </w:r>
      <w:proofErr w:type="gramStart"/>
      <w:r w:rsidR="00261406" w:rsidRPr="00261406">
        <w:rPr>
          <w:rFonts w:ascii="Arial" w:hAnsi="Arial" w:cs="Arial"/>
          <w:sz w:val="24"/>
          <w:szCs w:val="24"/>
        </w:rPr>
        <w:t>taking into account</w:t>
      </w:r>
      <w:proofErr w:type="gramEnd"/>
      <w:r w:rsidR="00261406" w:rsidRPr="00261406">
        <w:rPr>
          <w:rFonts w:ascii="Arial" w:hAnsi="Arial" w:cs="Arial"/>
          <w:sz w:val="24"/>
          <w:szCs w:val="24"/>
        </w:rPr>
        <w:t xml:space="preserve"> the intricate nuances of her connection with Jamie. </w:t>
      </w:r>
    </w:p>
    <w:p w14:paraId="41C82526" w14:textId="77777777" w:rsidR="00E753E4" w:rsidRPr="00E753E4" w:rsidRDefault="00E753E4" w:rsidP="00E753E4">
      <w:pPr>
        <w:rPr>
          <w:rFonts w:ascii="Arial" w:hAnsi="Arial" w:cs="Arial"/>
          <w:sz w:val="24"/>
          <w:szCs w:val="24"/>
        </w:rPr>
      </w:pPr>
    </w:p>
    <w:p w14:paraId="3646093C" w14:textId="77777777" w:rsidR="00E753E4" w:rsidRDefault="00E753E4" w:rsidP="00E753E4">
      <w:pPr>
        <w:rPr>
          <w:rFonts w:ascii="Arial" w:hAnsi="Arial" w:cs="Arial"/>
          <w:sz w:val="24"/>
          <w:szCs w:val="24"/>
        </w:rPr>
      </w:pPr>
    </w:p>
    <w:p w14:paraId="3C68F6C5" w14:textId="77777777" w:rsidR="00261406" w:rsidRDefault="00261406" w:rsidP="00E753E4">
      <w:pPr>
        <w:rPr>
          <w:rFonts w:ascii="Arial" w:hAnsi="Arial" w:cs="Arial"/>
          <w:sz w:val="24"/>
          <w:szCs w:val="24"/>
        </w:rPr>
      </w:pPr>
    </w:p>
    <w:p w14:paraId="3AB8E3E9" w14:textId="77777777" w:rsidR="00261406" w:rsidRDefault="00261406" w:rsidP="00E753E4">
      <w:pPr>
        <w:rPr>
          <w:rFonts w:ascii="Arial" w:hAnsi="Arial" w:cs="Arial"/>
          <w:sz w:val="24"/>
          <w:szCs w:val="24"/>
        </w:rPr>
      </w:pPr>
    </w:p>
    <w:p w14:paraId="07D7924E" w14:textId="77777777" w:rsidR="00261406" w:rsidRPr="00E753E4" w:rsidRDefault="00261406" w:rsidP="00E753E4">
      <w:pPr>
        <w:rPr>
          <w:rFonts w:ascii="Arial" w:hAnsi="Arial" w:cs="Arial"/>
          <w:sz w:val="24"/>
          <w:szCs w:val="24"/>
        </w:rPr>
      </w:pPr>
    </w:p>
    <w:p w14:paraId="7BA53FD3" w14:textId="77777777" w:rsidR="00E753E4" w:rsidRDefault="00E753E4">
      <w:pPr>
        <w:rPr>
          <w:rFonts w:ascii="Arial" w:hAnsi="Arial" w:cs="Arial"/>
          <w:sz w:val="24"/>
          <w:szCs w:val="24"/>
        </w:rPr>
      </w:pPr>
    </w:p>
    <w:p w14:paraId="3C343961" w14:textId="77777777" w:rsidR="00083DA9" w:rsidRDefault="00083DA9">
      <w:pPr>
        <w:rPr>
          <w:rFonts w:ascii="Arial" w:hAnsi="Arial" w:cs="Arial"/>
          <w:sz w:val="24"/>
          <w:szCs w:val="24"/>
        </w:rPr>
      </w:pPr>
    </w:p>
    <w:p w14:paraId="621F8823" w14:textId="77777777" w:rsidR="00261406" w:rsidRDefault="00261406">
      <w:pPr>
        <w:rPr>
          <w:rFonts w:ascii="Arial" w:hAnsi="Arial" w:cs="Arial"/>
          <w:sz w:val="24"/>
          <w:szCs w:val="24"/>
        </w:rPr>
      </w:pPr>
    </w:p>
    <w:p w14:paraId="5CDEFF0D" w14:textId="77777777" w:rsidR="00083DA9" w:rsidRDefault="00083DA9">
      <w:pPr>
        <w:rPr>
          <w:rFonts w:ascii="Arial" w:hAnsi="Arial" w:cs="Arial"/>
          <w:sz w:val="24"/>
          <w:szCs w:val="24"/>
        </w:rPr>
      </w:pPr>
    </w:p>
    <w:p w14:paraId="3E0B7887" w14:textId="55A1AC7D" w:rsidR="00A11260" w:rsidRDefault="00134F28">
      <w:pPr>
        <w:rPr>
          <w:rFonts w:ascii="Arial" w:hAnsi="Arial" w:cs="Arial"/>
          <w:sz w:val="24"/>
          <w:szCs w:val="24"/>
        </w:rPr>
      </w:pPr>
      <w:r>
        <w:rPr>
          <w:rFonts w:ascii="Arial" w:hAnsi="Arial" w:cs="Arial"/>
          <w:sz w:val="24"/>
          <w:szCs w:val="24"/>
        </w:rPr>
        <w:t>HARVARD REFERENCE</w:t>
      </w:r>
      <w:r w:rsidR="003E2794">
        <w:rPr>
          <w:rFonts w:ascii="Arial" w:hAnsi="Arial" w:cs="Arial"/>
          <w:sz w:val="24"/>
          <w:szCs w:val="24"/>
        </w:rPr>
        <w:t xml:space="preserve"> LIST</w:t>
      </w:r>
    </w:p>
    <w:p w14:paraId="1099C16F" w14:textId="77777777" w:rsidR="003E2794" w:rsidRDefault="003E2794">
      <w:pPr>
        <w:rPr>
          <w:rFonts w:ascii="Arial" w:hAnsi="Arial" w:cs="Arial"/>
          <w:sz w:val="24"/>
          <w:szCs w:val="24"/>
        </w:rPr>
      </w:pPr>
    </w:p>
    <w:p w14:paraId="1026F5CB" w14:textId="1D9EDE7C" w:rsidR="00A11260" w:rsidRDefault="00555B0B">
      <w:pPr>
        <w:rPr>
          <w:rFonts w:ascii="Arial" w:hAnsi="Arial" w:cs="Arial"/>
          <w:sz w:val="24"/>
          <w:szCs w:val="24"/>
        </w:rPr>
      </w:pPr>
      <w:r>
        <w:rPr>
          <w:rFonts w:ascii="Arial" w:hAnsi="Arial" w:cs="Arial"/>
          <w:sz w:val="24"/>
          <w:szCs w:val="24"/>
        </w:rPr>
        <w:t>Armitage, A.L. (1957) The Homicide Act 1957</w:t>
      </w:r>
      <w:r w:rsidR="00EC4F5E">
        <w:rPr>
          <w:rFonts w:ascii="Arial" w:hAnsi="Arial" w:cs="Arial"/>
          <w:sz w:val="24"/>
          <w:szCs w:val="24"/>
        </w:rPr>
        <w:t xml:space="preserve">. </w:t>
      </w:r>
      <w:r w:rsidR="00EC4F5E" w:rsidRPr="00BE2D48">
        <w:rPr>
          <w:rFonts w:ascii="Arial" w:hAnsi="Arial" w:cs="Arial"/>
          <w:i/>
          <w:iCs/>
          <w:sz w:val="24"/>
          <w:szCs w:val="24"/>
        </w:rPr>
        <w:t>The Cambridge Law Journal</w:t>
      </w:r>
      <w:r w:rsidR="00EC4F5E">
        <w:rPr>
          <w:rFonts w:ascii="Arial" w:hAnsi="Arial" w:cs="Arial"/>
          <w:sz w:val="24"/>
          <w:szCs w:val="24"/>
        </w:rPr>
        <w:t>, 15(2), pp. 183-193.</w:t>
      </w:r>
    </w:p>
    <w:p w14:paraId="2C822A49" w14:textId="77777777" w:rsidR="00C54E02" w:rsidRPr="005C6EBC" w:rsidRDefault="002E5016" w:rsidP="00DC7DCD">
      <w:pPr>
        <w:rPr>
          <w:rFonts w:ascii="Arial" w:hAnsi="Arial" w:cs="Arial"/>
          <w:i/>
          <w:iCs/>
          <w:sz w:val="24"/>
          <w:szCs w:val="24"/>
        </w:rPr>
      </w:pPr>
      <w:r>
        <w:rPr>
          <w:rFonts w:ascii="Arial" w:hAnsi="Arial" w:cs="Arial"/>
          <w:sz w:val="24"/>
          <w:szCs w:val="24"/>
        </w:rPr>
        <w:t xml:space="preserve">Cross, R., Philip, A.J., &amp; Card, R. (1974) </w:t>
      </w:r>
      <w:r w:rsidRPr="005C6EBC">
        <w:rPr>
          <w:rFonts w:ascii="Arial" w:hAnsi="Arial" w:cs="Arial"/>
          <w:i/>
          <w:iCs/>
          <w:sz w:val="24"/>
          <w:szCs w:val="24"/>
        </w:rPr>
        <w:t xml:space="preserve">Cross and Jones Introduction to Criminal </w:t>
      </w:r>
    </w:p>
    <w:p w14:paraId="6C652347" w14:textId="189D0FE2" w:rsidR="00A34CA9" w:rsidRDefault="002E5016" w:rsidP="00DC7DCD">
      <w:pPr>
        <w:rPr>
          <w:rFonts w:ascii="Arial" w:hAnsi="Arial" w:cs="Arial"/>
          <w:sz w:val="24"/>
          <w:szCs w:val="24"/>
        </w:rPr>
      </w:pPr>
      <w:r w:rsidRPr="005C6EBC">
        <w:rPr>
          <w:rFonts w:ascii="Arial" w:hAnsi="Arial" w:cs="Arial"/>
          <w:i/>
          <w:iCs/>
          <w:sz w:val="24"/>
          <w:szCs w:val="24"/>
        </w:rPr>
        <w:t xml:space="preserve">Law. </w:t>
      </w:r>
      <w:r>
        <w:rPr>
          <w:rFonts w:ascii="Arial" w:hAnsi="Arial" w:cs="Arial"/>
          <w:sz w:val="24"/>
          <w:szCs w:val="24"/>
        </w:rPr>
        <w:t>Butterworth-Heinemann.</w:t>
      </w:r>
    </w:p>
    <w:p w14:paraId="07863437" w14:textId="387253E5" w:rsidR="00C54E02" w:rsidRDefault="00495FD5" w:rsidP="00DC7DCD">
      <w:pPr>
        <w:rPr>
          <w:rFonts w:ascii="Arial" w:hAnsi="Arial" w:cs="Arial"/>
          <w:sz w:val="24"/>
          <w:szCs w:val="24"/>
        </w:rPr>
      </w:pPr>
      <w:r>
        <w:rPr>
          <w:rFonts w:ascii="Arial" w:hAnsi="Arial" w:cs="Arial"/>
          <w:sz w:val="24"/>
          <w:szCs w:val="24"/>
        </w:rPr>
        <w:t xml:space="preserve">Doe, J. (2018) Exploring </w:t>
      </w:r>
      <w:r w:rsidR="005C6EBC">
        <w:rPr>
          <w:rFonts w:ascii="Arial" w:hAnsi="Arial" w:cs="Arial"/>
          <w:sz w:val="24"/>
          <w:szCs w:val="24"/>
        </w:rPr>
        <w:t>Men’s</w:t>
      </w:r>
      <w:r>
        <w:rPr>
          <w:rFonts w:ascii="Arial" w:hAnsi="Arial" w:cs="Arial"/>
          <w:sz w:val="24"/>
          <w:szCs w:val="24"/>
        </w:rPr>
        <w:t xml:space="preserve"> Rea: Intent and Recklessness in Criminal Law</w:t>
      </w:r>
      <w:r w:rsidR="007430AB">
        <w:rPr>
          <w:rFonts w:ascii="Arial" w:hAnsi="Arial" w:cs="Arial"/>
          <w:sz w:val="24"/>
          <w:szCs w:val="24"/>
        </w:rPr>
        <w:t>. Journal of Legal Studies, 25(3), pp. 41-57</w:t>
      </w:r>
      <w:r w:rsidR="00394649">
        <w:rPr>
          <w:rFonts w:ascii="Arial" w:hAnsi="Arial" w:cs="Arial"/>
          <w:sz w:val="24"/>
          <w:szCs w:val="24"/>
        </w:rPr>
        <w:t>.</w:t>
      </w:r>
    </w:p>
    <w:p w14:paraId="58448EAD" w14:textId="0F4F092A" w:rsidR="00D4442B" w:rsidRDefault="00D4442B" w:rsidP="00DC7DCD">
      <w:pPr>
        <w:rPr>
          <w:rFonts w:ascii="Arial" w:hAnsi="Arial" w:cs="Arial"/>
          <w:sz w:val="24"/>
          <w:szCs w:val="24"/>
        </w:rPr>
      </w:pPr>
      <w:proofErr w:type="spellStart"/>
      <w:r>
        <w:rPr>
          <w:rFonts w:ascii="Arial" w:hAnsi="Arial" w:cs="Arial"/>
          <w:sz w:val="24"/>
          <w:szCs w:val="24"/>
        </w:rPr>
        <w:t>Fewtrell</w:t>
      </w:r>
      <w:proofErr w:type="spellEnd"/>
      <w:r>
        <w:rPr>
          <w:rFonts w:ascii="Arial" w:hAnsi="Arial" w:cs="Arial"/>
          <w:sz w:val="24"/>
          <w:szCs w:val="24"/>
        </w:rPr>
        <w:t>, E.M (</w:t>
      </w:r>
      <w:r w:rsidR="00C92AFA">
        <w:rPr>
          <w:rFonts w:ascii="Arial" w:hAnsi="Arial" w:cs="Arial"/>
          <w:sz w:val="24"/>
          <w:szCs w:val="24"/>
        </w:rPr>
        <w:t>1948) Offences against the Person Act, 1861, Section</w:t>
      </w:r>
      <w:r w:rsidR="005C6EBC">
        <w:rPr>
          <w:rFonts w:ascii="Arial" w:hAnsi="Arial" w:cs="Arial"/>
          <w:sz w:val="24"/>
          <w:szCs w:val="24"/>
        </w:rPr>
        <w:t xml:space="preserve">s 18 &amp; 20. The </w:t>
      </w:r>
      <w:r w:rsidR="005C6EBC" w:rsidRPr="005C6EBC">
        <w:rPr>
          <w:rFonts w:ascii="Arial" w:hAnsi="Arial" w:cs="Arial"/>
          <w:i/>
          <w:iCs/>
          <w:sz w:val="24"/>
          <w:szCs w:val="24"/>
        </w:rPr>
        <w:t>Police Journal,</w:t>
      </w:r>
      <w:r w:rsidR="005C6EBC">
        <w:rPr>
          <w:rFonts w:ascii="Arial" w:hAnsi="Arial" w:cs="Arial"/>
          <w:sz w:val="24"/>
          <w:szCs w:val="24"/>
        </w:rPr>
        <w:t xml:space="preserve"> 21(2), pp. 148-151. </w:t>
      </w:r>
    </w:p>
    <w:p w14:paraId="7AF17C73" w14:textId="77777777" w:rsidR="005C6EBC" w:rsidRDefault="00394649" w:rsidP="00DC7DCD">
      <w:pPr>
        <w:rPr>
          <w:rFonts w:ascii="Arial" w:hAnsi="Arial" w:cs="Arial"/>
          <w:sz w:val="24"/>
          <w:szCs w:val="24"/>
        </w:rPr>
      </w:pPr>
      <w:r>
        <w:rPr>
          <w:rFonts w:ascii="Arial" w:hAnsi="Arial" w:cs="Arial"/>
          <w:sz w:val="24"/>
          <w:szCs w:val="24"/>
        </w:rPr>
        <w:t xml:space="preserve">Garcia, A., Smith, K., &amp; Johnson, M. (2022) </w:t>
      </w:r>
      <w:r w:rsidR="006024B5">
        <w:rPr>
          <w:rFonts w:ascii="Arial" w:hAnsi="Arial" w:cs="Arial"/>
          <w:sz w:val="24"/>
          <w:szCs w:val="24"/>
        </w:rPr>
        <w:t xml:space="preserve">Emotional States and Domestic Violence: A </w:t>
      </w:r>
      <w:r w:rsidR="005C6EBC">
        <w:rPr>
          <w:rFonts w:ascii="Arial" w:hAnsi="Arial" w:cs="Arial"/>
          <w:sz w:val="24"/>
          <w:szCs w:val="24"/>
        </w:rPr>
        <w:t>Contemporary</w:t>
      </w:r>
      <w:r w:rsidR="006024B5">
        <w:rPr>
          <w:rFonts w:ascii="Arial" w:hAnsi="Arial" w:cs="Arial"/>
          <w:sz w:val="24"/>
          <w:szCs w:val="24"/>
        </w:rPr>
        <w:t xml:space="preserve"> Analysis. </w:t>
      </w:r>
      <w:r w:rsidR="006024B5" w:rsidRPr="005C6EBC">
        <w:rPr>
          <w:rFonts w:ascii="Arial" w:hAnsi="Arial" w:cs="Arial"/>
          <w:i/>
          <w:iCs/>
          <w:sz w:val="24"/>
          <w:szCs w:val="24"/>
        </w:rPr>
        <w:t>Criminal Psychology Review,</w:t>
      </w:r>
      <w:r w:rsidR="006024B5">
        <w:rPr>
          <w:rFonts w:ascii="Arial" w:hAnsi="Arial" w:cs="Arial"/>
          <w:sz w:val="24"/>
          <w:szCs w:val="24"/>
        </w:rPr>
        <w:t xml:space="preserve"> 30(2), pp. 200-218.</w:t>
      </w:r>
    </w:p>
    <w:p w14:paraId="76F6059F" w14:textId="195E3170" w:rsidR="0047524C" w:rsidRDefault="0047524C" w:rsidP="00DC7DCD">
      <w:pPr>
        <w:rPr>
          <w:rFonts w:ascii="Arial" w:hAnsi="Arial" w:cs="Arial"/>
          <w:sz w:val="24"/>
          <w:szCs w:val="24"/>
        </w:rPr>
      </w:pPr>
      <w:r>
        <w:rPr>
          <w:rFonts w:ascii="Arial" w:hAnsi="Arial" w:cs="Arial"/>
          <w:sz w:val="24"/>
          <w:szCs w:val="24"/>
        </w:rPr>
        <w:t>Guardian (2009)</w:t>
      </w:r>
      <w:r w:rsidR="006E79AD">
        <w:rPr>
          <w:rFonts w:ascii="Arial" w:hAnsi="Arial" w:cs="Arial"/>
          <w:sz w:val="24"/>
          <w:szCs w:val="24"/>
        </w:rPr>
        <w:t xml:space="preserve"> </w:t>
      </w:r>
      <w:r w:rsidR="006E79AD" w:rsidRPr="006C679E">
        <w:rPr>
          <w:rFonts w:ascii="Arial" w:hAnsi="Arial" w:cs="Arial"/>
          <w:i/>
          <w:iCs/>
          <w:sz w:val="24"/>
          <w:szCs w:val="24"/>
        </w:rPr>
        <w:t>Domestic Violence, Crime and Victims Act 2004.</w:t>
      </w:r>
      <w:r w:rsidR="006E79AD">
        <w:rPr>
          <w:rFonts w:ascii="Arial" w:hAnsi="Arial" w:cs="Arial"/>
          <w:sz w:val="24"/>
          <w:szCs w:val="24"/>
        </w:rPr>
        <w:t xml:space="preserve"> Available at: </w:t>
      </w:r>
      <w:hyperlink r:id="rId4" w:history="1">
        <w:r w:rsidR="006C679E" w:rsidRPr="00E410CD">
          <w:rPr>
            <w:rStyle w:val="Hyperlink"/>
            <w:rFonts w:ascii="Arial" w:hAnsi="Arial" w:cs="Arial"/>
            <w:sz w:val="24"/>
            <w:szCs w:val="24"/>
          </w:rPr>
          <w:t>https://www.theguardian.com/commentisfree/libertycentral/2009/jan/13/domestic-violence-act</w:t>
        </w:r>
      </w:hyperlink>
      <w:r w:rsidR="006C679E">
        <w:rPr>
          <w:rFonts w:ascii="Arial" w:hAnsi="Arial" w:cs="Arial"/>
          <w:sz w:val="24"/>
          <w:szCs w:val="24"/>
        </w:rPr>
        <w:t xml:space="preserve"> (Accessed: </w:t>
      </w:r>
      <w:r w:rsidR="00612943">
        <w:rPr>
          <w:rFonts w:ascii="Arial" w:hAnsi="Arial" w:cs="Arial"/>
          <w:sz w:val="24"/>
          <w:szCs w:val="24"/>
        </w:rPr>
        <w:t>5</w:t>
      </w:r>
      <w:r w:rsidR="006C679E" w:rsidRPr="006C679E">
        <w:rPr>
          <w:rFonts w:ascii="Arial" w:hAnsi="Arial" w:cs="Arial"/>
          <w:sz w:val="24"/>
          <w:szCs w:val="24"/>
          <w:vertAlign w:val="superscript"/>
        </w:rPr>
        <w:t>th</w:t>
      </w:r>
      <w:r w:rsidR="006C679E">
        <w:rPr>
          <w:rFonts w:ascii="Arial" w:hAnsi="Arial" w:cs="Arial"/>
          <w:sz w:val="24"/>
          <w:szCs w:val="24"/>
        </w:rPr>
        <w:t xml:space="preserve"> December 2023).</w:t>
      </w:r>
    </w:p>
    <w:p w14:paraId="2C5BD45F" w14:textId="617AED60" w:rsidR="00DD6AB9" w:rsidRDefault="00DD6AB9" w:rsidP="00DC7DCD">
      <w:pPr>
        <w:rPr>
          <w:rFonts w:ascii="Arial" w:hAnsi="Arial" w:cs="Arial"/>
          <w:sz w:val="24"/>
          <w:szCs w:val="24"/>
        </w:rPr>
      </w:pPr>
      <w:r>
        <w:rPr>
          <w:rFonts w:ascii="Arial" w:hAnsi="Arial" w:cs="Arial"/>
          <w:sz w:val="24"/>
          <w:szCs w:val="24"/>
        </w:rPr>
        <w:t xml:space="preserve">Herring, J. (2018) </w:t>
      </w:r>
      <w:r w:rsidRPr="00DD6AB9">
        <w:rPr>
          <w:rFonts w:ascii="Arial" w:hAnsi="Arial" w:cs="Arial"/>
          <w:i/>
          <w:iCs/>
          <w:sz w:val="24"/>
          <w:szCs w:val="24"/>
        </w:rPr>
        <w:t>Criminal law: text, case, and materials.</w:t>
      </w:r>
      <w:r>
        <w:rPr>
          <w:rFonts w:ascii="Arial" w:hAnsi="Arial" w:cs="Arial"/>
          <w:sz w:val="24"/>
          <w:szCs w:val="24"/>
        </w:rPr>
        <w:t xml:space="preserve"> Oxford: Oxford University Press.</w:t>
      </w:r>
    </w:p>
    <w:p w14:paraId="013C4F19" w14:textId="2AEF1BDB" w:rsidR="0036371A" w:rsidRDefault="0036371A" w:rsidP="00DC7DCD">
      <w:pPr>
        <w:rPr>
          <w:rFonts w:ascii="Arial" w:hAnsi="Arial" w:cs="Arial"/>
          <w:sz w:val="24"/>
          <w:szCs w:val="24"/>
        </w:rPr>
      </w:pPr>
      <w:r>
        <w:rPr>
          <w:rFonts w:ascii="Arial" w:hAnsi="Arial" w:cs="Arial"/>
          <w:sz w:val="24"/>
          <w:szCs w:val="24"/>
        </w:rPr>
        <w:t xml:space="preserve">Hill, T. (2012) </w:t>
      </w:r>
      <w:r w:rsidRPr="00A9445A">
        <w:rPr>
          <w:rFonts w:ascii="Arial" w:hAnsi="Arial" w:cs="Arial"/>
          <w:i/>
          <w:iCs/>
          <w:sz w:val="24"/>
          <w:szCs w:val="24"/>
        </w:rPr>
        <w:t>The UK Law on Self-defence</w:t>
      </w:r>
      <w:r>
        <w:rPr>
          <w:rFonts w:ascii="Arial" w:hAnsi="Arial" w:cs="Arial"/>
          <w:sz w:val="24"/>
          <w:szCs w:val="24"/>
        </w:rPr>
        <w:t>.</w:t>
      </w:r>
      <w:r w:rsidR="00A9445A">
        <w:rPr>
          <w:rFonts w:ascii="Arial" w:hAnsi="Arial" w:cs="Arial"/>
          <w:sz w:val="24"/>
          <w:szCs w:val="24"/>
        </w:rPr>
        <w:t xml:space="preserve"> </w:t>
      </w:r>
      <w:r w:rsidR="009A2A85">
        <w:rPr>
          <w:rFonts w:ascii="Arial" w:hAnsi="Arial" w:cs="Arial"/>
          <w:sz w:val="24"/>
          <w:szCs w:val="24"/>
        </w:rPr>
        <w:t>Kindle Edition</w:t>
      </w:r>
      <w:r w:rsidR="00A9445A">
        <w:rPr>
          <w:rFonts w:ascii="Arial" w:hAnsi="Arial" w:cs="Arial"/>
          <w:sz w:val="24"/>
          <w:szCs w:val="24"/>
        </w:rPr>
        <w:t>.</w:t>
      </w:r>
    </w:p>
    <w:p w14:paraId="1F429285" w14:textId="7A39A3B7" w:rsidR="00F11B06" w:rsidRDefault="00F11B06" w:rsidP="00DC7DCD">
      <w:pPr>
        <w:rPr>
          <w:rFonts w:ascii="Arial" w:hAnsi="Arial" w:cs="Arial"/>
          <w:sz w:val="24"/>
          <w:szCs w:val="24"/>
        </w:rPr>
      </w:pPr>
      <w:r>
        <w:rPr>
          <w:rFonts w:ascii="Arial" w:hAnsi="Arial" w:cs="Arial"/>
          <w:sz w:val="24"/>
          <w:szCs w:val="24"/>
        </w:rPr>
        <w:t xml:space="preserve">Huxley-Binns, R. (2014) </w:t>
      </w:r>
      <w:r w:rsidRPr="00F11B06">
        <w:rPr>
          <w:rFonts w:ascii="Arial" w:hAnsi="Arial" w:cs="Arial"/>
          <w:i/>
          <w:iCs/>
          <w:sz w:val="24"/>
          <w:szCs w:val="24"/>
        </w:rPr>
        <w:t>Criminal law.</w:t>
      </w:r>
      <w:r>
        <w:rPr>
          <w:rFonts w:ascii="Arial" w:hAnsi="Arial" w:cs="Arial"/>
          <w:sz w:val="24"/>
          <w:szCs w:val="24"/>
        </w:rPr>
        <w:t xml:space="preserve"> Oxford: Oxford University Press.</w:t>
      </w:r>
    </w:p>
    <w:p w14:paraId="03189D7D" w14:textId="104A984C" w:rsidR="00B704D1" w:rsidRDefault="00B704D1" w:rsidP="00DC7DCD">
      <w:pPr>
        <w:rPr>
          <w:rFonts w:ascii="Arial" w:hAnsi="Arial" w:cs="Arial"/>
          <w:sz w:val="24"/>
          <w:szCs w:val="24"/>
        </w:rPr>
      </w:pPr>
      <w:r>
        <w:rPr>
          <w:rFonts w:ascii="Arial" w:hAnsi="Arial" w:cs="Arial"/>
          <w:sz w:val="24"/>
          <w:szCs w:val="24"/>
        </w:rPr>
        <w:t>Law Teacher (2009) Coroners and Justice Act 200</w:t>
      </w:r>
      <w:r w:rsidR="00612943">
        <w:rPr>
          <w:rFonts w:ascii="Arial" w:hAnsi="Arial" w:cs="Arial"/>
          <w:sz w:val="24"/>
          <w:szCs w:val="24"/>
        </w:rPr>
        <w:t xml:space="preserve">9. Available on: </w:t>
      </w:r>
      <w:hyperlink r:id="rId5" w:history="1">
        <w:r w:rsidR="00612943" w:rsidRPr="00E410CD">
          <w:rPr>
            <w:rStyle w:val="Hyperlink"/>
            <w:rFonts w:ascii="Arial" w:hAnsi="Arial" w:cs="Arial"/>
            <w:sz w:val="24"/>
            <w:szCs w:val="24"/>
          </w:rPr>
          <w:t>https://www.lawteacher.net/acts/coroners-and-justice-act-2009.php</w:t>
        </w:r>
      </w:hyperlink>
      <w:r w:rsidR="00612943">
        <w:rPr>
          <w:rFonts w:ascii="Arial" w:hAnsi="Arial" w:cs="Arial"/>
          <w:sz w:val="24"/>
          <w:szCs w:val="24"/>
        </w:rPr>
        <w:t xml:space="preserve"> (Accessed: 6</w:t>
      </w:r>
      <w:r w:rsidR="00612943" w:rsidRPr="00612943">
        <w:rPr>
          <w:rFonts w:ascii="Arial" w:hAnsi="Arial" w:cs="Arial"/>
          <w:sz w:val="24"/>
          <w:szCs w:val="24"/>
          <w:vertAlign w:val="superscript"/>
        </w:rPr>
        <w:t>th</w:t>
      </w:r>
      <w:r w:rsidR="00612943">
        <w:rPr>
          <w:rFonts w:ascii="Arial" w:hAnsi="Arial" w:cs="Arial"/>
          <w:sz w:val="24"/>
          <w:szCs w:val="24"/>
        </w:rPr>
        <w:t xml:space="preserve"> December 2023).</w:t>
      </w:r>
    </w:p>
    <w:p w14:paraId="05512B50" w14:textId="1B0E299B" w:rsidR="00BE6107" w:rsidRDefault="0036688E" w:rsidP="00DC7DCD">
      <w:pPr>
        <w:rPr>
          <w:rStyle w:val="Hyperlink"/>
          <w:rFonts w:ascii="Arial" w:hAnsi="Arial" w:cs="Arial"/>
          <w:color w:val="auto"/>
          <w:sz w:val="24"/>
          <w:szCs w:val="24"/>
          <w:u w:val="none"/>
        </w:rPr>
      </w:pPr>
      <w:r>
        <w:rPr>
          <w:rFonts w:ascii="Arial" w:hAnsi="Arial" w:cs="Arial"/>
          <w:sz w:val="24"/>
          <w:szCs w:val="24"/>
        </w:rPr>
        <w:lastRenderedPageBreak/>
        <w:t>Legislation</w:t>
      </w:r>
      <w:r w:rsidR="00030C2F">
        <w:rPr>
          <w:rFonts w:ascii="Arial" w:hAnsi="Arial" w:cs="Arial"/>
          <w:sz w:val="24"/>
          <w:szCs w:val="24"/>
        </w:rPr>
        <w:t xml:space="preserve"> GOV UK (</w:t>
      </w:r>
      <w:r w:rsidR="00DC7DCD">
        <w:rPr>
          <w:rFonts w:ascii="Arial" w:hAnsi="Arial" w:cs="Arial"/>
          <w:sz w:val="24"/>
          <w:szCs w:val="24"/>
        </w:rPr>
        <w:t xml:space="preserve">2010) </w:t>
      </w:r>
      <w:r w:rsidR="00DC7DCD" w:rsidRPr="005C6EBC">
        <w:rPr>
          <w:rFonts w:ascii="Arial" w:hAnsi="Arial" w:cs="Arial"/>
          <w:i/>
          <w:iCs/>
          <w:sz w:val="24"/>
          <w:szCs w:val="24"/>
        </w:rPr>
        <w:t>Criminal Attempt Act 1981</w:t>
      </w:r>
      <w:r w:rsidR="005C6EBC">
        <w:rPr>
          <w:rFonts w:ascii="Arial" w:hAnsi="Arial" w:cs="Arial"/>
          <w:sz w:val="24"/>
          <w:szCs w:val="24"/>
        </w:rPr>
        <w:t xml:space="preserve">. Available on: </w:t>
      </w:r>
      <w:hyperlink r:id="rId6" w:history="1">
        <w:r w:rsidR="005C6EBC" w:rsidRPr="00E410CD">
          <w:rPr>
            <w:rStyle w:val="Hyperlink"/>
            <w:rFonts w:ascii="Arial" w:hAnsi="Arial" w:cs="Arial"/>
            <w:sz w:val="24"/>
            <w:szCs w:val="24"/>
          </w:rPr>
          <w:t>https://www.legislation.gov.uk/ukpga/1981/47</w:t>
        </w:r>
      </w:hyperlink>
      <w:r w:rsidR="005C6EBC">
        <w:rPr>
          <w:rStyle w:val="Hyperlink"/>
          <w:rFonts w:ascii="Arial" w:hAnsi="Arial" w:cs="Arial"/>
          <w:sz w:val="24"/>
          <w:szCs w:val="24"/>
        </w:rPr>
        <w:t xml:space="preserve"> </w:t>
      </w:r>
      <w:r w:rsidR="005C6EBC">
        <w:rPr>
          <w:rStyle w:val="Hyperlink"/>
          <w:rFonts w:ascii="Arial" w:hAnsi="Arial" w:cs="Arial"/>
          <w:color w:val="auto"/>
          <w:sz w:val="24"/>
          <w:szCs w:val="24"/>
          <w:u w:val="none"/>
        </w:rPr>
        <w:t xml:space="preserve">(Accessed: </w:t>
      </w:r>
      <w:r w:rsidR="00612943">
        <w:rPr>
          <w:rStyle w:val="Hyperlink"/>
          <w:rFonts w:ascii="Arial" w:hAnsi="Arial" w:cs="Arial"/>
          <w:color w:val="auto"/>
          <w:sz w:val="24"/>
          <w:szCs w:val="24"/>
          <w:u w:val="none"/>
        </w:rPr>
        <w:t>5</w:t>
      </w:r>
      <w:r w:rsidR="005C6EBC" w:rsidRPr="005C6EBC">
        <w:rPr>
          <w:rStyle w:val="Hyperlink"/>
          <w:rFonts w:ascii="Arial" w:hAnsi="Arial" w:cs="Arial"/>
          <w:color w:val="auto"/>
          <w:sz w:val="24"/>
          <w:szCs w:val="24"/>
          <w:u w:val="none"/>
          <w:vertAlign w:val="superscript"/>
        </w:rPr>
        <w:t>th</w:t>
      </w:r>
      <w:r w:rsidR="005C6EBC">
        <w:rPr>
          <w:rStyle w:val="Hyperlink"/>
          <w:rFonts w:ascii="Arial" w:hAnsi="Arial" w:cs="Arial"/>
          <w:color w:val="auto"/>
          <w:sz w:val="24"/>
          <w:szCs w:val="24"/>
          <w:u w:val="none"/>
        </w:rPr>
        <w:t xml:space="preserve"> December 2023).</w:t>
      </w:r>
    </w:p>
    <w:p w14:paraId="4FCBB1F8" w14:textId="769B8C14" w:rsidR="00DD6AB9" w:rsidRDefault="00DD6AB9" w:rsidP="00DC7DCD">
      <w:pPr>
        <w:rPr>
          <w:rStyle w:val="Hyperlink"/>
          <w:rFonts w:ascii="Arial" w:hAnsi="Arial" w:cs="Arial"/>
          <w:color w:val="auto"/>
          <w:sz w:val="24"/>
          <w:szCs w:val="24"/>
          <w:u w:val="none"/>
        </w:rPr>
      </w:pPr>
      <w:r>
        <w:rPr>
          <w:rStyle w:val="Hyperlink"/>
          <w:rFonts w:ascii="Arial" w:hAnsi="Arial" w:cs="Arial"/>
          <w:color w:val="auto"/>
          <w:sz w:val="24"/>
          <w:szCs w:val="24"/>
          <w:u w:val="none"/>
        </w:rPr>
        <w:t xml:space="preserve">Monaghan, N. (2022) </w:t>
      </w:r>
      <w:r w:rsidRPr="00DD6AB9">
        <w:rPr>
          <w:rStyle w:val="Hyperlink"/>
          <w:rFonts w:ascii="Arial" w:hAnsi="Arial" w:cs="Arial"/>
          <w:i/>
          <w:iCs/>
          <w:color w:val="auto"/>
          <w:sz w:val="24"/>
          <w:szCs w:val="24"/>
          <w:u w:val="none"/>
        </w:rPr>
        <w:t>Criminal Law Directions</w:t>
      </w:r>
      <w:r>
        <w:rPr>
          <w:rStyle w:val="Hyperlink"/>
          <w:rFonts w:ascii="Arial" w:hAnsi="Arial" w:cs="Arial"/>
          <w:color w:val="auto"/>
          <w:sz w:val="24"/>
          <w:szCs w:val="24"/>
          <w:u w:val="none"/>
        </w:rPr>
        <w:t>. 7</w:t>
      </w:r>
      <w:r w:rsidRPr="00DD6AB9">
        <w:rPr>
          <w:rStyle w:val="Hyperlink"/>
          <w:rFonts w:ascii="Arial" w:hAnsi="Arial" w:cs="Arial"/>
          <w:color w:val="auto"/>
          <w:sz w:val="24"/>
          <w:szCs w:val="24"/>
          <w:u w:val="none"/>
          <w:vertAlign w:val="superscript"/>
        </w:rPr>
        <w:t>th</w:t>
      </w:r>
      <w:r>
        <w:rPr>
          <w:rStyle w:val="Hyperlink"/>
          <w:rFonts w:ascii="Arial" w:hAnsi="Arial" w:cs="Arial"/>
          <w:color w:val="auto"/>
          <w:sz w:val="24"/>
          <w:szCs w:val="24"/>
          <w:u w:val="none"/>
        </w:rPr>
        <w:t xml:space="preserve"> ed. S.L: Oxford University Press/</w:t>
      </w:r>
    </w:p>
    <w:p w14:paraId="0110D0A3" w14:textId="477A2F43" w:rsidR="004964BF" w:rsidRDefault="004964BF" w:rsidP="00DC7DCD">
      <w:pPr>
        <w:rPr>
          <w:rStyle w:val="Hyperlink"/>
          <w:rFonts w:ascii="Arial" w:hAnsi="Arial" w:cs="Arial"/>
          <w:color w:val="auto"/>
          <w:sz w:val="24"/>
          <w:szCs w:val="24"/>
          <w:u w:val="none"/>
        </w:rPr>
      </w:pPr>
      <w:r>
        <w:rPr>
          <w:rStyle w:val="Hyperlink"/>
          <w:rFonts w:ascii="Arial" w:hAnsi="Arial" w:cs="Arial"/>
          <w:color w:val="auto"/>
          <w:sz w:val="24"/>
          <w:szCs w:val="24"/>
          <w:u w:val="none"/>
        </w:rPr>
        <w:t xml:space="preserve">Rosen, E. (1999) </w:t>
      </w:r>
      <w:r w:rsidRPr="004964BF">
        <w:rPr>
          <w:rStyle w:val="Hyperlink"/>
          <w:rFonts w:ascii="Arial" w:hAnsi="Arial" w:cs="Arial"/>
          <w:i/>
          <w:iCs/>
          <w:color w:val="auto"/>
          <w:sz w:val="24"/>
          <w:szCs w:val="24"/>
          <w:u w:val="none"/>
        </w:rPr>
        <w:t>Offences Against the Person</w:t>
      </w:r>
      <w:r>
        <w:rPr>
          <w:rStyle w:val="Hyperlink"/>
          <w:rFonts w:ascii="Arial" w:hAnsi="Arial" w:cs="Arial"/>
          <w:color w:val="auto"/>
          <w:sz w:val="24"/>
          <w:szCs w:val="24"/>
          <w:u w:val="none"/>
        </w:rPr>
        <w:t>. Routledge.</w:t>
      </w:r>
    </w:p>
    <w:p w14:paraId="31F82204" w14:textId="77777777" w:rsidR="004964BF" w:rsidRDefault="004964BF" w:rsidP="004964BF">
      <w:pPr>
        <w:rPr>
          <w:rFonts w:ascii="Arial" w:hAnsi="Arial" w:cs="Arial"/>
          <w:sz w:val="24"/>
          <w:szCs w:val="24"/>
        </w:rPr>
      </w:pPr>
      <w:r>
        <w:rPr>
          <w:rFonts w:ascii="Arial" w:hAnsi="Arial" w:cs="Arial"/>
          <w:sz w:val="24"/>
          <w:szCs w:val="24"/>
        </w:rPr>
        <w:t xml:space="preserve">Sentencing Council (2018) </w:t>
      </w:r>
      <w:r w:rsidRPr="005C6EBC">
        <w:rPr>
          <w:rFonts w:ascii="Arial" w:hAnsi="Arial" w:cs="Arial"/>
          <w:i/>
          <w:iCs/>
          <w:sz w:val="24"/>
          <w:szCs w:val="24"/>
        </w:rPr>
        <w:t>Assault Offences Explained- Sentencing</w:t>
      </w:r>
      <w:r>
        <w:rPr>
          <w:rFonts w:ascii="Arial" w:hAnsi="Arial" w:cs="Arial"/>
          <w:sz w:val="24"/>
          <w:szCs w:val="24"/>
        </w:rPr>
        <w:t xml:space="preserve">. Available at: </w:t>
      </w:r>
      <w:hyperlink r:id="rId7" w:history="1">
        <w:r w:rsidRPr="00E410CD">
          <w:rPr>
            <w:rStyle w:val="Hyperlink"/>
            <w:rFonts w:ascii="Arial" w:hAnsi="Arial" w:cs="Arial"/>
            <w:sz w:val="24"/>
            <w:szCs w:val="24"/>
          </w:rPr>
          <w:t>https://www.sentencingcouncil.org.uk/news/item/assault-offences-explained/</w:t>
        </w:r>
      </w:hyperlink>
      <w:r>
        <w:rPr>
          <w:rFonts w:ascii="Arial" w:hAnsi="Arial" w:cs="Arial"/>
          <w:sz w:val="24"/>
          <w:szCs w:val="24"/>
        </w:rPr>
        <w:t xml:space="preserve"> (Accessed: 5</w:t>
      </w:r>
      <w:r w:rsidRPr="005C6EBC">
        <w:rPr>
          <w:rFonts w:ascii="Arial" w:hAnsi="Arial" w:cs="Arial"/>
          <w:sz w:val="24"/>
          <w:szCs w:val="24"/>
          <w:vertAlign w:val="superscript"/>
        </w:rPr>
        <w:t>th</w:t>
      </w:r>
      <w:r>
        <w:rPr>
          <w:rFonts w:ascii="Arial" w:hAnsi="Arial" w:cs="Arial"/>
          <w:sz w:val="24"/>
          <w:szCs w:val="24"/>
        </w:rPr>
        <w:t xml:space="preserve"> December 2023).</w:t>
      </w:r>
    </w:p>
    <w:p w14:paraId="173DC5BA" w14:textId="77777777" w:rsidR="004964BF" w:rsidRDefault="004964BF" w:rsidP="004964BF">
      <w:pPr>
        <w:rPr>
          <w:rFonts w:ascii="Arial" w:hAnsi="Arial" w:cs="Arial"/>
          <w:sz w:val="24"/>
          <w:szCs w:val="24"/>
        </w:rPr>
      </w:pPr>
      <w:r>
        <w:rPr>
          <w:rFonts w:ascii="Arial" w:hAnsi="Arial" w:cs="Arial"/>
          <w:sz w:val="24"/>
          <w:szCs w:val="24"/>
        </w:rPr>
        <w:t xml:space="preserve">Smith, J., Hogan, B., &amp; Ormerod, D. (2020) </w:t>
      </w:r>
      <w:r w:rsidRPr="005C6EBC">
        <w:rPr>
          <w:rFonts w:ascii="Arial" w:hAnsi="Arial" w:cs="Arial"/>
          <w:i/>
          <w:iCs/>
          <w:sz w:val="24"/>
          <w:szCs w:val="24"/>
        </w:rPr>
        <w:t>Smith &amp; Hogan Criminal Law</w:t>
      </w:r>
      <w:r>
        <w:rPr>
          <w:rFonts w:ascii="Arial" w:hAnsi="Arial" w:cs="Arial"/>
          <w:sz w:val="24"/>
          <w:szCs w:val="24"/>
        </w:rPr>
        <w:t>, 15</w:t>
      </w:r>
      <w:r w:rsidRPr="00072FE6">
        <w:rPr>
          <w:rFonts w:ascii="Arial" w:hAnsi="Arial" w:cs="Arial"/>
          <w:sz w:val="24"/>
          <w:szCs w:val="24"/>
          <w:vertAlign w:val="superscript"/>
        </w:rPr>
        <w:t>th</w:t>
      </w:r>
      <w:r>
        <w:rPr>
          <w:rFonts w:ascii="Arial" w:hAnsi="Arial" w:cs="Arial"/>
          <w:sz w:val="24"/>
          <w:szCs w:val="24"/>
        </w:rPr>
        <w:t xml:space="preserve"> edition. Oxford: Oxford University Press.</w:t>
      </w:r>
    </w:p>
    <w:p w14:paraId="2C577389" w14:textId="30CD1DA9" w:rsidR="004964BF" w:rsidRDefault="004964BF" w:rsidP="00DC7DCD">
      <w:pPr>
        <w:rPr>
          <w:rStyle w:val="Hyperlink"/>
          <w:rFonts w:ascii="Arial" w:hAnsi="Arial" w:cs="Arial"/>
          <w:color w:val="auto"/>
          <w:sz w:val="24"/>
          <w:szCs w:val="24"/>
          <w:u w:val="none"/>
        </w:rPr>
      </w:pPr>
      <w:r>
        <w:rPr>
          <w:rFonts w:ascii="Arial" w:hAnsi="Arial" w:cs="Arial"/>
          <w:sz w:val="24"/>
          <w:szCs w:val="24"/>
        </w:rPr>
        <w:t>Spain, E. (2011</w:t>
      </w:r>
      <w:r w:rsidRPr="00931BCA">
        <w:rPr>
          <w:rFonts w:ascii="Arial" w:hAnsi="Arial" w:cs="Arial"/>
          <w:i/>
          <w:iCs/>
          <w:sz w:val="24"/>
          <w:szCs w:val="24"/>
        </w:rPr>
        <w:t>) The Role of Emotions in Criminal Law Defences</w:t>
      </w:r>
      <w:r>
        <w:rPr>
          <w:rFonts w:ascii="Arial" w:hAnsi="Arial" w:cs="Arial"/>
          <w:sz w:val="24"/>
          <w:szCs w:val="24"/>
        </w:rPr>
        <w:t>. Cambridge University Press.</w:t>
      </w:r>
    </w:p>
    <w:p w14:paraId="61C60085" w14:textId="5D775235" w:rsidR="00830399" w:rsidRPr="005C6EBC" w:rsidRDefault="00830399" w:rsidP="00DC7DCD">
      <w:pPr>
        <w:rPr>
          <w:rFonts w:ascii="Arial" w:hAnsi="Arial" w:cs="Arial"/>
          <w:sz w:val="24"/>
          <w:szCs w:val="24"/>
        </w:rPr>
      </w:pPr>
      <w:r>
        <w:rPr>
          <w:rStyle w:val="Hyperlink"/>
          <w:rFonts w:ascii="Arial" w:hAnsi="Arial" w:cs="Arial"/>
          <w:color w:val="auto"/>
          <w:sz w:val="24"/>
          <w:szCs w:val="24"/>
          <w:u w:val="none"/>
        </w:rPr>
        <w:t>The Public Defenders (</w:t>
      </w:r>
      <w:r w:rsidR="00AD09E8">
        <w:rPr>
          <w:rStyle w:val="Hyperlink"/>
          <w:rFonts w:ascii="Arial" w:hAnsi="Arial" w:cs="Arial"/>
          <w:color w:val="auto"/>
          <w:sz w:val="24"/>
          <w:szCs w:val="24"/>
          <w:u w:val="none"/>
        </w:rPr>
        <w:t xml:space="preserve">2018) Partial Defences to Murder, Provocation and Diminished Responsibility. Also available at: </w:t>
      </w:r>
      <w:hyperlink r:id="rId8" w:history="1">
        <w:r w:rsidR="0043276D" w:rsidRPr="00E410CD">
          <w:rPr>
            <w:rStyle w:val="Hyperlink"/>
            <w:rFonts w:ascii="Arial" w:hAnsi="Arial" w:cs="Arial"/>
            <w:sz w:val="24"/>
            <w:szCs w:val="24"/>
          </w:rPr>
          <w:t>https://www.publicdefenders.nsw.gov.au/Pages/public_defenders_research/Papers%20by%20Public%20Defenders/public_defenders_partial_defences_to_murder.aspx</w:t>
        </w:r>
      </w:hyperlink>
      <w:r w:rsidR="0043276D">
        <w:rPr>
          <w:rStyle w:val="Hyperlink"/>
          <w:rFonts w:ascii="Arial" w:hAnsi="Arial" w:cs="Arial"/>
          <w:color w:val="auto"/>
          <w:sz w:val="24"/>
          <w:szCs w:val="24"/>
          <w:u w:val="none"/>
        </w:rPr>
        <w:t xml:space="preserve"> (Accessed: </w:t>
      </w:r>
      <w:r w:rsidR="00612943">
        <w:rPr>
          <w:rStyle w:val="Hyperlink"/>
          <w:rFonts w:ascii="Arial" w:hAnsi="Arial" w:cs="Arial"/>
          <w:color w:val="auto"/>
          <w:sz w:val="24"/>
          <w:szCs w:val="24"/>
          <w:u w:val="none"/>
        </w:rPr>
        <w:t>5</w:t>
      </w:r>
      <w:r w:rsidR="0043276D" w:rsidRPr="0043276D">
        <w:rPr>
          <w:rStyle w:val="Hyperlink"/>
          <w:rFonts w:ascii="Arial" w:hAnsi="Arial" w:cs="Arial"/>
          <w:color w:val="auto"/>
          <w:sz w:val="24"/>
          <w:szCs w:val="24"/>
          <w:u w:val="none"/>
          <w:vertAlign w:val="superscript"/>
        </w:rPr>
        <w:t>th</w:t>
      </w:r>
      <w:r w:rsidR="0043276D">
        <w:rPr>
          <w:rStyle w:val="Hyperlink"/>
          <w:rFonts w:ascii="Arial" w:hAnsi="Arial" w:cs="Arial"/>
          <w:color w:val="auto"/>
          <w:sz w:val="24"/>
          <w:szCs w:val="24"/>
          <w:u w:val="none"/>
        </w:rPr>
        <w:t xml:space="preserve"> December 2023).</w:t>
      </w:r>
    </w:p>
    <w:p w14:paraId="14717688" w14:textId="2E913E68" w:rsidR="00066E8C" w:rsidRPr="002A4DDD" w:rsidRDefault="00066E8C" w:rsidP="00DC7DCD">
      <w:pPr>
        <w:rPr>
          <w:rFonts w:ascii="Arial" w:hAnsi="Arial" w:cs="Arial"/>
          <w:sz w:val="24"/>
          <w:szCs w:val="24"/>
        </w:rPr>
      </w:pPr>
      <w:r>
        <w:rPr>
          <w:rFonts w:ascii="Arial" w:hAnsi="Arial" w:cs="Arial"/>
          <w:sz w:val="24"/>
          <w:szCs w:val="24"/>
        </w:rPr>
        <w:t xml:space="preserve">White, L. </w:t>
      </w:r>
      <w:r w:rsidR="0074771D">
        <w:rPr>
          <w:rFonts w:ascii="Arial" w:hAnsi="Arial" w:cs="Arial"/>
          <w:sz w:val="24"/>
          <w:szCs w:val="24"/>
        </w:rPr>
        <w:t xml:space="preserve">(2015) </w:t>
      </w:r>
      <w:r w:rsidR="0074771D" w:rsidRPr="005C6EBC">
        <w:rPr>
          <w:rFonts w:ascii="Arial" w:hAnsi="Arial" w:cs="Arial"/>
          <w:i/>
          <w:iCs/>
          <w:sz w:val="24"/>
          <w:szCs w:val="24"/>
        </w:rPr>
        <w:t>Psychological Factors in Criminal Law</w:t>
      </w:r>
      <w:r w:rsidR="0074771D" w:rsidRPr="005C6EBC">
        <w:rPr>
          <w:rFonts w:ascii="Arial" w:hAnsi="Arial" w:cs="Arial"/>
          <w:sz w:val="24"/>
          <w:szCs w:val="24"/>
        </w:rPr>
        <w:t>. London:</w:t>
      </w:r>
      <w:r w:rsidR="0074771D">
        <w:rPr>
          <w:rFonts w:ascii="Arial" w:hAnsi="Arial" w:cs="Arial"/>
          <w:sz w:val="24"/>
          <w:szCs w:val="24"/>
        </w:rPr>
        <w:t xml:space="preserve"> Academic Press.</w:t>
      </w:r>
    </w:p>
    <w:sectPr w:rsidR="00066E8C" w:rsidRPr="002A4D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569"/>
    <w:rsid w:val="000023F9"/>
    <w:rsid w:val="000147D1"/>
    <w:rsid w:val="00015366"/>
    <w:rsid w:val="00027559"/>
    <w:rsid w:val="00030C2F"/>
    <w:rsid w:val="00046B43"/>
    <w:rsid w:val="00052D14"/>
    <w:rsid w:val="00054AC4"/>
    <w:rsid w:val="000608E3"/>
    <w:rsid w:val="00062A36"/>
    <w:rsid w:val="00066E8C"/>
    <w:rsid w:val="0007048F"/>
    <w:rsid w:val="00072FE6"/>
    <w:rsid w:val="00083DA9"/>
    <w:rsid w:val="00085DA2"/>
    <w:rsid w:val="00086834"/>
    <w:rsid w:val="000A56C2"/>
    <w:rsid w:val="000B0720"/>
    <w:rsid w:val="000B2B50"/>
    <w:rsid w:val="000D201B"/>
    <w:rsid w:val="000D2780"/>
    <w:rsid w:val="000D6F01"/>
    <w:rsid w:val="000E28FF"/>
    <w:rsid w:val="000E50F0"/>
    <w:rsid w:val="000E617E"/>
    <w:rsid w:val="000F61EB"/>
    <w:rsid w:val="000F76FF"/>
    <w:rsid w:val="00100AB2"/>
    <w:rsid w:val="0010230B"/>
    <w:rsid w:val="00102DBF"/>
    <w:rsid w:val="0011026A"/>
    <w:rsid w:val="001238A8"/>
    <w:rsid w:val="00130DDF"/>
    <w:rsid w:val="001339CE"/>
    <w:rsid w:val="00134F28"/>
    <w:rsid w:val="00135D42"/>
    <w:rsid w:val="0014681B"/>
    <w:rsid w:val="0015703D"/>
    <w:rsid w:val="00162032"/>
    <w:rsid w:val="001621A7"/>
    <w:rsid w:val="0016233B"/>
    <w:rsid w:val="00170D5E"/>
    <w:rsid w:val="00171970"/>
    <w:rsid w:val="001743B2"/>
    <w:rsid w:val="001832EF"/>
    <w:rsid w:val="001929A8"/>
    <w:rsid w:val="001B3AA6"/>
    <w:rsid w:val="001C28C9"/>
    <w:rsid w:val="001F3137"/>
    <w:rsid w:val="002043BC"/>
    <w:rsid w:val="00210732"/>
    <w:rsid w:val="0022387F"/>
    <w:rsid w:val="00226E64"/>
    <w:rsid w:val="00251768"/>
    <w:rsid w:val="00261406"/>
    <w:rsid w:val="002807DC"/>
    <w:rsid w:val="00283EFE"/>
    <w:rsid w:val="00287B47"/>
    <w:rsid w:val="0029505B"/>
    <w:rsid w:val="002A23C5"/>
    <w:rsid w:val="002A4DDD"/>
    <w:rsid w:val="002A5499"/>
    <w:rsid w:val="002A5B17"/>
    <w:rsid w:val="002A6FA0"/>
    <w:rsid w:val="002B293F"/>
    <w:rsid w:val="002B62E6"/>
    <w:rsid w:val="002D134F"/>
    <w:rsid w:val="002D451C"/>
    <w:rsid w:val="002E3772"/>
    <w:rsid w:val="002E5016"/>
    <w:rsid w:val="002F40B0"/>
    <w:rsid w:val="003054B6"/>
    <w:rsid w:val="00344F6F"/>
    <w:rsid w:val="00355FEA"/>
    <w:rsid w:val="0035765B"/>
    <w:rsid w:val="0036371A"/>
    <w:rsid w:val="00363C31"/>
    <w:rsid w:val="0036688E"/>
    <w:rsid w:val="003742C8"/>
    <w:rsid w:val="003769B2"/>
    <w:rsid w:val="0038284D"/>
    <w:rsid w:val="0038595B"/>
    <w:rsid w:val="00393D52"/>
    <w:rsid w:val="00394649"/>
    <w:rsid w:val="00395A94"/>
    <w:rsid w:val="003A014D"/>
    <w:rsid w:val="003A6400"/>
    <w:rsid w:val="003D1127"/>
    <w:rsid w:val="003D213D"/>
    <w:rsid w:val="003D3530"/>
    <w:rsid w:val="003D4280"/>
    <w:rsid w:val="003E2794"/>
    <w:rsid w:val="003F1AC6"/>
    <w:rsid w:val="003F777A"/>
    <w:rsid w:val="004041F5"/>
    <w:rsid w:val="0040539A"/>
    <w:rsid w:val="00405B20"/>
    <w:rsid w:val="00405F23"/>
    <w:rsid w:val="00420AC4"/>
    <w:rsid w:val="004320A1"/>
    <w:rsid w:val="0043276D"/>
    <w:rsid w:val="00435A38"/>
    <w:rsid w:val="00451562"/>
    <w:rsid w:val="00452A49"/>
    <w:rsid w:val="00453BD3"/>
    <w:rsid w:val="00455030"/>
    <w:rsid w:val="0045707A"/>
    <w:rsid w:val="00462762"/>
    <w:rsid w:val="0047524C"/>
    <w:rsid w:val="00487AE5"/>
    <w:rsid w:val="00487DD0"/>
    <w:rsid w:val="00490D30"/>
    <w:rsid w:val="00495FD5"/>
    <w:rsid w:val="004964BF"/>
    <w:rsid w:val="004A53D3"/>
    <w:rsid w:val="004A721C"/>
    <w:rsid w:val="004B0E15"/>
    <w:rsid w:val="004B2526"/>
    <w:rsid w:val="004B2F82"/>
    <w:rsid w:val="004C73A8"/>
    <w:rsid w:val="004D3FAA"/>
    <w:rsid w:val="004D515E"/>
    <w:rsid w:val="004E11DA"/>
    <w:rsid w:val="004E2C87"/>
    <w:rsid w:val="004F572F"/>
    <w:rsid w:val="00536330"/>
    <w:rsid w:val="00545F71"/>
    <w:rsid w:val="0055039C"/>
    <w:rsid w:val="005557EF"/>
    <w:rsid w:val="00555B0B"/>
    <w:rsid w:val="00567C55"/>
    <w:rsid w:val="00570BAC"/>
    <w:rsid w:val="00572ECF"/>
    <w:rsid w:val="00574C94"/>
    <w:rsid w:val="0057597B"/>
    <w:rsid w:val="005763B0"/>
    <w:rsid w:val="00581E32"/>
    <w:rsid w:val="00585A4A"/>
    <w:rsid w:val="0058786A"/>
    <w:rsid w:val="005A0D4A"/>
    <w:rsid w:val="005A65E0"/>
    <w:rsid w:val="005B0ECE"/>
    <w:rsid w:val="005C2DF8"/>
    <w:rsid w:val="005C469D"/>
    <w:rsid w:val="005C6EBC"/>
    <w:rsid w:val="005E4569"/>
    <w:rsid w:val="005E6771"/>
    <w:rsid w:val="005F026E"/>
    <w:rsid w:val="006024B5"/>
    <w:rsid w:val="0060466F"/>
    <w:rsid w:val="00611C2F"/>
    <w:rsid w:val="00612943"/>
    <w:rsid w:val="0062029C"/>
    <w:rsid w:val="006416E4"/>
    <w:rsid w:val="006429A5"/>
    <w:rsid w:val="00647335"/>
    <w:rsid w:val="00647716"/>
    <w:rsid w:val="00663EB4"/>
    <w:rsid w:val="0067427D"/>
    <w:rsid w:val="00683456"/>
    <w:rsid w:val="00693C4F"/>
    <w:rsid w:val="0069431C"/>
    <w:rsid w:val="00695B69"/>
    <w:rsid w:val="006A19EA"/>
    <w:rsid w:val="006A34F6"/>
    <w:rsid w:val="006B214D"/>
    <w:rsid w:val="006B2F1C"/>
    <w:rsid w:val="006C00C1"/>
    <w:rsid w:val="006C1E5F"/>
    <w:rsid w:val="006C628F"/>
    <w:rsid w:val="006C679E"/>
    <w:rsid w:val="006D73AB"/>
    <w:rsid w:val="006E4034"/>
    <w:rsid w:val="006E79AD"/>
    <w:rsid w:val="006F3078"/>
    <w:rsid w:val="00701BE1"/>
    <w:rsid w:val="00705F7A"/>
    <w:rsid w:val="00714E32"/>
    <w:rsid w:val="00717471"/>
    <w:rsid w:val="00725671"/>
    <w:rsid w:val="00725CC6"/>
    <w:rsid w:val="00734605"/>
    <w:rsid w:val="007430AB"/>
    <w:rsid w:val="00745F66"/>
    <w:rsid w:val="0074771D"/>
    <w:rsid w:val="00752465"/>
    <w:rsid w:val="007618E3"/>
    <w:rsid w:val="0077321F"/>
    <w:rsid w:val="00787DBE"/>
    <w:rsid w:val="00792C55"/>
    <w:rsid w:val="007B0983"/>
    <w:rsid w:val="007B7586"/>
    <w:rsid w:val="007D18A1"/>
    <w:rsid w:val="007D62C2"/>
    <w:rsid w:val="007F6949"/>
    <w:rsid w:val="00804A63"/>
    <w:rsid w:val="00816393"/>
    <w:rsid w:val="00823696"/>
    <w:rsid w:val="00830399"/>
    <w:rsid w:val="00841C07"/>
    <w:rsid w:val="008521E2"/>
    <w:rsid w:val="00852E73"/>
    <w:rsid w:val="00854C4E"/>
    <w:rsid w:val="008653B1"/>
    <w:rsid w:val="00865F5E"/>
    <w:rsid w:val="00873F6E"/>
    <w:rsid w:val="008804EB"/>
    <w:rsid w:val="00895848"/>
    <w:rsid w:val="008A4624"/>
    <w:rsid w:val="008A64C4"/>
    <w:rsid w:val="008B0A96"/>
    <w:rsid w:val="008B456F"/>
    <w:rsid w:val="008B4E10"/>
    <w:rsid w:val="008F0798"/>
    <w:rsid w:val="008F135D"/>
    <w:rsid w:val="0090024C"/>
    <w:rsid w:val="00902579"/>
    <w:rsid w:val="00913E00"/>
    <w:rsid w:val="009216FC"/>
    <w:rsid w:val="00925694"/>
    <w:rsid w:val="00931BCA"/>
    <w:rsid w:val="009379C9"/>
    <w:rsid w:val="00954F25"/>
    <w:rsid w:val="009619E7"/>
    <w:rsid w:val="00975FA7"/>
    <w:rsid w:val="00984B4D"/>
    <w:rsid w:val="00994FE3"/>
    <w:rsid w:val="009979D0"/>
    <w:rsid w:val="009A224C"/>
    <w:rsid w:val="009A2A85"/>
    <w:rsid w:val="009B20C1"/>
    <w:rsid w:val="009B41D8"/>
    <w:rsid w:val="009C1D36"/>
    <w:rsid w:val="009D0B5A"/>
    <w:rsid w:val="009D4961"/>
    <w:rsid w:val="00A00054"/>
    <w:rsid w:val="00A11260"/>
    <w:rsid w:val="00A16AAD"/>
    <w:rsid w:val="00A2590D"/>
    <w:rsid w:val="00A27895"/>
    <w:rsid w:val="00A302D9"/>
    <w:rsid w:val="00A34CA9"/>
    <w:rsid w:val="00A3511C"/>
    <w:rsid w:val="00A413FE"/>
    <w:rsid w:val="00A4336A"/>
    <w:rsid w:val="00A51914"/>
    <w:rsid w:val="00A71888"/>
    <w:rsid w:val="00A75AC1"/>
    <w:rsid w:val="00A85A51"/>
    <w:rsid w:val="00A87886"/>
    <w:rsid w:val="00A91973"/>
    <w:rsid w:val="00A91B09"/>
    <w:rsid w:val="00A9445A"/>
    <w:rsid w:val="00A95B8E"/>
    <w:rsid w:val="00AA3E30"/>
    <w:rsid w:val="00AA467B"/>
    <w:rsid w:val="00AA588B"/>
    <w:rsid w:val="00AB31C5"/>
    <w:rsid w:val="00AC4898"/>
    <w:rsid w:val="00AD09E8"/>
    <w:rsid w:val="00AD7B29"/>
    <w:rsid w:val="00AE1D3A"/>
    <w:rsid w:val="00AE66CF"/>
    <w:rsid w:val="00AE6DFF"/>
    <w:rsid w:val="00AF03BC"/>
    <w:rsid w:val="00AF368D"/>
    <w:rsid w:val="00AF4359"/>
    <w:rsid w:val="00B021C0"/>
    <w:rsid w:val="00B0274F"/>
    <w:rsid w:val="00B053C7"/>
    <w:rsid w:val="00B1326D"/>
    <w:rsid w:val="00B213D3"/>
    <w:rsid w:val="00B2181B"/>
    <w:rsid w:val="00B24C44"/>
    <w:rsid w:val="00B37B15"/>
    <w:rsid w:val="00B41807"/>
    <w:rsid w:val="00B61853"/>
    <w:rsid w:val="00B63D44"/>
    <w:rsid w:val="00B704D1"/>
    <w:rsid w:val="00B87D89"/>
    <w:rsid w:val="00B90378"/>
    <w:rsid w:val="00BB016A"/>
    <w:rsid w:val="00BB5022"/>
    <w:rsid w:val="00BC3770"/>
    <w:rsid w:val="00BC3F39"/>
    <w:rsid w:val="00BC763C"/>
    <w:rsid w:val="00BD0C84"/>
    <w:rsid w:val="00BD68B0"/>
    <w:rsid w:val="00BE20DC"/>
    <w:rsid w:val="00BE2D48"/>
    <w:rsid w:val="00BE2DA4"/>
    <w:rsid w:val="00BE49D1"/>
    <w:rsid w:val="00BE4A8B"/>
    <w:rsid w:val="00BE562A"/>
    <w:rsid w:val="00BE6107"/>
    <w:rsid w:val="00BE6FFC"/>
    <w:rsid w:val="00C01727"/>
    <w:rsid w:val="00C031B2"/>
    <w:rsid w:val="00C037B7"/>
    <w:rsid w:val="00C069EA"/>
    <w:rsid w:val="00C12CFB"/>
    <w:rsid w:val="00C36F44"/>
    <w:rsid w:val="00C41E36"/>
    <w:rsid w:val="00C54E02"/>
    <w:rsid w:val="00C612DC"/>
    <w:rsid w:val="00C70375"/>
    <w:rsid w:val="00C75AF7"/>
    <w:rsid w:val="00C8749F"/>
    <w:rsid w:val="00C92AFA"/>
    <w:rsid w:val="00CA0181"/>
    <w:rsid w:val="00CB622D"/>
    <w:rsid w:val="00CB64E9"/>
    <w:rsid w:val="00CB6592"/>
    <w:rsid w:val="00CD150A"/>
    <w:rsid w:val="00CE6C26"/>
    <w:rsid w:val="00CF2060"/>
    <w:rsid w:val="00D00D03"/>
    <w:rsid w:val="00D06A9A"/>
    <w:rsid w:val="00D2197C"/>
    <w:rsid w:val="00D27548"/>
    <w:rsid w:val="00D4101D"/>
    <w:rsid w:val="00D4442B"/>
    <w:rsid w:val="00D5172F"/>
    <w:rsid w:val="00D54408"/>
    <w:rsid w:val="00D701A9"/>
    <w:rsid w:val="00D71094"/>
    <w:rsid w:val="00DA3CED"/>
    <w:rsid w:val="00DB04F2"/>
    <w:rsid w:val="00DB403D"/>
    <w:rsid w:val="00DC5773"/>
    <w:rsid w:val="00DC6863"/>
    <w:rsid w:val="00DC7DCD"/>
    <w:rsid w:val="00DD6AB9"/>
    <w:rsid w:val="00DF2057"/>
    <w:rsid w:val="00DF592D"/>
    <w:rsid w:val="00E02A1D"/>
    <w:rsid w:val="00E11730"/>
    <w:rsid w:val="00E1395A"/>
    <w:rsid w:val="00E14AFC"/>
    <w:rsid w:val="00E15477"/>
    <w:rsid w:val="00E2701C"/>
    <w:rsid w:val="00E36BE5"/>
    <w:rsid w:val="00E40CBC"/>
    <w:rsid w:val="00E435DC"/>
    <w:rsid w:val="00E528D1"/>
    <w:rsid w:val="00E53F23"/>
    <w:rsid w:val="00E753E4"/>
    <w:rsid w:val="00E80B1B"/>
    <w:rsid w:val="00E80F46"/>
    <w:rsid w:val="00E83820"/>
    <w:rsid w:val="00E90453"/>
    <w:rsid w:val="00E9117B"/>
    <w:rsid w:val="00E932B2"/>
    <w:rsid w:val="00EA0B81"/>
    <w:rsid w:val="00EA2047"/>
    <w:rsid w:val="00EA41ED"/>
    <w:rsid w:val="00EA4549"/>
    <w:rsid w:val="00EA4913"/>
    <w:rsid w:val="00EB18C9"/>
    <w:rsid w:val="00EB1D6F"/>
    <w:rsid w:val="00EB7945"/>
    <w:rsid w:val="00EC3492"/>
    <w:rsid w:val="00EC3BA2"/>
    <w:rsid w:val="00EC4F5E"/>
    <w:rsid w:val="00EC77EA"/>
    <w:rsid w:val="00EE1824"/>
    <w:rsid w:val="00EE34E7"/>
    <w:rsid w:val="00EF0CDE"/>
    <w:rsid w:val="00EF7D67"/>
    <w:rsid w:val="00F038EE"/>
    <w:rsid w:val="00F11B06"/>
    <w:rsid w:val="00F36B6E"/>
    <w:rsid w:val="00F65BF2"/>
    <w:rsid w:val="00F6601F"/>
    <w:rsid w:val="00F775DB"/>
    <w:rsid w:val="00F821F1"/>
    <w:rsid w:val="00F8747E"/>
    <w:rsid w:val="00F94353"/>
    <w:rsid w:val="00FA4D1F"/>
    <w:rsid w:val="00FB39B4"/>
    <w:rsid w:val="00FE06CB"/>
    <w:rsid w:val="00FE2204"/>
    <w:rsid w:val="00FE2294"/>
    <w:rsid w:val="00FE3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C62440"/>
  <w15:chartTrackingRefBased/>
  <w15:docId w15:val="{CF822B74-671C-44BE-A62C-33D5BFE71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4E10"/>
    <w:rPr>
      <w:color w:val="0563C1" w:themeColor="hyperlink"/>
      <w:u w:val="single"/>
    </w:rPr>
  </w:style>
  <w:style w:type="character" w:styleId="UnresolvedMention">
    <w:name w:val="Unresolved Mention"/>
    <w:basedOn w:val="DefaultParagraphFont"/>
    <w:uiPriority w:val="99"/>
    <w:semiHidden/>
    <w:unhideWhenUsed/>
    <w:rsid w:val="008B4E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blicdefenders.nsw.gov.au/Pages/public_defenders_research/Papers%20by%20Public%20Defenders/public_defenders_partial_defences_to_murder.aspx" TargetMode="External"/><Relationship Id="rId3" Type="http://schemas.openxmlformats.org/officeDocument/2006/relationships/webSettings" Target="webSettings.xml"/><Relationship Id="rId7" Type="http://schemas.openxmlformats.org/officeDocument/2006/relationships/hyperlink" Target="https://www.sentencingcouncil.org.uk/news/item/assault-offences-explaine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1981/47" TargetMode="External"/><Relationship Id="rId5" Type="http://schemas.openxmlformats.org/officeDocument/2006/relationships/hyperlink" Target="https://www.lawteacher.net/acts/coroners-and-justice-act-2009.php" TargetMode="External"/><Relationship Id="rId10" Type="http://schemas.openxmlformats.org/officeDocument/2006/relationships/theme" Target="theme/theme1.xml"/><Relationship Id="rId4" Type="http://schemas.openxmlformats.org/officeDocument/2006/relationships/hyperlink" Target="https://www.theguardian.com/commentisfree/libertycentral/2009/jan/13/domestic-violence-act"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5</Pages>
  <Words>1959</Words>
  <Characters>11562</Characters>
  <Application>Microsoft Office Word</Application>
  <DocSecurity>0</DocSecurity>
  <Lines>192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 Bayir</dc:creator>
  <cp:keywords/>
  <dc:description/>
  <cp:lastModifiedBy>Emi Bayir</cp:lastModifiedBy>
  <cp:revision>2</cp:revision>
  <dcterms:created xsi:type="dcterms:W3CDTF">2024-01-08T19:35:00Z</dcterms:created>
  <dcterms:modified xsi:type="dcterms:W3CDTF">2024-01-08T19:35:00Z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78fd245810e050d8775781397865936130f231807c049a965969db528813e2b5</vt:lpwstr>
  </property>
</Properties>
</file>