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1F42D9" w14:textId="462FBE1B" w:rsidR="007C473D" w:rsidRDefault="007A4A57" w:rsidP="000A71BC">
      <w:pPr>
        <w:spacing w:line="360" w:lineRule="auto"/>
        <w:ind w:right="567"/>
        <w:jc w:val="both"/>
        <w:rPr>
          <w:rFonts w:ascii="Times New Roman" w:hAnsi="Times New Roman" w:cs="Times New Roman"/>
          <w:bCs/>
          <w:sz w:val="22"/>
          <w:szCs w:val="22"/>
        </w:rPr>
      </w:pPr>
      <w:r>
        <w:rPr>
          <w:rFonts w:ascii="Times New Roman" w:hAnsi="Times New Roman" w:cs="Times New Roman"/>
          <w:b/>
          <w:sz w:val="22"/>
          <w:szCs w:val="22"/>
        </w:rPr>
        <w:t xml:space="preserve">     </w:t>
      </w:r>
      <w:r w:rsidR="00841753">
        <w:rPr>
          <w:rFonts w:ascii="Times New Roman" w:hAnsi="Times New Roman" w:cs="Times New Roman"/>
          <w:bCs/>
          <w:sz w:val="22"/>
          <w:szCs w:val="22"/>
        </w:rPr>
        <w:t>Paul Gilroy is a well-established sociologist and historian of British and Guyanese de</w:t>
      </w:r>
      <w:r w:rsidR="00505F15">
        <w:rPr>
          <w:rFonts w:ascii="Times New Roman" w:hAnsi="Times New Roman" w:cs="Times New Roman"/>
          <w:bCs/>
          <w:sz w:val="22"/>
          <w:szCs w:val="22"/>
        </w:rPr>
        <w:t>s</w:t>
      </w:r>
      <w:r w:rsidR="00841753">
        <w:rPr>
          <w:rFonts w:ascii="Times New Roman" w:hAnsi="Times New Roman" w:cs="Times New Roman"/>
          <w:bCs/>
          <w:sz w:val="22"/>
          <w:szCs w:val="22"/>
        </w:rPr>
        <w:t>cent. Guyana is located of the coast of South America and borders with the Atlantic Ocean, to which Gilroy c</w:t>
      </w:r>
      <w:r w:rsidR="00505F15">
        <w:rPr>
          <w:rFonts w:ascii="Times New Roman" w:hAnsi="Times New Roman" w:cs="Times New Roman"/>
          <w:bCs/>
          <w:sz w:val="22"/>
          <w:szCs w:val="22"/>
        </w:rPr>
        <w:t xml:space="preserve">oins </w:t>
      </w:r>
      <w:r w:rsidR="00841753">
        <w:rPr>
          <w:rFonts w:ascii="Times New Roman" w:hAnsi="Times New Roman" w:cs="Times New Roman"/>
          <w:bCs/>
          <w:sz w:val="22"/>
          <w:szCs w:val="22"/>
        </w:rPr>
        <w:t xml:space="preserve">the </w:t>
      </w:r>
      <w:r w:rsidR="00505F15">
        <w:rPr>
          <w:rFonts w:ascii="Times New Roman" w:hAnsi="Times New Roman" w:cs="Times New Roman"/>
          <w:bCs/>
          <w:sz w:val="22"/>
          <w:szCs w:val="22"/>
        </w:rPr>
        <w:t>‘</w:t>
      </w:r>
      <w:r w:rsidR="00841753">
        <w:rPr>
          <w:rFonts w:ascii="Times New Roman" w:hAnsi="Times New Roman" w:cs="Times New Roman"/>
          <w:bCs/>
          <w:sz w:val="22"/>
          <w:szCs w:val="22"/>
        </w:rPr>
        <w:t>Black Atlantic</w:t>
      </w:r>
      <w:r w:rsidR="00505F15">
        <w:rPr>
          <w:rFonts w:ascii="Times New Roman" w:hAnsi="Times New Roman" w:cs="Times New Roman"/>
          <w:bCs/>
          <w:sz w:val="22"/>
          <w:szCs w:val="22"/>
        </w:rPr>
        <w:t>’</w:t>
      </w:r>
      <w:r w:rsidR="00841753">
        <w:rPr>
          <w:rFonts w:ascii="Times New Roman" w:hAnsi="Times New Roman" w:cs="Times New Roman"/>
          <w:bCs/>
          <w:sz w:val="22"/>
          <w:szCs w:val="22"/>
        </w:rPr>
        <w:t>. Gilroy has studied at various educational institutions in Britain</w:t>
      </w:r>
      <w:r w:rsidR="001B15DF">
        <w:rPr>
          <w:rFonts w:ascii="Times New Roman" w:hAnsi="Times New Roman" w:cs="Times New Roman"/>
          <w:bCs/>
          <w:sz w:val="22"/>
          <w:szCs w:val="22"/>
        </w:rPr>
        <w:t>, such as ‘Sussex University and Birmingham University’ and taught across the Atlantic in America.</w:t>
      </w:r>
      <w:r w:rsidR="001B15DF">
        <w:rPr>
          <w:rStyle w:val="FootnoteReference"/>
          <w:rFonts w:ascii="Times New Roman" w:hAnsi="Times New Roman" w:cs="Times New Roman"/>
          <w:bCs/>
          <w:sz w:val="22"/>
          <w:szCs w:val="22"/>
        </w:rPr>
        <w:footnoteReference w:id="1"/>
      </w:r>
      <w:r w:rsidR="001B15DF">
        <w:rPr>
          <w:rFonts w:ascii="Times New Roman" w:hAnsi="Times New Roman" w:cs="Times New Roman"/>
          <w:bCs/>
          <w:sz w:val="22"/>
          <w:szCs w:val="22"/>
        </w:rPr>
        <w:t xml:space="preserve"> The main focus of Gilroy’s work examines the concept of ‘race’,</w:t>
      </w:r>
      <w:r w:rsidR="00505F15">
        <w:rPr>
          <w:rFonts w:ascii="Times New Roman" w:hAnsi="Times New Roman" w:cs="Times New Roman"/>
          <w:bCs/>
          <w:sz w:val="22"/>
          <w:szCs w:val="22"/>
        </w:rPr>
        <w:t xml:space="preserve"> </w:t>
      </w:r>
      <w:r w:rsidR="001B15DF">
        <w:rPr>
          <w:rFonts w:ascii="Times New Roman" w:hAnsi="Times New Roman" w:cs="Times New Roman"/>
          <w:bCs/>
          <w:sz w:val="22"/>
          <w:szCs w:val="22"/>
        </w:rPr>
        <w:t xml:space="preserve">colonial studies, cultural studies and the African diaspora, which is the main focus of Gilroy’s </w:t>
      </w:r>
      <w:r w:rsidR="001B15DF" w:rsidRPr="001B15DF">
        <w:rPr>
          <w:rFonts w:ascii="Times New Roman" w:hAnsi="Times New Roman" w:cs="Times New Roman"/>
          <w:bCs/>
          <w:i/>
          <w:iCs/>
          <w:sz w:val="22"/>
          <w:szCs w:val="22"/>
        </w:rPr>
        <w:t>The Black Atlantic: Modernity and Double Consciousness</w:t>
      </w:r>
      <w:r w:rsidR="00F42244">
        <w:rPr>
          <w:rFonts w:ascii="Times New Roman" w:hAnsi="Times New Roman" w:cs="Times New Roman"/>
          <w:bCs/>
          <w:sz w:val="22"/>
          <w:szCs w:val="22"/>
        </w:rPr>
        <w:t xml:space="preserve"> published in 1993.</w:t>
      </w:r>
      <w:r w:rsidR="001B15DF">
        <w:rPr>
          <w:rFonts w:ascii="Times New Roman" w:hAnsi="Times New Roman" w:cs="Times New Roman"/>
          <w:bCs/>
          <w:sz w:val="22"/>
          <w:szCs w:val="22"/>
        </w:rPr>
        <w:t xml:space="preserve"> Particular focus will be placed on chapter one </w:t>
      </w:r>
      <w:r w:rsidR="00F42244">
        <w:rPr>
          <w:rFonts w:ascii="Times New Roman" w:hAnsi="Times New Roman" w:cs="Times New Roman"/>
          <w:bCs/>
          <w:sz w:val="22"/>
          <w:szCs w:val="22"/>
        </w:rPr>
        <w:t xml:space="preserve">and Gilroy’s characteristics of the ‘Black Atlantic’ and his representation of ships physically and metaphorically. </w:t>
      </w:r>
    </w:p>
    <w:p w14:paraId="39AE2620" w14:textId="77777777" w:rsidR="00445375" w:rsidRDefault="00445375"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w:t>
      </w:r>
    </w:p>
    <w:p w14:paraId="4D454A4E" w14:textId="11B81212" w:rsidR="00445375" w:rsidRDefault="00445375"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Gilroy emphasises that race is a man-made construction, used to categorise individuals based on their skin colour, which could lead to political power houses or power-seeking individuals taking advantage of concept of race, not only is the categorisation used for power but has been taught to the human species for centuries</w:t>
      </w:r>
      <w:r w:rsidR="00D201D9">
        <w:rPr>
          <w:rFonts w:ascii="Times New Roman" w:hAnsi="Times New Roman" w:cs="Times New Roman"/>
          <w:bCs/>
          <w:sz w:val="22"/>
          <w:szCs w:val="22"/>
        </w:rPr>
        <w:t xml:space="preserve">, as a way to separate people based on physical differences, for example skin colour. </w:t>
      </w:r>
      <w:r>
        <w:rPr>
          <w:rFonts w:ascii="Times New Roman" w:hAnsi="Times New Roman" w:cs="Times New Roman"/>
          <w:bCs/>
          <w:sz w:val="22"/>
          <w:szCs w:val="22"/>
        </w:rPr>
        <w:t>Race does not truly biologically exist as the American Anthropological Association investigated and proved</w:t>
      </w:r>
      <w:r w:rsidR="00505F15">
        <w:rPr>
          <w:rFonts w:ascii="Times New Roman" w:hAnsi="Times New Roman" w:cs="Times New Roman"/>
          <w:bCs/>
          <w:sz w:val="22"/>
          <w:szCs w:val="22"/>
        </w:rPr>
        <w:t>,</w:t>
      </w:r>
      <w:r w:rsidR="00D201D9">
        <w:rPr>
          <w:rFonts w:ascii="Times New Roman" w:hAnsi="Times New Roman" w:cs="Times New Roman"/>
          <w:bCs/>
          <w:sz w:val="22"/>
          <w:szCs w:val="22"/>
        </w:rPr>
        <w:t xml:space="preserve"> it was used to ‘justify the retention of slavery’ in the 19</w:t>
      </w:r>
      <w:r w:rsidR="00D201D9" w:rsidRPr="00D201D9">
        <w:rPr>
          <w:rFonts w:ascii="Times New Roman" w:hAnsi="Times New Roman" w:cs="Times New Roman"/>
          <w:bCs/>
          <w:sz w:val="22"/>
          <w:szCs w:val="22"/>
          <w:vertAlign w:val="superscript"/>
        </w:rPr>
        <w:t>th</w:t>
      </w:r>
      <w:r w:rsidR="00D201D9">
        <w:rPr>
          <w:rFonts w:ascii="Times New Roman" w:hAnsi="Times New Roman" w:cs="Times New Roman"/>
          <w:bCs/>
          <w:sz w:val="22"/>
          <w:szCs w:val="22"/>
        </w:rPr>
        <w:t xml:space="preserve"> century.</w:t>
      </w:r>
      <w:r w:rsidR="00D201D9">
        <w:rPr>
          <w:rStyle w:val="FootnoteReference"/>
          <w:rFonts w:ascii="Times New Roman" w:hAnsi="Times New Roman" w:cs="Times New Roman"/>
          <w:bCs/>
          <w:sz w:val="22"/>
          <w:szCs w:val="22"/>
        </w:rPr>
        <w:footnoteReference w:id="2"/>
      </w:r>
      <w:r w:rsidR="00D201D9">
        <w:rPr>
          <w:rFonts w:ascii="Times New Roman" w:hAnsi="Times New Roman" w:cs="Times New Roman"/>
          <w:bCs/>
          <w:sz w:val="22"/>
          <w:szCs w:val="22"/>
        </w:rPr>
        <w:t xml:space="preserve"> Gilroy in his opening paragraph in chapter one states the symbolisation of colour, black and white</w:t>
      </w:r>
      <w:r w:rsidR="00505F15">
        <w:rPr>
          <w:rFonts w:ascii="Times New Roman" w:hAnsi="Times New Roman" w:cs="Times New Roman"/>
          <w:bCs/>
          <w:sz w:val="22"/>
          <w:szCs w:val="22"/>
        </w:rPr>
        <w:t>,</w:t>
      </w:r>
      <w:r w:rsidR="00D201D9">
        <w:rPr>
          <w:rFonts w:ascii="Times New Roman" w:hAnsi="Times New Roman" w:cs="Times New Roman"/>
          <w:bCs/>
          <w:sz w:val="22"/>
          <w:szCs w:val="22"/>
        </w:rPr>
        <w:t xml:space="preserve"> has left many of African descent ‘locked symbiotically in an antagonist relationship’, to which he asks the same question in regards to ethnicity and how the term is used, similar to race.</w:t>
      </w:r>
      <w:r w:rsidR="00D201D9">
        <w:rPr>
          <w:rStyle w:val="FootnoteReference"/>
          <w:rFonts w:ascii="Times New Roman" w:hAnsi="Times New Roman" w:cs="Times New Roman"/>
          <w:bCs/>
          <w:sz w:val="22"/>
          <w:szCs w:val="22"/>
        </w:rPr>
        <w:footnoteReference w:id="3"/>
      </w:r>
      <w:r w:rsidR="00D201D9">
        <w:rPr>
          <w:rFonts w:ascii="Times New Roman" w:hAnsi="Times New Roman" w:cs="Times New Roman"/>
          <w:bCs/>
          <w:sz w:val="22"/>
          <w:szCs w:val="22"/>
        </w:rPr>
        <w:t xml:space="preserve"> </w:t>
      </w:r>
      <w:r w:rsidR="00DA71E5">
        <w:rPr>
          <w:rFonts w:ascii="Times New Roman" w:hAnsi="Times New Roman" w:cs="Times New Roman"/>
          <w:bCs/>
          <w:sz w:val="22"/>
          <w:szCs w:val="22"/>
        </w:rPr>
        <w:t>How race is categorised in a western modern world, enabled and justified the mass transatlantic slave trade, which Gilroy has coined the ‘Black Atlantic’.</w:t>
      </w:r>
    </w:p>
    <w:p w14:paraId="361FABC0" w14:textId="780CA2A3" w:rsidR="00DA71E5" w:rsidRDefault="00DA71E5" w:rsidP="000A71BC">
      <w:pPr>
        <w:spacing w:line="360" w:lineRule="auto"/>
        <w:ind w:right="567"/>
        <w:jc w:val="both"/>
        <w:rPr>
          <w:rFonts w:ascii="Times New Roman" w:hAnsi="Times New Roman" w:cs="Times New Roman"/>
          <w:bCs/>
          <w:sz w:val="22"/>
          <w:szCs w:val="22"/>
        </w:rPr>
      </w:pPr>
    </w:p>
    <w:p w14:paraId="68413E9A" w14:textId="77BF07D6" w:rsidR="00C86810" w:rsidRDefault="00DA71E5"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Gilroy places importance on modernity and defining nationality, ethnicity and what is classed as ‘authenticity’ and highlights the implications these have for cultural criticism and cultural history. For </w:t>
      </w:r>
      <w:r w:rsidR="00C86810">
        <w:rPr>
          <w:rFonts w:ascii="Times New Roman" w:hAnsi="Times New Roman" w:cs="Times New Roman"/>
          <w:bCs/>
          <w:sz w:val="22"/>
          <w:szCs w:val="22"/>
        </w:rPr>
        <w:t>example,</w:t>
      </w:r>
      <w:r>
        <w:rPr>
          <w:rFonts w:ascii="Times New Roman" w:hAnsi="Times New Roman" w:cs="Times New Roman"/>
          <w:bCs/>
          <w:sz w:val="22"/>
          <w:szCs w:val="22"/>
        </w:rPr>
        <w:t xml:space="preserve"> </w:t>
      </w:r>
      <w:r w:rsidR="00C86810">
        <w:rPr>
          <w:rFonts w:ascii="Times New Roman" w:hAnsi="Times New Roman" w:cs="Times New Roman"/>
          <w:bCs/>
          <w:sz w:val="22"/>
          <w:szCs w:val="22"/>
        </w:rPr>
        <w:t xml:space="preserve">the Azande tribe, based in north central Africa were ‘studied’ by anthropologist E. E. Evans-Pritchard, a </w:t>
      </w:r>
      <w:r w:rsidR="00505F15">
        <w:rPr>
          <w:rFonts w:ascii="Times New Roman" w:hAnsi="Times New Roman" w:cs="Times New Roman"/>
          <w:bCs/>
          <w:sz w:val="22"/>
          <w:szCs w:val="22"/>
        </w:rPr>
        <w:t xml:space="preserve">middle-class </w:t>
      </w:r>
      <w:r w:rsidR="00C86810">
        <w:rPr>
          <w:rFonts w:ascii="Times New Roman" w:hAnsi="Times New Roman" w:cs="Times New Roman"/>
          <w:bCs/>
          <w:sz w:val="22"/>
          <w:szCs w:val="22"/>
        </w:rPr>
        <w:t>white western man, who looked into their cultural practices and religion, in which he termed witchcraft.</w:t>
      </w:r>
      <w:r w:rsidR="00C86810">
        <w:rPr>
          <w:rStyle w:val="FootnoteReference"/>
          <w:rFonts w:ascii="Times New Roman" w:hAnsi="Times New Roman" w:cs="Times New Roman"/>
          <w:bCs/>
          <w:sz w:val="22"/>
          <w:szCs w:val="22"/>
        </w:rPr>
        <w:footnoteReference w:id="4"/>
      </w:r>
      <w:r w:rsidR="00C86810">
        <w:rPr>
          <w:rFonts w:ascii="Times New Roman" w:hAnsi="Times New Roman" w:cs="Times New Roman"/>
          <w:bCs/>
          <w:sz w:val="22"/>
          <w:szCs w:val="22"/>
        </w:rPr>
        <w:t xml:space="preserve"> Upon the publication of this work, white western scholars and anthropologists criticised their cultural practices and history and debated whether their ways </w:t>
      </w:r>
      <w:r w:rsidR="00505F15">
        <w:rPr>
          <w:rFonts w:ascii="Times New Roman" w:hAnsi="Times New Roman" w:cs="Times New Roman"/>
          <w:bCs/>
          <w:sz w:val="22"/>
          <w:szCs w:val="22"/>
        </w:rPr>
        <w:t>are</w:t>
      </w:r>
      <w:r w:rsidR="00C86810">
        <w:rPr>
          <w:rFonts w:ascii="Times New Roman" w:hAnsi="Times New Roman" w:cs="Times New Roman"/>
          <w:bCs/>
          <w:sz w:val="22"/>
          <w:szCs w:val="22"/>
        </w:rPr>
        <w:t xml:space="preserve"> rational or irrational</w:t>
      </w:r>
      <w:r w:rsidR="00505F15">
        <w:rPr>
          <w:rFonts w:ascii="Times New Roman" w:hAnsi="Times New Roman" w:cs="Times New Roman"/>
          <w:bCs/>
          <w:sz w:val="22"/>
          <w:szCs w:val="22"/>
        </w:rPr>
        <w:t>. F</w:t>
      </w:r>
      <w:r w:rsidR="00C86810">
        <w:rPr>
          <w:rFonts w:ascii="Times New Roman" w:hAnsi="Times New Roman" w:cs="Times New Roman"/>
          <w:bCs/>
          <w:sz w:val="22"/>
          <w:szCs w:val="22"/>
        </w:rPr>
        <w:t>rom a</w:t>
      </w:r>
      <w:r w:rsidR="00505F15">
        <w:rPr>
          <w:rFonts w:ascii="Times New Roman" w:hAnsi="Times New Roman" w:cs="Times New Roman"/>
          <w:bCs/>
          <w:sz w:val="22"/>
          <w:szCs w:val="22"/>
        </w:rPr>
        <w:t>n embedded</w:t>
      </w:r>
      <w:r w:rsidR="00C86810">
        <w:rPr>
          <w:rFonts w:ascii="Times New Roman" w:hAnsi="Times New Roman" w:cs="Times New Roman"/>
          <w:bCs/>
          <w:sz w:val="22"/>
          <w:szCs w:val="22"/>
        </w:rPr>
        <w:t xml:space="preserve"> western perspective and </w:t>
      </w:r>
      <w:r w:rsidR="00505F15">
        <w:rPr>
          <w:rFonts w:ascii="Times New Roman" w:hAnsi="Times New Roman" w:cs="Times New Roman"/>
          <w:bCs/>
          <w:sz w:val="22"/>
          <w:szCs w:val="22"/>
        </w:rPr>
        <w:t>ideology,</w:t>
      </w:r>
      <w:r w:rsidR="00C86810">
        <w:rPr>
          <w:rFonts w:ascii="Times New Roman" w:hAnsi="Times New Roman" w:cs="Times New Roman"/>
          <w:bCs/>
          <w:sz w:val="22"/>
          <w:szCs w:val="22"/>
        </w:rPr>
        <w:t xml:space="preserve"> </w:t>
      </w:r>
      <w:r w:rsidR="00505F15">
        <w:rPr>
          <w:rFonts w:ascii="Times New Roman" w:hAnsi="Times New Roman" w:cs="Times New Roman"/>
          <w:bCs/>
          <w:sz w:val="22"/>
          <w:szCs w:val="22"/>
        </w:rPr>
        <w:t xml:space="preserve">they </w:t>
      </w:r>
      <w:r w:rsidR="00C86810">
        <w:rPr>
          <w:rFonts w:ascii="Times New Roman" w:hAnsi="Times New Roman" w:cs="Times New Roman"/>
          <w:bCs/>
          <w:sz w:val="22"/>
          <w:szCs w:val="22"/>
        </w:rPr>
        <w:t>deemed it all irrational.</w:t>
      </w:r>
      <w:r w:rsidR="008C02E8">
        <w:rPr>
          <w:rFonts w:ascii="Times New Roman" w:hAnsi="Times New Roman" w:cs="Times New Roman"/>
          <w:bCs/>
          <w:sz w:val="22"/>
          <w:szCs w:val="22"/>
        </w:rPr>
        <w:t xml:space="preserve"> Gilroy states blacks have struggled</w:t>
      </w:r>
      <w:r w:rsidR="00FC34F9">
        <w:rPr>
          <w:rFonts w:ascii="Times New Roman" w:hAnsi="Times New Roman" w:cs="Times New Roman"/>
          <w:bCs/>
          <w:sz w:val="22"/>
          <w:szCs w:val="22"/>
        </w:rPr>
        <w:t xml:space="preserve"> to be</w:t>
      </w:r>
      <w:r w:rsidR="008C02E8">
        <w:rPr>
          <w:rFonts w:ascii="Times New Roman" w:hAnsi="Times New Roman" w:cs="Times New Roman"/>
          <w:bCs/>
          <w:sz w:val="22"/>
          <w:szCs w:val="22"/>
        </w:rPr>
        <w:t xml:space="preserve"> </w:t>
      </w:r>
      <w:r w:rsidR="00FC34F9">
        <w:rPr>
          <w:rFonts w:ascii="Times New Roman" w:hAnsi="Times New Roman" w:cs="Times New Roman"/>
          <w:bCs/>
          <w:sz w:val="22"/>
          <w:szCs w:val="22"/>
        </w:rPr>
        <w:t>‘</w:t>
      </w:r>
      <w:r w:rsidR="007E5606">
        <w:rPr>
          <w:rFonts w:ascii="Times New Roman" w:hAnsi="Times New Roman" w:cs="Times New Roman"/>
          <w:bCs/>
          <w:sz w:val="22"/>
          <w:szCs w:val="22"/>
        </w:rPr>
        <w:t>perceived</w:t>
      </w:r>
      <w:r w:rsidR="00FC34F9">
        <w:rPr>
          <w:rFonts w:ascii="Times New Roman" w:hAnsi="Times New Roman" w:cs="Times New Roman"/>
          <w:bCs/>
          <w:sz w:val="22"/>
          <w:szCs w:val="22"/>
        </w:rPr>
        <w:t xml:space="preserve"> as </w:t>
      </w:r>
      <w:r w:rsidR="00FC34F9">
        <w:rPr>
          <w:rFonts w:ascii="Times New Roman" w:hAnsi="Times New Roman" w:cs="Times New Roman"/>
          <w:bCs/>
          <w:sz w:val="22"/>
          <w:szCs w:val="22"/>
        </w:rPr>
        <w:lastRenderedPageBreak/>
        <w:t>agents, as peoples with cognitive capacities and even with an intellectual history’, due to modern racism, which links to the rational and irrational thought debate.</w:t>
      </w:r>
      <w:r w:rsidR="00FC34F9">
        <w:rPr>
          <w:rStyle w:val="FootnoteReference"/>
          <w:rFonts w:ascii="Times New Roman" w:hAnsi="Times New Roman" w:cs="Times New Roman"/>
          <w:bCs/>
          <w:sz w:val="22"/>
          <w:szCs w:val="22"/>
        </w:rPr>
        <w:footnoteReference w:id="5"/>
      </w:r>
      <w:r w:rsidR="00FC34F9">
        <w:rPr>
          <w:rFonts w:ascii="Times New Roman" w:hAnsi="Times New Roman" w:cs="Times New Roman"/>
          <w:bCs/>
          <w:sz w:val="22"/>
          <w:szCs w:val="22"/>
        </w:rPr>
        <w:t xml:space="preserve"> </w:t>
      </w:r>
      <w:r w:rsidR="008C02E8">
        <w:rPr>
          <w:rFonts w:ascii="Times New Roman" w:hAnsi="Times New Roman" w:cs="Times New Roman"/>
          <w:bCs/>
          <w:sz w:val="22"/>
          <w:szCs w:val="22"/>
        </w:rPr>
        <w:t xml:space="preserve"> Ethnicity, nationality and authenticity is a ‘modern phenomenon’ as Gilroy states</w:t>
      </w:r>
      <w:r w:rsidR="00FC34F9">
        <w:rPr>
          <w:rFonts w:ascii="Times New Roman" w:hAnsi="Times New Roman" w:cs="Times New Roman"/>
          <w:bCs/>
          <w:sz w:val="22"/>
          <w:szCs w:val="22"/>
        </w:rPr>
        <w:t xml:space="preserve"> in his argument</w:t>
      </w:r>
      <w:r w:rsidR="008C02E8">
        <w:rPr>
          <w:rFonts w:ascii="Times New Roman" w:hAnsi="Times New Roman" w:cs="Times New Roman"/>
          <w:bCs/>
          <w:sz w:val="22"/>
          <w:szCs w:val="22"/>
        </w:rPr>
        <w:t>.</w:t>
      </w:r>
      <w:r w:rsidR="008C02E8">
        <w:rPr>
          <w:rStyle w:val="FootnoteReference"/>
          <w:rFonts w:ascii="Times New Roman" w:hAnsi="Times New Roman" w:cs="Times New Roman"/>
          <w:bCs/>
          <w:sz w:val="22"/>
          <w:szCs w:val="22"/>
        </w:rPr>
        <w:footnoteReference w:id="6"/>
      </w:r>
    </w:p>
    <w:p w14:paraId="18CE83E5" w14:textId="77777777" w:rsidR="008C02E8" w:rsidRDefault="00C86810"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w:t>
      </w:r>
    </w:p>
    <w:p w14:paraId="17C848C5" w14:textId="404599DB" w:rsidR="00DA71E5" w:rsidRDefault="008C02E8"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Another key characteristic of Gilroy’s ‘Black Atlantic’ is the concept of double conciseness, a term first used by W. E. B. Du Bois. Gilroy identifies as both ‘European and black’, highlighting he has a sense of double conciseness, belonging to two different cultures, just like Du Bois, who identified as American and African.</w:t>
      </w:r>
      <w:r>
        <w:rPr>
          <w:rStyle w:val="FootnoteReference"/>
          <w:rFonts w:ascii="Times New Roman" w:hAnsi="Times New Roman" w:cs="Times New Roman"/>
          <w:bCs/>
          <w:sz w:val="22"/>
          <w:szCs w:val="22"/>
        </w:rPr>
        <w:footnoteReference w:id="7"/>
      </w:r>
      <w:r>
        <w:rPr>
          <w:rFonts w:ascii="Times New Roman" w:hAnsi="Times New Roman" w:cs="Times New Roman"/>
          <w:bCs/>
          <w:sz w:val="22"/>
          <w:szCs w:val="22"/>
        </w:rPr>
        <w:t xml:space="preserve"> </w:t>
      </w:r>
      <w:r w:rsidR="00FC34F9">
        <w:rPr>
          <w:rFonts w:ascii="Times New Roman" w:hAnsi="Times New Roman" w:cs="Times New Roman"/>
          <w:bCs/>
          <w:sz w:val="22"/>
          <w:szCs w:val="22"/>
        </w:rPr>
        <w:t xml:space="preserve">Gilroy throughout the chapter makes reference to influential black figures such as C. L. R. James, Stuart Hall, Martin Delany, who Gilroy describes as an ‘early architect of black nationalism’ and interventionalist scholars based in the US, Bell Hooks and Cornel West, </w:t>
      </w:r>
      <w:r w:rsidR="008112B5">
        <w:rPr>
          <w:rFonts w:ascii="Times New Roman" w:hAnsi="Times New Roman" w:cs="Times New Roman"/>
          <w:bCs/>
          <w:sz w:val="22"/>
          <w:szCs w:val="22"/>
        </w:rPr>
        <w:t xml:space="preserve">all who have backgrounds in social </w:t>
      </w:r>
      <w:r w:rsidR="00FC34F9">
        <w:rPr>
          <w:rFonts w:ascii="Times New Roman" w:hAnsi="Times New Roman" w:cs="Times New Roman"/>
          <w:bCs/>
          <w:sz w:val="22"/>
          <w:szCs w:val="22"/>
        </w:rPr>
        <w:t>history</w:t>
      </w:r>
      <w:r w:rsidR="008112B5">
        <w:rPr>
          <w:rFonts w:ascii="Times New Roman" w:hAnsi="Times New Roman" w:cs="Times New Roman"/>
          <w:bCs/>
          <w:sz w:val="22"/>
          <w:szCs w:val="22"/>
        </w:rPr>
        <w:t xml:space="preserve"> and studies and some with relations to the political ideology of Pan-Africanism</w:t>
      </w:r>
      <w:r w:rsidR="00FC34F9">
        <w:rPr>
          <w:rFonts w:ascii="Times New Roman" w:hAnsi="Times New Roman" w:cs="Times New Roman"/>
          <w:bCs/>
          <w:sz w:val="22"/>
          <w:szCs w:val="22"/>
        </w:rPr>
        <w:t>.</w:t>
      </w:r>
      <w:r w:rsidR="00FC34F9">
        <w:rPr>
          <w:rStyle w:val="FootnoteReference"/>
          <w:rFonts w:ascii="Times New Roman" w:hAnsi="Times New Roman" w:cs="Times New Roman"/>
          <w:bCs/>
          <w:sz w:val="22"/>
          <w:szCs w:val="22"/>
        </w:rPr>
        <w:footnoteReference w:id="8"/>
      </w:r>
      <w:r w:rsidR="008112B5">
        <w:rPr>
          <w:rFonts w:ascii="Times New Roman" w:hAnsi="Times New Roman" w:cs="Times New Roman"/>
          <w:bCs/>
          <w:sz w:val="22"/>
          <w:szCs w:val="22"/>
        </w:rPr>
        <w:t xml:space="preserve"> Through the understanding of </w:t>
      </w:r>
      <w:r w:rsidR="007766E5">
        <w:rPr>
          <w:rFonts w:ascii="Times New Roman" w:hAnsi="Times New Roman" w:cs="Times New Roman"/>
          <w:bCs/>
          <w:sz w:val="22"/>
          <w:szCs w:val="22"/>
        </w:rPr>
        <w:t>the individuals</w:t>
      </w:r>
      <w:r w:rsidR="008112B5">
        <w:rPr>
          <w:rFonts w:ascii="Times New Roman" w:hAnsi="Times New Roman" w:cs="Times New Roman"/>
          <w:bCs/>
          <w:sz w:val="22"/>
          <w:szCs w:val="22"/>
        </w:rPr>
        <w:t xml:space="preserve"> ‘adoptive and parental cultures’ is a sense of double conciseness, which has created the terms creolisation, hybridity, cultural insiderism, a mixture of different cultures or a sense of difference forming one categorizable identity, described by Gilroy as ‘mongrel cultural forms’.</w:t>
      </w:r>
      <w:r w:rsidR="008112B5">
        <w:rPr>
          <w:rStyle w:val="FootnoteReference"/>
          <w:rFonts w:ascii="Times New Roman" w:hAnsi="Times New Roman" w:cs="Times New Roman"/>
          <w:bCs/>
          <w:sz w:val="22"/>
          <w:szCs w:val="22"/>
        </w:rPr>
        <w:footnoteReference w:id="9"/>
      </w:r>
    </w:p>
    <w:p w14:paraId="481B0C0E" w14:textId="50AA5DD6" w:rsidR="007766E5" w:rsidRDefault="007766E5" w:rsidP="000A71BC">
      <w:pPr>
        <w:spacing w:line="360" w:lineRule="auto"/>
        <w:ind w:right="567"/>
        <w:jc w:val="both"/>
        <w:rPr>
          <w:rFonts w:ascii="Times New Roman" w:hAnsi="Times New Roman" w:cs="Times New Roman"/>
          <w:bCs/>
          <w:sz w:val="22"/>
          <w:szCs w:val="22"/>
        </w:rPr>
      </w:pPr>
    </w:p>
    <w:p w14:paraId="32DEB209" w14:textId="275DE76E" w:rsidR="007766E5" w:rsidRDefault="007766E5"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w:t>
      </w:r>
      <w:r w:rsidR="00505F15">
        <w:rPr>
          <w:rFonts w:ascii="Times New Roman" w:hAnsi="Times New Roman" w:cs="Times New Roman"/>
          <w:bCs/>
          <w:sz w:val="22"/>
          <w:szCs w:val="22"/>
        </w:rPr>
        <w:t xml:space="preserve">In </w:t>
      </w:r>
      <w:r>
        <w:rPr>
          <w:rFonts w:ascii="Times New Roman" w:hAnsi="Times New Roman" w:cs="Times New Roman"/>
          <w:bCs/>
          <w:sz w:val="22"/>
          <w:szCs w:val="22"/>
        </w:rPr>
        <w:t>Gilroy’s analysis of the ‘Black Atlantic</w:t>
      </w:r>
      <w:r w:rsidR="00505F15">
        <w:rPr>
          <w:rFonts w:ascii="Times New Roman" w:hAnsi="Times New Roman" w:cs="Times New Roman"/>
          <w:bCs/>
          <w:sz w:val="22"/>
          <w:szCs w:val="22"/>
        </w:rPr>
        <w:t>,</w:t>
      </w:r>
      <w:r>
        <w:rPr>
          <w:rFonts w:ascii="Times New Roman" w:hAnsi="Times New Roman" w:cs="Times New Roman"/>
          <w:bCs/>
          <w:sz w:val="22"/>
          <w:szCs w:val="22"/>
        </w:rPr>
        <w:t xml:space="preserve"> an emphasis is placed on ships, metaphorically and </w:t>
      </w:r>
      <w:r w:rsidR="00505F15">
        <w:rPr>
          <w:rFonts w:ascii="Times New Roman" w:hAnsi="Times New Roman" w:cs="Times New Roman"/>
          <w:bCs/>
          <w:sz w:val="22"/>
          <w:szCs w:val="22"/>
        </w:rPr>
        <w:t>physically</w:t>
      </w:r>
      <w:r>
        <w:rPr>
          <w:rFonts w:ascii="Times New Roman" w:hAnsi="Times New Roman" w:cs="Times New Roman"/>
          <w:bCs/>
          <w:sz w:val="22"/>
          <w:szCs w:val="22"/>
        </w:rPr>
        <w:t>. Gilroy introduces a new chronotope, a new narrative using ships, making them symbolic, representing time and space across the Atlantic. Gilroy uses the imagery of ships crossing the Atlantic, going to and from, Europe, America, Africa and the Caribbean for his main narrative. Symbolically Gilroy explains the</w:t>
      </w:r>
      <w:r w:rsidR="000A1E28">
        <w:rPr>
          <w:rFonts w:ascii="Times New Roman" w:hAnsi="Times New Roman" w:cs="Times New Roman"/>
          <w:bCs/>
          <w:sz w:val="22"/>
          <w:szCs w:val="22"/>
        </w:rPr>
        <w:t xml:space="preserve"> s</w:t>
      </w:r>
      <w:r>
        <w:rPr>
          <w:rFonts w:ascii="Times New Roman" w:hAnsi="Times New Roman" w:cs="Times New Roman"/>
          <w:bCs/>
          <w:sz w:val="22"/>
          <w:szCs w:val="22"/>
        </w:rPr>
        <w:t xml:space="preserve">hip represents ‘a living, micro-culture, micro-political system’, </w:t>
      </w:r>
      <w:r w:rsidR="000A1E28">
        <w:rPr>
          <w:rFonts w:ascii="Times New Roman" w:hAnsi="Times New Roman" w:cs="Times New Roman"/>
          <w:bCs/>
          <w:sz w:val="22"/>
          <w:szCs w:val="22"/>
        </w:rPr>
        <w:t>a culture that has its own values, ethos and beliefs and own mini system of governance and economics, which could be classed as maritime culture.</w:t>
      </w:r>
      <w:r w:rsidR="000A1E28">
        <w:rPr>
          <w:rStyle w:val="FootnoteReference"/>
          <w:rFonts w:ascii="Times New Roman" w:hAnsi="Times New Roman" w:cs="Times New Roman"/>
          <w:bCs/>
          <w:sz w:val="22"/>
          <w:szCs w:val="22"/>
        </w:rPr>
        <w:footnoteReference w:id="10"/>
      </w:r>
      <w:r w:rsidR="000A1E28">
        <w:rPr>
          <w:rFonts w:ascii="Times New Roman" w:hAnsi="Times New Roman" w:cs="Times New Roman"/>
          <w:bCs/>
          <w:sz w:val="22"/>
          <w:szCs w:val="22"/>
        </w:rPr>
        <w:t xml:space="preserve"> Maritime culture refers to those at sea, but a culture that is fluid due to the mixture of languages, cultures and nationalities aboard ships. Gilroy acknowledges </w:t>
      </w:r>
      <w:r w:rsidR="001D7C1A">
        <w:rPr>
          <w:rFonts w:ascii="Times New Roman" w:hAnsi="Times New Roman" w:cs="Times New Roman"/>
          <w:bCs/>
          <w:sz w:val="22"/>
          <w:szCs w:val="22"/>
        </w:rPr>
        <w:t>ships bring attention to the middle passage, through the spread of different ideologies ‘cultural and political artefacts: tracts, books, gramo-phone records and choirs’, this allowed for the mixing in cultural beliefs and practices.</w:t>
      </w:r>
      <w:r w:rsidR="001D7C1A">
        <w:rPr>
          <w:rStyle w:val="FootnoteReference"/>
          <w:rFonts w:ascii="Times New Roman" w:hAnsi="Times New Roman" w:cs="Times New Roman"/>
          <w:bCs/>
          <w:sz w:val="22"/>
          <w:szCs w:val="22"/>
        </w:rPr>
        <w:footnoteReference w:id="11"/>
      </w:r>
      <w:r w:rsidR="001D7C1A">
        <w:rPr>
          <w:rFonts w:ascii="Times New Roman" w:hAnsi="Times New Roman" w:cs="Times New Roman"/>
          <w:bCs/>
          <w:sz w:val="22"/>
          <w:szCs w:val="22"/>
        </w:rPr>
        <w:t xml:space="preserve"> Gilroy examines Wedderburn and Davidson who were both slave sailors, who moved between nations and were themselves ‘micro-systems of linguistic and political hybridity’ a mixture of their parental and </w:t>
      </w:r>
      <w:r w:rsidR="001D7C1A">
        <w:rPr>
          <w:rFonts w:ascii="Times New Roman" w:hAnsi="Times New Roman" w:cs="Times New Roman"/>
          <w:bCs/>
          <w:sz w:val="22"/>
          <w:szCs w:val="22"/>
        </w:rPr>
        <w:lastRenderedPageBreak/>
        <w:t>adoptive cultures.</w:t>
      </w:r>
      <w:r w:rsidR="001D7C1A">
        <w:rPr>
          <w:rStyle w:val="FootnoteReference"/>
          <w:rFonts w:ascii="Times New Roman" w:hAnsi="Times New Roman" w:cs="Times New Roman"/>
          <w:bCs/>
          <w:sz w:val="22"/>
          <w:szCs w:val="22"/>
        </w:rPr>
        <w:footnoteReference w:id="12"/>
      </w:r>
      <w:r w:rsidR="001D7C1A">
        <w:rPr>
          <w:rFonts w:ascii="Times New Roman" w:hAnsi="Times New Roman" w:cs="Times New Roman"/>
          <w:bCs/>
          <w:sz w:val="22"/>
          <w:szCs w:val="22"/>
        </w:rPr>
        <w:t xml:space="preserve"> Gilroy uses the example of J. Turners painting of a slave ship </w:t>
      </w:r>
      <w:r w:rsidR="007A4A57">
        <w:rPr>
          <w:rFonts w:ascii="Times New Roman" w:hAnsi="Times New Roman" w:cs="Times New Roman"/>
          <w:bCs/>
          <w:sz w:val="22"/>
          <w:szCs w:val="22"/>
        </w:rPr>
        <w:t xml:space="preserve">that ended up in Boston to represent the cultural exchange across the Atlantic. </w:t>
      </w:r>
    </w:p>
    <w:p w14:paraId="1213D4AA" w14:textId="75D1CB1E" w:rsidR="00C2057D" w:rsidRPr="00C2057D" w:rsidRDefault="007A4A57"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Gilroy seeks to highlight that</w:t>
      </w:r>
      <w:r w:rsidR="008E4F3C">
        <w:rPr>
          <w:rFonts w:ascii="Times New Roman" w:hAnsi="Times New Roman" w:cs="Times New Roman"/>
          <w:bCs/>
          <w:sz w:val="22"/>
          <w:szCs w:val="22"/>
        </w:rPr>
        <w:t xml:space="preserve"> physical </w:t>
      </w:r>
      <w:r>
        <w:rPr>
          <w:rFonts w:ascii="Times New Roman" w:hAnsi="Times New Roman" w:cs="Times New Roman"/>
          <w:bCs/>
          <w:sz w:val="22"/>
          <w:szCs w:val="22"/>
        </w:rPr>
        <w:t xml:space="preserve">routes that slave ships </w:t>
      </w:r>
      <w:r w:rsidR="008E4F3C">
        <w:rPr>
          <w:rFonts w:ascii="Times New Roman" w:hAnsi="Times New Roman" w:cs="Times New Roman"/>
          <w:bCs/>
          <w:sz w:val="22"/>
          <w:szCs w:val="22"/>
        </w:rPr>
        <w:t xml:space="preserve">embarked </w:t>
      </w:r>
      <w:r>
        <w:rPr>
          <w:rFonts w:ascii="Times New Roman" w:hAnsi="Times New Roman" w:cs="Times New Roman"/>
          <w:bCs/>
          <w:sz w:val="22"/>
          <w:szCs w:val="22"/>
        </w:rPr>
        <w:t>across the Atlantic enabled cultures to combine with one another, but roots, the parental culture of those slaves still remain, which has created a sense of double conciseness, those identifying with two identities. Identities categorised as hybridity</w:t>
      </w:r>
      <w:r w:rsidR="00B4034D">
        <w:rPr>
          <w:rFonts w:ascii="Times New Roman" w:hAnsi="Times New Roman" w:cs="Times New Roman"/>
          <w:bCs/>
          <w:sz w:val="22"/>
          <w:szCs w:val="22"/>
        </w:rPr>
        <w:t>, creolisation or syncretism.</w:t>
      </w:r>
    </w:p>
    <w:p w14:paraId="217E6A41" w14:textId="09BF041A" w:rsidR="007A4A57" w:rsidRDefault="007A4A57" w:rsidP="000A71BC">
      <w:pPr>
        <w:spacing w:line="360" w:lineRule="auto"/>
        <w:ind w:right="567"/>
        <w:jc w:val="both"/>
        <w:rPr>
          <w:rFonts w:ascii="Times New Roman" w:hAnsi="Times New Roman" w:cs="Times New Roman"/>
          <w:bCs/>
          <w:sz w:val="22"/>
          <w:szCs w:val="22"/>
        </w:rPr>
      </w:pPr>
    </w:p>
    <w:p w14:paraId="000D0DAD" w14:textId="08F5BB1D" w:rsidR="007A4A57" w:rsidRDefault="007A4A57"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w:t>
      </w:r>
    </w:p>
    <w:p w14:paraId="0C6A44FF" w14:textId="77777777" w:rsidR="00C2057D" w:rsidRDefault="00C2057D" w:rsidP="00C2057D">
      <w:pPr>
        <w:spacing w:line="360" w:lineRule="auto"/>
        <w:ind w:right="567"/>
        <w:jc w:val="both"/>
        <w:rPr>
          <w:rFonts w:ascii="Times New Roman" w:hAnsi="Times New Roman" w:cs="Times New Roman"/>
          <w:b/>
          <w:sz w:val="22"/>
          <w:szCs w:val="22"/>
          <w:u w:val="single"/>
        </w:rPr>
      </w:pPr>
      <w:r w:rsidRPr="00C2057D">
        <w:rPr>
          <w:rFonts w:ascii="Times New Roman" w:hAnsi="Times New Roman" w:cs="Times New Roman"/>
          <w:b/>
          <w:sz w:val="22"/>
          <w:szCs w:val="22"/>
          <w:u w:val="single"/>
        </w:rPr>
        <w:t xml:space="preserve">Bibliography </w:t>
      </w:r>
      <w:r>
        <w:rPr>
          <w:rFonts w:ascii="Times New Roman" w:hAnsi="Times New Roman" w:cs="Times New Roman"/>
          <w:b/>
          <w:sz w:val="22"/>
          <w:szCs w:val="22"/>
          <w:u w:val="single"/>
        </w:rPr>
        <w:t>– Secondary Sources</w:t>
      </w:r>
    </w:p>
    <w:p w14:paraId="63E5B14B" w14:textId="77777777" w:rsidR="00C2057D" w:rsidRDefault="00C2057D" w:rsidP="00C2057D">
      <w:pPr>
        <w:spacing w:line="360" w:lineRule="auto"/>
        <w:ind w:right="567"/>
        <w:jc w:val="both"/>
        <w:rPr>
          <w:rFonts w:ascii="Times New Roman" w:hAnsi="Times New Roman" w:cs="Times New Roman"/>
          <w:b/>
          <w:sz w:val="22"/>
          <w:szCs w:val="22"/>
          <w:u w:val="single"/>
        </w:rPr>
      </w:pPr>
    </w:p>
    <w:p w14:paraId="7DCF6F19" w14:textId="77777777" w:rsidR="00C2057D" w:rsidRDefault="00C2057D" w:rsidP="00C2057D">
      <w:pPr>
        <w:spacing w:line="360" w:lineRule="auto"/>
        <w:ind w:right="567"/>
        <w:jc w:val="both"/>
        <w:rPr>
          <w:rFonts w:ascii="Times New Roman" w:hAnsi="Times New Roman" w:cs="Times New Roman"/>
          <w:sz w:val="22"/>
          <w:szCs w:val="22"/>
        </w:rPr>
      </w:pPr>
      <w:r w:rsidRPr="00C2057D">
        <w:rPr>
          <w:rFonts w:ascii="Times New Roman" w:hAnsi="Times New Roman" w:cs="Times New Roman"/>
          <w:sz w:val="22"/>
          <w:szCs w:val="22"/>
        </w:rPr>
        <w:t>American Anthropological Association Executive Board, Statement on Race, (1998), &lt;</w:t>
      </w:r>
      <w:hyperlink r:id="rId8" w:history="1">
        <w:r w:rsidRPr="00C2057D">
          <w:rPr>
            <w:rStyle w:val="Hyperlink"/>
            <w:rFonts w:ascii="Times New Roman" w:hAnsi="Times New Roman" w:cs="Times New Roman"/>
            <w:sz w:val="22"/>
            <w:szCs w:val="22"/>
          </w:rPr>
          <w:t>https://www.americananthro.org/ConnectWithAAA/Content.aspx?ItemNumber=2583</w:t>
        </w:r>
      </w:hyperlink>
      <w:r w:rsidRPr="00C2057D">
        <w:rPr>
          <w:rFonts w:ascii="Times New Roman" w:hAnsi="Times New Roman" w:cs="Times New Roman"/>
          <w:sz w:val="22"/>
          <w:szCs w:val="22"/>
        </w:rPr>
        <w:t>&gt; [accessed 10 January 2020].</w:t>
      </w:r>
    </w:p>
    <w:p w14:paraId="19E5FEA8" w14:textId="77777777" w:rsidR="00C2057D" w:rsidRDefault="00C2057D" w:rsidP="00C2057D">
      <w:pPr>
        <w:spacing w:line="360" w:lineRule="auto"/>
        <w:ind w:right="567"/>
        <w:jc w:val="both"/>
        <w:rPr>
          <w:rFonts w:ascii="Times New Roman" w:hAnsi="Times New Roman" w:cs="Times New Roman"/>
          <w:sz w:val="22"/>
          <w:szCs w:val="22"/>
        </w:rPr>
      </w:pPr>
    </w:p>
    <w:p w14:paraId="27672E27" w14:textId="77777777" w:rsidR="00C2057D" w:rsidRDefault="00C2057D" w:rsidP="00C2057D">
      <w:pPr>
        <w:spacing w:line="360" w:lineRule="auto"/>
        <w:ind w:right="567"/>
        <w:jc w:val="both"/>
        <w:rPr>
          <w:rFonts w:ascii="Times New Roman" w:hAnsi="Times New Roman" w:cs="Times New Roman"/>
          <w:sz w:val="22"/>
          <w:szCs w:val="22"/>
        </w:rPr>
      </w:pPr>
      <w:bookmarkStart w:id="0" w:name="_GoBack"/>
      <w:r w:rsidRPr="00C2057D">
        <w:rPr>
          <w:rFonts w:ascii="Times New Roman" w:hAnsi="Times New Roman" w:cs="Times New Roman"/>
          <w:sz w:val="22"/>
          <w:szCs w:val="22"/>
        </w:rPr>
        <w:t>Gilroy</w:t>
      </w:r>
      <w:r>
        <w:rPr>
          <w:rFonts w:ascii="Times New Roman" w:hAnsi="Times New Roman" w:cs="Times New Roman"/>
          <w:sz w:val="22"/>
          <w:szCs w:val="22"/>
        </w:rPr>
        <w:t xml:space="preserve"> P.</w:t>
      </w:r>
      <w:r w:rsidRPr="00C2057D">
        <w:rPr>
          <w:rFonts w:ascii="Times New Roman" w:hAnsi="Times New Roman" w:cs="Times New Roman"/>
          <w:sz w:val="22"/>
          <w:szCs w:val="22"/>
        </w:rPr>
        <w:t xml:space="preserve">, </w:t>
      </w:r>
      <w:r w:rsidRPr="00C2057D">
        <w:rPr>
          <w:rFonts w:ascii="Times New Roman" w:hAnsi="Times New Roman" w:cs="Times New Roman"/>
          <w:i/>
          <w:iCs/>
          <w:sz w:val="22"/>
          <w:szCs w:val="22"/>
        </w:rPr>
        <w:t>The Black Atlantic: Modernity and Double Consciousness</w:t>
      </w:r>
      <w:r w:rsidRPr="00C2057D">
        <w:rPr>
          <w:rFonts w:ascii="Times New Roman" w:hAnsi="Times New Roman" w:cs="Times New Roman"/>
          <w:sz w:val="22"/>
          <w:szCs w:val="22"/>
        </w:rPr>
        <w:t xml:space="preserve"> (London: Verso, 1993)</w:t>
      </w:r>
      <w:r>
        <w:rPr>
          <w:rFonts w:ascii="Times New Roman" w:hAnsi="Times New Roman" w:cs="Times New Roman"/>
          <w:sz w:val="22"/>
          <w:szCs w:val="22"/>
        </w:rPr>
        <w:t>.</w:t>
      </w:r>
    </w:p>
    <w:bookmarkEnd w:id="0"/>
    <w:p w14:paraId="3C624DB5" w14:textId="77777777" w:rsidR="00C2057D" w:rsidRDefault="00C2057D" w:rsidP="00C2057D">
      <w:pPr>
        <w:spacing w:line="360" w:lineRule="auto"/>
        <w:ind w:right="567"/>
        <w:jc w:val="both"/>
        <w:rPr>
          <w:rFonts w:ascii="Times New Roman" w:hAnsi="Times New Roman" w:cs="Times New Roman"/>
          <w:sz w:val="22"/>
          <w:szCs w:val="22"/>
        </w:rPr>
      </w:pPr>
    </w:p>
    <w:p w14:paraId="224BF3CB" w14:textId="77777777" w:rsidR="00C2057D" w:rsidRDefault="00C2057D" w:rsidP="00C2057D">
      <w:pPr>
        <w:spacing w:line="360" w:lineRule="auto"/>
        <w:ind w:right="567"/>
        <w:jc w:val="both"/>
        <w:rPr>
          <w:rFonts w:ascii="Times New Roman" w:hAnsi="Times New Roman" w:cs="Times New Roman"/>
          <w:sz w:val="22"/>
          <w:szCs w:val="22"/>
        </w:rPr>
      </w:pPr>
      <w:r w:rsidRPr="00C2057D">
        <w:rPr>
          <w:rFonts w:ascii="Times New Roman" w:hAnsi="Times New Roman" w:cs="Times New Roman"/>
          <w:sz w:val="22"/>
          <w:szCs w:val="22"/>
        </w:rPr>
        <w:t>People Pill, Paul Gilroy Biography, &lt;</w:t>
      </w:r>
      <w:hyperlink r:id="rId9" w:history="1">
        <w:r w:rsidRPr="00C2057D">
          <w:rPr>
            <w:rStyle w:val="Hyperlink"/>
            <w:rFonts w:ascii="Times New Roman" w:hAnsi="Times New Roman" w:cs="Times New Roman"/>
            <w:sz w:val="22"/>
            <w:szCs w:val="22"/>
          </w:rPr>
          <w:t>https://peoplepill.com/people/paul-gilroy/</w:t>
        </w:r>
      </w:hyperlink>
      <w:r w:rsidRPr="00C2057D">
        <w:rPr>
          <w:rFonts w:ascii="Times New Roman" w:hAnsi="Times New Roman" w:cs="Times New Roman"/>
          <w:sz w:val="22"/>
          <w:szCs w:val="22"/>
        </w:rPr>
        <w:t>&gt; [accessed 10 January 2020].</w:t>
      </w:r>
    </w:p>
    <w:p w14:paraId="56D480D2" w14:textId="77777777" w:rsidR="00C2057D" w:rsidRDefault="00C2057D" w:rsidP="00C2057D">
      <w:pPr>
        <w:spacing w:line="360" w:lineRule="auto"/>
        <w:ind w:right="567"/>
        <w:jc w:val="both"/>
        <w:rPr>
          <w:rFonts w:ascii="Times New Roman" w:hAnsi="Times New Roman" w:cs="Times New Roman"/>
          <w:sz w:val="22"/>
          <w:szCs w:val="22"/>
        </w:rPr>
      </w:pPr>
    </w:p>
    <w:p w14:paraId="315EDC78" w14:textId="77777777" w:rsidR="00C2057D" w:rsidRPr="00C2057D" w:rsidRDefault="00C2057D" w:rsidP="00C2057D">
      <w:pPr>
        <w:spacing w:line="360" w:lineRule="auto"/>
        <w:ind w:right="567"/>
        <w:jc w:val="both"/>
        <w:rPr>
          <w:rFonts w:ascii="Times New Roman" w:hAnsi="Times New Roman" w:cs="Times New Roman"/>
          <w:bCs/>
          <w:sz w:val="22"/>
          <w:szCs w:val="22"/>
        </w:rPr>
      </w:pPr>
      <w:r w:rsidRPr="00C2057D">
        <w:rPr>
          <w:rFonts w:ascii="Times New Roman" w:hAnsi="Times New Roman" w:cs="Times New Roman"/>
          <w:color w:val="222222"/>
          <w:sz w:val="22"/>
          <w:szCs w:val="22"/>
          <w:shd w:val="clear" w:color="auto" w:fill="FFFFFF"/>
        </w:rPr>
        <w:t>Wagner</w:t>
      </w:r>
      <w:r>
        <w:rPr>
          <w:rFonts w:ascii="Times New Roman" w:hAnsi="Times New Roman" w:cs="Times New Roman"/>
          <w:color w:val="222222"/>
          <w:sz w:val="22"/>
          <w:szCs w:val="22"/>
          <w:shd w:val="clear" w:color="auto" w:fill="FFFFFF"/>
        </w:rPr>
        <w:t xml:space="preserve"> G.</w:t>
      </w:r>
      <w:r w:rsidRPr="00C2057D">
        <w:rPr>
          <w:rFonts w:ascii="Times New Roman" w:hAnsi="Times New Roman" w:cs="Times New Roman"/>
          <w:color w:val="222222"/>
          <w:sz w:val="22"/>
          <w:szCs w:val="22"/>
          <w:shd w:val="clear" w:color="auto" w:fill="FFFFFF"/>
        </w:rPr>
        <w:t xml:space="preserve">, ‘witchcraft among the Azande’, </w:t>
      </w:r>
      <w:r w:rsidRPr="00C2057D">
        <w:rPr>
          <w:rFonts w:ascii="Times New Roman" w:hAnsi="Times New Roman" w:cs="Times New Roman"/>
          <w:i/>
          <w:iCs/>
          <w:color w:val="222222"/>
          <w:sz w:val="22"/>
          <w:szCs w:val="22"/>
          <w:shd w:val="clear" w:color="auto" w:fill="FFFFFF"/>
        </w:rPr>
        <w:t>Journal of the Royal African Society</w:t>
      </w:r>
      <w:r w:rsidRPr="00C2057D">
        <w:rPr>
          <w:rFonts w:ascii="Times New Roman" w:hAnsi="Times New Roman" w:cs="Times New Roman"/>
          <w:color w:val="222222"/>
          <w:sz w:val="22"/>
          <w:szCs w:val="22"/>
          <w:shd w:val="clear" w:color="auto" w:fill="FFFFFF"/>
        </w:rPr>
        <w:t>, 36 (1937), pp. 469-476, &lt;</w:t>
      </w:r>
      <w:hyperlink r:id="rId10" w:history="1">
        <w:r w:rsidRPr="00C2057D">
          <w:rPr>
            <w:rStyle w:val="Hyperlink"/>
            <w:rFonts w:ascii="Times New Roman" w:eastAsia="Times New Roman" w:hAnsi="Times New Roman" w:cs="Times New Roman"/>
            <w:sz w:val="22"/>
            <w:szCs w:val="22"/>
            <w:shd w:val="clear" w:color="auto" w:fill="FFFFFF"/>
            <w:lang w:eastAsia="en-GB"/>
          </w:rPr>
          <w:t>www.jstor.org/stable/717946</w:t>
        </w:r>
      </w:hyperlink>
      <w:r w:rsidRPr="00C2057D">
        <w:rPr>
          <w:rFonts w:ascii="Times New Roman" w:eastAsia="Times New Roman" w:hAnsi="Times New Roman" w:cs="Times New Roman"/>
          <w:color w:val="333333"/>
          <w:sz w:val="22"/>
          <w:szCs w:val="22"/>
          <w:shd w:val="clear" w:color="auto" w:fill="FFFFFF"/>
          <w:lang w:eastAsia="en-GB"/>
        </w:rPr>
        <w:t>&gt; [accessed 10 January 2020].</w:t>
      </w:r>
    </w:p>
    <w:p w14:paraId="2D9F8D83" w14:textId="7A604231" w:rsidR="007C473D" w:rsidRDefault="007C473D" w:rsidP="000A71BC">
      <w:pPr>
        <w:spacing w:line="360" w:lineRule="auto"/>
        <w:ind w:right="567"/>
        <w:jc w:val="both"/>
        <w:rPr>
          <w:rFonts w:ascii="Times New Roman" w:hAnsi="Times New Roman" w:cs="Times New Roman"/>
          <w:bCs/>
          <w:sz w:val="22"/>
          <w:szCs w:val="22"/>
        </w:rPr>
      </w:pPr>
    </w:p>
    <w:p w14:paraId="59D83C46" w14:textId="674FA894" w:rsidR="007C473D" w:rsidRDefault="007C473D"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w:t>
      </w:r>
    </w:p>
    <w:p w14:paraId="73DFF798" w14:textId="4A8FBF7F" w:rsidR="00F42244" w:rsidRDefault="00F42244" w:rsidP="000A71BC">
      <w:pPr>
        <w:spacing w:line="360" w:lineRule="auto"/>
        <w:ind w:right="567"/>
        <w:jc w:val="both"/>
        <w:rPr>
          <w:rFonts w:ascii="Times New Roman" w:hAnsi="Times New Roman" w:cs="Times New Roman"/>
          <w:bCs/>
          <w:sz w:val="22"/>
          <w:szCs w:val="22"/>
        </w:rPr>
      </w:pPr>
    </w:p>
    <w:p w14:paraId="07B23BFD" w14:textId="540A0BAD" w:rsidR="00F42244" w:rsidRPr="001B15DF" w:rsidRDefault="00F42244" w:rsidP="000A71BC">
      <w:pPr>
        <w:spacing w:line="360" w:lineRule="auto"/>
        <w:ind w:right="567"/>
        <w:jc w:val="both"/>
        <w:rPr>
          <w:rFonts w:ascii="Times New Roman" w:hAnsi="Times New Roman" w:cs="Times New Roman"/>
          <w:bCs/>
          <w:sz w:val="22"/>
          <w:szCs w:val="22"/>
        </w:rPr>
      </w:pPr>
      <w:r>
        <w:rPr>
          <w:rFonts w:ascii="Times New Roman" w:hAnsi="Times New Roman" w:cs="Times New Roman"/>
          <w:bCs/>
          <w:sz w:val="22"/>
          <w:szCs w:val="22"/>
        </w:rPr>
        <w:t xml:space="preserve">     </w:t>
      </w:r>
    </w:p>
    <w:p w14:paraId="0C3BAA1F" w14:textId="67FA2932" w:rsidR="000A71BC" w:rsidRDefault="000A71BC" w:rsidP="000A71BC">
      <w:pPr>
        <w:spacing w:line="360" w:lineRule="auto"/>
        <w:ind w:right="567"/>
        <w:jc w:val="both"/>
        <w:rPr>
          <w:rFonts w:ascii="Georgia" w:hAnsi="Georgia" w:cstheme="minorHAnsi"/>
          <w:b/>
        </w:rPr>
      </w:pPr>
    </w:p>
    <w:p w14:paraId="030B5D60" w14:textId="77777777" w:rsidR="000A71BC" w:rsidRPr="000A71BC" w:rsidRDefault="000A71BC" w:rsidP="000A71BC">
      <w:pPr>
        <w:spacing w:line="360" w:lineRule="auto"/>
        <w:ind w:right="567"/>
        <w:jc w:val="both"/>
        <w:rPr>
          <w:rFonts w:ascii="Georgia" w:hAnsi="Georgia" w:cstheme="minorHAnsi"/>
          <w:b/>
          <w:sz w:val="22"/>
          <w:szCs w:val="22"/>
        </w:rPr>
      </w:pPr>
    </w:p>
    <w:p w14:paraId="0D2FCB2F" w14:textId="77777777" w:rsidR="00AB6593" w:rsidRDefault="00AB6593"/>
    <w:sectPr w:rsidR="00AB6593" w:rsidSect="00874F2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0034A" w14:textId="77777777" w:rsidR="000735B1" w:rsidRDefault="000735B1" w:rsidP="001B15DF">
      <w:r>
        <w:separator/>
      </w:r>
    </w:p>
  </w:endnote>
  <w:endnote w:type="continuationSeparator" w:id="0">
    <w:p w14:paraId="7F6689EC" w14:textId="77777777" w:rsidR="000735B1" w:rsidRDefault="000735B1" w:rsidP="001B1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1B70FC" w14:textId="77777777" w:rsidR="000735B1" w:rsidRDefault="000735B1" w:rsidP="001B15DF">
      <w:r>
        <w:separator/>
      </w:r>
    </w:p>
  </w:footnote>
  <w:footnote w:type="continuationSeparator" w:id="0">
    <w:p w14:paraId="62E8B019" w14:textId="77777777" w:rsidR="000735B1" w:rsidRDefault="000735B1" w:rsidP="001B15DF">
      <w:r>
        <w:continuationSeparator/>
      </w:r>
    </w:p>
  </w:footnote>
  <w:footnote w:id="1">
    <w:p w14:paraId="6F63CA9A" w14:textId="7DA1F52E" w:rsidR="001B15DF" w:rsidRPr="00C2057D" w:rsidRDefault="001B15DF">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w:t>
      </w:r>
      <w:r w:rsidR="00092B49" w:rsidRPr="00C2057D">
        <w:rPr>
          <w:rFonts w:ascii="Times New Roman" w:hAnsi="Times New Roman" w:cs="Times New Roman"/>
          <w:sz w:val="22"/>
          <w:szCs w:val="22"/>
        </w:rPr>
        <w:t>People Pill, Paul Gilroy Biography, &lt;</w:t>
      </w:r>
      <w:hyperlink r:id="rId1" w:history="1">
        <w:r w:rsidR="00092B49" w:rsidRPr="00C2057D">
          <w:rPr>
            <w:rStyle w:val="Hyperlink"/>
            <w:rFonts w:ascii="Times New Roman" w:hAnsi="Times New Roman" w:cs="Times New Roman"/>
            <w:sz w:val="22"/>
            <w:szCs w:val="22"/>
          </w:rPr>
          <w:t>https://peoplepill.com/people/paul-gilroy/</w:t>
        </w:r>
      </w:hyperlink>
      <w:r w:rsidR="00092B49" w:rsidRPr="00C2057D">
        <w:rPr>
          <w:rFonts w:ascii="Times New Roman" w:hAnsi="Times New Roman" w:cs="Times New Roman"/>
          <w:sz w:val="22"/>
          <w:szCs w:val="22"/>
        </w:rPr>
        <w:t>&gt; [accessed 10 January 2020].</w:t>
      </w:r>
    </w:p>
  </w:footnote>
  <w:footnote w:id="2">
    <w:p w14:paraId="7C3DCAF0" w14:textId="21698698" w:rsidR="00D201D9" w:rsidRPr="00C2057D" w:rsidRDefault="00D201D9">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w:t>
      </w:r>
      <w:r w:rsidR="00092B49" w:rsidRPr="00C2057D">
        <w:rPr>
          <w:rFonts w:ascii="Times New Roman" w:hAnsi="Times New Roman" w:cs="Times New Roman"/>
          <w:sz w:val="22"/>
          <w:szCs w:val="22"/>
        </w:rPr>
        <w:t xml:space="preserve">American Anthropological Association Executive Board, Statement on Race, </w:t>
      </w:r>
      <w:r w:rsidR="005124DE" w:rsidRPr="00C2057D">
        <w:rPr>
          <w:rFonts w:ascii="Times New Roman" w:hAnsi="Times New Roman" w:cs="Times New Roman"/>
          <w:sz w:val="22"/>
          <w:szCs w:val="22"/>
        </w:rPr>
        <w:t xml:space="preserve">(1998), </w:t>
      </w:r>
      <w:r w:rsidR="00092B49" w:rsidRPr="00C2057D">
        <w:rPr>
          <w:rFonts w:ascii="Times New Roman" w:hAnsi="Times New Roman" w:cs="Times New Roman"/>
          <w:sz w:val="22"/>
          <w:szCs w:val="22"/>
        </w:rPr>
        <w:t>&lt;</w:t>
      </w:r>
      <w:hyperlink r:id="rId2" w:history="1">
        <w:r w:rsidR="00092B49" w:rsidRPr="00C2057D">
          <w:rPr>
            <w:rStyle w:val="Hyperlink"/>
            <w:rFonts w:ascii="Times New Roman" w:hAnsi="Times New Roman" w:cs="Times New Roman"/>
            <w:sz w:val="22"/>
            <w:szCs w:val="22"/>
          </w:rPr>
          <w:t>https://www.americananthro.org/ConnectWithAAA/Content.aspx?ItemNumber=2583</w:t>
        </w:r>
      </w:hyperlink>
      <w:r w:rsidR="00092B49" w:rsidRPr="00C2057D">
        <w:rPr>
          <w:rFonts w:ascii="Times New Roman" w:hAnsi="Times New Roman" w:cs="Times New Roman"/>
          <w:sz w:val="22"/>
          <w:szCs w:val="22"/>
        </w:rPr>
        <w:t>&gt; [accessed 10 January 2020].</w:t>
      </w:r>
    </w:p>
  </w:footnote>
  <w:footnote w:id="3">
    <w:p w14:paraId="673EC8FF" w14:textId="197463EB" w:rsidR="00D201D9" w:rsidRPr="00C2057D" w:rsidRDefault="00D201D9">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w:t>
      </w:r>
      <w:r w:rsidR="005124DE" w:rsidRPr="00C2057D">
        <w:rPr>
          <w:rFonts w:ascii="Times New Roman" w:hAnsi="Times New Roman" w:cs="Times New Roman"/>
          <w:sz w:val="22"/>
          <w:szCs w:val="22"/>
        </w:rPr>
        <w:t xml:space="preserve">Paul </w:t>
      </w:r>
      <w:r w:rsidRPr="00C2057D">
        <w:rPr>
          <w:rFonts w:ascii="Times New Roman" w:hAnsi="Times New Roman" w:cs="Times New Roman"/>
          <w:sz w:val="22"/>
          <w:szCs w:val="22"/>
        </w:rPr>
        <w:t>Gilroy</w:t>
      </w:r>
      <w:r w:rsidR="005124DE" w:rsidRPr="00C2057D">
        <w:rPr>
          <w:rFonts w:ascii="Times New Roman" w:hAnsi="Times New Roman" w:cs="Times New Roman"/>
          <w:sz w:val="22"/>
          <w:szCs w:val="22"/>
        </w:rPr>
        <w:t xml:space="preserve">, </w:t>
      </w:r>
      <w:r w:rsidR="005124DE" w:rsidRPr="00C2057D">
        <w:rPr>
          <w:rFonts w:ascii="Times New Roman" w:hAnsi="Times New Roman" w:cs="Times New Roman"/>
          <w:i/>
          <w:iCs/>
          <w:sz w:val="22"/>
          <w:szCs w:val="22"/>
        </w:rPr>
        <w:t>The Black Atlantic: Modernity and Double Consciousness</w:t>
      </w:r>
      <w:r w:rsidR="005124DE" w:rsidRPr="00C2057D">
        <w:rPr>
          <w:rFonts w:ascii="Times New Roman" w:hAnsi="Times New Roman" w:cs="Times New Roman"/>
          <w:sz w:val="22"/>
          <w:szCs w:val="22"/>
        </w:rPr>
        <w:t xml:space="preserve"> (London: Verso, 1993), p. </w:t>
      </w:r>
      <w:r w:rsidRPr="00C2057D">
        <w:rPr>
          <w:rFonts w:ascii="Times New Roman" w:hAnsi="Times New Roman" w:cs="Times New Roman"/>
          <w:sz w:val="22"/>
          <w:szCs w:val="22"/>
        </w:rPr>
        <w:t>1</w:t>
      </w:r>
      <w:r w:rsidR="005124DE" w:rsidRPr="00C2057D">
        <w:rPr>
          <w:rFonts w:ascii="Times New Roman" w:hAnsi="Times New Roman" w:cs="Times New Roman"/>
          <w:sz w:val="22"/>
          <w:szCs w:val="22"/>
        </w:rPr>
        <w:t>.</w:t>
      </w:r>
    </w:p>
  </w:footnote>
  <w:footnote w:id="4">
    <w:p w14:paraId="2B2042B4" w14:textId="23FD5FDE" w:rsidR="00C86810" w:rsidRPr="00C2057D" w:rsidRDefault="00C86810" w:rsidP="005124DE">
      <w:pPr>
        <w:rPr>
          <w:rFonts w:ascii="Times New Roman" w:eastAsia="Times New Roman" w:hAnsi="Times New Roman" w:cs="Times New Roman"/>
          <w:sz w:val="22"/>
          <w:szCs w:val="22"/>
          <w:lang w:eastAsia="en-GB"/>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w:t>
      </w:r>
      <w:r w:rsidR="005124DE" w:rsidRPr="00C2057D">
        <w:rPr>
          <w:rFonts w:ascii="Times New Roman" w:hAnsi="Times New Roman" w:cs="Times New Roman"/>
          <w:color w:val="222222"/>
          <w:sz w:val="22"/>
          <w:szCs w:val="22"/>
          <w:shd w:val="clear" w:color="auto" w:fill="FFFFFF"/>
        </w:rPr>
        <w:t>Günter</w:t>
      </w:r>
      <w:r w:rsidR="005124DE" w:rsidRPr="00C2057D">
        <w:rPr>
          <w:rFonts w:ascii="Times New Roman" w:hAnsi="Times New Roman" w:cs="Times New Roman"/>
          <w:color w:val="222222"/>
          <w:sz w:val="22"/>
          <w:szCs w:val="22"/>
          <w:shd w:val="clear" w:color="auto" w:fill="FFFFFF"/>
        </w:rPr>
        <w:t xml:space="preserve"> Wagner, ‘witchcraft among the Azande’, </w:t>
      </w:r>
      <w:r w:rsidR="005124DE" w:rsidRPr="00C2057D">
        <w:rPr>
          <w:rFonts w:ascii="Times New Roman" w:hAnsi="Times New Roman" w:cs="Times New Roman"/>
          <w:i/>
          <w:iCs/>
          <w:color w:val="222222"/>
          <w:sz w:val="22"/>
          <w:szCs w:val="22"/>
          <w:shd w:val="clear" w:color="auto" w:fill="FFFFFF"/>
        </w:rPr>
        <w:t>Journal of the Royal African Society</w:t>
      </w:r>
      <w:r w:rsidR="005124DE" w:rsidRPr="00C2057D">
        <w:rPr>
          <w:rFonts w:ascii="Times New Roman" w:hAnsi="Times New Roman" w:cs="Times New Roman"/>
          <w:color w:val="222222"/>
          <w:sz w:val="22"/>
          <w:szCs w:val="22"/>
          <w:shd w:val="clear" w:color="auto" w:fill="FFFFFF"/>
        </w:rPr>
        <w:t>, 36 (1937), pp. 469-476, &lt;</w:t>
      </w:r>
      <w:hyperlink r:id="rId3" w:history="1">
        <w:r w:rsidR="005124DE" w:rsidRPr="00C2057D">
          <w:rPr>
            <w:rStyle w:val="Hyperlink"/>
            <w:rFonts w:ascii="Times New Roman" w:eastAsia="Times New Roman" w:hAnsi="Times New Roman" w:cs="Times New Roman"/>
            <w:sz w:val="22"/>
            <w:szCs w:val="22"/>
            <w:shd w:val="clear" w:color="auto" w:fill="FFFFFF"/>
            <w:lang w:eastAsia="en-GB"/>
          </w:rPr>
          <w:t>www.jstor.org/stable/717946</w:t>
        </w:r>
      </w:hyperlink>
      <w:r w:rsidR="005124DE" w:rsidRPr="00C2057D">
        <w:rPr>
          <w:rFonts w:ascii="Times New Roman" w:eastAsia="Times New Roman" w:hAnsi="Times New Roman" w:cs="Times New Roman"/>
          <w:color w:val="333333"/>
          <w:sz w:val="22"/>
          <w:szCs w:val="22"/>
          <w:shd w:val="clear" w:color="auto" w:fill="FFFFFF"/>
          <w:lang w:eastAsia="en-GB"/>
        </w:rPr>
        <w:t>&gt; [accessed 10 January 2020].</w:t>
      </w:r>
    </w:p>
  </w:footnote>
  <w:footnote w:id="5">
    <w:p w14:paraId="73E38875" w14:textId="7143F1B4" w:rsidR="00FC34F9" w:rsidRPr="00C2057D" w:rsidRDefault="00FC34F9">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Gilroy</w:t>
      </w:r>
      <w:r w:rsidR="005124DE" w:rsidRPr="00C2057D">
        <w:rPr>
          <w:rFonts w:ascii="Times New Roman" w:hAnsi="Times New Roman" w:cs="Times New Roman"/>
          <w:sz w:val="22"/>
          <w:szCs w:val="22"/>
        </w:rPr>
        <w:t>, p. 6.</w:t>
      </w:r>
    </w:p>
  </w:footnote>
  <w:footnote w:id="6">
    <w:p w14:paraId="0804BE6B" w14:textId="60A1199D" w:rsidR="008C02E8" w:rsidRPr="00C2057D" w:rsidRDefault="008C02E8">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Gilroy</w:t>
      </w:r>
      <w:r w:rsidR="005124DE" w:rsidRPr="00C2057D">
        <w:rPr>
          <w:rFonts w:ascii="Times New Roman" w:hAnsi="Times New Roman" w:cs="Times New Roman"/>
          <w:sz w:val="22"/>
          <w:szCs w:val="22"/>
        </w:rPr>
        <w:t>, p.</w:t>
      </w:r>
      <w:r w:rsidRPr="00C2057D">
        <w:rPr>
          <w:rFonts w:ascii="Times New Roman" w:hAnsi="Times New Roman" w:cs="Times New Roman"/>
          <w:sz w:val="22"/>
          <w:szCs w:val="22"/>
        </w:rPr>
        <w:t xml:space="preserve"> 2</w:t>
      </w:r>
      <w:r w:rsidR="005124DE" w:rsidRPr="00C2057D">
        <w:rPr>
          <w:rFonts w:ascii="Times New Roman" w:hAnsi="Times New Roman" w:cs="Times New Roman"/>
          <w:sz w:val="22"/>
          <w:szCs w:val="22"/>
        </w:rPr>
        <w:t>.</w:t>
      </w:r>
    </w:p>
  </w:footnote>
  <w:footnote w:id="7">
    <w:p w14:paraId="33A534F0" w14:textId="50DF7BBD" w:rsidR="008C02E8" w:rsidRPr="00C2057D" w:rsidRDefault="008C02E8">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Gilroy</w:t>
      </w:r>
      <w:r w:rsidR="005124DE" w:rsidRPr="00C2057D">
        <w:rPr>
          <w:rFonts w:ascii="Times New Roman" w:hAnsi="Times New Roman" w:cs="Times New Roman"/>
          <w:sz w:val="22"/>
          <w:szCs w:val="22"/>
        </w:rPr>
        <w:t>, p.</w:t>
      </w:r>
      <w:r w:rsidRPr="00C2057D">
        <w:rPr>
          <w:rFonts w:ascii="Times New Roman" w:hAnsi="Times New Roman" w:cs="Times New Roman"/>
          <w:sz w:val="22"/>
          <w:szCs w:val="22"/>
        </w:rPr>
        <w:t xml:space="preserve"> 1</w:t>
      </w:r>
      <w:r w:rsidR="005124DE" w:rsidRPr="00C2057D">
        <w:rPr>
          <w:rFonts w:ascii="Times New Roman" w:hAnsi="Times New Roman" w:cs="Times New Roman"/>
          <w:sz w:val="22"/>
          <w:szCs w:val="22"/>
        </w:rPr>
        <w:t>.</w:t>
      </w:r>
    </w:p>
  </w:footnote>
  <w:footnote w:id="8">
    <w:p w14:paraId="3C3B91B1" w14:textId="67A00B8D" w:rsidR="00FC34F9" w:rsidRPr="00C2057D" w:rsidRDefault="00FC34F9">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Gilroy</w:t>
      </w:r>
      <w:r w:rsidR="005124DE" w:rsidRPr="00C2057D">
        <w:rPr>
          <w:rFonts w:ascii="Times New Roman" w:hAnsi="Times New Roman" w:cs="Times New Roman"/>
          <w:sz w:val="22"/>
          <w:szCs w:val="22"/>
        </w:rPr>
        <w:t>,</w:t>
      </w:r>
      <w:r w:rsidRPr="00C2057D">
        <w:rPr>
          <w:rFonts w:ascii="Times New Roman" w:hAnsi="Times New Roman" w:cs="Times New Roman"/>
          <w:sz w:val="22"/>
          <w:szCs w:val="22"/>
        </w:rPr>
        <w:t xml:space="preserve"> p</w:t>
      </w:r>
      <w:r w:rsidR="005124DE" w:rsidRPr="00C2057D">
        <w:rPr>
          <w:rFonts w:ascii="Times New Roman" w:hAnsi="Times New Roman" w:cs="Times New Roman"/>
          <w:sz w:val="22"/>
          <w:szCs w:val="22"/>
        </w:rPr>
        <w:t>.</w:t>
      </w:r>
      <w:r w:rsidRPr="00C2057D">
        <w:rPr>
          <w:rFonts w:ascii="Times New Roman" w:hAnsi="Times New Roman" w:cs="Times New Roman"/>
          <w:sz w:val="22"/>
          <w:szCs w:val="22"/>
        </w:rPr>
        <w:t xml:space="preserve"> 5</w:t>
      </w:r>
      <w:r w:rsidR="005124DE" w:rsidRPr="00C2057D">
        <w:rPr>
          <w:rFonts w:ascii="Times New Roman" w:hAnsi="Times New Roman" w:cs="Times New Roman"/>
          <w:sz w:val="22"/>
          <w:szCs w:val="22"/>
        </w:rPr>
        <w:t>.</w:t>
      </w:r>
    </w:p>
  </w:footnote>
  <w:footnote w:id="9">
    <w:p w14:paraId="6EA6766A" w14:textId="1AD1DAB6" w:rsidR="008112B5" w:rsidRPr="00C2057D" w:rsidRDefault="008112B5">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Gilroy</w:t>
      </w:r>
      <w:r w:rsidR="005124DE" w:rsidRPr="00C2057D">
        <w:rPr>
          <w:rFonts w:ascii="Times New Roman" w:hAnsi="Times New Roman" w:cs="Times New Roman"/>
          <w:sz w:val="22"/>
          <w:szCs w:val="22"/>
        </w:rPr>
        <w:t xml:space="preserve">, </w:t>
      </w:r>
      <w:r w:rsidRPr="00C2057D">
        <w:rPr>
          <w:rFonts w:ascii="Times New Roman" w:hAnsi="Times New Roman" w:cs="Times New Roman"/>
          <w:sz w:val="22"/>
          <w:szCs w:val="22"/>
        </w:rPr>
        <w:t>p</w:t>
      </w:r>
      <w:r w:rsidR="005124DE" w:rsidRPr="00C2057D">
        <w:rPr>
          <w:rFonts w:ascii="Times New Roman" w:hAnsi="Times New Roman" w:cs="Times New Roman"/>
          <w:sz w:val="22"/>
          <w:szCs w:val="22"/>
        </w:rPr>
        <w:t>.</w:t>
      </w:r>
      <w:r w:rsidRPr="00C2057D">
        <w:rPr>
          <w:rFonts w:ascii="Times New Roman" w:hAnsi="Times New Roman" w:cs="Times New Roman"/>
          <w:sz w:val="22"/>
          <w:szCs w:val="22"/>
        </w:rPr>
        <w:t xml:space="preserve"> 3</w:t>
      </w:r>
      <w:r w:rsidR="005124DE" w:rsidRPr="00C2057D">
        <w:rPr>
          <w:rFonts w:ascii="Times New Roman" w:hAnsi="Times New Roman" w:cs="Times New Roman"/>
          <w:sz w:val="22"/>
          <w:szCs w:val="22"/>
        </w:rPr>
        <w:t>.</w:t>
      </w:r>
    </w:p>
  </w:footnote>
  <w:footnote w:id="10">
    <w:p w14:paraId="51A56D62" w14:textId="46158C92" w:rsidR="000A1E28" w:rsidRPr="00C2057D" w:rsidRDefault="000A1E28">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Gilroy</w:t>
      </w:r>
      <w:r w:rsidR="005124DE" w:rsidRPr="00C2057D">
        <w:rPr>
          <w:rFonts w:ascii="Times New Roman" w:hAnsi="Times New Roman" w:cs="Times New Roman"/>
          <w:sz w:val="22"/>
          <w:szCs w:val="22"/>
        </w:rPr>
        <w:t>, p.</w:t>
      </w:r>
      <w:r w:rsidRPr="00C2057D">
        <w:rPr>
          <w:rFonts w:ascii="Times New Roman" w:hAnsi="Times New Roman" w:cs="Times New Roman"/>
          <w:sz w:val="22"/>
          <w:szCs w:val="22"/>
        </w:rPr>
        <w:t xml:space="preserve"> 4</w:t>
      </w:r>
      <w:r w:rsidR="005124DE" w:rsidRPr="00C2057D">
        <w:rPr>
          <w:rFonts w:ascii="Times New Roman" w:hAnsi="Times New Roman" w:cs="Times New Roman"/>
          <w:sz w:val="22"/>
          <w:szCs w:val="22"/>
        </w:rPr>
        <w:t>.</w:t>
      </w:r>
    </w:p>
  </w:footnote>
  <w:footnote w:id="11">
    <w:p w14:paraId="5B46B655" w14:textId="1ECDB649" w:rsidR="001D7C1A" w:rsidRPr="00C2057D" w:rsidRDefault="001D7C1A">
      <w:pPr>
        <w:pStyle w:val="FootnoteText"/>
        <w:rPr>
          <w:rFonts w:ascii="Times New Roman" w:hAnsi="Times New Roman" w:cs="Times New Roman"/>
          <w:sz w:val="22"/>
          <w:szCs w:val="22"/>
        </w:rPr>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Gilroy</w:t>
      </w:r>
      <w:r w:rsidR="00C2057D" w:rsidRPr="00C2057D">
        <w:rPr>
          <w:rFonts w:ascii="Times New Roman" w:hAnsi="Times New Roman" w:cs="Times New Roman"/>
          <w:sz w:val="22"/>
          <w:szCs w:val="22"/>
        </w:rPr>
        <w:t>, p.</w:t>
      </w:r>
      <w:r w:rsidRPr="00C2057D">
        <w:rPr>
          <w:rFonts w:ascii="Times New Roman" w:hAnsi="Times New Roman" w:cs="Times New Roman"/>
          <w:sz w:val="22"/>
          <w:szCs w:val="22"/>
        </w:rPr>
        <w:t xml:space="preserve"> 4</w:t>
      </w:r>
      <w:r w:rsidR="00C2057D" w:rsidRPr="00C2057D">
        <w:rPr>
          <w:rFonts w:ascii="Times New Roman" w:hAnsi="Times New Roman" w:cs="Times New Roman"/>
          <w:sz w:val="22"/>
          <w:szCs w:val="22"/>
        </w:rPr>
        <w:t>.</w:t>
      </w:r>
    </w:p>
  </w:footnote>
  <w:footnote w:id="12">
    <w:p w14:paraId="31382D4D" w14:textId="3EF124BC" w:rsidR="001D7C1A" w:rsidRDefault="001D7C1A">
      <w:pPr>
        <w:pStyle w:val="FootnoteText"/>
      </w:pPr>
      <w:r w:rsidRPr="00C2057D">
        <w:rPr>
          <w:rStyle w:val="FootnoteReference"/>
          <w:rFonts w:ascii="Times New Roman" w:hAnsi="Times New Roman" w:cs="Times New Roman"/>
          <w:sz w:val="22"/>
          <w:szCs w:val="22"/>
        </w:rPr>
        <w:footnoteRef/>
      </w:r>
      <w:r w:rsidRPr="00C2057D">
        <w:rPr>
          <w:rFonts w:ascii="Times New Roman" w:hAnsi="Times New Roman" w:cs="Times New Roman"/>
          <w:sz w:val="22"/>
          <w:szCs w:val="22"/>
        </w:rPr>
        <w:t xml:space="preserve"> Gilroy</w:t>
      </w:r>
      <w:r w:rsidR="00C2057D" w:rsidRPr="00C2057D">
        <w:rPr>
          <w:rFonts w:ascii="Times New Roman" w:hAnsi="Times New Roman" w:cs="Times New Roman"/>
          <w:sz w:val="22"/>
          <w:szCs w:val="22"/>
        </w:rPr>
        <w:t>, p.</w:t>
      </w:r>
      <w:r w:rsidRPr="00C2057D">
        <w:rPr>
          <w:rFonts w:ascii="Times New Roman" w:hAnsi="Times New Roman" w:cs="Times New Roman"/>
          <w:sz w:val="22"/>
          <w:szCs w:val="22"/>
        </w:rPr>
        <w:t xml:space="preserve"> 12</w:t>
      </w:r>
      <w:r w:rsidR="00C2057D" w:rsidRPr="00C2057D">
        <w:rPr>
          <w:rFonts w:ascii="Times New Roman" w:hAnsi="Times New Roman" w:cs="Times New Roman"/>
          <w:sz w:val="22"/>
          <w:szCs w:val="22"/>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1BC"/>
    <w:rsid w:val="000735B1"/>
    <w:rsid w:val="00092B49"/>
    <w:rsid w:val="000A1E28"/>
    <w:rsid w:val="000A71BC"/>
    <w:rsid w:val="00185950"/>
    <w:rsid w:val="001B15DF"/>
    <w:rsid w:val="001D7C1A"/>
    <w:rsid w:val="003679FF"/>
    <w:rsid w:val="00445375"/>
    <w:rsid w:val="00505F15"/>
    <w:rsid w:val="005124DE"/>
    <w:rsid w:val="007766E5"/>
    <w:rsid w:val="007A4A57"/>
    <w:rsid w:val="007C473D"/>
    <w:rsid w:val="007E5606"/>
    <w:rsid w:val="008112B5"/>
    <w:rsid w:val="00841753"/>
    <w:rsid w:val="00874F2D"/>
    <w:rsid w:val="008A3701"/>
    <w:rsid w:val="008C02E8"/>
    <w:rsid w:val="008E4F3C"/>
    <w:rsid w:val="00AB6593"/>
    <w:rsid w:val="00B4034D"/>
    <w:rsid w:val="00C2057D"/>
    <w:rsid w:val="00C86810"/>
    <w:rsid w:val="00D201D9"/>
    <w:rsid w:val="00DA71E5"/>
    <w:rsid w:val="00F42244"/>
    <w:rsid w:val="00FC3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8B65294"/>
  <w15:chartTrackingRefBased/>
  <w15:docId w15:val="{1EA9CF5F-B5B0-2B46-A131-B8FACDB89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A71BC"/>
    <w:pPr>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qFormat/>
    <w:locked/>
    <w:rsid w:val="000A71BC"/>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1B15DF"/>
    <w:rPr>
      <w:sz w:val="20"/>
      <w:szCs w:val="20"/>
    </w:rPr>
  </w:style>
  <w:style w:type="character" w:customStyle="1" w:styleId="FootnoteTextChar">
    <w:name w:val="Footnote Text Char"/>
    <w:basedOn w:val="DefaultParagraphFont"/>
    <w:link w:val="FootnoteText"/>
    <w:uiPriority w:val="99"/>
    <w:semiHidden/>
    <w:rsid w:val="001B15DF"/>
    <w:rPr>
      <w:sz w:val="20"/>
      <w:szCs w:val="20"/>
    </w:rPr>
  </w:style>
  <w:style w:type="character" w:styleId="FootnoteReference">
    <w:name w:val="footnote reference"/>
    <w:basedOn w:val="DefaultParagraphFont"/>
    <w:uiPriority w:val="99"/>
    <w:semiHidden/>
    <w:unhideWhenUsed/>
    <w:rsid w:val="001B15DF"/>
    <w:rPr>
      <w:vertAlign w:val="superscript"/>
    </w:rPr>
  </w:style>
  <w:style w:type="character" w:styleId="Hyperlink">
    <w:name w:val="Hyperlink"/>
    <w:basedOn w:val="DefaultParagraphFont"/>
    <w:uiPriority w:val="99"/>
    <w:unhideWhenUsed/>
    <w:rsid w:val="00092B49"/>
    <w:rPr>
      <w:color w:val="0563C1" w:themeColor="hyperlink"/>
      <w:u w:val="single"/>
    </w:rPr>
  </w:style>
  <w:style w:type="character" w:styleId="UnresolvedMention">
    <w:name w:val="Unresolved Mention"/>
    <w:basedOn w:val="DefaultParagraphFont"/>
    <w:uiPriority w:val="99"/>
    <w:semiHidden/>
    <w:unhideWhenUsed/>
    <w:rsid w:val="00092B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314619">
      <w:bodyDiv w:val="1"/>
      <w:marLeft w:val="0"/>
      <w:marRight w:val="0"/>
      <w:marTop w:val="0"/>
      <w:marBottom w:val="0"/>
      <w:divBdr>
        <w:top w:val="none" w:sz="0" w:space="0" w:color="auto"/>
        <w:left w:val="none" w:sz="0" w:space="0" w:color="auto"/>
        <w:bottom w:val="none" w:sz="0" w:space="0" w:color="auto"/>
        <w:right w:val="none" w:sz="0" w:space="0" w:color="auto"/>
      </w:divBdr>
    </w:div>
    <w:div w:id="1869755711">
      <w:bodyDiv w:val="1"/>
      <w:marLeft w:val="0"/>
      <w:marRight w:val="0"/>
      <w:marTop w:val="0"/>
      <w:marBottom w:val="0"/>
      <w:divBdr>
        <w:top w:val="none" w:sz="0" w:space="0" w:color="auto"/>
        <w:left w:val="none" w:sz="0" w:space="0" w:color="auto"/>
        <w:bottom w:val="none" w:sz="0" w:space="0" w:color="auto"/>
        <w:right w:val="none" w:sz="0" w:space="0" w:color="auto"/>
      </w:divBdr>
    </w:div>
    <w:div w:id="2039577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ericananthro.org/ConnectWithAAA/Content.aspx?ItemNumber=258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jstor.org/stable/717946" TargetMode="External"/><Relationship Id="rId4" Type="http://schemas.openxmlformats.org/officeDocument/2006/relationships/settings" Target="settings.xml"/><Relationship Id="rId9" Type="http://schemas.openxmlformats.org/officeDocument/2006/relationships/hyperlink" Target="https://peoplepill.com/people/paul-gilro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717946" TargetMode="External"/><Relationship Id="rId2" Type="http://schemas.openxmlformats.org/officeDocument/2006/relationships/hyperlink" Target="https://www.americananthro.org/ConnectWithAAA/Content.aspx?ItemNumber=2583" TargetMode="External"/><Relationship Id="rId1" Type="http://schemas.openxmlformats.org/officeDocument/2006/relationships/hyperlink" Target="https://peoplepill.com/people/paul-gilro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F94DE-271A-6645-B0F3-186D6A065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3</Pages>
  <Words>994</Words>
  <Characters>5509</Characters>
  <Application>Microsoft Office Word</Application>
  <DocSecurity>0</DocSecurity>
  <Lines>112</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Spackman (1701908)</dc:creator>
  <cp:keywords/>
  <dc:description/>
  <cp:lastModifiedBy>Jodie Spackman (1701908)</cp:lastModifiedBy>
  <cp:revision>6</cp:revision>
  <dcterms:created xsi:type="dcterms:W3CDTF">2020-01-10T20:02:00Z</dcterms:created>
  <dcterms:modified xsi:type="dcterms:W3CDTF">2020-01-11T16:19:00Z</dcterms:modified>
</cp:coreProperties>
</file>