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871D1" w14:textId="77777777" w:rsidR="005C2D7C" w:rsidRPr="00EF66D8" w:rsidRDefault="005C2D7C" w:rsidP="00EF66D8">
      <w:pPr>
        <w:pStyle w:val="Header"/>
        <w:spacing w:line="276" w:lineRule="auto"/>
        <w:jc w:val="right"/>
        <w:rPr>
          <w:rFonts w:ascii="Times New Roman" w:hAnsi="Times New Roman" w:cs="Times New Roman"/>
          <w:b/>
        </w:rPr>
      </w:pPr>
      <w:r w:rsidRPr="00EF66D8">
        <w:rPr>
          <w:rFonts w:ascii="Times New Roman" w:hAnsi="Times New Roman" w:cs="Times New Roman"/>
          <w:noProof/>
        </w:rPr>
        <w:drawing>
          <wp:anchor distT="0" distB="0" distL="114300" distR="114300" simplePos="0" relativeHeight="251659264" behindDoc="0" locked="0" layoutInCell="1" allowOverlap="1" wp14:anchorId="1BB80939" wp14:editId="7E468E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F66D8">
        <w:rPr>
          <w:rFonts w:ascii="Times New Roman" w:hAnsi="Times New Roman" w:cs="Times New Roman"/>
        </w:rPr>
        <w:t xml:space="preserve"> </w:t>
      </w:r>
      <w:r w:rsidRPr="00EF66D8">
        <w:rPr>
          <w:rFonts w:ascii="Times New Roman" w:hAnsi="Times New Roman" w:cs="Times New Roman"/>
        </w:rPr>
        <w:br w:type="textWrapping" w:clear="all"/>
      </w:r>
      <w:r w:rsidRPr="00EF66D8">
        <w:rPr>
          <w:rFonts w:ascii="Times New Roman" w:hAnsi="Times New Roman" w:cs="Times New Roman"/>
          <w:b/>
        </w:rPr>
        <w:t>APPENDIX GA36d</w:t>
      </w:r>
    </w:p>
    <w:p w14:paraId="283365CC" w14:textId="77777777" w:rsidR="005C2D7C" w:rsidRPr="00EF66D8" w:rsidRDefault="005C2D7C" w:rsidP="00EF66D8">
      <w:pPr>
        <w:spacing w:line="276" w:lineRule="auto"/>
        <w:rPr>
          <w:rFonts w:ascii="Times New Roman" w:hAnsi="Times New Roman" w:cs="Times New Roman"/>
        </w:rPr>
      </w:pPr>
    </w:p>
    <w:tbl>
      <w:tblPr>
        <w:tblW w:w="98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39"/>
      </w:tblGrid>
      <w:tr w:rsidR="005C2D7C" w:rsidRPr="00EF66D8" w14:paraId="487F6B0E" w14:textId="77777777" w:rsidTr="00830B00">
        <w:tc>
          <w:tcPr>
            <w:tcW w:w="8618" w:type="dxa"/>
            <w:shd w:val="clear" w:color="auto" w:fill="C0C0C0"/>
          </w:tcPr>
          <w:p w14:paraId="56D51B26" w14:textId="77777777" w:rsidR="005C2D7C" w:rsidRPr="00EF66D8" w:rsidRDefault="005C2D7C" w:rsidP="00EF66D8">
            <w:pPr>
              <w:pStyle w:val="Heading4"/>
              <w:spacing w:line="276" w:lineRule="auto"/>
              <w:rPr>
                <w:b/>
                <w:sz w:val="24"/>
                <w:szCs w:val="24"/>
              </w:rPr>
            </w:pPr>
            <w:r w:rsidRPr="00EF66D8">
              <w:rPr>
                <w:b/>
                <w:sz w:val="24"/>
                <w:szCs w:val="24"/>
              </w:rPr>
              <w:t xml:space="preserve">LEVEL 7 ASSESSMENT SPECIFICATION </w:t>
            </w:r>
          </w:p>
        </w:tc>
      </w:tr>
    </w:tbl>
    <w:tbl>
      <w:tblPr>
        <w:tblpPr w:leftFromText="180" w:rightFromText="180" w:vertAnchor="text" w:horzAnchor="margin" w:tblpY="26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3644"/>
        <w:gridCol w:w="2249"/>
        <w:gridCol w:w="2471"/>
      </w:tblGrid>
      <w:tr w:rsidR="00830B00" w:rsidRPr="00EF66D8" w14:paraId="03F804A5" w14:textId="77777777" w:rsidTr="00830B00">
        <w:trPr>
          <w:trHeight w:val="512"/>
        </w:trPr>
        <w:tc>
          <w:tcPr>
            <w:tcW w:w="1696" w:type="dxa"/>
            <w:shd w:val="clear" w:color="auto" w:fill="auto"/>
          </w:tcPr>
          <w:p w14:paraId="118037F6"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Student name:</w:t>
            </w:r>
          </w:p>
        </w:tc>
        <w:tc>
          <w:tcPr>
            <w:tcW w:w="3644" w:type="dxa"/>
          </w:tcPr>
          <w:p w14:paraId="7EEFA35E"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 xml:space="preserve">Danielle Frith </w:t>
            </w:r>
          </w:p>
        </w:tc>
        <w:tc>
          <w:tcPr>
            <w:tcW w:w="2249" w:type="dxa"/>
            <w:shd w:val="clear" w:color="auto" w:fill="D9D9D9" w:themeFill="background1" w:themeFillShade="D9"/>
          </w:tcPr>
          <w:p w14:paraId="4A5B5209"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Student ID number:</w:t>
            </w:r>
          </w:p>
        </w:tc>
        <w:tc>
          <w:tcPr>
            <w:tcW w:w="2471" w:type="dxa"/>
          </w:tcPr>
          <w:p w14:paraId="2C66EF53"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2109888</w:t>
            </w:r>
          </w:p>
        </w:tc>
      </w:tr>
      <w:tr w:rsidR="00830B00" w:rsidRPr="00EF66D8" w14:paraId="5E246AA9" w14:textId="77777777" w:rsidTr="00830B00">
        <w:trPr>
          <w:trHeight w:val="749"/>
        </w:trPr>
        <w:tc>
          <w:tcPr>
            <w:tcW w:w="1696" w:type="dxa"/>
            <w:shd w:val="clear" w:color="auto" w:fill="auto"/>
          </w:tcPr>
          <w:p w14:paraId="5CD6D7FA"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Programme:</w:t>
            </w:r>
          </w:p>
        </w:tc>
        <w:tc>
          <w:tcPr>
            <w:tcW w:w="8364" w:type="dxa"/>
            <w:gridSpan w:val="3"/>
          </w:tcPr>
          <w:p w14:paraId="392867D7" w14:textId="77777777" w:rsidR="00830B00" w:rsidRPr="00EF66D8" w:rsidRDefault="00830B00" w:rsidP="00830B00">
            <w:pPr>
              <w:spacing w:before="120" w:after="120" w:line="276" w:lineRule="auto"/>
              <w:jc w:val="both"/>
              <w:rPr>
                <w:rFonts w:ascii="Times New Roman" w:hAnsi="Times New Roman" w:cs="Times New Roman"/>
                <w:b/>
                <w:bCs/>
              </w:rPr>
            </w:pPr>
            <w:r w:rsidRPr="00EF66D8">
              <w:rPr>
                <w:rFonts w:ascii="Times New Roman" w:hAnsi="Times New Roman" w:cs="Times New Roman"/>
                <w:b/>
                <w:bCs/>
              </w:rPr>
              <w:t xml:space="preserve">MA Physical Education, Sport and Physical Literacy / MA Outdoor Education </w:t>
            </w:r>
          </w:p>
        </w:tc>
      </w:tr>
      <w:tr w:rsidR="00830B00" w:rsidRPr="00EF66D8" w14:paraId="5D3A4ADA" w14:textId="77777777" w:rsidTr="00830B00">
        <w:trPr>
          <w:trHeight w:val="512"/>
        </w:trPr>
        <w:tc>
          <w:tcPr>
            <w:tcW w:w="1696" w:type="dxa"/>
            <w:shd w:val="clear" w:color="auto" w:fill="auto"/>
          </w:tcPr>
          <w:p w14:paraId="361CC124"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Module:</w:t>
            </w:r>
          </w:p>
        </w:tc>
        <w:tc>
          <w:tcPr>
            <w:tcW w:w="8364" w:type="dxa"/>
            <w:gridSpan w:val="3"/>
            <w:shd w:val="clear" w:color="auto" w:fill="auto"/>
          </w:tcPr>
          <w:p w14:paraId="082A6390" w14:textId="77777777" w:rsidR="00830B00" w:rsidRPr="00EF66D8" w:rsidRDefault="00830B00" w:rsidP="00830B00">
            <w:pPr>
              <w:pStyle w:val="paragraph"/>
              <w:spacing w:line="276" w:lineRule="auto"/>
              <w:jc w:val="both"/>
              <w:textAlignment w:val="baseline"/>
            </w:pPr>
            <w:r w:rsidRPr="00EF66D8">
              <w:rPr>
                <w:rStyle w:val="normaltextrun"/>
                <w:b/>
                <w:bCs/>
              </w:rPr>
              <w:t>Research Methods in Health, Outdoor Education and Physical Literacy</w:t>
            </w:r>
            <w:r w:rsidRPr="00EF66D8">
              <w:rPr>
                <w:rStyle w:val="eop"/>
              </w:rPr>
              <w:t> </w:t>
            </w:r>
          </w:p>
        </w:tc>
      </w:tr>
      <w:tr w:rsidR="00830B00" w:rsidRPr="00EF66D8" w14:paraId="720081F2" w14:textId="77777777" w:rsidTr="00830B00">
        <w:trPr>
          <w:trHeight w:val="789"/>
        </w:trPr>
        <w:tc>
          <w:tcPr>
            <w:tcW w:w="1696" w:type="dxa"/>
            <w:shd w:val="clear" w:color="auto" w:fill="auto"/>
          </w:tcPr>
          <w:p w14:paraId="2056683C"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Module code:</w:t>
            </w:r>
          </w:p>
        </w:tc>
        <w:tc>
          <w:tcPr>
            <w:tcW w:w="3644" w:type="dxa"/>
          </w:tcPr>
          <w:p w14:paraId="2DE993E0" w14:textId="77777777" w:rsidR="00830B00" w:rsidRPr="00EF66D8" w:rsidRDefault="00830B00" w:rsidP="00830B00">
            <w:pPr>
              <w:spacing w:before="120" w:after="120" w:line="276" w:lineRule="auto"/>
              <w:jc w:val="both"/>
              <w:rPr>
                <w:rFonts w:ascii="Times New Roman" w:hAnsi="Times New Roman" w:cs="Times New Roman"/>
                <w:b/>
                <w:bCs/>
              </w:rPr>
            </w:pPr>
            <w:r w:rsidRPr="00EF66D8">
              <w:rPr>
                <w:rFonts w:ascii="Times New Roman" w:hAnsi="Times New Roman" w:cs="Times New Roman"/>
                <w:b/>
                <w:bCs/>
              </w:rPr>
              <w:t>BMOE7008</w:t>
            </w:r>
          </w:p>
        </w:tc>
        <w:tc>
          <w:tcPr>
            <w:tcW w:w="2249" w:type="dxa"/>
            <w:shd w:val="clear" w:color="auto" w:fill="D9D9D9" w:themeFill="background1" w:themeFillShade="D9"/>
          </w:tcPr>
          <w:p w14:paraId="74DAB630" w14:textId="77777777" w:rsidR="00830B00" w:rsidRPr="00EF66D8" w:rsidRDefault="00830B00" w:rsidP="00830B00">
            <w:pPr>
              <w:pStyle w:val="Heading2"/>
              <w:spacing w:line="276" w:lineRule="auto"/>
              <w:rPr>
                <w:szCs w:val="24"/>
              </w:rPr>
            </w:pPr>
            <w:r w:rsidRPr="00EF66D8">
              <w:rPr>
                <w:szCs w:val="24"/>
              </w:rPr>
              <w:t>Contribution to Overall Module Assessment (%):</w:t>
            </w:r>
          </w:p>
        </w:tc>
        <w:tc>
          <w:tcPr>
            <w:tcW w:w="2471" w:type="dxa"/>
          </w:tcPr>
          <w:p w14:paraId="058C4A06"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40%</w:t>
            </w:r>
          </w:p>
        </w:tc>
      </w:tr>
      <w:tr w:rsidR="00830B00" w:rsidRPr="00EF66D8" w14:paraId="1D3D2B4C" w14:textId="77777777" w:rsidTr="00830B00">
        <w:trPr>
          <w:trHeight w:val="887"/>
        </w:trPr>
        <w:tc>
          <w:tcPr>
            <w:tcW w:w="1696" w:type="dxa"/>
            <w:shd w:val="clear" w:color="auto" w:fill="auto"/>
          </w:tcPr>
          <w:p w14:paraId="188622D8"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Lecturer:</w:t>
            </w:r>
          </w:p>
        </w:tc>
        <w:tc>
          <w:tcPr>
            <w:tcW w:w="3644" w:type="dxa"/>
          </w:tcPr>
          <w:p w14:paraId="6CF36ABE"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 xml:space="preserve">Dr </w:t>
            </w:r>
            <w:proofErr w:type="spellStart"/>
            <w:r w:rsidRPr="00EF66D8">
              <w:rPr>
                <w:rFonts w:ascii="Times New Roman" w:hAnsi="Times New Roman" w:cs="Times New Roman"/>
                <w:b/>
              </w:rPr>
              <w:t>Nalda</w:t>
            </w:r>
            <w:proofErr w:type="spellEnd"/>
            <w:r w:rsidRPr="00EF66D8">
              <w:rPr>
                <w:rFonts w:ascii="Times New Roman" w:hAnsi="Times New Roman" w:cs="Times New Roman"/>
                <w:b/>
              </w:rPr>
              <w:t xml:space="preserve"> Wainwright</w:t>
            </w:r>
          </w:p>
          <w:p w14:paraId="5152F6A8" w14:textId="77777777" w:rsidR="00830B00" w:rsidRPr="00EF66D8" w:rsidRDefault="00830B00" w:rsidP="00830B00">
            <w:pPr>
              <w:spacing w:before="120" w:after="120" w:line="276" w:lineRule="auto"/>
              <w:jc w:val="both"/>
              <w:rPr>
                <w:rFonts w:ascii="Times New Roman" w:hAnsi="Times New Roman" w:cs="Times New Roman"/>
                <w:b/>
              </w:rPr>
            </w:pPr>
          </w:p>
        </w:tc>
        <w:tc>
          <w:tcPr>
            <w:tcW w:w="2249" w:type="dxa"/>
            <w:shd w:val="clear" w:color="auto" w:fill="D9D9D9" w:themeFill="background1" w:themeFillShade="D9"/>
          </w:tcPr>
          <w:p w14:paraId="76CD59C7"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Internal Verifier:</w:t>
            </w:r>
          </w:p>
        </w:tc>
        <w:tc>
          <w:tcPr>
            <w:tcW w:w="2471" w:type="dxa"/>
          </w:tcPr>
          <w:p w14:paraId="3EFA23D3" w14:textId="77777777" w:rsidR="00830B00" w:rsidRPr="00EF66D8" w:rsidRDefault="00830B00" w:rsidP="00830B00">
            <w:pPr>
              <w:spacing w:before="120" w:after="120" w:line="276" w:lineRule="auto"/>
              <w:jc w:val="both"/>
              <w:rPr>
                <w:rFonts w:ascii="Times New Roman" w:hAnsi="Times New Roman" w:cs="Times New Roman"/>
              </w:rPr>
            </w:pPr>
            <w:r w:rsidRPr="00EF66D8">
              <w:rPr>
                <w:rFonts w:ascii="Times New Roman" w:hAnsi="Times New Roman" w:cs="Times New Roman"/>
                <w:b/>
                <w:bCs/>
              </w:rPr>
              <w:t>Dave Gardner / Chris Cashin</w:t>
            </w:r>
          </w:p>
        </w:tc>
      </w:tr>
      <w:tr w:rsidR="00830B00" w:rsidRPr="00EF66D8" w14:paraId="4D26D1E4" w14:textId="77777777" w:rsidTr="00830B00">
        <w:trPr>
          <w:trHeight w:val="769"/>
        </w:trPr>
        <w:tc>
          <w:tcPr>
            <w:tcW w:w="1696" w:type="dxa"/>
            <w:shd w:val="clear" w:color="auto" w:fill="auto"/>
          </w:tcPr>
          <w:p w14:paraId="4EB2CDB0"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Assignment Title:</w:t>
            </w:r>
          </w:p>
        </w:tc>
        <w:tc>
          <w:tcPr>
            <w:tcW w:w="3644" w:type="dxa"/>
          </w:tcPr>
          <w:p w14:paraId="3C89B2ED" w14:textId="77777777" w:rsidR="00830B00" w:rsidRPr="00EF66D8" w:rsidRDefault="00830B00" w:rsidP="00830B00">
            <w:pPr>
              <w:spacing w:line="276" w:lineRule="auto"/>
              <w:rPr>
                <w:rFonts w:ascii="Times New Roman" w:hAnsi="Times New Roman" w:cs="Times New Roman"/>
                <w:b/>
              </w:rPr>
            </w:pPr>
            <w:r w:rsidRPr="00EF66D8">
              <w:rPr>
                <w:rFonts w:ascii="Times New Roman" w:hAnsi="Times New Roman" w:cs="Times New Roman"/>
                <w:b/>
                <w:bCs/>
              </w:rPr>
              <w:t xml:space="preserve">Reflective paper </w:t>
            </w:r>
          </w:p>
        </w:tc>
        <w:tc>
          <w:tcPr>
            <w:tcW w:w="2249" w:type="dxa"/>
            <w:shd w:val="clear" w:color="auto" w:fill="auto"/>
          </w:tcPr>
          <w:p w14:paraId="09A20DB6"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Word count (or equivalent):</w:t>
            </w:r>
          </w:p>
        </w:tc>
        <w:tc>
          <w:tcPr>
            <w:tcW w:w="2471" w:type="dxa"/>
          </w:tcPr>
          <w:p w14:paraId="28F4A9E7"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3000</w:t>
            </w:r>
          </w:p>
        </w:tc>
      </w:tr>
      <w:tr w:rsidR="00830B00" w:rsidRPr="00EF66D8" w14:paraId="2064E72D" w14:textId="77777777" w:rsidTr="00830B00">
        <w:trPr>
          <w:trHeight w:val="1025"/>
        </w:trPr>
        <w:tc>
          <w:tcPr>
            <w:tcW w:w="1696" w:type="dxa"/>
            <w:shd w:val="clear" w:color="auto" w:fill="auto"/>
          </w:tcPr>
          <w:p w14:paraId="654F02E6"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Submission deadline:</w:t>
            </w:r>
          </w:p>
        </w:tc>
        <w:tc>
          <w:tcPr>
            <w:tcW w:w="3644" w:type="dxa"/>
            <w:shd w:val="clear" w:color="auto" w:fill="auto"/>
          </w:tcPr>
          <w:p w14:paraId="232F210D" w14:textId="77777777" w:rsidR="00830B00" w:rsidRPr="00EF66D8" w:rsidRDefault="00830B00" w:rsidP="00830B00">
            <w:pPr>
              <w:spacing w:before="120" w:after="120" w:line="276" w:lineRule="auto"/>
              <w:jc w:val="both"/>
              <w:rPr>
                <w:rFonts w:ascii="Times New Roman" w:hAnsi="Times New Roman" w:cs="Times New Roman"/>
                <w:b/>
                <w:bCs/>
              </w:rPr>
            </w:pPr>
            <w:r w:rsidRPr="00EF66D8">
              <w:rPr>
                <w:rFonts w:ascii="Times New Roman" w:hAnsi="Times New Roman" w:cs="Times New Roman"/>
                <w:b/>
                <w:bCs/>
              </w:rPr>
              <w:t>12/05/2023</w:t>
            </w:r>
          </w:p>
        </w:tc>
        <w:tc>
          <w:tcPr>
            <w:tcW w:w="2249" w:type="dxa"/>
            <w:shd w:val="clear" w:color="auto" w:fill="auto"/>
          </w:tcPr>
          <w:p w14:paraId="6213ADFC"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Return date of provisional marks &amp; written feedback:</w:t>
            </w:r>
          </w:p>
        </w:tc>
        <w:tc>
          <w:tcPr>
            <w:tcW w:w="2471" w:type="dxa"/>
          </w:tcPr>
          <w:p w14:paraId="28069A94" w14:textId="77777777" w:rsidR="00830B00" w:rsidRPr="00EF66D8" w:rsidRDefault="00830B00" w:rsidP="00830B00">
            <w:pPr>
              <w:spacing w:before="120" w:after="120" w:line="276" w:lineRule="auto"/>
              <w:jc w:val="both"/>
              <w:rPr>
                <w:rFonts w:ascii="Times New Roman" w:hAnsi="Times New Roman" w:cs="Times New Roman"/>
                <w:b/>
              </w:rPr>
            </w:pPr>
          </w:p>
        </w:tc>
      </w:tr>
      <w:tr w:rsidR="00830B00" w:rsidRPr="00EF66D8" w14:paraId="723A9283" w14:textId="77777777" w:rsidTr="00830B00">
        <w:trPr>
          <w:trHeight w:val="2742"/>
        </w:trPr>
        <w:tc>
          <w:tcPr>
            <w:tcW w:w="1696" w:type="dxa"/>
            <w:shd w:val="clear" w:color="auto" w:fill="auto"/>
          </w:tcPr>
          <w:p w14:paraId="5A0560CB"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Submission method:</w:t>
            </w:r>
          </w:p>
        </w:tc>
        <w:tc>
          <w:tcPr>
            <w:tcW w:w="8364" w:type="dxa"/>
            <w:gridSpan w:val="3"/>
            <w:shd w:val="clear" w:color="auto" w:fill="auto"/>
          </w:tcPr>
          <w:p w14:paraId="1B5F3579" w14:textId="77777777" w:rsidR="00830B00" w:rsidRPr="00EF66D8" w:rsidRDefault="00830B00" w:rsidP="00830B00">
            <w:pPr>
              <w:spacing w:line="276" w:lineRule="auto"/>
              <w:rPr>
                <w:rFonts w:ascii="Times New Roman" w:hAnsi="Times New Roman" w:cs="Times New Roman"/>
              </w:rPr>
            </w:pPr>
            <w:r w:rsidRPr="00EF66D8">
              <w:rPr>
                <w:rFonts w:ascii="Times New Roman" w:hAnsi="Times New Roman" w:cs="Times New Roman"/>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9321C0"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 xml:space="preserve">Alternative submission method (if applicable): </w:t>
            </w:r>
          </w:p>
          <w:p w14:paraId="5D827E77" w14:textId="77777777" w:rsidR="00830B00" w:rsidRPr="00EF66D8" w:rsidRDefault="00830B00" w:rsidP="00830B00">
            <w:pPr>
              <w:spacing w:before="120" w:after="120" w:line="276" w:lineRule="auto"/>
              <w:jc w:val="both"/>
              <w:rPr>
                <w:rFonts w:ascii="Times New Roman" w:hAnsi="Times New Roman" w:cs="Times New Roman"/>
                <w:b/>
              </w:rPr>
            </w:pPr>
            <w:r w:rsidRPr="00EF66D8">
              <w:rPr>
                <w:rFonts w:ascii="Times New Roman" w:hAnsi="Times New Roman" w:cs="Times New Roman"/>
                <w:b/>
              </w:rPr>
              <w:t xml:space="preserve">Late submission of the assessment will result in a late penalty mark.  </w:t>
            </w:r>
            <w:r w:rsidRPr="00EF66D8">
              <w:rPr>
                <w:rFonts w:ascii="Times New Roman" w:hAnsi="Times New Roman" w:cs="Times New Roman"/>
              </w:rPr>
              <w:t>Penalties for late submission: Up to one week late, maximum mark of 50%.  Over one week late, 0%.  Only the Extenuating Circumstances Panel may approve a change to submission dates.</w:t>
            </w:r>
          </w:p>
        </w:tc>
      </w:tr>
      <w:tr w:rsidR="00830B00" w:rsidRPr="00EF66D8" w14:paraId="22C79483" w14:textId="77777777" w:rsidTr="00830B00">
        <w:trPr>
          <w:trHeight w:val="699"/>
        </w:trPr>
        <w:tc>
          <w:tcPr>
            <w:tcW w:w="1696" w:type="dxa"/>
            <w:shd w:val="clear" w:color="auto" w:fill="auto"/>
          </w:tcPr>
          <w:p w14:paraId="4C13B263" w14:textId="77777777" w:rsidR="00830B00" w:rsidRPr="00EF66D8" w:rsidRDefault="00830B00" w:rsidP="00830B00">
            <w:pPr>
              <w:spacing w:before="120" w:after="120" w:line="276" w:lineRule="auto"/>
              <w:rPr>
                <w:rFonts w:ascii="Times New Roman" w:hAnsi="Times New Roman" w:cs="Times New Roman"/>
                <w:b/>
              </w:rPr>
            </w:pPr>
            <w:r w:rsidRPr="00EF66D8">
              <w:rPr>
                <w:rFonts w:ascii="Times New Roman" w:hAnsi="Times New Roman" w:cs="Times New Roman"/>
                <w:b/>
              </w:rPr>
              <w:t>Academic honesty / referencing:</w:t>
            </w:r>
          </w:p>
        </w:tc>
        <w:tc>
          <w:tcPr>
            <w:tcW w:w="8364" w:type="dxa"/>
            <w:gridSpan w:val="3"/>
            <w:shd w:val="clear" w:color="auto" w:fill="auto"/>
          </w:tcPr>
          <w:p w14:paraId="2AAF511D" w14:textId="77777777" w:rsidR="00830B00" w:rsidRPr="00EF66D8" w:rsidRDefault="00830B00" w:rsidP="00830B00">
            <w:pPr>
              <w:spacing w:before="120" w:after="120" w:line="276" w:lineRule="auto"/>
              <w:jc w:val="both"/>
              <w:rPr>
                <w:rFonts w:ascii="Times New Roman" w:hAnsi="Times New Roman" w:cs="Times New Roman"/>
              </w:rPr>
            </w:pPr>
            <w:r w:rsidRPr="00EF66D8">
              <w:rPr>
                <w:rFonts w:ascii="Times New Roman" w:hAnsi="Times New Roman" w:cs="Times New Roman"/>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14D1FFE"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lastRenderedPageBreak/>
        <w:t xml:space="preserve">Reflective paper: Assignment 3 </w:t>
      </w:r>
    </w:p>
    <w:p w14:paraId="36D14EE8"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16CCE909"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In 2019 the NHS stated its mission to create a wellness system, intending to adopt a supportive and preventative approach to care, expanding from the current curative approach (Gov Wales, 2021). I currently work as an Acute NHS Dietitian helping to treat patients with life-debilitating illnesses, many of which may have been prevented with earlier access to healthy lifestyle and activity interventions. Additionally, I am also undergoing a part-time position as a student studying MSc in Sport and Exercise Nutrition and beginning to understand the importance of adequate nutrition in fuelling activity, to prevent injury or illness long term. My current dietetic roles allow me to work within different areas in the field of nutrition making this topic of research a particularly important interest of mine, looking to improve both my practice and service development within the NHS. As I do not feel that adequate measures are in place to help promote a preventative approach within the field of NHS Dietetics, I felt that the dietetic department in the NHS could benefit from linking these two fields to help achieve their goal of creating a wellness system and adopt a preventative approach to health care.  </w:t>
      </w:r>
    </w:p>
    <w:p w14:paraId="4E14AE13"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0A66E466"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There is a huge volume of research observing positive long-term health effects of participating in physical activity as well as research demonstrating the importance of fuelling effectively for physical activity to prevent injury and increase rates of compliance (Close, Kasper and Morton, 2019). There is, however, little to no research primarily looking into eating to fuel physical activity to promote weight loss. With the current obesity crisis increasing in the UK as well as many other areas of the world (</w:t>
      </w:r>
      <w:proofErr w:type="spellStart"/>
      <w:r w:rsidRPr="00EF66D8">
        <w:rPr>
          <w:rFonts w:ascii="Times New Roman" w:hAnsi="Times New Roman" w:cs="Times New Roman"/>
        </w:rPr>
        <w:t>Keaver</w:t>
      </w:r>
      <w:proofErr w:type="spellEnd"/>
      <w:r w:rsidRPr="00EF66D8">
        <w:rPr>
          <w:rFonts w:ascii="Times New Roman" w:hAnsi="Times New Roman" w:cs="Times New Roman"/>
        </w:rPr>
        <w:t xml:space="preserve"> et al., 2020), is this something that the NHS should be looking into to help generate the described 'wellness system' in their recent statement (Gov UK, 2020). Recent statistics also demonstrate that preventative measures are not currently in place, with the NHS experiencing a national crisis, funding has been limited in areas such as those coordinating preventative measures (Martin et al., 2020). But how long can this go on for? I felt strongly that helping to provide strategies to generate a wellness system with the current staffing availability is the only way to help move forward. Although I felt passionate about this topic, I am particularly passionate about creating awareness for fuelling sport as a whole, which is unlike many NHS dietitians who are not specialising in sports in the private sector.  </w:t>
      </w:r>
    </w:p>
    <w:p w14:paraId="2854DA33"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5A439265"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Within dietetics and nutrition, there are areas of debate on whether the dietitian should be in a position to advise on exercise, particularly within the NHS this is a topic of conversation usually left to physiotherapists. But given the extensive research into the role of nutrition in enabling safe exercise practices, should this be a topic for consideration by dietitians or providing a multidisciplinary approach? In recent years Sport and exercise medicine (SEM) is a rapidly expanding specialism identified in the healthcare setting by the World Health Organisation (2018). SEM physicians are educated in sports medicine and have the ability to provide holistic treatment for patients to prevent ill health (De Lorenzo et al., 2020). However, unfortunately in the UK, this is not a commonly offered service, with only nine SEM consultants currently employed by the NHS (NHS, 2023). More research into the importance of SEM and how this could be incorporated into the structure of the NHS is </w:t>
      </w:r>
      <w:r w:rsidRPr="00EF66D8">
        <w:rPr>
          <w:rFonts w:ascii="Times New Roman" w:hAnsi="Times New Roman" w:cs="Times New Roman"/>
        </w:rPr>
        <w:lastRenderedPageBreak/>
        <w:t xml:space="preserve">needed to help make this a successful intervention nationally. Although the British Dietetic Association advertise that their registered dietitians can work in 'sport', they are not SEM physicians and do not hold a Sports nutrition registration. I, therefore, felt it crucial to obtain the opinions and perceptions of other NHS dietitians to gather a more generalist view and assess the perceived need for this particular area to help combat the general health crisis within the UK. As well as determining dietitians' prior education or knowledge in the sporting field. Findings would also help determine whether a change in dietetic curriculum structure to include a sport or exercise module would be felt to benefit the NHS dietetic staff.  </w:t>
      </w:r>
    </w:p>
    <w:p w14:paraId="6D540B8C"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4C4BF86A"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The results obtained from this smaller research project would then be used to influence further projects and identify any needs in particular areas to research, acting as a preliminary or pilot study. Pilot studies allow researchers to both identify any changes required in the research process, as well as a form of identifying the need or success of the project as a whole (</w:t>
      </w:r>
      <w:proofErr w:type="spellStart"/>
      <w:r w:rsidRPr="00EF66D8">
        <w:rPr>
          <w:rFonts w:ascii="Times New Roman" w:hAnsi="Times New Roman" w:cs="Times New Roman"/>
        </w:rPr>
        <w:t>Malmqvist</w:t>
      </w:r>
      <w:proofErr w:type="spellEnd"/>
      <w:r w:rsidRPr="00EF66D8">
        <w:rPr>
          <w:rFonts w:ascii="Times New Roman" w:hAnsi="Times New Roman" w:cs="Times New Roman"/>
        </w:rPr>
        <w:t xml:space="preserve"> et al., 2019). As there is little to no background research into the role of sports nutrition as a form of prevention within the structure of the NHS, the pilot study would help to identify the Dietitians' perceptions of the need for this strategy before completing larger research projects to identify how to implement the strategy.  </w:t>
      </w:r>
    </w:p>
    <w:p w14:paraId="1985CC68"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3CFF79B7"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Before completing this research project the only experience I had in undergoing research was in quantitative research projects. Therefore, due to my lack of experience in completing qualitative research, an in-depth review of the literature on the processes of completing qualitative research successfully within the ontological paradigm of constructivism was completed before commencing the project. This included several books (Armour and Macdonald, 2012; Gray, 2004) and journal articles (Moon &amp; Blackman, 2014). These literature searches allowed me to develop a greater understanding of the implications of qualitative data collection as well as allowing me to delve deeper into the methods appropriate for constructivist research which enabled me to identify appropriate methodology for this study. This went well as it ensured continued alignment throughout the research process. Overall, the process was a challenging one, introducing me to a field of research that I had not yet worked with. As the few past experiences in research I had were quantitative, which mainly meant dealing with statistics rather than individual perceptions and experiences when it came to data collection and analysis. The skills I have learned during this mini-research project will influence my future practices. I have learned appropriate interviewing techniques to gain sufficient information from participants by asking open-ended questions, allowing them to lead the direction of the conversation. This will influence my academic practice going forward as I now understand the importance and role of conducting semi-structured interviews to gain sufficient qualitative data. As my prior experience in completing research involving structured written questionnaires did not leave me well equipped for this task, extensive research was carried out before the interviews to learn techniques on semi-structured interviews, and a trial run was completed with a participant not included in the study, which I was then able to gain feedback from to improve in the actual study. I have now gained experience in observing personal perceptions and how exploring themes in these perceptions can help to identify required areas of future research or to determine theories. Due to the short time frame of this research project and research methods module, only </w:t>
      </w:r>
      <w:r w:rsidRPr="00EF66D8">
        <w:rPr>
          <w:rFonts w:ascii="Times New Roman" w:hAnsi="Times New Roman" w:cs="Times New Roman"/>
        </w:rPr>
        <w:lastRenderedPageBreak/>
        <w:t xml:space="preserve">literature relevant to this project was sourced when completing the initial background reading. In future research projects, completing an extensive reading list of literature appropriate for the particular paradigm of the research at hand would be beneficial when working with other ontological paradigms, to ensure correct alignment throughout the project. </w:t>
      </w:r>
    </w:p>
    <w:p w14:paraId="2FED2358"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3771B3D9"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The research design involved the use of semi-structured interviews. This interview style is an effective method for the collection of qualitative data and allows the researcher to collect participants' thoughts, opinions, experiences, and perceptions (</w:t>
      </w:r>
      <w:proofErr w:type="spellStart"/>
      <w:r w:rsidRPr="00EF66D8">
        <w:rPr>
          <w:rFonts w:ascii="Times New Roman" w:hAnsi="Times New Roman" w:cs="Times New Roman"/>
        </w:rPr>
        <w:t>DeJonckheere</w:t>
      </w:r>
      <w:proofErr w:type="spellEnd"/>
      <w:r w:rsidRPr="00EF66D8">
        <w:rPr>
          <w:rFonts w:ascii="Times New Roman" w:hAnsi="Times New Roman" w:cs="Times New Roman"/>
        </w:rPr>
        <w:t xml:space="preserve"> and Vaughn, 2019). This method is therefore in line with the theoretical basis underpinning the research project of using the constructivist approach. The use of semi-structured interviews, allowing the researcher to explore individual perceptions, follows the ontological paradigm of interpretivism (Cohen et al., 2018). The trends identified from these individual perceptions can then be used to create theories for further future analysis in larger research projects. Another research method discussed within the planning stages of this project involved asking participants to complete a Likert scale questionnaire, of which theories could then be developed upon analysis of these responses. However, this process would not align with the constructivist approach, focusing primarily on the positivism paradigm (Park, </w:t>
      </w:r>
      <w:proofErr w:type="spellStart"/>
      <w:r w:rsidRPr="00EF66D8">
        <w:rPr>
          <w:rFonts w:ascii="Times New Roman" w:hAnsi="Times New Roman" w:cs="Times New Roman"/>
        </w:rPr>
        <w:t>Konge</w:t>
      </w:r>
      <w:proofErr w:type="spellEnd"/>
      <w:r w:rsidRPr="00EF66D8">
        <w:rPr>
          <w:rFonts w:ascii="Times New Roman" w:hAnsi="Times New Roman" w:cs="Times New Roman"/>
        </w:rPr>
        <w:t xml:space="preserve">, and </w:t>
      </w:r>
      <w:proofErr w:type="spellStart"/>
      <w:r w:rsidRPr="00EF66D8">
        <w:rPr>
          <w:rFonts w:ascii="Times New Roman" w:hAnsi="Times New Roman" w:cs="Times New Roman"/>
        </w:rPr>
        <w:t>Artino</w:t>
      </w:r>
      <w:proofErr w:type="spellEnd"/>
      <w:r w:rsidRPr="00EF66D8">
        <w:rPr>
          <w:rFonts w:ascii="Times New Roman" w:hAnsi="Times New Roman" w:cs="Times New Roman"/>
        </w:rPr>
        <w:t xml:space="preserve">, 2020). This is because developing theories from Likert scale questionnaires allows the researcher to interpret themes and meanings from closed-answered questions, as opposed to open ending questions from semi-structured interviews. Additionally, the process of completing Likert questionnaires would need to include a much larger sample size to accurately identify trends and themes. Due to the quick turnaround for this mini-research project, this would not have been feasible and assumptions could not then be made due to the lack of data collected. The use of more in-depth semi-structured interviews allowed for a greater amount of quality information to be collected from each of the three participants, making the results more easily analysable. The use of semi-structured interview techniques was, therefore, the most appropriate research method for collecting data aligning with the constructivist paradigm, in the time frame given for the project. Given more time in the future, focus groups with different areas of dietetics (public health, acute adults, paediatrics) may also be an appropriate method of successful data collection. Focus groups allow for group dynamics to influence the direction of the conversation and allow participants to reflect and alter their views about the information they have discussed (Gov, 2020). This may be a beneficial research method in a larger-scale study aiming to help identify areas of feasible preventative measures within the dietetic department. In future research, adopting the pragmatic paradigm involving mixed methods data collection may be a successful way to collect appropriate data for this particular research topic. This would allow for in-depth semi structures interviews to be completed to understand dietitians' perceptions on the need for sports nutrition education and their experience or need for this so far, as well as collecting quantitative data in determining current sports nutrition knowledge of the interviewed participants.  </w:t>
      </w:r>
    </w:p>
    <w:p w14:paraId="200D4D3F"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39593351"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All participants completed consent forms which ensured they were fully aware of the process of the research project and that all interviews would be recorded and transcribed. All </w:t>
      </w:r>
      <w:r w:rsidRPr="00EF66D8">
        <w:rPr>
          <w:rFonts w:ascii="Times New Roman" w:hAnsi="Times New Roman" w:cs="Times New Roman"/>
        </w:rPr>
        <w:lastRenderedPageBreak/>
        <w:t xml:space="preserve">interviews were held in a private and confidential space with only the interviewer and interviewee present, this eliminated any ethical concerns of individuals who had not consented to the recording being present in the voice recording. Adhering to the UWTSD ethical guidelines. Due to the nature of this project, it had very limited ethical risks and therefore this was not an issue that needed to be addressed. I understand that should there be any ethical risk in conducting research this must be approved by appropriate ethical bodies as well as ensuring all ethical risks are limited where possible. This can be ensured by maintaining honesty throughout the planning and delivering of the research and or interview, establishing a strong foundation with participants, and re-evaluating and revising the research process throughout planning to ensure any appropriate adaptations have been made. Should there be any ethical risk deemed from completing the research project then participants should be made fully aware of this risk before participating, which is known as ethically informed risk management (Card, 2020). </w:t>
      </w:r>
    </w:p>
    <w:p w14:paraId="2E128491"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177475DC"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Using this dictated interview style approach ensured exact words and quotations were recorded from each participant, removing the limitation of memory or personal interpretations. For many years this has been determined to be the most accurate approach to collecting interview-style data, compare with note-taking from interviews (Potter, 1990). This technique of dictation allowed the researcher to provide their full attention to the conversation at hand and prompt participants to elaborate in certain areas as the researcher's mind was not focussed on writing down all relevant information or from memory post-interview. This aligns with the constructivist approach of the research project being naturalistic and delving into individuals' experiences and perceptions word for word (Park, </w:t>
      </w:r>
      <w:proofErr w:type="spellStart"/>
      <w:r w:rsidRPr="00EF66D8">
        <w:rPr>
          <w:rFonts w:ascii="Times New Roman" w:hAnsi="Times New Roman" w:cs="Times New Roman"/>
        </w:rPr>
        <w:t>Konge</w:t>
      </w:r>
      <w:proofErr w:type="spellEnd"/>
      <w:r w:rsidRPr="00EF66D8">
        <w:rPr>
          <w:rFonts w:ascii="Times New Roman" w:hAnsi="Times New Roman" w:cs="Times New Roman"/>
        </w:rPr>
        <w:t xml:space="preserve">, and </w:t>
      </w:r>
      <w:proofErr w:type="spellStart"/>
      <w:r w:rsidRPr="00EF66D8">
        <w:rPr>
          <w:rFonts w:ascii="Times New Roman" w:hAnsi="Times New Roman" w:cs="Times New Roman"/>
        </w:rPr>
        <w:t>Artino</w:t>
      </w:r>
      <w:proofErr w:type="spellEnd"/>
      <w:r w:rsidRPr="00EF66D8">
        <w:rPr>
          <w:rFonts w:ascii="Times New Roman" w:hAnsi="Times New Roman" w:cs="Times New Roman"/>
        </w:rPr>
        <w:t xml:space="preserve">, 2020). However, this was a much more timely process than originally anticipated. In future larger projects, this must be taken into account, particularly as it is likely that more participants will be involved in larger research projects. Adequate time must be allocated in the planning of the research timeline to ensure that no area of the process is rushed.  </w:t>
      </w:r>
    </w:p>
    <w:p w14:paraId="69DA41D3"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697363A8" w14:textId="51D5AE54"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This recorded information was then analysed using dictation and coding strategies. Not all information gathered from the interview process was relevant but coding allowed for relevant themes to be identified amongst the different interviews. In addition to this, the interview transcripts needed to be taken at face value when analysing and coding to ensure that my own opinions and passions within the field were not influencing any of the data collected. Using appropriate software such as creating word clouds and asking other masters level students to assist with coding helped to ensure that all appropriate themes were identified. The use of word clouds is beneficial when studying the results of qualitative data because it helps to enable common themes and ideas (DePaolo and Wilkinson, 2014).</w:t>
      </w:r>
      <w:r w:rsidR="008B597F">
        <w:rPr>
          <w:rFonts w:ascii="Times New Roman" w:hAnsi="Times New Roman" w:cs="Times New Roman"/>
        </w:rPr>
        <w:t xml:space="preserve"> </w:t>
      </w:r>
      <w:r w:rsidRPr="00EF66D8">
        <w:rPr>
          <w:rFonts w:ascii="Times New Roman" w:hAnsi="Times New Roman" w:cs="Times New Roman"/>
        </w:rPr>
        <w:t xml:space="preserve">As recording and transcribing the interviews took more time than initially anticipated I was therefore more rushed for time towards the end of the research project. This unfortunately lead to a less extensive literature search carried out on the roles and implications of coding and identifying themes when analysing qualitative data. In future larger-scale research projects the use of NVIVO would be beneficial for an accurate analysis of the qualitative data gathered. It was not a feasible option to learn how to use NVIVO software for analysing the small number of </w:t>
      </w:r>
      <w:r w:rsidRPr="00EF66D8">
        <w:rPr>
          <w:rFonts w:ascii="Times New Roman" w:hAnsi="Times New Roman" w:cs="Times New Roman"/>
        </w:rPr>
        <w:lastRenderedPageBreak/>
        <w:t>transcripts in this project, particularly given the short time frame for the project itself. The use of software can assist researchers in organising, analysing, and finding insights in unstructured data sets, boosting the accuracy and speed of qualitative data analysis (</w:t>
      </w:r>
      <w:proofErr w:type="spellStart"/>
      <w:r w:rsidRPr="00EF66D8">
        <w:rPr>
          <w:rFonts w:ascii="Times New Roman" w:hAnsi="Times New Roman" w:cs="Times New Roman"/>
        </w:rPr>
        <w:t>Mclafferty</w:t>
      </w:r>
      <w:proofErr w:type="spellEnd"/>
      <w:r w:rsidRPr="00EF66D8">
        <w:rPr>
          <w:rFonts w:ascii="Times New Roman" w:hAnsi="Times New Roman" w:cs="Times New Roman"/>
        </w:rPr>
        <w:t xml:space="preserve"> and Farley, 2006). Unlike analysis software in quantitative research, the main function of software such as NVIVO is not necessarily to solely analyse the data, but to provide assistance to the research upon data analysis and interpretation (</w:t>
      </w:r>
      <w:proofErr w:type="spellStart"/>
      <w:r w:rsidRPr="00EF66D8">
        <w:rPr>
          <w:rFonts w:ascii="Times New Roman" w:hAnsi="Times New Roman" w:cs="Times New Roman"/>
        </w:rPr>
        <w:t>Bezeley</w:t>
      </w:r>
      <w:proofErr w:type="spellEnd"/>
      <w:r w:rsidRPr="00EF66D8">
        <w:rPr>
          <w:rFonts w:ascii="Times New Roman" w:hAnsi="Times New Roman" w:cs="Times New Roman"/>
        </w:rPr>
        <w:t xml:space="preserve">, 2007). </w:t>
      </w:r>
    </w:p>
    <w:p w14:paraId="0AC31361"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78CB2090"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In summary, dietitians felt that there was more that the dietetic department could be doing to help increase preventative measures, but that this may not be specifically linked with sports nutrition. The difference in participant opinions and experiences forced me to reflect on my own opinions by seeing things from a different perspective. Information was gathered successfully from the use of semi-structured interviews, however, as discussed above, the use of focus groups may have helped to establish a more in-depth conversation about sports nutrition specifically. It is unlikely that more extensive research in this area is required at present and that potentially other areas of preventative measures may be more appropriate to the NHS setting initially. Future research may benefit from exploring dietitians' perceptions of ways of implementing dietary prevention techniques within the current structured service, before delving into alternative services that could be offered, such as sport and exercise medicine. This has therefore emphasised the importance of conducting preliminary or pilot studies before organising a larger, more time consuming, and potentially more expensive research project. Ensuring that the particular research is necessary and assisting in filling a gap in current research, as well as ensuring it would benefit the aimed cause (</w:t>
      </w:r>
      <w:proofErr w:type="spellStart"/>
      <w:r w:rsidRPr="00EF66D8">
        <w:rPr>
          <w:rFonts w:ascii="Times New Roman" w:hAnsi="Times New Roman" w:cs="Times New Roman"/>
        </w:rPr>
        <w:t>Tianjing</w:t>
      </w:r>
      <w:proofErr w:type="spellEnd"/>
      <w:r w:rsidRPr="00EF66D8">
        <w:rPr>
          <w:rFonts w:ascii="Times New Roman" w:hAnsi="Times New Roman" w:cs="Times New Roman"/>
        </w:rPr>
        <w:t xml:space="preserve">, 2012). As in this case, the pilot study identified that NHS dietitians currently feel that there are earlier interventions that could be put into place before exploring sports and exercise medicine.  </w:t>
      </w:r>
    </w:p>
    <w:p w14:paraId="23AD3A96" w14:textId="77777777" w:rsidR="00EF66D8" w:rsidRPr="00EF66D8"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 </w:t>
      </w:r>
    </w:p>
    <w:p w14:paraId="42345AB6" w14:textId="77777777" w:rsidR="00830B00" w:rsidRDefault="00EF66D8" w:rsidP="00EF66D8">
      <w:pPr>
        <w:spacing w:line="276" w:lineRule="auto"/>
        <w:rPr>
          <w:rFonts w:ascii="Times New Roman" w:hAnsi="Times New Roman" w:cs="Times New Roman"/>
        </w:rPr>
      </w:pPr>
      <w:r w:rsidRPr="00EF66D8">
        <w:rPr>
          <w:rFonts w:ascii="Times New Roman" w:hAnsi="Times New Roman" w:cs="Times New Roman"/>
        </w:rPr>
        <w:t xml:space="preserve">This project allowed me to demonstrate my skills in independently undertaking research, providing me with confidence going into future, larger scale research projects. Appropriate literature was sourced independently before and throughout completing the project. The positive feedback gained from my supervisor for the completed research proposal which discussed the background literature in this field, further confirmed the use of appropriate literature sourcing before completing the project. The high grade received from the research proposal emphasised my organisational skills and evidenced basis for the research project at hand. During the initial stages of research planning, I had multiple group discussions with peers on my course and my supervisor to help when brainstorming ideas for our projects. This helped to inspire my research and alternative data collection methods and opinions on my planned research idea. After the group discussion in consolidating ideas for research, the project was then carried out independently within the allocated time frame. In future projects, I would like to provide a greater focus on the supporting literature for analysing the qualitative data collected and effective </w:t>
      </w:r>
      <w:proofErr w:type="spellStart"/>
      <w:r w:rsidRPr="00EF66D8">
        <w:rPr>
          <w:rFonts w:ascii="Times New Roman" w:hAnsi="Times New Roman" w:cs="Times New Roman"/>
        </w:rPr>
        <w:t>softwares</w:t>
      </w:r>
      <w:proofErr w:type="spellEnd"/>
      <w:r w:rsidRPr="00EF66D8">
        <w:rPr>
          <w:rFonts w:ascii="Times New Roman" w:hAnsi="Times New Roman" w:cs="Times New Roman"/>
        </w:rPr>
        <w:t xml:space="preserve"> for completing this accurately. Overall, the research project as a whole opened my eyes to implications in research designs, the importance of discussing ideas with others as well as the key differences between quantitative and qualitative data analysis.</w:t>
      </w:r>
    </w:p>
    <w:p w14:paraId="45AD9BAE" w14:textId="303A2C77" w:rsidR="008B597F" w:rsidRDefault="00E10486" w:rsidP="00EF66D8">
      <w:pPr>
        <w:spacing w:line="276" w:lineRule="auto"/>
        <w:rPr>
          <w:rFonts w:ascii="Times New Roman" w:hAnsi="Times New Roman" w:cs="Times New Roman"/>
        </w:rPr>
      </w:pPr>
      <w:r w:rsidRPr="00EF66D8">
        <w:rPr>
          <w:rFonts w:ascii="Times New Roman" w:hAnsi="Times New Roman" w:cs="Times New Roman"/>
        </w:rPr>
        <w:t>Word count: 2</w:t>
      </w:r>
      <w:r w:rsidR="00EF66D8" w:rsidRPr="00EF66D8">
        <w:rPr>
          <w:rFonts w:ascii="Times New Roman" w:hAnsi="Times New Roman" w:cs="Times New Roman"/>
        </w:rPr>
        <w:t>902</w:t>
      </w:r>
      <w:r w:rsidRPr="00EF66D8">
        <w:rPr>
          <w:rFonts w:ascii="Times New Roman" w:hAnsi="Times New Roman" w:cs="Times New Roman"/>
        </w:rPr>
        <w:t xml:space="preserve"> </w:t>
      </w:r>
    </w:p>
    <w:p w14:paraId="6EE35A0B" w14:textId="0CEEF159" w:rsidR="00E10486" w:rsidRPr="00EF66D8" w:rsidRDefault="00E10486" w:rsidP="00EF66D8">
      <w:pPr>
        <w:spacing w:line="276" w:lineRule="auto"/>
        <w:rPr>
          <w:rFonts w:ascii="Times New Roman" w:hAnsi="Times New Roman" w:cs="Times New Roman"/>
        </w:rPr>
      </w:pPr>
      <w:r w:rsidRPr="00EF66D8">
        <w:rPr>
          <w:rFonts w:ascii="Times New Roman" w:hAnsi="Times New Roman" w:cs="Times New Roman"/>
        </w:rPr>
        <w:lastRenderedPageBreak/>
        <w:t xml:space="preserve">References </w:t>
      </w:r>
    </w:p>
    <w:p w14:paraId="5959F6CB" w14:textId="77777777" w:rsidR="00E10486" w:rsidRPr="00EF66D8" w:rsidRDefault="00E10486" w:rsidP="00EF66D8">
      <w:pPr>
        <w:spacing w:line="276" w:lineRule="auto"/>
        <w:rPr>
          <w:rFonts w:ascii="Times New Roman" w:hAnsi="Times New Roman" w:cs="Times New Roman"/>
        </w:rPr>
      </w:pPr>
    </w:p>
    <w:p w14:paraId="7FC7EF3B"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i/>
          <w:iCs/>
        </w:rPr>
        <w:t>A healthier Wales - Primary Care one</w:t>
      </w:r>
      <w:r w:rsidRPr="00EF66D8">
        <w:rPr>
          <w:rStyle w:val="normaltextrun"/>
        </w:rPr>
        <w:t> (2021). Available at: </w:t>
      </w:r>
      <w:hyperlink r:id="rId8" w:tgtFrame="_blank" w:history="1">
        <w:r w:rsidRPr="00EF66D8">
          <w:rPr>
            <w:rStyle w:val="normaltextrun"/>
            <w:color w:val="0000FF"/>
            <w:u w:val="single"/>
          </w:rPr>
          <w:t>https://primarycareone.nhs.wales/files/sharing-practice/a-healthier-wales-our-plan-for-health-social-care-update-2019/</w:t>
        </w:r>
      </w:hyperlink>
      <w:r w:rsidRPr="00EF66D8">
        <w:rPr>
          <w:rStyle w:val="normaltextrun"/>
        </w:rPr>
        <w:t> (Accessed: March 6, 2023). </w:t>
      </w:r>
      <w:r w:rsidRPr="00EF66D8">
        <w:rPr>
          <w:rStyle w:val="eop"/>
        </w:rPr>
        <w:t> </w:t>
      </w:r>
    </w:p>
    <w:p w14:paraId="34319AA3"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6E061E87"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Armour, K, and Macdonald, D. 2012, Research Methods in Physical Education and Youth Sport, Taylor and Francis Group, Florence. Available from: ProQuest </w:t>
      </w:r>
      <w:proofErr w:type="spellStart"/>
      <w:r w:rsidRPr="00EF66D8">
        <w:rPr>
          <w:rStyle w:val="spellingerror"/>
        </w:rPr>
        <w:t>Ebook</w:t>
      </w:r>
      <w:proofErr w:type="spellEnd"/>
      <w:r w:rsidRPr="00EF66D8">
        <w:rPr>
          <w:rStyle w:val="normaltextrun"/>
        </w:rPr>
        <w:t> Central. [16 April 2023].</w:t>
      </w:r>
      <w:r w:rsidRPr="00EF66D8">
        <w:rPr>
          <w:rStyle w:val="eop"/>
        </w:rPr>
        <w:t> </w:t>
      </w:r>
    </w:p>
    <w:p w14:paraId="7BCE0D89" w14:textId="77777777" w:rsidR="00E10486" w:rsidRPr="00EF66D8" w:rsidRDefault="00E10486" w:rsidP="00EF66D8">
      <w:pPr>
        <w:pStyle w:val="paragraph"/>
        <w:spacing w:before="0" w:beforeAutospacing="0" w:after="0" w:afterAutospacing="0" w:line="276" w:lineRule="auto"/>
        <w:textAlignment w:val="baseline"/>
      </w:pPr>
      <w:r w:rsidRPr="00EF66D8">
        <w:rPr>
          <w:rStyle w:val="eop"/>
          <w:color w:val="555555"/>
        </w:rPr>
        <w:t> </w:t>
      </w:r>
    </w:p>
    <w:p w14:paraId="2AEA4193" w14:textId="77777777" w:rsidR="00E10486" w:rsidRPr="00EF66D8" w:rsidRDefault="00E10486" w:rsidP="00EF66D8">
      <w:pPr>
        <w:pStyle w:val="paragraph"/>
        <w:spacing w:before="0" w:beforeAutospacing="0" w:after="0" w:afterAutospacing="0" w:line="276" w:lineRule="auto"/>
        <w:textAlignment w:val="baseline"/>
      </w:pPr>
      <w:proofErr w:type="spellStart"/>
      <w:r w:rsidRPr="00EF66D8">
        <w:rPr>
          <w:rStyle w:val="spellingerror"/>
          <w:color w:val="212121"/>
        </w:rPr>
        <w:t>Bezeley</w:t>
      </w:r>
      <w:proofErr w:type="spellEnd"/>
      <w:r w:rsidRPr="00EF66D8">
        <w:rPr>
          <w:rStyle w:val="normaltextrun"/>
          <w:color w:val="212121"/>
        </w:rPr>
        <w:t> P. (2007) "</w:t>
      </w:r>
      <w:r w:rsidRPr="00EF66D8">
        <w:rPr>
          <w:rStyle w:val="normaltextrun"/>
          <w:i/>
          <w:iCs/>
          <w:color w:val="212121"/>
        </w:rPr>
        <w:t>Qualitative Data Analysis with NVivo".</w:t>
      </w:r>
      <w:r w:rsidRPr="00EF66D8">
        <w:rPr>
          <w:rStyle w:val="normaltextrun"/>
          <w:color w:val="212121"/>
        </w:rPr>
        <w:t> London: Sage (20 April 2023)</w:t>
      </w:r>
      <w:r w:rsidRPr="00EF66D8">
        <w:rPr>
          <w:rStyle w:val="eop"/>
          <w:color w:val="212121"/>
        </w:rPr>
        <w:t> </w:t>
      </w:r>
    </w:p>
    <w:p w14:paraId="77E2612B" w14:textId="77777777" w:rsidR="00E10486" w:rsidRPr="00EF66D8" w:rsidRDefault="00E10486" w:rsidP="00EF66D8">
      <w:pPr>
        <w:pStyle w:val="paragraph"/>
        <w:spacing w:before="0" w:beforeAutospacing="0" w:after="0" w:afterAutospacing="0" w:line="276" w:lineRule="auto"/>
        <w:textAlignment w:val="baseline"/>
      </w:pPr>
      <w:r w:rsidRPr="00EF66D8">
        <w:rPr>
          <w:rStyle w:val="eop"/>
          <w:color w:val="555555"/>
        </w:rPr>
        <w:t> </w:t>
      </w:r>
    </w:p>
    <w:p w14:paraId="42B69460"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Card, A. (2020) “What is ethically informed Risk Management?,” </w:t>
      </w:r>
      <w:r w:rsidRPr="00EF66D8">
        <w:rPr>
          <w:rStyle w:val="normaltextrun"/>
          <w:i/>
          <w:iCs/>
        </w:rPr>
        <w:t>AMA Journal of Ethics</w:t>
      </w:r>
      <w:r w:rsidRPr="00EF66D8">
        <w:rPr>
          <w:rStyle w:val="normaltextrun"/>
        </w:rPr>
        <w:t>, 22(11). Available at: </w:t>
      </w:r>
      <w:hyperlink r:id="rId9" w:tgtFrame="_blank" w:history="1">
        <w:r w:rsidRPr="00EF66D8">
          <w:rPr>
            <w:rStyle w:val="normaltextrun"/>
            <w:color w:val="0000FF"/>
            <w:u w:val="single"/>
          </w:rPr>
          <w:t>https://doi.org/10.1001/amajethics.2020.965</w:t>
        </w:r>
      </w:hyperlink>
      <w:r w:rsidRPr="00EF66D8">
        <w:rPr>
          <w:rStyle w:val="normaltextrun"/>
        </w:rPr>
        <w:t>. </w:t>
      </w:r>
      <w:r w:rsidRPr="00EF66D8">
        <w:rPr>
          <w:rStyle w:val="eop"/>
        </w:rPr>
        <w:t> </w:t>
      </w:r>
    </w:p>
    <w:p w14:paraId="7166F420" w14:textId="77777777" w:rsidR="00E10486" w:rsidRPr="00EF66D8" w:rsidRDefault="00E10486" w:rsidP="00EF66D8">
      <w:pPr>
        <w:pStyle w:val="paragraph"/>
        <w:spacing w:before="0" w:beforeAutospacing="0" w:after="0" w:afterAutospacing="0" w:line="276" w:lineRule="auto"/>
        <w:textAlignment w:val="baseline"/>
      </w:pPr>
      <w:r w:rsidRPr="00EF66D8">
        <w:rPr>
          <w:rStyle w:val="eop"/>
          <w:color w:val="555555"/>
        </w:rPr>
        <w:t> </w:t>
      </w:r>
    </w:p>
    <w:p w14:paraId="15B053E2"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Close, G.L., Kasper, A.M. and Morton, J.P. (2019) “From paper to podium: Quantifying the Translational Potential of Performance Nutrition Research,” </w:t>
      </w:r>
      <w:r w:rsidRPr="00EF66D8">
        <w:rPr>
          <w:rStyle w:val="normaltextrun"/>
          <w:i/>
          <w:iCs/>
        </w:rPr>
        <w:t>Sports Medicine</w:t>
      </w:r>
      <w:r w:rsidRPr="00EF66D8">
        <w:rPr>
          <w:rStyle w:val="normaltextrun"/>
        </w:rPr>
        <w:t>, 49(S1), pp. 25–37. Available at: </w:t>
      </w:r>
      <w:hyperlink r:id="rId10" w:tgtFrame="_blank" w:history="1">
        <w:r w:rsidRPr="00EF66D8">
          <w:rPr>
            <w:rStyle w:val="normaltextrun"/>
            <w:color w:val="0000FF"/>
            <w:u w:val="single"/>
          </w:rPr>
          <w:t>https://doi.org/10.1007/s40279-018-1005-2</w:t>
        </w:r>
      </w:hyperlink>
      <w:r w:rsidRPr="00EF66D8">
        <w:rPr>
          <w:rStyle w:val="normaltextrun"/>
        </w:rPr>
        <w:t>. </w:t>
      </w:r>
      <w:r w:rsidRPr="00EF66D8">
        <w:rPr>
          <w:rStyle w:val="eop"/>
        </w:rPr>
        <w:t> </w:t>
      </w:r>
    </w:p>
    <w:p w14:paraId="288EBA14" w14:textId="77777777" w:rsidR="00E10486" w:rsidRPr="00EF66D8" w:rsidRDefault="00E10486" w:rsidP="00EF66D8">
      <w:pPr>
        <w:pStyle w:val="paragraph"/>
        <w:spacing w:before="0" w:beforeAutospacing="0" w:after="0" w:afterAutospacing="0" w:line="276" w:lineRule="auto"/>
        <w:textAlignment w:val="baseline"/>
      </w:pPr>
      <w:r w:rsidRPr="00EF66D8">
        <w:rPr>
          <w:rStyle w:val="eop"/>
          <w:color w:val="555555"/>
        </w:rPr>
        <w:t> </w:t>
      </w:r>
    </w:p>
    <w:p w14:paraId="068554DB"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Cohen, Manion, L., Morrison, K., &amp; Morrison, K. (2018). Research methods in education (Eighth edition.). Routledge. </w:t>
      </w:r>
      <w:r w:rsidRPr="00EF66D8">
        <w:rPr>
          <w:rStyle w:val="eop"/>
        </w:rPr>
        <w:t> </w:t>
      </w:r>
    </w:p>
    <w:p w14:paraId="441502E4"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751CBA8B" w14:textId="77777777" w:rsidR="00E10486" w:rsidRPr="00EF66D8" w:rsidRDefault="00E10486" w:rsidP="00EF66D8">
      <w:pPr>
        <w:pStyle w:val="paragraph"/>
        <w:spacing w:before="0" w:beforeAutospacing="0" w:after="0" w:afterAutospacing="0" w:line="276" w:lineRule="auto"/>
        <w:textAlignment w:val="baseline"/>
      </w:pPr>
      <w:proofErr w:type="spellStart"/>
      <w:r w:rsidRPr="00EF66D8">
        <w:rPr>
          <w:rStyle w:val="spellingerror"/>
        </w:rPr>
        <w:t>DeJonckheere</w:t>
      </w:r>
      <w:proofErr w:type="spellEnd"/>
      <w:r w:rsidRPr="00EF66D8">
        <w:rPr>
          <w:rStyle w:val="normaltextrun"/>
        </w:rPr>
        <w:t>, M. and Vaughn, L.M. (2019) “</w:t>
      </w:r>
      <w:proofErr w:type="spellStart"/>
      <w:r w:rsidRPr="00EF66D8">
        <w:rPr>
          <w:rStyle w:val="spellingerror"/>
        </w:rPr>
        <w:t>Semistructured</w:t>
      </w:r>
      <w:proofErr w:type="spellEnd"/>
      <w:r w:rsidRPr="00EF66D8">
        <w:rPr>
          <w:rStyle w:val="normaltextrun"/>
        </w:rPr>
        <w:t> interviewing in primary care research: A balance of relationship and rigour,” </w:t>
      </w:r>
      <w:r w:rsidRPr="00EF66D8">
        <w:rPr>
          <w:rStyle w:val="normaltextrun"/>
          <w:i/>
          <w:iCs/>
        </w:rPr>
        <w:t>Family Medicine and Community Health</w:t>
      </w:r>
      <w:r w:rsidRPr="00EF66D8">
        <w:rPr>
          <w:rStyle w:val="normaltextrun"/>
        </w:rPr>
        <w:t>, 7(2). Available at: </w:t>
      </w:r>
      <w:hyperlink r:id="rId11" w:tgtFrame="_blank" w:history="1">
        <w:r w:rsidRPr="00EF66D8">
          <w:rPr>
            <w:rStyle w:val="normaltextrun"/>
            <w:color w:val="0000FF"/>
            <w:u w:val="single"/>
          </w:rPr>
          <w:t>https://doi.org/10.1136/fmch-2018-000057</w:t>
        </w:r>
      </w:hyperlink>
      <w:r w:rsidRPr="00EF66D8">
        <w:rPr>
          <w:rStyle w:val="normaltextrun"/>
        </w:rPr>
        <w:t>. </w:t>
      </w:r>
      <w:r w:rsidRPr="00EF66D8">
        <w:rPr>
          <w:rStyle w:val="eop"/>
        </w:rPr>
        <w:t> </w:t>
      </w:r>
    </w:p>
    <w:p w14:paraId="6A2D5EE7"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699EC039"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DeLorenzo, A. </w:t>
      </w:r>
      <w:r w:rsidRPr="00EF66D8">
        <w:rPr>
          <w:rStyle w:val="normaltextrun"/>
          <w:i/>
          <w:iCs/>
        </w:rPr>
        <w:t>et al.</w:t>
      </w:r>
      <w:r w:rsidRPr="00EF66D8">
        <w:rPr>
          <w:rStyle w:val="normaltextrun"/>
        </w:rPr>
        <w:t> (2020) “Obesity: A preventable, treatable, but relapsing disease,” </w:t>
      </w:r>
      <w:r w:rsidRPr="00EF66D8">
        <w:rPr>
          <w:rStyle w:val="normaltextrun"/>
          <w:i/>
          <w:iCs/>
        </w:rPr>
        <w:t>Nutrition</w:t>
      </w:r>
      <w:r w:rsidRPr="00EF66D8">
        <w:rPr>
          <w:rStyle w:val="normaltextrun"/>
        </w:rPr>
        <w:t>, 71, p. 110615. Available at: </w:t>
      </w:r>
      <w:hyperlink r:id="rId12" w:tgtFrame="_blank" w:history="1">
        <w:r w:rsidRPr="00EF66D8">
          <w:rPr>
            <w:rStyle w:val="normaltextrun"/>
            <w:color w:val="0000FF"/>
            <w:u w:val="single"/>
          </w:rPr>
          <w:t>https://doi.org/10.1016/j.nut.2019.110615</w:t>
        </w:r>
      </w:hyperlink>
      <w:r w:rsidRPr="00EF66D8">
        <w:rPr>
          <w:rStyle w:val="normaltextrun"/>
        </w:rPr>
        <w:t>.  </w:t>
      </w:r>
      <w:r w:rsidRPr="00EF66D8">
        <w:rPr>
          <w:rStyle w:val="eop"/>
        </w:rPr>
        <w:t> </w:t>
      </w:r>
    </w:p>
    <w:p w14:paraId="0A4131A9"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021AE9E7"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DePaolo, C.A. and Wilkinson, K. (2014) “Get your head into the clouds: Using word clouds for </w:t>
      </w:r>
      <w:proofErr w:type="spellStart"/>
      <w:r w:rsidRPr="00EF66D8">
        <w:rPr>
          <w:rStyle w:val="spellingerror"/>
        </w:rPr>
        <w:t>analyzing</w:t>
      </w:r>
      <w:proofErr w:type="spellEnd"/>
      <w:r w:rsidRPr="00EF66D8">
        <w:rPr>
          <w:rStyle w:val="normaltextrun"/>
        </w:rPr>
        <w:t> qualitative assessment data,” </w:t>
      </w:r>
      <w:proofErr w:type="spellStart"/>
      <w:r w:rsidRPr="00EF66D8">
        <w:rPr>
          <w:rStyle w:val="spellingerror"/>
          <w:i/>
          <w:iCs/>
        </w:rPr>
        <w:t>TechTrends</w:t>
      </w:r>
      <w:proofErr w:type="spellEnd"/>
      <w:r w:rsidRPr="00EF66D8">
        <w:rPr>
          <w:rStyle w:val="normaltextrun"/>
        </w:rPr>
        <w:t>, 58(3), pp. 38–44. Available at: </w:t>
      </w:r>
      <w:hyperlink r:id="rId13" w:tgtFrame="_blank" w:history="1">
        <w:r w:rsidRPr="00EF66D8">
          <w:rPr>
            <w:rStyle w:val="normaltextrun"/>
            <w:color w:val="0000FF"/>
            <w:u w:val="single"/>
          </w:rPr>
          <w:t>https://doi.org/10.1007/s11528-014-0750-9</w:t>
        </w:r>
      </w:hyperlink>
      <w:r w:rsidRPr="00EF66D8">
        <w:rPr>
          <w:rStyle w:val="normaltextrun"/>
        </w:rPr>
        <w:t>. </w:t>
      </w:r>
      <w:r w:rsidRPr="00EF66D8">
        <w:rPr>
          <w:rStyle w:val="eop"/>
        </w:rPr>
        <w:t> </w:t>
      </w:r>
    </w:p>
    <w:p w14:paraId="5D8BFDA9"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5E8F25D2"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i/>
          <w:iCs/>
        </w:rPr>
        <w:t>Focus Group Study: Qualitative Studies</w:t>
      </w:r>
      <w:r w:rsidRPr="00EF66D8">
        <w:rPr>
          <w:rStyle w:val="normaltextrun"/>
        </w:rPr>
        <w:t> (2020) </w:t>
      </w:r>
      <w:r w:rsidRPr="00EF66D8">
        <w:rPr>
          <w:rStyle w:val="normaltextrun"/>
          <w:i/>
          <w:iCs/>
        </w:rPr>
        <w:t>GOV.UK</w:t>
      </w:r>
      <w:r w:rsidRPr="00EF66D8">
        <w:rPr>
          <w:rStyle w:val="normaltextrun"/>
        </w:rPr>
        <w:t>. Office for health improvements and disparities . Available at: </w:t>
      </w:r>
      <w:hyperlink r:id="rId14" w:tgtFrame="_blank" w:history="1">
        <w:r w:rsidRPr="00EF66D8">
          <w:rPr>
            <w:rStyle w:val="normaltextrun"/>
            <w:color w:val="0000FF"/>
            <w:u w:val="single"/>
          </w:rPr>
          <w:t>https://www.gov.uk/guidance/focus-group-study-qualitative-studies</w:t>
        </w:r>
      </w:hyperlink>
      <w:r w:rsidRPr="00EF66D8">
        <w:rPr>
          <w:rStyle w:val="normaltextrun"/>
        </w:rPr>
        <w:t> (Accessed: April 19, 2023). </w:t>
      </w:r>
      <w:r w:rsidRPr="00EF66D8">
        <w:rPr>
          <w:rStyle w:val="eop"/>
        </w:rPr>
        <w:t> </w:t>
      </w:r>
    </w:p>
    <w:p w14:paraId="34AAC993"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1703CF8A"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Gray, D.E. (2004) </w:t>
      </w:r>
      <w:r w:rsidRPr="00EF66D8">
        <w:rPr>
          <w:rStyle w:val="normaltextrun"/>
          <w:i/>
          <w:iCs/>
        </w:rPr>
        <w:t>Doing research in the real world [electronic resource] </w:t>
      </w:r>
      <w:r w:rsidRPr="00EF66D8">
        <w:rPr>
          <w:rStyle w:val="normaltextrun"/>
        </w:rPr>
        <w:t>. London ;; Thousand Oaks, CA :, Sage Publications.</w:t>
      </w:r>
      <w:r w:rsidRPr="00EF66D8">
        <w:rPr>
          <w:rStyle w:val="eop"/>
        </w:rPr>
        <w:t> </w:t>
      </w:r>
    </w:p>
    <w:p w14:paraId="083DB162" w14:textId="77777777" w:rsidR="00E10486" w:rsidRPr="00EF66D8" w:rsidRDefault="00E10486" w:rsidP="00EF66D8">
      <w:pPr>
        <w:pStyle w:val="paragraph"/>
        <w:spacing w:before="0" w:beforeAutospacing="0" w:after="0" w:afterAutospacing="0" w:line="276" w:lineRule="auto"/>
        <w:textAlignment w:val="baseline"/>
      </w:pPr>
      <w:r w:rsidRPr="00EF66D8">
        <w:rPr>
          <w:rStyle w:val="eop"/>
          <w:color w:val="333333"/>
        </w:rPr>
        <w:t> </w:t>
      </w:r>
    </w:p>
    <w:p w14:paraId="41CAC4AF" w14:textId="77777777" w:rsidR="00E10486" w:rsidRPr="00EF66D8" w:rsidRDefault="00E10486" w:rsidP="00EF66D8">
      <w:pPr>
        <w:pStyle w:val="paragraph"/>
        <w:spacing w:before="0" w:beforeAutospacing="0" w:after="0" w:afterAutospacing="0" w:line="276" w:lineRule="auto"/>
        <w:textAlignment w:val="baseline"/>
      </w:pPr>
      <w:proofErr w:type="spellStart"/>
      <w:r w:rsidRPr="00EF66D8">
        <w:rPr>
          <w:rStyle w:val="spellingerror"/>
        </w:rPr>
        <w:t>Keaver</w:t>
      </w:r>
      <w:proofErr w:type="spellEnd"/>
      <w:r w:rsidRPr="00EF66D8">
        <w:rPr>
          <w:rStyle w:val="normaltextrun"/>
        </w:rPr>
        <w:t>, L. </w:t>
      </w:r>
      <w:r w:rsidRPr="00EF66D8">
        <w:rPr>
          <w:rStyle w:val="normaltextrun"/>
          <w:i/>
          <w:iCs/>
        </w:rPr>
        <w:t>et al.</w:t>
      </w:r>
      <w:r w:rsidRPr="00EF66D8">
        <w:rPr>
          <w:rStyle w:val="normaltextrun"/>
        </w:rPr>
        <w:t> (2020) “Morbid obesity in the UK: A modelling projection study to 2035,” </w:t>
      </w:r>
      <w:r w:rsidRPr="00EF66D8">
        <w:rPr>
          <w:rStyle w:val="normaltextrun"/>
          <w:i/>
          <w:iCs/>
        </w:rPr>
        <w:t>Scandinavian Journal of Public Health</w:t>
      </w:r>
      <w:r w:rsidRPr="00EF66D8">
        <w:rPr>
          <w:rStyle w:val="normaltextrun"/>
        </w:rPr>
        <w:t>, 48, pp. 422–427. </w:t>
      </w:r>
      <w:r w:rsidRPr="00EF66D8">
        <w:rPr>
          <w:rStyle w:val="eop"/>
        </w:rPr>
        <w:t> </w:t>
      </w:r>
    </w:p>
    <w:p w14:paraId="1AE83D60" w14:textId="77777777" w:rsidR="00E10486" w:rsidRPr="00EF66D8" w:rsidRDefault="00E10486" w:rsidP="00EF66D8">
      <w:pPr>
        <w:pStyle w:val="paragraph"/>
        <w:spacing w:before="0" w:beforeAutospacing="0" w:after="0" w:afterAutospacing="0" w:line="276" w:lineRule="auto"/>
        <w:textAlignment w:val="baseline"/>
      </w:pPr>
      <w:r w:rsidRPr="00EF66D8">
        <w:rPr>
          <w:rStyle w:val="eop"/>
          <w:color w:val="333333"/>
        </w:rPr>
        <w:t> </w:t>
      </w:r>
    </w:p>
    <w:p w14:paraId="5A875082" w14:textId="77777777" w:rsidR="00E10486" w:rsidRPr="00EF66D8" w:rsidRDefault="00E10486" w:rsidP="00EF66D8">
      <w:pPr>
        <w:pStyle w:val="paragraph"/>
        <w:spacing w:before="0" w:beforeAutospacing="0" w:after="0" w:afterAutospacing="0" w:line="276" w:lineRule="auto"/>
        <w:textAlignment w:val="baseline"/>
      </w:pPr>
      <w:proofErr w:type="spellStart"/>
      <w:r w:rsidRPr="00EF66D8">
        <w:rPr>
          <w:rStyle w:val="normaltextrun"/>
        </w:rPr>
        <w:lastRenderedPageBreak/>
        <w:t>Malmqvist</w:t>
      </w:r>
      <w:proofErr w:type="spellEnd"/>
      <w:r w:rsidRPr="00EF66D8">
        <w:rPr>
          <w:rStyle w:val="normaltextrun"/>
        </w:rPr>
        <w:t>, J. </w:t>
      </w:r>
      <w:r w:rsidRPr="00EF66D8">
        <w:rPr>
          <w:rStyle w:val="normaltextrun"/>
          <w:i/>
          <w:iCs/>
        </w:rPr>
        <w:t>et al.</w:t>
      </w:r>
      <w:r w:rsidRPr="00EF66D8">
        <w:rPr>
          <w:rStyle w:val="normaltextrun"/>
        </w:rPr>
        <w:t> (2019) “Conducting the pilot study: A neglected part of the research process? methodological findings supporting the importance of piloting in qualitative research studies,” </w:t>
      </w:r>
      <w:r w:rsidRPr="00EF66D8">
        <w:rPr>
          <w:rStyle w:val="normaltextrun"/>
          <w:i/>
          <w:iCs/>
        </w:rPr>
        <w:t>International Journal of Qualitative Methods</w:t>
      </w:r>
      <w:r w:rsidRPr="00EF66D8">
        <w:rPr>
          <w:rStyle w:val="normaltextrun"/>
        </w:rPr>
        <w:t>, 18, p. 160940691987834. Available at: </w:t>
      </w:r>
      <w:hyperlink r:id="rId15" w:tgtFrame="_blank" w:history="1">
        <w:r w:rsidRPr="00EF66D8">
          <w:rPr>
            <w:rStyle w:val="normaltextrun"/>
            <w:color w:val="0000FF"/>
            <w:u w:val="single"/>
          </w:rPr>
          <w:t>https://doi.org/10.1177/1609406919878341</w:t>
        </w:r>
      </w:hyperlink>
      <w:r w:rsidRPr="00EF66D8">
        <w:rPr>
          <w:rStyle w:val="normaltextrun"/>
        </w:rPr>
        <w:t>. </w:t>
      </w:r>
      <w:r w:rsidRPr="00EF66D8">
        <w:rPr>
          <w:rStyle w:val="eop"/>
        </w:rPr>
        <w:t> </w:t>
      </w:r>
    </w:p>
    <w:p w14:paraId="142873C1"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6EED757F"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Martin, S., Lomas, J. and Claxton, K. (2020) “Is an ounce of prevention worth a pound of cure? A cross-sectional study of the impact of </w:t>
      </w:r>
      <w:proofErr w:type="spellStart"/>
      <w:r w:rsidRPr="00EF66D8">
        <w:rPr>
          <w:rStyle w:val="spellingerror"/>
        </w:rPr>
        <w:t>english</w:t>
      </w:r>
      <w:proofErr w:type="spellEnd"/>
      <w:r w:rsidRPr="00EF66D8">
        <w:rPr>
          <w:rStyle w:val="normaltextrun"/>
        </w:rPr>
        <w:t> public health grant on mortality and morbidity,” </w:t>
      </w:r>
      <w:r w:rsidRPr="00EF66D8">
        <w:rPr>
          <w:rStyle w:val="normaltextrun"/>
          <w:i/>
          <w:iCs/>
        </w:rPr>
        <w:t>BMJ Open</w:t>
      </w:r>
      <w:r w:rsidRPr="00EF66D8">
        <w:rPr>
          <w:rStyle w:val="normaltextrun"/>
        </w:rPr>
        <w:t>, 10(10). Available at: </w:t>
      </w:r>
      <w:hyperlink r:id="rId16" w:tgtFrame="_blank" w:history="1">
        <w:r w:rsidRPr="00EF66D8">
          <w:rPr>
            <w:rStyle w:val="normaltextrun"/>
            <w:color w:val="0000FF"/>
            <w:u w:val="single"/>
          </w:rPr>
          <w:t>https://doi.org/10.1136/bmjopen-2019-036411</w:t>
        </w:r>
      </w:hyperlink>
      <w:r w:rsidRPr="00EF66D8">
        <w:rPr>
          <w:rStyle w:val="normaltextrun"/>
        </w:rPr>
        <w:t>. </w:t>
      </w:r>
      <w:r w:rsidRPr="00EF66D8">
        <w:rPr>
          <w:rStyle w:val="eop"/>
        </w:rPr>
        <w:t> </w:t>
      </w:r>
    </w:p>
    <w:p w14:paraId="26C186CB"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695CE4BF" w14:textId="77777777" w:rsidR="00E10486" w:rsidRPr="00EF66D8" w:rsidRDefault="00E10486" w:rsidP="00EF66D8">
      <w:pPr>
        <w:pStyle w:val="paragraph"/>
        <w:spacing w:before="0" w:beforeAutospacing="0" w:after="0" w:afterAutospacing="0" w:line="276" w:lineRule="auto"/>
        <w:textAlignment w:val="baseline"/>
      </w:pPr>
      <w:proofErr w:type="spellStart"/>
      <w:r w:rsidRPr="00EF66D8">
        <w:rPr>
          <w:rStyle w:val="normaltextrun"/>
          <w:color w:val="212121"/>
        </w:rPr>
        <w:t>Mclafferty</w:t>
      </w:r>
      <w:proofErr w:type="spellEnd"/>
      <w:r w:rsidRPr="00EF66D8">
        <w:rPr>
          <w:rStyle w:val="normaltextrun"/>
          <w:color w:val="212121"/>
        </w:rPr>
        <w:t xml:space="preserve"> E, Farley A. (2006) "Analysing qualitative research data using computer software". </w:t>
      </w:r>
      <w:proofErr w:type="spellStart"/>
      <w:r w:rsidRPr="00EF66D8">
        <w:rPr>
          <w:rStyle w:val="spellingerror"/>
          <w:i/>
          <w:iCs/>
          <w:color w:val="212121"/>
        </w:rPr>
        <w:t>Nurs</w:t>
      </w:r>
      <w:proofErr w:type="spellEnd"/>
      <w:r w:rsidRPr="00EF66D8">
        <w:rPr>
          <w:rStyle w:val="normaltextrun"/>
          <w:i/>
          <w:iCs/>
          <w:color w:val="212121"/>
        </w:rPr>
        <w:t> Times. </w:t>
      </w:r>
      <w:r w:rsidRPr="00EF66D8">
        <w:rPr>
          <w:rStyle w:val="normaltextrun"/>
          <w:color w:val="212121"/>
        </w:rPr>
        <w:t>102(24), pp. 34–36. (Accessed April 20, 2023).</w:t>
      </w:r>
      <w:r w:rsidRPr="00EF66D8">
        <w:rPr>
          <w:rStyle w:val="eop"/>
          <w:color w:val="212121"/>
        </w:rPr>
        <w:t> </w:t>
      </w:r>
    </w:p>
    <w:p w14:paraId="2BC06CC6"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1019A54D"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Moon, K. and Blackman, D. (2014) “A guide to understanding social science research for natural scientists,” </w:t>
      </w:r>
      <w:r w:rsidRPr="00EF66D8">
        <w:rPr>
          <w:rStyle w:val="normaltextrun"/>
          <w:i/>
          <w:iCs/>
        </w:rPr>
        <w:t>Conservation Biology</w:t>
      </w:r>
      <w:r w:rsidRPr="00EF66D8">
        <w:rPr>
          <w:rStyle w:val="normaltextrun"/>
        </w:rPr>
        <w:t>, 28(5), pp. 1167–1177. Available at: </w:t>
      </w:r>
      <w:hyperlink r:id="rId17" w:tgtFrame="_blank" w:history="1">
        <w:r w:rsidRPr="00EF66D8">
          <w:rPr>
            <w:rStyle w:val="normaltextrun"/>
            <w:color w:val="0000FF"/>
            <w:u w:val="single"/>
          </w:rPr>
          <w:t>https://doi.org/10.1111/cobi.12326</w:t>
        </w:r>
      </w:hyperlink>
      <w:r w:rsidRPr="00EF66D8">
        <w:rPr>
          <w:rStyle w:val="normaltextrun"/>
        </w:rPr>
        <w:t>. </w:t>
      </w:r>
      <w:r w:rsidRPr="00EF66D8">
        <w:rPr>
          <w:rStyle w:val="eop"/>
        </w:rPr>
        <w:t> </w:t>
      </w:r>
    </w:p>
    <w:p w14:paraId="42E72562"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3891F319"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NHS (2023) </w:t>
      </w:r>
      <w:r w:rsidRPr="00EF66D8">
        <w:rPr>
          <w:rStyle w:val="normaltextrun"/>
          <w:i/>
          <w:iCs/>
        </w:rPr>
        <w:t>Sport and exercise medicine </w:t>
      </w:r>
      <w:r w:rsidRPr="00EF66D8">
        <w:rPr>
          <w:rStyle w:val="normaltextrun"/>
        </w:rPr>
        <w:t>, </w:t>
      </w:r>
      <w:r w:rsidRPr="00EF66D8">
        <w:rPr>
          <w:rStyle w:val="normaltextrun"/>
          <w:i/>
          <w:iCs/>
        </w:rPr>
        <w:t>NHS choices</w:t>
      </w:r>
      <w:r w:rsidRPr="00EF66D8">
        <w:rPr>
          <w:rStyle w:val="normaltextrun"/>
        </w:rPr>
        <w:t>. NHS. Available at: </w:t>
      </w:r>
      <w:hyperlink r:id="rId18" w:tgtFrame="_blank" w:history="1">
        <w:r w:rsidRPr="00EF66D8">
          <w:rPr>
            <w:rStyle w:val="normaltextrun"/>
            <w:color w:val="0000FF"/>
            <w:u w:val="single"/>
          </w:rPr>
          <w:t>https://www.healthcareers.nhs.uk/explore-roles/doctors/roles-doctors/medicine/sport-and-exercise-medicine</w:t>
        </w:r>
      </w:hyperlink>
      <w:r w:rsidRPr="00EF66D8">
        <w:rPr>
          <w:rStyle w:val="normaltextrun"/>
        </w:rPr>
        <w:t> (Accessed: April 16, 2023). </w:t>
      </w:r>
      <w:r w:rsidRPr="00EF66D8">
        <w:rPr>
          <w:rStyle w:val="eop"/>
        </w:rPr>
        <w:t> </w:t>
      </w:r>
    </w:p>
    <w:p w14:paraId="5227DF65"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5EB2134F"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 xml:space="preserve">Park, Y.S., </w:t>
      </w:r>
      <w:proofErr w:type="spellStart"/>
      <w:r w:rsidRPr="00EF66D8">
        <w:rPr>
          <w:rStyle w:val="normaltextrun"/>
        </w:rPr>
        <w:t>Konge</w:t>
      </w:r>
      <w:proofErr w:type="spellEnd"/>
      <w:r w:rsidRPr="00EF66D8">
        <w:rPr>
          <w:rStyle w:val="normaltextrun"/>
        </w:rPr>
        <w:t xml:space="preserve">, L. and </w:t>
      </w:r>
      <w:proofErr w:type="spellStart"/>
      <w:r w:rsidRPr="00EF66D8">
        <w:rPr>
          <w:rStyle w:val="normaltextrun"/>
        </w:rPr>
        <w:t>Artino</w:t>
      </w:r>
      <w:proofErr w:type="spellEnd"/>
      <w:r w:rsidRPr="00EF66D8">
        <w:rPr>
          <w:rStyle w:val="normaltextrun"/>
        </w:rPr>
        <w:t>, A.R. (2020) “The positivism paradigm of research,” </w:t>
      </w:r>
      <w:r w:rsidRPr="00EF66D8">
        <w:rPr>
          <w:rStyle w:val="normaltextrun"/>
          <w:i/>
          <w:iCs/>
        </w:rPr>
        <w:t>Academic Medicine</w:t>
      </w:r>
      <w:r w:rsidRPr="00EF66D8">
        <w:rPr>
          <w:rStyle w:val="normaltextrun"/>
        </w:rPr>
        <w:t>, 95(5), pp. 690–694. Available at: </w:t>
      </w:r>
      <w:hyperlink r:id="rId19" w:tgtFrame="_blank" w:history="1">
        <w:r w:rsidRPr="00EF66D8">
          <w:rPr>
            <w:rStyle w:val="normaltextrun"/>
            <w:color w:val="0000FF"/>
            <w:u w:val="single"/>
          </w:rPr>
          <w:t>https://doi.org/10.1097/acm.0000000000003093</w:t>
        </w:r>
      </w:hyperlink>
      <w:r w:rsidRPr="00EF66D8">
        <w:rPr>
          <w:rStyle w:val="normaltextrun"/>
        </w:rPr>
        <w:t>. </w:t>
      </w:r>
      <w:r w:rsidRPr="00EF66D8">
        <w:rPr>
          <w:rStyle w:val="eop"/>
        </w:rPr>
        <w:t> </w:t>
      </w:r>
    </w:p>
    <w:p w14:paraId="709BB3EF"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2052C9CB"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Potter, G. (1990) "</w:t>
      </w:r>
      <w:proofErr w:type="spellStart"/>
      <w:r w:rsidRPr="00EF66D8">
        <w:rPr>
          <w:rStyle w:val="spellingerror"/>
        </w:rPr>
        <w:t>Indentifying</w:t>
      </w:r>
      <w:proofErr w:type="spellEnd"/>
      <w:r w:rsidRPr="00EF66D8">
        <w:rPr>
          <w:rStyle w:val="normaltextrun"/>
        </w:rPr>
        <w:t> Successful Dictation Strategies," </w:t>
      </w:r>
      <w:r w:rsidRPr="00EF66D8">
        <w:rPr>
          <w:rStyle w:val="normaltextrun"/>
          <w:i/>
          <w:iCs/>
        </w:rPr>
        <w:t>Journal of Music Theory Pedagogy</w:t>
      </w:r>
      <w:r w:rsidRPr="00EF66D8">
        <w:rPr>
          <w:rStyle w:val="normaltextrun"/>
        </w:rPr>
        <w:t>, 4(3) Available at: https://digitalcollections.lipscomb.edu/jmtp/vol4/iss1/3</w:t>
      </w:r>
      <w:r w:rsidRPr="00EF66D8">
        <w:rPr>
          <w:rStyle w:val="eop"/>
        </w:rPr>
        <w:t> </w:t>
      </w:r>
    </w:p>
    <w:p w14:paraId="23142EDD"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58569E03" w14:textId="77777777" w:rsidR="00E10486" w:rsidRPr="00EF66D8" w:rsidRDefault="00E10486" w:rsidP="00EF66D8">
      <w:pPr>
        <w:pStyle w:val="paragraph"/>
        <w:spacing w:before="0" w:beforeAutospacing="0" w:after="0" w:afterAutospacing="0" w:line="276" w:lineRule="auto"/>
        <w:textAlignment w:val="baseline"/>
      </w:pPr>
      <w:proofErr w:type="spellStart"/>
      <w:r w:rsidRPr="00EF66D8">
        <w:rPr>
          <w:rStyle w:val="spellingerror"/>
        </w:rPr>
        <w:t>Tianjing</w:t>
      </w:r>
      <w:proofErr w:type="spellEnd"/>
      <w:r w:rsidRPr="00EF66D8">
        <w:rPr>
          <w:rStyle w:val="normaltextrun"/>
        </w:rPr>
        <w:t>, L. (2012) “What comparative effectiveness research is needed? A framework for using guidelines and systematic reviews to identify evidence gaps and research priorities,” </w:t>
      </w:r>
      <w:r w:rsidRPr="00EF66D8">
        <w:rPr>
          <w:rStyle w:val="normaltextrun"/>
          <w:i/>
          <w:iCs/>
        </w:rPr>
        <w:t>Annals of Internal Medicine</w:t>
      </w:r>
      <w:r w:rsidRPr="00EF66D8">
        <w:rPr>
          <w:rStyle w:val="normaltextrun"/>
        </w:rPr>
        <w:t>, 156(5), p. 367. Available at: </w:t>
      </w:r>
      <w:hyperlink r:id="rId20" w:tgtFrame="_blank" w:history="1">
        <w:r w:rsidRPr="00EF66D8">
          <w:rPr>
            <w:rStyle w:val="normaltextrun"/>
            <w:color w:val="0000FF"/>
            <w:u w:val="single"/>
          </w:rPr>
          <w:t>https://doi.org/10.7326/0003-4819-156-5-201203060-00009</w:t>
        </w:r>
      </w:hyperlink>
      <w:r w:rsidRPr="00EF66D8">
        <w:rPr>
          <w:rStyle w:val="normaltextrun"/>
        </w:rPr>
        <w:t>. </w:t>
      </w:r>
      <w:r w:rsidRPr="00EF66D8">
        <w:rPr>
          <w:rStyle w:val="eop"/>
        </w:rPr>
        <w:t> </w:t>
      </w:r>
    </w:p>
    <w:p w14:paraId="0DF8CF1B"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1D2DF582"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i/>
          <w:iCs/>
        </w:rPr>
        <w:t>World Health Organization</w:t>
      </w:r>
      <w:r w:rsidRPr="00EF66D8">
        <w:rPr>
          <w:rStyle w:val="normaltextrun"/>
        </w:rPr>
        <w:t>. (2020) "Global action plan on physical </w:t>
      </w:r>
      <w:proofErr w:type="spellStart"/>
      <w:r w:rsidRPr="00EF66D8">
        <w:rPr>
          <w:rStyle w:val="spellingerror"/>
        </w:rPr>
        <w:t>acitivty</w:t>
      </w:r>
      <w:proofErr w:type="spellEnd"/>
      <w:r w:rsidRPr="00EF66D8">
        <w:rPr>
          <w:rStyle w:val="normaltextrun"/>
        </w:rPr>
        <w:t>," World Health Organization. Available at: </w:t>
      </w:r>
      <w:hyperlink r:id="rId21" w:tgtFrame="_blank" w:history="1">
        <w:r w:rsidRPr="00EF66D8">
          <w:rPr>
            <w:rStyle w:val="normaltextrun"/>
            <w:color w:val="0000FF"/>
            <w:u w:val="single"/>
          </w:rPr>
          <w:t>https://apps.who.int/iris/bitstream/handle/10665/272722/9789241514187-eng.pdfs</w:t>
        </w:r>
      </w:hyperlink>
      <w:r w:rsidRPr="00EF66D8">
        <w:rPr>
          <w:rStyle w:val="normaltextrun"/>
        </w:rPr>
        <w:t> (Accessed: March 6, 2023).  </w:t>
      </w:r>
      <w:r w:rsidRPr="00EF66D8">
        <w:rPr>
          <w:rStyle w:val="eop"/>
        </w:rPr>
        <w:t> </w:t>
      </w:r>
    </w:p>
    <w:p w14:paraId="073046A2" w14:textId="77777777" w:rsidR="00E10486" w:rsidRPr="00EF66D8" w:rsidRDefault="00E10486" w:rsidP="00EF66D8">
      <w:pPr>
        <w:pStyle w:val="paragraph"/>
        <w:spacing w:before="0" w:beforeAutospacing="0" w:after="0" w:afterAutospacing="0" w:line="276" w:lineRule="auto"/>
        <w:textAlignment w:val="baseline"/>
      </w:pPr>
      <w:r w:rsidRPr="00EF66D8">
        <w:rPr>
          <w:rStyle w:val="eop"/>
        </w:rPr>
        <w:t> </w:t>
      </w:r>
    </w:p>
    <w:p w14:paraId="6212767D" w14:textId="77777777" w:rsidR="00E10486" w:rsidRPr="00EF66D8" w:rsidRDefault="00E10486" w:rsidP="00EF66D8">
      <w:pPr>
        <w:pStyle w:val="paragraph"/>
        <w:spacing w:before="0" w:beforeAutospacing="0" w:after="0" w:afterAutospacing="0" w:line="276" w:lineRule="auto"/>
        <w:textAlignment w:val="baseline"/>
      </w:pPr>
      <w:r w:rsidRPr="00EF66D8">
        <w:rPr>
          <w:rStyle w:val="normaltextrun"/>
        </w:rPr>
        <w:t>Yang, F.Y., Chang, C.Y. and Hsu, Y.S. (2008) “Teacher views about constructivist instruction and personal epistemology: A national study in Taiwan,” </w:t>
      </w:r>
      <w:r w:rsidRPr="00EF66D8">
        <w:rPr>
          <w:rStyle w:val="normaltextrun"/>
          <w:i/>
          <w:iCs/>
        </w:rPr>
        <w:t>Educational Studies</w:t>
      </w:r>
      <w:r w:rsidRPr="00EF66D8">
        <w:rPr>
          <w:rStyle w:val="normaltextrun"/>
        </w:rPr>
        <w:t>, 34(5), pp. 527–542. Available at: </w:t>
      </w:r>
      <w:hyperlink r:id="rId22" w:tgtFrame="_blank" w:history="1">
        <w:r w:rsidRPr="00EF66D8">
          <w:rPr>
            <w:rStyle w:val="normaltextrun"/>
            <w:color w:val="0000FF"/>
            <w:u w:val="single"/>
          </w:rPr>
          <w:t>https://doi.org/10.1080/03055690802288486</w:t>
        </w:r>
      </w:hyperlink>
      <w:r w:rsidRPr="00EF66D8">
        <w:rPr>
          <w:rStyle w:val="normaltextrun"/>
        </w:rPr>
        <w:t>. </w:t>
      </w:r>
      <w:r w:rsidRPr="00EF66D8">
        <w:rPr>
          <w:rStyle w:val="eop"/>
        </w:rPr>
        <w:t> </w:t>
      </w:r>
    </w:p>
    <w:p w14:paraId="04C3875D" w14:textId="77777777" w:rsidR="00E10486" w:rsidRPr="00EF66D8" w:rsidRDefault="00E10486" w:rsidP="00EF66D8">
      <w:pPr>
        <w:spacing w:line="276" w:lineRule="auto"/>
        <w:rPr>
          <w:rFonts w:ascii="Times New Roman" w:hAnsi="Times New Roman" w:cs="Times New Roman"/>
        </w:rPr>
      </w:pPr>
    </w:p>
    <w:sectPr w:rsidR="00E10486" w:rsidRPr="00EF66D8" w:rsidSect="00740D5F">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976E8" w14:textId="77777777" w:rsidR="00316601" w:rsidRDefault="00316601" w:rsidP="00E10486">
      <w:r>
        <w:separator/>
      </w:r>
    </w:p>
  </w:endnote>
  <w:endnote w:type="continuationSeparator" w:id="0">
    <w:p w14:paraId="752EC84E" w14:textId="77777777" w:rsidR="00316601" w:rsidRDefault="00316601" w:rsidP="00E10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1617070"/>
      <w:docPartObj>
        <w:docPartGallery w:val="Page Numbers (Bottom of Page)"/>
        <w:docPartUnique/>
      </w:docPartObj>
    </w:sdtPr>
    <w:sdtContent>
      <w:p w14:paraId="1B54218A" w14:textId="1D823C69" w:rsidR="00E10486" w:rsidRDefault="00E10486" w:rsidP="003A44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C8F9E4" w14:textId="77777777" w:rsidR="00E10486" w:rsidRDefault="00E10486" w:rsidP="00E104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9904262"/>
      <w:docPartObj>
        <w:docPartGallery w:val="Page Numbers (Bottom of Page)"/>
        <w:docPartUnique/>
      </w:docPartObj>
    </w:sdtPr>
    <w:sdtContent>
      <w:p w14:paraId="7D2944FE" w14:textId="0BA94023" w:rsidR="00E10486" w:rsidRDefault="00E10486" w:rsidP="003A44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1ACD55" w14:textId="77777777" w:rsidR="00E10486" w:rsidRDefault="00E10486" w:rsidP="00E104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FCAA8" w14:textId="77777777" w:rsidR="00316601" w:rsidRDefault="00316601" w:rsidP="00E10486">
      <w:r>
        <w:separator/>
      </w:r>
    </w:p>
  </w:footnote>
  <w:footnote w:type="continuationSeparator" w:id="0">
    <w:p w14:paraId="0485F1E5" w14:textId="77777777" w:rsidR="00316601" w:rsidRDefault="00316601" w:rsidP="00E104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486"/>
    <w:rsid w:val="00094B5B"/>
    <w:rsid w:val="00305601"/>
    <w:rsid w:val="00316601"/>
    <w:rsid w:val="003748F0"/>
    <w:rsid w:val="005C2D7C"/>
    <w:rsid w:val="00615042"/>
    <w:rsid w:val="0069346F"/>
    <w:rsid w:val="00740D5F"/>
    <w:rsid w:val="00825EFC"/>
    <w:rsid w:val="00830B00"/>
    <w:rsid w:val="008B597F"/>
    <w:rsid w:val="00B72414"/>
    <w:rsid w:val="00D772A2"/>
    <w:rsid w:val="00DC3A15"/>
    <w:rsid w:val="00E10486"/>
    <w:rsid w:val="00E546C4"/>
    <w:rsid w:val="00EF66D8"/>
    <w:rsid w:val="00F70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6C6944"/>
  <w15:chartTrackingRefBased/>
  <w15:docId w15:val="{BC8E84F8-F8DB-4E44-BE48-6FB0D6B7A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C2D7C"/>
    <w:pPr>
      <w:keepNext/>
      <w:jc w:val="both"/>
      <w:outlineLvl w:val="1"/>
    </w:pPr>
    <w:rPr>
      <w:rFonts w:ascii="Times New Roman" w:eastAsia="Times New Roman" w:hAnsi="Times New Roman" w:cs="Times New Roman"/>
      <w:b/>
      <w:kern w:val="0"/>
      <w:szCs w:val="20"/>
      <w:lang w:eastAsia="en-GB"/>
      <w14:ligatures w14:val="none"/>
    </w:rPr>
  </w:style>
  <w:style w:type="paragraph" w:styleId="Heading4">
    <w:name w:val="heading 4"/>
    <w:basedOn w:val="Normal"/>
    <w:next w:val="Normal"/>
    <w:link w:val="Heading4Char"/>
    <w:qFormat/>
    <w:rsid w:val="005C2D7C"/>
    <w:pPr>
      <w:keepNext/>
      <w:spacing w:before="120" w:after="120"/>
      <w:jc w:val="center"/>
      <w:outlineLvl w:val="3"/>
    </w:pPr>
    <w:rPr>
      <w:rFonts w:ascii="Times New Roman" w:eastAsia="Times New Roman" w:hAnsi="Times New Roman" w:cs="Times New Roman"/>
      <w:kern w:val="0"/>
      <w:sz w:val="4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1048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10486"/>
  </w:style>
  <w:style w:type="character" w:customStyle="1" w:styleId="eop">
    <w:name w:val="eop"/>
    <w:basedOn w:val="DefaultParagraphFont"/>
    <w:rsid w:val="00E10486"/>
  </w:style>
  <w:style w:type="character" w:customStyle="1" w:styleId="spellingerror">
    <w:name w:val="spellingerror"/>
    <w:basedOn w:val="DefaultParagraphFont"/>
    <w:rsid w:val="00E10486"/>
  </w:style>
  <w:style w:type="paragraph" w:styleId="Header">
    <w:name w:val="header"/>
    <w:basedOn w:val="Normal"/>
    <w:link w:val="HeaderChar"/>
    <w:unhideWhenUsed/>
    <w:rsid w:val="00E10486"/>
    <w:pPr>
      <w:tabs>
        <w:tab w:val="center" w:pos="4680"/>
        <w:tab w:val="right" w:pos="9360"/>
      </w:tabs>
    </w:pPr>
  </w:style>
  <w:style w:type="character" w:customStyle="1" w:styleId="HeaderChar">
    <w:name w:val="Header Char"/>
    <w:basedOn w:val="DefaultParagraphFont"/>
    <w:link w:val="Header"/>
    <w:rsid w:val="00E10486"/>
  </w:style>
  <w:style w:type="paragraph" w:styleId="Footer">
    <w:name w:val="footer"/>
    <w:basedOn w:val="Normal"/>
    <w:link w:val="FooterChar"/>
    <w:uiPriority w:val="99"/>
    <w:unhideWhenUsed/>
    <w:rsid w:val="00E10486"/>
    <w:pPr>
      <w:tabs>
        <w:tab w:val="center" w:pos="4680"/>
        <w:tab w:val="right" w:pos="9360"/>
      </w:tabs>
    </w:pPr>
  </w:style>
  <w:style w:type="character" w:customStyle="1" w:styleId="FooterChar">
    <w:name w:val="Footer Char"/>
    <w:basedOn w:val="DefaultParagraphFont"/>
    <w:link w:val="Footer"/>
    <w:uiPriority w:val="99"/>
    <w:rsid w:val="00E10486"/>
  </w:style>
  <w:style w:type="character" w:styleId="PageNumber">
    <w:name w:val="page number"/>
    <w:basedOn w:val="DefaultParagraphFont"/>
    <w:uiPriority w:val="99"/>
    <w:semiHidden/>
    <w:unhideWhenUsed/>
    <w:rsid w:val="00E10486"/>
  </w:style>
  <w:style w:type="character" w:customStyle="1" w:styleId="Heading2Char">
    <w:name w:val="Heading 2 Char"/>
    <w:basedOn w:val="DefaultParagraphFont"/>
    <w:link w:val="Heading2"/>
    <w:rsid w:val="005C2D7C"/>
    <w:rPr>
      <w:rFonts w:ascii="Times New Roman" w:eastAsia="Times New Roman" w:hAnsi="Times New Roman" w:cs="Times New Roman"/>
      <w:b/>
      <w:kern w:val="0"/>
      <w:szCs w:val="20"/>
      <w:lang w:eastAsia="en-GB"/>
      <w14:ligatures w14:val="none"/>
    </w:rPr>
  </w:style>
  <w:style w:type="character" w:customStyle="1" w:styleId="Heading4Char">
    <w:name w:val="Heading 4 Char"/>
    <w:basedOn w:val="DefaultParagraphFont"/>
    <w:link w:val="Heading4"/>
    <w:rsid w:val="005C2D7C"/>
    <w:rPr>
      <w:rFonts w:ascii="Times New Roman" w:eastAsia="Times New Roman" w:hAnsi="Times New Roman" w:cs="Times New Roman"/>
      <w:kern w:val="0"/>
      <w:sz w:val="4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745015">
      <w:bodyDiv w:val="1"/>
      <w:marLeft w:val="0"/>
      <w:marRight w:val="0"/>
      <w:marTop w:val="0"/>
      <w:marBottom w:val="0"/>
      <w:divBdr>
        <w:top w:val="none" w:sz="0" w:space="0" w:color="auto"/>
        <w:left w:val="none" w:sz="0" w:space="0" w:color="auto"/>
        <w:bottom w:val="none" w:sz="0" w:space="0" w:color="auto"/>
        <w:right w:val="none" w:sz="0" w:space="0" w:color="auto"/>
      </w:divBdr>
      <w:divsChild>
        <w:div w:id="1102192209">
          <w:marLeft w:val="0"/>
          <w:marRight w:val="0"/>
          <w:marTop w:val="0"/>
          <w:marBottom w:val="0"/>
          <w:divBdr>
            <w:top w:val="none" w:sz="0" w:space="0" w:color="auto"/>
            <w:left w:val="none" w:sz="0" w:space="0" w:color="auto"/>
            <w:bottom w:val="none" w:sz="0" w:space="0" w:color="auto"/>
            <w:right w:val="none" w:sz="0" w:space="0" w:color="auto"/>
          </w:divBdr>
        </w:div>
        <w:div w:id="652030378">
          <w:marLeft w:val="0"/>
          <w:marRight w:val="0"/>
          <w:marTop w:val="0"/>
          <w:marBottom w:val="0"/>
          <w:divBdr>
            <w:top w:val="none" w:sz="0" w:space="0" w:color="auto"/>
            <w:left w:val="none" w:sz="0" w:space="0" w:color="auto"/>
            <w:bottom w:val="none" w:sz="0" w:space="0" w:color="auto"/>
            <w:right w:val="none" w:sz="0" w:space="0" w:color="auto"/>
          </w:divBdr>
        </w:div>
        <w:div w:id="1882471059">
          <w:marLeft w:val="0"/>
          <w:marRight w:val="0"/>
          <w:marTop w:val="0"/>
          <w:marBottom w:val="0"/>
          <w:divBdr>
            <w:top w:val="none" w:sz="0" w:space="0" w:color="auto"/>
            <w:left w:val="none" w:sz="0" w:space="0" w:color="auto"/>
            <w:bottom w:val="none" w:sz="0" w:space="0" w:color="auto"/>
            <w:right w:val="none" w:sz="0" w:space="0" w:color="auto"/>
          </w:divBdr>
        </w:div>
        <w:div w:id="668942641">
          <w:marLeft w:val="0"/>
          <w:marRight w:val="0"/>
          <w:marTop w:val="0"/>
          <w:marBottom w:val="0"/>
          <w:divBdr>
            <w:top w:val="none" w:sz="0" w:space="0" w:color="auto"/>
            <w:left w:val="none" w:sz="0" w:space="0" w:color="auto"/>
            <w:bottom w:val="none" w:sz="0" w:space="0" w:color="auto"/>
            <w:right w:val="none" w:sz="0" w:space="0" w:color="auto"/>
          </w:divBdr>
        </w:div>
        <w:div w:id="148907117">
          <w:marLeft w:val="0"/>
          <w:marRight w:val="0"/>
          <w:marTop w:val="0"/>
          <w:marBottom w:val="0"/>
          <w:divBdr>
            <w:top w:val="none" w:sz="0" w:space="0" w:color="auto"/>
            <w:left w:val="none" w:sz="0" w:space="0" w:color="auto"/>
            <w:bottom w:val="none" w:sz="0" w:space="0" w:color="auto"/>
            <w:right w:val="none" w:sz="0" w:space="0" w:color="auto"/>
          </w:divBdr>
        </w:div>
        <w:div w:id="2077850926">
          <w:marLeft w:val="0"/>
          <w:marRight w:val="0"/>
          <w:marTop w:val="0"/>
          <w:marBottom w:val="0"/>
          <w:divBdr>
            <w:top w:val="none" w:sz="0" w:space="0" w:color="auto"/>
            <w:left w:val="none" w:sz="0" w:space="0" w:color="auto"/>
            <w:bottom w:val="none" w:sz="0" w:space="0" w:color="auto"/>
            <w:right w:val="none" w:sz="0" w:space="0" w:color="auto"/>
          </w:divBdr>
        </w:div>
        <w:div w:id="1884559188">
          <w:marLeft w:val="0"/>
          <w:marRight w:val="0"/>
          <w:marTop w:val="0"/>
          <w:marBottom w:val="0"/>
          <w:divBdr>
            <w:top w:val="none" w:sz="0" w:space="0" w:color="auto"/>
            <w:left w:val="none" w:sz="0" w:space="0" w:color="auto"/>
            <w:bottom w:val="none" w:sz="0" w:space="0" w:color="auto"/>
            <w:right w:val="none" w:sz="0" w:space="0" w:color="auto"/>
          </w:divBdr>
        </w:div>
        <w:div w:id="1998804510">
          <w:marLeft w:val="0"/>
          <w:marRight w:val="0"/>
          <w:marTop w:val="0"/>
          <w:marBottom w:val="0"/>
          <w:divBdr>
            <w:top w:val="none" w:sz="0" w:space="0" w:color="auto"/>
            <w:left w:val="none" w:sz="0" w:space="0" w:color="auto"/>
            <w:bottom w:val="none" w:sz="0" w:space="0" w:color="auto"/>
            <w:right w:val="none" w:sz="0" w:space="0" w:color="auto"/>
          </w:divBdr>
        </w:div>
        <w:div w:id="1464538247">
          <w:marLeft w:val="0"/>
          <w:marRight w:val="0"/>
          <w:marTop w:val="0"/>
          <w:marBottom w:val="0"/>
          <w:divBdr>
            <w:top w:val="none" w:sz="0" w:space="0" w:color="auto"/>
            <w:left w:val="none" w:sz="0" w:space="0" w:color="auto"/>
            <w:bottom w:val="none" w:sz="0" w:space="0" w:color="auto"/>
            <w:right w:val="none" w:sz="0" w:space="0" w:color="auto"/>
          </w:divBdr>
        </w:div>
        <w:div w:id="492456189">
          <w:marLeft w:val="0"/>
          <w:marRight w:val="0"/>
          <w:marTop w:val="0"/>
          <w:marBottom w:val="0"/>
          <w:divBdr>
            <w:top w:val="none" w:sz="0" w:space="0" w:color="auto"/>
            <w:left w:val="none" w:sz="0" w:space="0" w:color="auto"/>
            <w:bottom w:val="none" w:sz="0" w:space="0" w:color="auto"/>
            <w:right w:val="none" w:sz="0" w:space="0" w:color="auto"/>
          </w:divBdr>
        </w:div>
        <w:div w:id="800804168">
          <w:marLeft w:val="0"/>
          <w:marRight w:val="0"/>
          <w:marTop w:val="0"/>
          <w:marBottom w:val="0"/>
          <w:divBdr>
            <w:top w:val="none" w:sz="0" w:space="0" w:color="auto"/>
            <w:left w:val="none" w:sz="0" w:space="0" w:color="auto"/>
            <w:bottom w:val="none" w:sz="0" w:space="0" w:color="auto"/>
            <w:right w:val="none" w:sz="0" w:space="0" w:color="auto"/>
          </w:divBdr>
        </w:div>
        <w:div w:id="1737514574">
          <w:marLeft w:val="0"/>
          <w:marRight w:val="0"/>
          <w:marTop w:val="0"/>
          <w:marBottom w:val="0"/>
          <w:divBdr>
            <w:top w:val="none" w:sz="0" w:space="0" w:color="auto"/>
            <w:left w:val="none" w:sz="0" w:space="0" w:color="auto"/>
            <w:bottom w:val="none" w:sz="0" w:space="0" w:color="auto"/>
            <w:right w:val="none" w:sz="0" w:space="0" w:color="auto"/>
          </w:divBdr>
        </w:div>
        <w:div w:id="1932735347">
          <w:marLeft w:val="0"/>
          <w:marRight w:val="0"/>
          <w:marTop w:val="0"/>
          <w:marBottom w:val="0"/>
          <w:divBdr>
            <w:top w:val="none" w:sz="0" w:space="0" w:color="auto"/>
            <w:left w:val="none" w:sz="0" w:space="0" w:color="auto"/>
            <w:bottom w:val="none" w:sz="0" w:space="0" w:color="auto"/>
            <w:right w:val="none" w:sz="0" w:space="0" w:color="auto"/>
          </w:divBdr>
        </w:div>
        <w:div w:id="1401829216">
          <w:marLeft w:val="0"/>
          <w:marRight w:val="0"/>
          <w:marTop w:val="0"/>
          <w:marBottom w:val="0"/>
          <w:divBdr>
            <w:top w:val="none" w:sz="0" w:space="0" w:color="auto"/>
            <w:left w:val="none" w:sz="0" w:space="0" w:color="auto"/>
            <w:bottom w:val="none" w:sz="0" w:space="0" w:color="auto"/>
            <w:right w:val="none" w:sz="0" w:space="0" w:color="auto"/>
          </w:divBdr>
        </w:div>
        <w:div w:id="153375170">
          <w:marLeft w:val="0"/>
          <w:marRight w:val="0"/>
          <w:marTop w:val="0"/>
          <w:marBottom w:val="0"/>
          <w:divBdr>
            <w:top w:val="none" w:sz="0" w:space="0" w:color="auto"/>
            <w:left w:val="none" w:sz="0" w:space="0" w:color="auto"/>
            <w:bottom w:val="none" w:sz="0" w:space="0" w:color="auto"/>
            <w:right w:val="none" w:sz="0" w:space="0" w:color="auto"/>
          </w:divBdr>
        </w:div>
        <w:div w:id="244344639">
          <w:marLeft w:val="0"/>
          <w:marRight w:val="0"/>
          <w:marTop w:val="0"/>
          <w:marBottom w:val="0"/>
          <w:divBdr>
            <w:top w:val="none" w:sz="0" w:space="0" w:color="auto"/>
            <w:left w:val="none" w:sz="0" w:space="0" w:color="auto"/>
            <w:bottom w:val="none" w:sz="0" w:space="0" w:color="auto"/>
            <w:right w:val="none" w:sz="0" w:space="0" w:color="auto"/>
          </w:divBdr>
        </w:div>
        <w:div w:id="1874493101">
          <w:marLeft w:val="0"/>
          <w:marRight w:val="0"/>
          <w:marTop w:val="0"/>
          <w:marBottom w:val="0"/>
          <w:divBdr>
            <w:top w:val="none" w:sz="0" w:space="0" w:color="auto"/>
            <w:left w:val="none" w:sz="0" w:space="0" w:color="auto"/>
            <w:bottom w:val="none" w:sz="0" w:space="0" w:color="auto"/>
            <w:right w:val="none" w:sz="0" w:space="0" w:color="auto"/>
          </w:divBdr>
        </w:div>
        <w:div w:id="1527717159">
          <w:marLeft w:val="0"/>
          <w:marRight w:val="0"/>
          <w:marTop w:val="0"/>
          <w:marBottom w:val="0"/>
          <w:divBdr>
            <w:top w:val="none" w:sz="0" w:space="0" w:color="auto"/>
            <w:left w:val="none" w:sz="0" w:space="0" w:color="auto"/>
            <w:bottom w:val="none" w:sz="0" w:space="0" w:color="auto"/>
            <w:right w:val="none" w:sz="0" w:space="0" w:color="auto"/>
          </w:divBdr>
        </w:div>
        <w:div w:id="2026714515">
          <w:marLeft w:val="0"/>
          <w:marRight w:val="0"/>
          <w:marTop w:val="0"/>
          <w:marBottom w:val="0"/>
          <w:divBdr>
            <w:top w:val="none" w:sz="0" w:space="0" w:color="auto"/>
            <w:left w:val="none" w:sz="0" w:space="0" w:color="auto"/>
            <w:bottom w:val="none" w:sz="0" w:space="0" w:color="auto"/>
            <w:right w:val="none" w:sz="0" w:space="0" w:color="auto"/>
          </w:divBdr>
        </w:div>
        <w:div w:id="1766418063">
          <w:marLeft w:val="0"/>
          <w:marRight w:val="0"/>
          <w:marTop w:val="0"/>
          <w:marBottom w:val="0"/>
          <w:divBdr>
            <w:top w:val="none" w:sz="0" w:space="0" w:color="auto"/>
            <w:left w:val="none" w:sz="0" w:space="0" w:color="auto"/>
            <w:bottom w:val="none" w:sz="0" w:space="0" w:color="auto"/>
            <w:right w:val="none" w:sz="0" w:space="0" w:color="auto"/>
          </w:divBdr>
        </w:div>
        <w:div w:id="722365009">
          <w:marLeft w:val="0"/>
          <w:marRight w:val="0"/>
          <w:marTop w:val="0"/>
          <w:marBottom w:val="0"/>
          <w:divBdr>
            <w:top w:val="none" w:sz="0" w:space="0" w:color="auto"/>
            <w:left w:val="none" w:sz="0" w:space="0" w:color="auto"/>
            <w:bottom w:val="none" w:sz="0" w:space="0" w:color="auto"/>
            <w:right w:val="none" w:sz="0" w:space="0" w:color="auto"/>
          </w:divBdr>
        </w:div>
        <w:div w:id="1281254913">
          <w:marLeft w:val="0"/>
          <w:marRight w:val="0"/>
          <w:marTop w:val="0"/>
          <w:marBottom w:val="0"/>
          <w:divBdr>
            <w:top w:val="none" w:sz="0" w:space="0" w:color="auto"/>
            <w:left w:val="none" w:sz="0" w:space="0" w:color="auto"/>
            <w:bottom w:val="none" w:sz="0" w:space="0" w:color="auto"/>
            <w:right w:val="none" w:sz="0" w:space="0" w:color="auto"/>
          </w:divBdr>
        </w:div>
        <w:div w:id="1536386565">
          <w:marLeft w:val="0"/>
          <w:marRight w:val="0"/>
          <w:marTop w:val="0"/>
          <w:marBottom w:val="0"/>
          <w:divBdr>
            <w:top w:val="none" w:sz="0" w:space="0" w:color="auto"/>
            <w:left w:val="none" w:sz="0" w:space="0" w:color="auto"/>
            <w:bottom w:val="none" w:sz="0" w:space="0" w:color="auto"/>
            <w:right w:val="none" w:sz="0" w:space="0" w:color="auto"/>
          </w:divBdr>
        </w:div>
        <w:div w:id="78066486">
          <w:marLeft w:val="0"/>
          <w:marRight w:val="0"/>
          <w:marTop w:val="0"/>
          <w:marBottom w:val="0"/>
          <w:divBdr>
            <w:top w:val="none" w:sz="0" w:space="0" w:color="auto"/>
            <w:left w:val="none" w:sz="0" w:space="0" w:color="auto"/>
            <w:bottom w:val="none" w:sz="0" w:space="0" w:color="auto"/>
            <w:right w:val="none" w:sz="0" w:space="0" w:color="auto"/>
          </w:divBdr>
        </w:div>
        <w:div w:id="665865620">
          <w:marLeft w:val="0"/>
          <w:marRight w:val="0"/>
          <w:marTop w:val="0"/>
          <w:marBottom w:val="0"/>
          <w:divBdr>
            <w:top w:val="none" w:sz="0" w:space="0" w:color="auto"/>
            <w:left w:val="none" w:sz="0" w:space="0" w:color="auto"/>
            <w:bottom w:val="none" w:sz="0" w:space="0" w:color="auto"/>
            <w:right w:val="none" w:sz="0" w:space="0" w:color="auto"/>
          </w:divBdr>
        </w:div>
        <w:div w:id="1482653674">
          <w:marLeft w:val="0"/>
          <w:marRight w:val="0"/>
          <w:marTop w:val="0"/>
          <w:marBottom w:val="0"/>
          <w:divBdr>
            <w:top w:val="none" w:sz="0" w:space="0" w:color="auto"/>
            <w:left w:val="none" w:sz="0" w:space="0" w:color="auto"/>
            <w:bottom w:val="none" w:sz="0" w:space="0" w:color="auto"/>
            <w:right w:val="none" w:sz="0" w:space="0" w:color="auto"/>
          </w:divBdr>
        </w:div>
        <w:div w:id="1513299049">
          <w:marLeft w:val="0"/>
          <w:marRight w:val="0"/>
          <w:marTop w:val="0"/>
          <w:marBottom w:val="0"/>
          <w:divBdr>
            <w:top w:val="none" w:sz="0" w:space="0" w:color="auto"/>
            <w:left w:val="none" w:sz="0" w:space="0" w:color="auto"/>
            <w:bottom w:val="none" w:sz="0" w:space="0" w:color="auto"/>
            <w:right w:val="none" w:sz="0" w:space="0" w:color="auto"/>
          </w:divBdr>
        </w:div>
        <w:div w:id="1974172856">
          <w:marLeft w:val="0"/>
          <w:marRight w:val="0"/>
          <w:marTop w:val="0"/>
          <w:marBottom w:val="0"/>
          <w:divBdr>
            <w:top w:val="none" w:sz="0" w:space="0" w:color="auto"/>
            <w:left w:val="none" w:sz="0" w:space="0" w:color="auto"/>
            <w:bottom w:val="none" w:sz="0" w:space="0" w:color="auto"/>
            <w:right w:val="none" w:sz="0" w:space="0" w:color="auto"/>
          </w:divBdr>
        </w:div>
        <w:div w:id="1264459622">
          <w:marLeft w:val="0"/>
          <w:marRight w:val="0"/>
          <w:marTop w:val="0"/>
          <w:marBottom w:val="0"/>
          <w:divBdr>
            <w:top w:val="none" w:sz="0" w:space="0" w:color="auto"/>
            <w:left w:val="none" w:sz="0" w:space="0" w:color="auto"/>
            <w:bottom w:val="none" w:sz="0" w:space="0" w:color="auto"/>
            <w:right w:val="none" w:sz="0" w:space="0" w:color="auto"/>
          </w:divBdr>
        </w:div>
        <w:div w:id="245917724">
          <w:marLeft w:val="0"/>
          <w:marRight w:val="0"/>
          <w:marTop w:val="0"/>
          <w:marBottom w:val="0"/>
          <w:divBdr>
            <w:top w:val="none" w:sz="0" w:space="0" w:color="auto"/>
            <w:left w:val="none" w:sz="0" w:space="0" w:color="auto"/>
            <w:bottom w:val="none" w:sz="0" w:space="0" w:color="auto"/>
            <w:right w:val="none" w:sz="0" w:space="0" w:color="auto"/>
          </w:divBdr>
        </w:div>
        <w:div w:id="704478977">
          <w:marLeft w:val="0"/>
          <w:marRight w:val="0"/>
          <w:marTop w:val="0"/>
          <w:marBottom w:val="0"/>
          <w:divBdr>
            <w:top w:val="none" w:sz="0" w:space="0" w:color="auto"/>
            <w:left w:val="none" w:sz="0" w:space="0" w:color="auto"/>
            <w:bottom w:val="none" w:sz="0" w:space="0" w:color="auto"/>
            <w:right w:val="none" w:sz="0" w:space="0" w:color="auto"/>
          </w:divBdr>
        </w:div>
        <w:div w:id="1942060434">
          <w:marLeft w:val="0"/>
          <w:marRight w:val="0"/>
          <w:marTop w:val="0"/>
          <w:marBottom w:val="0"/>
          <w:divBdr>
            <w:top w:val="none" w:sz="0" w:space="0" w:color="auto"/>
            <w:left w:val="none" w:sz="0" w:space="0" w:color="auto"/>
            <w:bottom w:val="none" w:sz="0" w:space="0" w:color="auto"/>
            <w:right w:val="none" w:sz="0" w:space="0" w:color="auto"/>
          </w:divBdr>
        </w:div>
        <w:div w:id="1934971017">
          <w:marLeft w:val="0"/>
          <w:marRight w:val="0"/>
          <w:marTop w:val="0"/>
          <w:marBottom w:val="0"/>
          <w:divBdr>
            <w:top w:val="none" w:sz="0" w:space="0" w:color="auto"/>
            <w:left w:val="none" w:sz="0" w:space="0" w:color="auto"/>
            <w:bottom w:val="none" w:sz="0" w:space="0" w:color="auto"/>
            <w:right w:val="none" w:sz="0" w:space="0" w:color="auto"/>
          </w:divBdr>
        </w:div>
        <w:div w:id="789789541">
          <w:marLeft w:val="0"/>
          <w:marRight w:val="0"/>
          <w:marTop w:val="0"/>
          <w:marBottom w:val="0"/>
          <w:divBdr>
            <w:top w:val="none" w:sz="0" w:space="0" w:color="auto"/>
            <w:left w:val="none" w:sz="0" w:space="0" w:color="auto"/>
            <w:bottom w:val="none" w:sz="0" w:space="0" w:color="auto"/>
            <w:right w:val="none" w:sz="0" w:space="0" w:color="auto"/>
          </w:divBdr>
        </w:div>
        <w:div w:id="739644455">
          <w:marLeft w:val="0"/>
          <w:marRight w:val="0"/>
          <w:marTop w:val="0"/>
          <w:marBottom w:val="0"/>
          <w:divBdr>
            <w:top w:val="none" w:sz="0" w:space="0" w:color="auto"/>
            <w:left w:val="none" w:sz="0" w:space="0" w:color="auto"/>
            <w:bottom w:val="none" w:sz="0" w:space="0" w:color="auto"/>
            <w:right w:val="none" w:sz="0" w:space="0" w:color="auto"/>
          </w:divBdr>
        </w:div>
        <w:div w:id="682246263">
          <w:marLeft w:val="0"/>
          <w:marRight w:val="0"/>
          <w:marTop w:val="0"/>
          <w:marBottom w:val="0"/>
          <w:divBdr>
            <w:top w:val="none" w:sz="0" w:space="0" w:color="auto"/>
            <w:left w:val="none" w:sz="0" w:space="0" w:color="auto"/>
            <w:bottom w:val="none" w:sz="0" w:space="0" w:color="auto"/>
            <w:right w:val="none" w:sz="0" w:space="0" w:color="auto"/>
          </w:divBdr>
        </w:div>
        <w:div w:id="853231117">
          <w:marLeft w:val="0"/>
          <w:marRight w:val="0"/>
          <w:marTop w:val="0"/>
          <w:marBottom w:val="0"/>
          <w:divBdr>
            <w:top w:val="none" w:sz="0" w:space="0" w:color="auto"/>
            <w:left w:val="none" w:sz="0" w:space="0" w:color="auto"/>
            <w:bottom w:val="none" w:sz="0" w:space="0" w:color="auto"/>
            <w:right w:val="none" w:sz="0" w:space="0" w:color="auto"/>
          </w:divBdr>
        </w:div>
        <w:div w:id="1946226827">
          <w:marLeft w:val="0"/>
          <w:marRight w:val="0"/>
          <w:marTop w:val="0"/>
          <w:marBottom w:val="0"/>
          <w:divBdr>
            <w:top w:val="none" w:sz="0" w:space="0" w:color="auto"/>
            <w:left w:val="none" w:sz="0" w:space="0" w:color="auto"/>
            <w:bottom w:val="none" w:sz="0" w:space="0" w:color="auto"/>
            <w:right w:val="none" w:sz="0" w:space="0" w:color="auto"/>
          </w:divBdr>
        </w:div>
        <w:div w:id="536621731">
          <w:marLeft w:val="0"/>
          <w:marRight w:val="0"/>
          <w:marTop w:val="0"/>
          <w:marBottom w:val="0"/>
          <w:divBdr>
            <w:top w:val="none" w:sz="0" w:space="0" w:color="auto"/>
            <w:left w:val="none" w:sz="0" w:space="0" w:color="auto"/>
            <w:bottom w:val="none" w:sz="0" w:space="0" w:color="auto"/>
            <w:right w:val="none" w:sz="0" w:space="0" w:color="auto"/>
          </w:divBdr>
        </w:div>
        <w:div w:id="771510299">
          <w:marLeft w:val="0"/>
          <w:marRight w:val="0"/>
          <w:marTop w:val="0"/>
          <w:marBottom w:val="0"/>
          <w:divBdr>
            <w:top w:val="none" w:sz="0" w:space="0" w:color="auto"/>
            <w:left w:val="none" w:sz="0" w:space="0" w:color="auto"/>
            <w:bottom w:val="none" w:sz="0" w:space="0" w:color="auto"/>
            <w:right w:val="none" w:sz="0" w:space="0" w:color="auto"/>
          </w:divBdr>
        </w:div>
        <w:div w:id="888883561">
          <w:marLeft w:val="0"/>
          <w:marRight w:val="0"/>
          <w:marTop w:val="0"/>
          <w:marBottom w:val="0"/>
          <w:divBdr>
            <w:top w:val="none" w:sz="0" w:space="0" w:color="auto"/>
            <w:left w:val="none" w:sz="0" w:space="0" w:color="auto"/>
            <w:bottom w:val="none" w:sz="0" w:space="0" w:color="auto"/>
            <w:right w:val="none" w:sz="0" w:space="0" w:color="auto"/>
          </w:divBdr>
        </w:div>
        <w:div w:id="1729569550">
          <w:marLeft w:val="0"/>
          <w:marRight w:val="0"/>
          <w:marTop w:val="0"/>
          <w:marBottom w:val="0"/>
          <w:divBdr>
            <w:top w:val="none" w:sz="0" w:space="0" w:color="auto"/>
            <w:left w:val="none" w:sz="0" w:space="0" w:color="auto"/>
            <w:bottom w:val="none" w:sz="0" w:space="0" w:color="auto"/>
            <w:right w:val="none" w:sz="0" w:space="0" w:color="auto"/>
          </w:divBdr>
        </w:div>
        <w:div w:id="1889494217">
          <w:marLeft w:val="0"/>
          <w:marRight w:val="0"/>
          <w:marTop w:val="0"/>
          <w:marBottom w:val="0"/>
          <w:divBdr>
            <w:top w:val="none" w:sz="0" w:space="0" w:color="auto"/>
            <w:left w:val="none" w:sz="0" w:space="0" w:color="auto"/>
            <w:bottom w:val="none" w:sz="0" w:space="0" w:color="auto"/>
            <w:right w:val="none" w:sz="0" w:space="0" w:color="auto"/>
          </w:divBdr>
        </w:div>
      </w:divsChild>
    </w:div>
    <w:div w:id="2125299419">
      <w:bodyDiv w:val="1"/>
      <w:marLeft w:val="0"/>
      <w:marRight w:val="0"/>
      <w:marTop w:val="0"/>
      <w:marBottom w:val="0"/>
      <w:divBdr>
        <w:top w:val="none" w:sz="0" w:space="0" w:color="auto"/>
        <w:left w:val="none" w:sz="0" w:space="0" w:color="auto"/>
        <w:bottom w:val="none" w:sz="0" w:space="0" w:color="auto"/>
        <w:right w:val="none" w:sz="0" w:space="0" w:color="auto"/>
      </w:divBdr>
      <w:divsChild>
        <w:div w:id="1615207266">
          <w:marLeft w:val="0"/>
          <w:marRight w:val="0"/>
          <w:marTop w:val="0"/>
          <w:marBottom w:val="0"/>
          <w:divBdr>
            <w:top w:val="none" w:sz="0" w:space="0" w:color="auto"/>
            <w:left w:val="none" w:sz="0" w:space="0" w:color="auto"/>
            <w:bottom w:val="none" w:sz="0" w:space="0" w:color="auto"/>
            <w:right w:val="none" w:sz="0" w:space="0" w:color="auto"/>
          </w:divBdr>
        </w:div>
        <w:div w:id="32072742">
          <w:marLeft w:val="0"/>
          <w:marRight w:val="0"/>
          <w:marTop w:val="0"/>
          <w:marBottom w:val="0"/>
          <w:divBdr>
            <w:top w:val="none" w:sz="0" w:space="0" w:color="auto"/>
            <w:left w:val="none" w:sz="0" w:space="0" w:color="auto"/>
            <w:bottom w:val="none" w:sz="0" w:space="0" w:color="auto"/>
            <w:right w:val="none" w:sz="0" w:space="0" w:color="auto"/>
          </w:divBdr>
        </w:div>
        <w:div w:id="806702279">
          <w:marLeft w:val="0"/>
          <w:marRight w:val="0"/>
          <w:marTop w:val="0"/>
          <w:marBottom w:val="0"/>
          <w:divBdr>
            <w:top w:val="none" w:sz="0" w:space="0" w:color="auto"/>
            <w:left w:val="none" w:sz="0" w:space="0" w:color="auto"/>
            <w:bottom w:val="none" w:sz="0" w:space="0" w:color="auto"/>
            <w:right w:val="none" w:sz="0" w:space="0" w:color="auto"/>
          </w:divBdr>
        </w:div>
        <w:div w:id="484204932">
          <w:marLeft w:val="0"/>
          <w:marRight w:val="0"/>
          <w:marTop w:val="0"/>
          <w:marBottom w:val="0"/>
          <w:divBdr>
            <w:top w:val="none" w:sz="0" w:space="0" w:color="auto"/>
            <w:left w:val="none" w:sz="0" w:space="0" w:color="auto"/>
            <w:bottom w:val="none" w:sz="0" w:space="0" w:color="auto"/>
            <w:right w:val="none" w:sz="0" w:space="0" w:color="auto"/>
          </w:divBdr>
        </w:div>
        <w:div w:id="447552384">
          <w:marLeft w:val="0"/>
          <w:marRight w:val="0"/>
          <w:marTop w:val="0"/>
          <w:marBottom w:val="0"/>
          <w:divBdr>
            <w:top w:val="none" w:sz="0" w:space="0" w:color="auto"/>
            <w:left w:val="none" w:sz="0" w:space="0" w:color="auto"/>
            <w:bottom w:val="none" w:sz="0" w:space="0" w:color="auto"/>
            <w:right w:val="none" w:sz="0" w:space="0" w:color="auto"/>
          </w:divBdr>
        </w:div>
        <w:div w:id="401410227">
          <w:marLeft w:val="0"/>
          <w:marRight w:val="0"/>
          <w:marTop w:val="0"/>
          <w:marBottom w:val="0"/>
          <w:divBdr>
            <w:top w:val="none" w:sz="0" w:space="0" w:color="auto"/>
            <w:left w:val="none" w:sz="0" w:space="0" w:color="auto"/>
            <w:bottom w:val="none" w:sz="0" w:space="0" w:color="auto"/>
            <w:right w:val="none" w:sz="0" w:space="0" w:color="auto"/>
          </w:divBdr>
        </w:div>
        <w:div w:id="1117523685">
          <w:marLeft w:val="0"/>
          <w:marRight w:val="0"/>
          <w:marTop w:val="0"/>
          <w:marBottom w:val="0"/>
          <w:divBdr>
            <w:top w:val="none" w:sz="0" w:space="0" w:color="auto"/>
            <w:left w:val="none" w:sz="0" w:space="0" w:color="auto"/>
            <w:bottom w:val="none" w:sz="0" w:space="0" w:color="auto"/>
            <w:right w:val="none" w:sz="0" w:space="0" w:color="auto"/>
          </w:divBdr>
        </w:div>
        <w:div w:id="15739277">
          <w:marLeft w:val="0"/>
          <w:marRight w:val="0"/>
          <w:marTop w:val="0"/>
          <w:marBottom w:val="0"/>
          <w:divBdr>
            <w:top w:val="none" w:sz="0" w:space="0" w:color="auto"/>
            <w:left w:val="none" w:sz="0" w:space="0" w:color="auto"/>
            <w:bottom w:val="none" w:sz="0" w:space="0" w:color="auto"/>
            <w:right w:val="none" w:sz="0" w:space="0" w:color="auto"/>
          </w:divBdr>
        </w:div>
        <w:div w:id="507644854">
          <w:marLeft w:val="0"/>
          <w:marRight w:val="0"/>
          <w:marTop w:val="0"/>
          <w:marBottom w:val="0"/>
          <w:divBdr>
            <w:top w:val="none" w:sz="0" w:space="0" w:color="auto"/>
            <w:left w:val="none" w:sz="0" w:space="0" w:color="auto"/>
            <w:bottom w:val="none" w:sz="0" w:space="0" w:color="auto"/>
            <w:right w:val="none" w:sz="0" w:space="0" w:color="auto"/>
          </w:divBdr>
        </w:div>
        <w:div w:id="1620333563">
          <w:marLeft w:val="0"/>
          <w:marRight w:val="0"/>
          <w:marTop w:val="0"/>
          <w:marBottom w:val="0"/>
          <w:divBdr>
            <w:top w:val="none" w:sz="0" w:space="0" w:color="auto"/>
            <w:left w:val="none" w:sz="0" w:space="0" w:color="auto"/>
            <w:bottom w:val="none" w:sz="0" w:space="0" w:color="auto"/>
            <w:right w:val="none" w:sz="0" w:space="0" w:color="auto"/>
          </w:divBdr>
        </w:div>
        <w:div w:id="1519806859">
          <w:marLeft w:val="0"/>
          <w:marRight w:val="0"/>
          <w:marTop w:val="0"/>
          <w:marBottom w:val="0"/>
          <w:divBdr>
            <w:top w:val="none" w:sz="0" w:space="0" w:color="auto"/>
            <w:left w:val="none" w:sz="0" w:space="0" w:color="auto"/>
            <w:bottom w:val="none" w:sz="0" w:space="0" w:color="auto"/>
            <w:right w:val="none" w:sz="0" w:space="0" w:color="auto"/>
          </w:divBdr>
        </w:div>
        <w:div w:id="436485053">
          <w:marLeft w:val="0"/>
          <w:marRight w:val="0"/>
          <w:marTop w:val="0"/>
          <w:marBottom w:val="0"/>
          <w:divBdr>
            <w:top w:val="none" w:sz="0" w:space="0" w:color="auto"/>
            <w:left w:val="none" w:sz="0" w:space="0" w:color="auto"/>
            <w:bottom w:val="none" w:sz="0" w:space="0" w:color="auto"/>
            <w:right w:val="none" w:sz="0" w:space="0" w:color="auto"/>
          </w:divBdr>
        </w:div>
        <w:div w:id="1644919840">
          <w:marLeft w:val="0"/>
          <w:marRight w:val="0"/>
          <w:marTop w:val="0"/>
          <w:marBottom w:val="0"/>
          <w:divBdr>
            <w:top w:val="none" w:sz="0" w:space="0" w:color="auto"/>
            <w:left w:val="none" w:sz="0" w:space="0" w:color="auto"/>
            <w:bottom w:val="none" w:sz="0" w:space="0" w:color="auto"/>
            <w:right w:val="none" w:sz="0" w:space="0" w:color="auto"/>
          </w:divBdr>
        </w:div>
        <w:div w:id="269432446">
          <w:marLeft w:val="0"/>
          <w:marRight w:val="0"/>
          <w:marTop w:val="0"/>
          <w:marBottom w:val="0"/>
          <w:divBdr>
            <w:top w:val="none" w:sz="0" w:space="0" w:color="auto"/>
            <w:left w:val="none" w:sz="0" w:space="0" w:color="auto"/>
            <w:bottom w:val="none" w:sz="0" w:space="0" w:color="auto"/>
            <w:right w:val="none" w:sz="0" w:space="0" w:color="auto"/>
          </w:divBdr>
        </w:div>
        <w:div w:id="135756586">
          <w:marLeft w:val="0"/>
          <w:marRight w:val="0"/>
          <w:marTop w:val="0"/>
          <w:marBottom w:val="0"/>
          <w:divBdr>
            <w:top w:val="none" w:sz="0" w:space="0" w:color="auto"/>
            <w:left w:val="none" w:sz="0" w:space="0" w:color="auto"/>
            <w:bottom w:val="none" w:sz="0" w:space="0" w:color="auto"/>
            <w:right w:val="none" w:sz="0" w:space="0" w:color="auto"/>
          </w:divBdr>
        </w:div>
        <w:div w:id="584194301">
          <w:marLeft w:val="0"/>
          <w:marRight w:val="0"/>
          <w:marTop w:val="0"/>
          <w:marBottom w:val="0"/>
          <w:divBdr>
            <w:top w:val="none" w:sz="0" w:space="0" w:color="auto"/>
            <w:left w:val="none" w:sz="0" w:space="0" w:color="auto"/>
            <w:bottom w:val="none" w:sz="0" w:space="0" w:color="auto"/>
            <w:right w:val="none" w:sz="0" w:space="0" w:color="auto"/>
          </w:divBdr>
        </w:div>
        <w:div w:id="576325222">
          <w:marLeft w:val="0"/>
          <w:marRight w:val="0"/>
          <w:marTop w:val="0"/>
          <w:marBottom w:val="0"/>
          <w:divBdr>
            <w:top w:val="none" w:sz="0" w:space="0" w:color="auto"/>
            <w:left w:val="none" w:sz="0" w:space="0" w:color="auto"/>
            <w:bottom w:val="none" w:sz="0" w:space="0" w:color="auto"/>
            <w:right w:val="none" w:sz="0" w:space="0" w:color="auto"/>
          </w:divBdr>
        </w:div>
        <w:div w:id="167866977">
          <w:marLeft w:val="0"/>
          <w:marRight w:val="0"/>
          <w:marTop w:val="0"/>
          <w:marBottom w:val="0"/>
          <w:divBdr>
            <w:top w:val="none" w:sz="0" w:space="0" w:color="auto"/>
            <w:left w:val="none" w:sz="0" w:space="0" w:color="auto"/>
            <w:bottom w:val="none" w:sz="0" w:space="0" w:color="auto"/>
            <w:right w:val="none" w:sz="0" w:space="0" w:color="auto"/>
          </w:divBdr>
        </w:div>
        <w:div w:id="258297465">
          <w:marLeft w:val="0"/>
          <w:marRight w:val="0"/>
          <w:marTop w:val="0"/>
          <w:marBottom w:val="0"/>
          <w:divBdr>
            <w:top w:val="none" w:sz="0" w:space="0" w:color="auto"/>
            <w:left w:val="none" w:sz="0" w:space="0" w:color="auto"/>
            <w:bottom w:val="none" w:sz="0" w:space="0" w:color="auto"/>
            <w:right w:val="none" w:sz="0" w:space="0" w:color="auto"/>
          </w:divBdr>
        </w:div>
        <w:div w:id="282998219">
          <w:marLeft w:val="0"/>
          <w:marRight w:val="0"/>
          <w:marTop w:val="0"/>
          <w:marBottom w:val="0"/>
          <w:divBdr>
            <w:top w:val="none" w:sz="0" w:space="0" w:color="auto"/>
            <w:left w:val="none" w:sz="0" w:space="0" w:color="auto"/>
            <w:bottom w:val="none" w:sz="0" w:space="0" w:color="auto"/>
            <w:right w:val="none" w:sz="0" w:space="0" w:color="auto"/>
          </w:divBdr>
        </w:div>
        <w:div w:id="1081682105">
          <w:marLeft w:val="0"/>
          <w:marRight w:val="0"/>
          <w:marTop w:val="0"/>
          <w:marBottom w:val="0"/>
          <w:divBdr>
            <w:top w:val="none" w:sz="0" w:space="0" w:color="auto"/>
            <w:left w:val="none" w:sz="0" w:space="0" w:color="auto"/>
            <w:bottom w:val="none" w:sz="0" w:space="0" w:color="auto"/>
            <w:right w:val="none" w:sz="0" w:space="0" w:color="auto"/>
          </w:divBdr>
        </w:div>
        <w:div w:id="1716614304">
          <w:marLeft w:val="0"/>
          <w:marRight w:val="0"/>
          <w:marTop w:val="0"/>
          <w:marBottom w:val="0"/>
          <w:divBdr>
            <w:top w:val="none" w:sz="0" w:space="0" w:color="auto"/>
            <w:left w:val="none" w:sz="0" w:space="0" w:color="auto"/>
            <w:bottom w:val="none" w:sz="0" w:space="0" w:color="auto"/>
            <w:right w:val="none" w:sz="0" w:space="0" w:color="auto"/>
          </w:divBdr>
        </w:div>
        <w:div w:id="1276867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careone.nhs.wales/files/sharing-practice/a-healthier-wales-our-plan-for-health-social-care-update-2019/" TargetMode="External"/><Relationship Id="rId13" Type="http://schemas.openxmlformats.org/officeDocument/2006/relationships/hyperlink" Target="https://doi.org/10.1007/s11528-014-0750-9" TargetMode="External"/><Relationship Id="rId18" Type="http://schemas.openxmlformats.org/officeDocument/2006/relationships/hyperlink" Target="https://www.healthcareers.nhs.uk/explore-roles/doctors/roles-doctors/medicine/sport-and-exercise-medicine"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apps.who.int/iris/bitstream/handle/10665/272722/9789241514187-eng.pdfs" TargetMode="External"/><Relationship Id="rId7" Type="http://schemas.openxmlformats.org/officeDocument/2006/relationships/image" Target="cid:image001.png@01D0EA4A.2BD679A0" TargetMode="External"/><Relationship Id="rId12" Type="http://schemas.openxmlformats.org/officeDocument/2006/relationships/hyperlink" Target="https://doi.org/10.1016/j.nut.2019.110615" TargetMode="External"/><Relationship Id="rId17" Type="http://schemas.openxmlformats.org/officeDocument/2006/relationships/hyperlink" Target="https://doi.org/10.1111/cobi.12326"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136/bmjopen-2019-036411" TargetMode="External"/><Relationship Id="rId20" Type="http://schemas.openxmlformats.org/officeDocument/2006/relationships/hyperlink" Target="https://doi.org/10.7326/0003-4819-156-5-201203060-0000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36/fmch-2018-000057"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doi.org/10.1177/1609406919878341" TargetMode="External"/><Relationship Id="rId23" Type="http://schemas.openxmlformats.org/officeDocument/2006/relationships/footer" Target="footer1.xml"/><Relationship Id="rId10" Type="http://schemas.openxmlformats.org/officeDocument/2006/relationships/hyperlink" Target="https://doi.org/10.1007/s40279-018-1005-2" TargetMode="External"/><Relationship Id="rId19" Type="http://schemas.openxmlformats.org/officeDocument/2006/relationships/hyperlink" Target="https://doi.org/10.1097/acm.0000000000003093" TargetMode="External"/><Relationship Id="rId4" Type="http://schemas.openxmlformats.org/officeDocument/2006/relationships/footnotes" Target="footnotes.xml"/><Relationship Id="rId9" Type="http://schemas.openxmlformats.org/officeDocument/2006/relationships/hyperlink" Target="https://doi.org/10.1001/amajethics.2020.965" TargetMode="External"/><Relationship Id="rId14" Type="http://schemas.openxmlformats.org/officeDocument/2006/relationships/hyperlink" Target="https://www.gov.uk/guidance/focus-group-study-qualitative-studies" TargetMode="External"/><Relationship Id="rId22" Type="http://schemas.openxmlformats.org/officeDocument/2006/relationships/hyperlink" Target="https://doi.org/10.1080/030556908022884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8</Pages>
  <Words>3821</Words>
  <Characters>21780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dcterms:created xsi:type="dcterms:W3CDTF">2023-04-29T12:55:00Z</dcterms:created>
  <dcterms:modified xsi:type="dcterms:W3CDTF">2023-05-01T09:03:00Z</dcterms:modified>
</cp:coreProperties>
</file>