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B09BD" w14:textId="77777777" w:rsidR="00122CE8" w:rsidRDefault="00AC01CC">
      <w:pPr>
        <w:pStyle w:val="BodyText"/>
        <w:ind w:left="3033" w:right="0"/>
        <w:jc w:val="left"/>
        <w:rPr>
          <w:rFonts w:ascii="Times New Roman"/>
          <w:sz w:val="20"/>
        </w:rPr>
      </w:pPr>
      <w:r>
        <w:rPr>
          <w:rFonts w:ascii="Times New Roman"/>
          <w:noProof/>
          <w:sz w:val="20"/>
        </w:rPr>
        <w:drawing>
          <wp:inline distT="0" distB="0" distL="0" distR="0" wp14:anchorId="62BF37C4" wp14:editId="5CCB5828">
            <wp:extent cx="2497754" cy="1071372"/>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2497754" cy="1071372"/>
                    </a:xfrm>
                    <a:prstGeom prst="rect">
                      <a:avLst/>
                    </a:prstGeom>
                  </pic:spPr>
                </pic:pic>
              </a:graphicData>
            </a:graphic>
          </wp:inline>
        </w:drawing>
      </w:r>
    </w:p>
    <w:p w14:paraId="03617D7E" w14:textId="77777777" w:rsidR="00122CE8" w:rsidRDefault="00122CE8">
      <w:pPr>
        <w:pStyle w:val="BodyText"/>
        <w:ind w:left="0" w:right="0"/>
        <w:jc w:val="left"/>
        <w:rPr>
          <w:rFonts w:ascii="Times New Roman"/>
          <w:sz w:val="32"/>
        </w:rPr>
      </w:pPr>
    </w:p>
    <w:p w14:paraId="4E17F88E" w14:textId="77777777" w:rsidR="00122CE8" w:rsidRDefault="00122CE8">
      <w:pPr>
        <w:pStyle w:val="BodyText"/>
        <w:spacing w:before="14"/>
        <w:ind w:left="0" w:right="0"/>
        <w:jc w:val="left"/>
        <w:rPr>
          <w:rFonts w:ascii="Times New Roman"/>
          <w:sz w:val="32"/>
        </w:rPr>
      </w:pPr>
    </w:p>
    <w:p w14:paraId="1238FD70" w14:textId="6BBA9448" w:rsidR="00122CE8" w:rsidRDefault="00AC01CC" w:rsidP="00D30366">
      <w:pPr>
        <w:spacing w:line="360" w:lineRule="auto"/>
        <w:ind w:left="28" w:right="163" w:hanging="5"/>
        <w:jc w:val="center"/>
        <w:rPr>
          <w:rFonts w:ascii="Arial"/>
          <w:b/>
          <w:sz w:val="32"/>
        </w:rPr>
      </w:pPr>
      <w:proofErr w:type="spellStart"/>
      <w:r>
        <w:rPr>
          <w:rFonts w:ascii="Arial"/>
          <w:b/>
          <w:sz w:val="32"/>
        </w:rPr>
        <w:t>Programme</w:t>
      </w:r>
      <w:proofErr w:type="spellEnd"/>
      <w:r>
        <w:rPr>
          <w:rFonts w:ascii="Arial"/>
          <w:b/>
          <w:sz w:val="32"/>
        </w:rPr>
        <w:t>: MSc Engineering Project Management</w:t>
      </w:r>
    </w:p>
    <w:p w14:paraId="2F5F6371" w14:textId="77777777" w:rsidR="00122CE8" w:rsidRDefault="00122CE8">
      <w:pPr>
        <w:pStyle w:val="BodyText"/>
        <w:spacing w:before="296"/>
        <w:ind w:left="0" w:right="0"/>
        <w:jc w:val="left"/>
        <w:rPr>
          <w:rFonts w:ascii="Arial"/>
          <w:b/>
          <w:sz w:val="32"/>
        </w:rPr>
      </w:pPr>
    </w:p>
    <w:p w14:paraId="7976B0E7" w14:textId="77777777" w:rsidR="00122CE8" w:rsidRDefault="00AC01CC">
      <w:pPr>
        <w:spacing w:line="516" w:lineRule="auto"/>
        <w:ind w:left="548" w:right="687"/>
        <w:jc w:val="center"/>
        <w:rPr>
          <w:rFonts w:ascii="Arial"/>
          <w:b/>
          <w:sz w:val="32"/>
        </w:rPr>
      </w:pPr>
      <w:r>
        <w:rPr>
          <w:rFonts w:ascii="Arial"/>
          <w:b/>
          <w:sz w:val="32"/>
        </w:rPr>
        <w:t>Module:</w:t>
      </w:r>
      <w:r>
        <w:rPr>
          <w:rFonts w:ascii="Arial"/>
          <w:b/>
          <w:spacing w:val="-11"/>
          <w:sz w:val="32"/>
        </w:rPr>
        <w:t xml:space="preserve"> </w:t>
      </w:r>
      <w:r>
        <w:rPr>
          <w:rFonts w:ascii="Arial"/>
          <w:b/>
          <w:sz w:val="32"/>
        </w:rPr>
        <w:t>Sustainable</w:t>
      </w:r>
      <w:r>
        <w:rPr>
          <w:rFonts w:ascii="Arial"/>
          <w:b/>
          <w:spacing w:val="-11"/>
          <w:sz w:val="32"/>
        </w:rPr>
        <w:t xml:space="preserve"> </w:t>
      </w:r>
      <w:r>
        <w:rPr>
          <w:rFonts w:ascii="Arial"/>
          <w:b/>
          <w:sz w:val="32"/>
        </w:rPr>
        <w:t>Operations</w:t>
      </w:r>
      <w:r>
        <w:rPr>
          <w:rFonts w:ascii="Arial"/>
          <w:b/>
          <w:spacing w:val="-11"/>
          <w:sz w:val="32"/>
        </w:rPr>
        <w:t xml:space="preserve"> </w:t>
      </w:r>
      <w:r>
        <w:rPr>
          <w:rFonts w:ascii="Arial"/>
          <w:b/>
          <w:sz w:val="32"/>
        </w:rPr>
        <w:t>Management Module code: ACHA7031</w:t>
      </w:r>
    </w:p>
    <w:p w14:paraId="596D795D" w14:textId="77777777" w:rsidR="00122CE8" w:rsidRDefault="00122CE8">
      <w:pPr>
        <w:pStyle w:val="BodyText"/>
        <w:ind w:left="0" w:right="0"/>
        <w:jc w:val="left"/>
        <w:rPr>
          <w:rFonts w:ascii="Arial"/>
          <w:b/>
          <w:sz w:val="32"/>
        </w:rPr>
      </w:pPr>
    </w:p>
    <w:p w14:paraId="57D5D0E8" w14:textId="77777777" w:rsidR="00122CE8" w:rsidRDefault="00122CE8">
      <w:pPr>
        <w:pStyle w:val="BodyText"/>
        <w:spacing w:before="56"/>
        <w:ind w:left="0" w:right="0"/>
        <w:jc w:val="left"/>
        <w:rPr>
          <w:rFonts w:ascii="Arial"/>
          <w:b/>
          <w:sz w:val="32"/>
        </w:rPr>
      </w:pPr>
    </w:p>
    <w:p w14:paraId="40BC323E" w14:textId="77777777" w:rsidR="00122CE8" w:rsidRDefault="00AC01CC">
      <w:pPr>
        <w:pStyle w:val="Heading3"/>
        <w:spacing w:line="360" w:lineRule="auto"/>
      </w:pPr>
      <w:r>
        <w:t>Title:</w:t>
      </w:r>
      <w:r>
        <w:rPr>
          <w:spacing w:val="-6"/>
        </w:rPr>
        <w:t xml:space="preserve"> </w:t>
      </w:r>
      <w:r>
        <w:t>Sustainable</w:t>
      </w:r>
      <w:r>
        <w:rPr>
          <w:spacing w:val="-5"/>
        </w:rPr>
        <w:t xml:space="preserve"> </w:t>
      </w:r>
      <w:r>
        <w:t>Inventory</w:t>
      </w:r>
      <w:r>
        <w:rPr>
          <w:spacing w:val="-5"/>
        </w:rPr>
        <w:t xml:space="preserve"> </w:t>
      </w:r>
      <w:r>
        <w:t>and</w:t>
      </w:r>
      <w:r>
        <w:rPr>
          <w:spacing w:val="-6"/>
        </w:rPr>
        <w:t xml:space="preserve"> </w:t>
      </w:r>
      <w:r>
        <w:t>Waste</w:t>
      </w:r>
      <w:r>
        <w:rPr>
          <w:spacing w:val="-5"/>
        </w:rPr>
        <w:t xml:space="preserve"> </w:t>
      </w:r>
      <w:r>
        <w:t>Management</w:t>
      </w:r>
      <w:r>
        <w:rPr>
          <w:spacing w:val="-5"/>
        </w:rPr>
        <w:t xml:space="preserve"> </w:t>
      </w:r>
      <w:r>
        <w:t>at</w:t>
      </w:r>
      <w:r>
        <w:rPr>
          <w:spacing w:val="-5"/>
        </w:rPr>
        <w:t xml:space="preserve"> </w:t>
      </w:r>
      <w:proofErr w:type="spellStart"/>
      <w:r>
        <w:t>Brocksweir</w:t>
      </w:r>
      <w:proofErr w:type="spellEnd"/>
      <w:r>
        <w:t xml:space="preserve"> Engineering Ltd</w:t>
      </w:r>
    </w:p>
    <w:p w14:paraId="0EE045D3" w14:textId="77777777" w:rsidR="00122CE8" w:rsidRDefault="00AC01CC">
      <w:pPr>
        <w:spacing w:before="238"/>
        <w:ind w:left="550" w:right="687"/>
        <w:jc w:val="center"/>
      </w:pPr>
      <w:r>
        <w:rPr>
          <w:rFonts w:ascii="Arial"/>
          <w:b/>
          <w:sz w:val="24"/>
        </w:rPr>
        <w:t>Lecturer:</w:t>
      </w:r>
      <w:r>
        <w:rPr>
          <w:rFonts w:ascii="Arial"/>
          <w:b/>
          <w:spacing w:val="-4"/>
          <w:sz w:val="24"/>
        </w:rPr>
        <w:t xml:space="preserve"> </w:t>
      </w:r>
      <w:r>
        <w:t>Andrew</w:t>
      </w:r>
      <w:r>
        <w:rPr>
          <w:spacing w:val="-3"/>
        </w:rPr>
        <w:t xml:space="preserve"> </w:t>
      </w:r>
      <w:r>
        <w:rPr>
          <w:spacing w:val="-2"/>
        </w:rPr>
        <w:t>Thorn</w:t>
      </w:r>
    </w:p>
    <w:p w14:paraId="4CE36633" w14:textId="77777777" w:rsidR="00122CE8" w:rsidRDefault="00122CE8">
      <w:pPr>
        <w:pStyle w:val="BodyText"/>
        <w:spacing w:before="128"/>
        <w:ind w:left="0" w:right="0"/>
        <w:jc w:val="left"/>
        <w:rPr>
          <w:sz w:val="22"/>
        </w:rPr>
      </w:pPr>
    </w:p>
    <w:p w14:paraId="4AD4955C" w14:textId="77777777" w:rsidR="00122CE8" w:rsidRDefault="00AC01CC">
      <w:pPr>
        <w:spacing w:before="1"/>
        <w:ind w:left="549" w:right="687"/>
        <w:jc w:val="center"/>
        <w:rPr>
          <w:sz w:val="24"/>
        </w:rPr>
      </w:pPr>
      <w:r>
        <w:rPr>
          <w:rFonts w:ascii="Arial"/>
          <w:b/>
          <w:sz w:val="24"/>
        </w:rPr>
        <w:t>Student</w:t>
      </w:r>
      <w:r>
        <w:rPr>
          <w:rFonts w:ascii="Arial"/>
          <w:b/>
          <w:spacing w:val="-1"/>
          <w:sz w:val="24"/>
        </w:rPr>
        <w:t xml:space="preserve"> </w:t>
      </w:r>
      <w:r>
        <w:rPr>
          <w:rFonts w:ascii="Arial"/>
          <w:b/>
          <w:sz w:val="24"/>
        </w:rPr>
        <w:t>Name:</w:t>
      </w:r>
      <w:r>
        <w:rPr>
          <w:rFonts w:ascii="Arial"/>
          <w:b/>
          <w:spacing w:val="-1"/>
          <w:sz w:val="24"/>
        </w:rPr>
        <w:t xml:space="preserve"> </w:t>
      </w:r>
      <w:r>
        <w:rPr>
          <w:sz w:val="24"/>
        </w:rPr>
        <w:t>Md</w:t>
      </w:r>
      <w:r>
        <w:rPr>
          <w:spacing w:val="-1"/>
          <w:sz w:val="24"/>
        </w:rPr>
        <w:t xml:space="preserve"> </w:t>
      </w:r>
      <w:r>
        <w:rPr>
          <w:sz w:val="24"/>
        </w:rPr>
        <w:t xml:space="preserve">Jahid </w:t>
      </w:r>
      <w:r>
        <w:rPr>
          <w:spacing w:val="-4"/>
          <w:sz w:val="24"/>
        </w:rPr>
        <w:t>Hasan</w:t>
      </w:r>
    </w:p>
    <w:p w14:paraId="5872B44D" w14:textId="77777777" w:rsidR="00122CE8" w:rsidRDefault="00122CE8">
      <w:pPr>
        <w:pStyle w:val="BodyText"/>
        <w:spacing w:before="100"/>
        <w:ind w:left="0" w:right="0"/>
        <w:jc w:val="left"/>
      </w:pPr>
    </w:p>
    <w:p w14:paraId="437BCB8F" w14:textId="77777777" w:rsidR="00122CE8" w:rsidRDefault="00AC01CC">
      <w:pPr>
        <w:ind w:left="550" w:right="687"/>
        <w:jc w:val="center"/>
        <w:rPr>
          <w:sz w:val="24"/>
        </w:rPr>
      </w:pPr>
      <w:r>
        <w:rPr>
          <w:rFonts w:ascii="Arial"/>
          <w:b/>
          <w:sz w:val="24"/>
        </w:rPr>
        <w:t>Student ID:</w:t>
      </w:r>
      <w:r>
        <w:rPr>
          <w:rFonts w:ascii="Arial"/>
          <w:b/>
          <w:spacing w:val="-1"/>
          <w:sz w:val="24"/>
        </w:rPr>
        <w:t xml:space="preserve"> </w:t>
      </w:r>
      <w:r>
        <w:rPr>
          <w:spacing w:val="-2"/>
          <w:sz w:val="24"/>
        </w:rPr>
        <w:t>2512612</w:t>
      </w:r>
    </w:p>
    <w:p w14:paraId="7F3D01C4" w14:textId="77777777" w:rsidR="00122CE8" w:rsidRDefault="00122CE8">
      <w:pPr>
        <w:pStyle w:val="BodyText"/>
        <w:spacing w:before="101"/>
        <w:ind w:left="0" w:right="0"/>
        <w:jc w:val="left"/>
      </w:pPr>
    </w:p>
    <w:p w14:paraId="6279ADB8" w14:textId="77777777" w:rsidR="00122CE8" w:rsidRDefault="00AC01CC">
      <w:pPr>
        <w:pStyle w:val="BodyText"/>
        <w:ind w:left="550" w:right="687"/>
        <w:jc w:val="center"/>
      </w:pPr>
      <w:r>
        <w:t>Word</w:t>
      </w:r>
      <w:r>
        <w:rPr>
          <w:spacing w:val="-1"/>
        </w:rPr>
        <w:t xml:space="preserve"> </w:t>
      </w:r>
      <w:r>
        <w:t>Count:</w:t>
      </w:r>
      <w:r>
        <w:rPr>
          <w:spacing w:val="-1"/>
        </w:rPr>
        <w:t xml:space="preserve"> </w:t>
      </w:r>
      <w:r>
        <w:rPr>
          <w:spacing w:val="-4"/>
        </w:rPr>
        <w:t>2685</w:t>
      </w:r>
    </w:p>
    <w:p w14:paraId="710A4CE0" w14:textId="77777777" w:rsidR="00122CE8" w:rsidRDefault="00122CE8">
      <w:pPr>
        <w:pStyle w:val="BodyText"/>
        <w:jc w:val="center"/>
        <w:sectPr w:rsidR="00122CE8">
          <w:footerReference w:type="default" r:id="rId8"/>
          <w:type w:val="continuous"/>
          <w:pgSz w:w="11910" w:h="16840"/>
          <w:pgMar w:top="1840" w:right="1275" w:bottom="1500" w:left="1417" w:header="0" w:footer="1308" w:gutter="0"/>
          <w:pgNumType w:start="1"/>
          <w:cols w:space="720"/>
        </w:sectPr>
      </w:pPr>
    </w:p>
    <w:p w14:paraId="33340FD5" w14:textId="77777777" w:rsidR="00122CE8" w:rsidRDefault="00AC01CC">
      <w:pPr>
        <w:pStyle w:val="Heading1"/>
        <w:jc w:val="both"/>
      </w:pPr>
      <w:bookmarkStart w:id="0" w:name="_bookmark0"/>
      <w:bookmarkEnd w:id="0"/>
      <w:r>
        <w:lastRenderedPageBreak/>
        <w:t>Executive</w:t>
      </w:r>
      <w:r>
        <w:rPr>
          <w:spacing w:val="-11"/>
        </w:rPr>
        <w:t xml:space="preserve"> </w:t>
      </w:r>
      <w:r>
        <w:rPr>
          <w:spacing w:val="-2"/>
        </w:rPr>
        <w:t>Summary</w:t>
      </w:r>
    </w:p>
    <w:p w14:paraId="6F502BED" w14:textId="77777777" w:rsidR="00122CE8" w:rsidRDefault="00122CE8">
      <w:pPr>
        <w:pStyle w:val="BodyText"/>
        <w:spacing w:before="54"/>
        <w:ind w:left="0" w:right="0"/>
        <w:jc w:val="left"/>
        <w:rPr>
          <w:rFonts w:ascii="Arial"/>
          <w:b/>
          <w:sz w:val="32"/>
        </w:rPr>
      </w:pPr>
    </w:p>
    <w:p w14:paraId="71B22339" w14:textId="77777777" w:rsidR="00122CE8" w:rsidRDefault="00AC01CC">
      <w:pPr>
        <w:pStyle w:val="BodyText"/>
        <w:spacing w:line="360" w:lineRule="auto"/>
      </w:pPr>
      <w:r>
        <w:t xml:space="preserve">The inventory issue with </w:t>
      </w:r>
      <w:proofErr w:type="spellStart"/>
      <w:r>
        <w:t>Brocksweir</w:t>
      </w:r>
      <w:proofErr w:type="spellEnd"/>
      <w:r>
        <w:t xml:space="preserve"> Engineering Ltd can be put into a better perspective when it is thought of as an </w:t>
      </w:r>
      <w:proofErr w:type="spellStart"/>
      <w:r>
        <w:t>organisation's</w:t>
      </w:r>
      <w:proofErr w:type="spellEnd"/>
      <w:r>
        <w:t xml:space="preserve"> ineffective control system. The company</w:t>
      </w:r>
      <w:r>
        <w:rPr>
          <w:spacing w:val="-1"/>
        </w:rPr>
        <w:t xml:space="preserve"> </w:t>
      </w:r>
      <w:r>
        <w:t>is</w:t>
      </w:r>
      <w:r>
        <w:rPr>
          <w:spacing w:val="-1"/>
        </w:rPr>
        <w:t xml:space="preserve"> </w:t>
      </w:r>
      <w:r>
        <w:t>using</w:t>
      </w:r>
      <w:r>
        <w:rPr>
          <w:spacing w:val="-1"/>
        </w:rPr>
        <w:t xml:space="preserve"> </w:t>
      </w:r>
      <w:r>
        <w:t>an</w:t>
      </w:r>
      <w:r>
        <w:rPr>
          <w:spacing w:val="-1"/>
        </w:rPr>
        <w:t xml:space="preserve"> </w:t>
      </w:r>
      <w:r>
        <w:t>all-equals</w:t>
      </w:r>
      <w:r>
        <w:rPr>
          <w:spacing w:val="-1"/>
        </w:rPr>
        <w:t xml:space="preserve"> </w:t>
      </w:r>
      <w:r>
        <w:t>treatment</w:t>
      </w:r>
      <w:r>
        <w:rPr>
          <w:spacing w:val="-1"/>
        </w:rPr>
        <w:t xml:space="preserve"> </w:t>
      </w:r>
      <w:r>
        <w:t>to</w:t>
      </w:r>
      <w:r>
        <w:rPr>
          <w:spacing w:val="-1"/>
        </w:rPr>
        <w:t xml:space="preserve"> </w:t>
      </w:r>
      <w:r>
        <w:t>restock</w:t>
      </w:r>
      <w:r>
        <w:rPr>
          <w:spacing w:val="-1"/>
        </w:rPr>
        <w:t xml:space="preserve"> </w:t>
      </w:r>
      <w:r>
        <w:t>very</w:t>
      </w:r>
      <w:r>
        <w:rPr>
          <w:spacing w:val="-1"/>
        </w:rPr>
        <w:t xml:space="preserve"> </w:t>
      </w:r>
      <w:r>
        <w:t>different</w:t>
      </w:r>
      <w:r>
        <w:rPr>
          <w:spacing w:val="-1"/>
        </w:rPr>
        <w:t xml:space="preserve"> </w:t>
      </w:r>
      <w:r>
        <w:t>materials</w:t>
      </w:r>
      <w:r>
        <w:rPr>
          <w:spacing w:val="-1"/>
        </w:rPr>
        <w:t xml:space="preserve"> </w:t>
      </w:r>
      <w:r>
        <w:t>when</w:t>
      </w:r>
      <w:r>
        <w:rPr>
          <w:spacing w:val="-1"/>
        </w:rPr>
        <w:t xml:space="preserve"> </w:t>
      </w:r>
      <w:r>
        <w:t>the foundr</w:t>
      </w:r>
      <w:r>
        <w:t>y sand could be much more stable, while the new materials- phenolic, furan, etc.</w:t>
      </w:r>
      <w:r>
        <w:rPr>
          <w:spacing w:val="-5"/>
        </w:rPr>
        <w:t xml:space="preserve"> </w:t>
      </w:r>
      <w:r>
        <w:t>are</w:t>
      </w:r>
      <w:r>
        <w:rPr>
          <w:spacing w:val="-5"/>
        </w:rPr>
        <w:t xml:space="preserve"> </w:t>
      </w:r>
      <w:r>
        <w:t>far</w:t>
      </w:r>
      <w:r>
        <w:rPr>
          <w:spacing w:val="-5"/>
        </w:rPr>
        <w:t xml:space="preserve"> </w:t>
      </w:r>
      <w:r>
        <w:t>more</w:t>
      </w:r>
      <w:r>
        <w:rPr>
          <w:spacing w:val="-5"/>
        </w:rPr>
        <w:t xml:space="preserve"> </w:t>
      </w:r>
      <w:r>
        <w:t>costly</w:t>
      </w:r>
      <w:r>
        <w:rPr>
          <w:spacing w:val="-5"/>
        </w:rPr>
        <w:t xml:space="preserve"> </w:t>
      </w:r>
      <w:r>
        <w:t>and</w:t>
      </w:r>
      <w:r>
        <w:rPr>
          <w:spacing w:val="-5"/>
        </w:rPr>
        <w:t xml:space="preserve"> </w:t>
      </w:r>
      <w:r>
        <w:t>are</w:t>
      </w:r>
      <w:r>
        <w:rPr>
          <w:spacing w:val="-5"/>
        </w:rPr>
        <w:t xml:space="preserve"> </w:t>
      </w:r>
      <w:r>
        <w:t>far</w:t>
      </w:r>
      <w:r>
        <w:rPr>
          <w:spacing w:val="-5"/>
        </w:rPr>
        <w:t xml:space="preserve"> </w:t>
      </w:r>
      <w:r>
        <w:t>more</w:t>
      </w:r>
      <w:r>
        <w:rPr>
          <w:spacing w:val="-5"/>
        </w:rPr>
        <w:t xml:space="preserve"> </w:t>
      </w:r>
      <w:r>
        <w:t>hazard</w:t>
      </w:r>
      <w:r>
        <w:rPr>
          <w:spacing w:val="-5"/>
        </w:rPr>
        <w:t xml:space="preserve"> </w:t>
      </w:r>
      <w:r>
        <w:t>prone,</w:t>
      </w:r>
      <w:r>
        <w:rPr>
          <w:spacing w:val="-5"/>
        </w:rPr>
        <w:t xml:space="preserve"> </w:t>
      </w:r>
      <w:r>
        <w:t>not</w:t>
      </w:r>
      <w:r>
        <w:rPr>
          <w:spacing w:val="-5"/>
        </w:rPr>
        <w:t xml:space="preserve"> </w:t>
      </w:r>
      <w:r>
        <w:t>to</w:t>
      </w:r>
      <w:r>
        <w:rPr>
          <w:spacing w:val="-5"/>
        </w:rPr>
        <w:t xml:space="preserve"> </w:t>
      </w:r>
      <w:r>
        <w:t>mention</w:t>
      </w:r>
      <w:r>
        <w:rPr>
          <w:spacing w:val="-5"/>
        </w:rPr>
        <w:t xml:space="preserve"> </w:t>
      </w:r>
      <w:r>
        <w:t>their</w:t>
      </w:r>
      <w:r>
        <w:rPr>
          <w:spacing w:val="-5"/>
        </w:rPr>
        <w:t xml:space="preserve"> </w:t>
      </w:r>
      <w:r>
        <w:t>expiration dates.</w:t>
      </w:r>
      <w:r>
        <w:rPr>
          <w:spacing w:val="-6"/>
        </w:rPr>
        <w:t xml:space="preserve"> </w:t>
      </w:r>
      <w:r>
        <w:t>Consequently,</w:t>
      </w:r>
      <w:r>
        <w:rPr>
          <w:spacing w:val="-6"/>
        </w:rPr>
        <w:t xml:space="preserve"> </w:t>
      </w:r>
      <w:r>
        <w:t>as</w:t>
      </w:r>
      <w:r>
        <w:rPr>
          <w:spacing w:val="-6"/>
        </w:rPr>
        <w:t xml:space="preserve"> </w:t>
      </w:r>
      <w:r>
        <w:t>shown</w:t>
      </w:r>
      <w:r>
        <w:rPr>
          <w:spacing w:val="-6"/>
        </w:rPr>
        <w:t xml:space="preserve"> </w:t>
      </w:r>
      <w:r>
        <w:t>above,</w:t>
      </w:r>
      <w:r>
        <w:rPr>
          <w:spacing w:val="-6"/>
        </w:rPr>
        <w:t xml:space="preserve"> </w:t>
      </w:r>
      <w:r>
        <w:t>the</w:t>
      </w:r>
      <w:r>
        <w:rPr>
          <w:spacing w:val="-6"/>
        </w:rPr>
        <w:t xml:space="preserve"> </w:t>
      </w:r>
      <w:r>
        <w:t>report</w:t>
      </w:r>
      <w:r>
        <w:rPr>
          <w:spacing w:val="-6"/>
        </w:rPr>
        <w:t xml:space="preserve"> </w:t>
      </w:r>
      <w:r>
        <w:t>argues</w:t>
      </w:r>
      <w:r>
        <w:rPr>
          <w:spacing w:val="-6"/>
        </w:rPr>
        <w:t xml:space="preserve"> </w:t>
      </w:r>
      <w:r>
        <w:t>that</w:t>
      </w:r>
      <w:r>
        <w:rPr>
          <w:spacing w:val="-6"/>
        </w:rPr>
        <w:t xml:space="preserve"> </w:t>
      </w:r>
      <w:r>
        <w:t>there</w:t>
      </w:r>
      <w:r>
        <w:rPr>
          <w:spacing w:val="-6"/>
        </w:rPr>
        <w:t xml:space="preserve"> </w:t>
      </w:r>
      <w:r>
        <w:t>is</w:t>
      </w:r>
      <w:r>
        <w:rPr>
          <w:spacing w:val="-6"/>
        </w:rPr>
        <w:t xml:space="preserve"> </w:t>
      </w:r>
      <w:r>
        <w:t>a</w:t>
      </w:r>
      <w:r>
        <w:rPr>
          <w:spacing w:val="-6"/>
        </w:rPr>
        <w:t xml:space="preserve"> </w:t>
      </w:r>
      <w:r>
        <w:t>need</w:t>
      </w:r>
      <w:r>
        <w:rPr>
          <w:spacing w:val="-6"/>
        </w:rPr>
        <w:t xml:space="preserve"> </w:t>
      </w:r>
      <w:r>
        <w:t>to</w:t>
      </w:r>
      <w:r>
        <w:rPr>
          <w:spacing w:val="-6"/>
        </w:rPr>
        <w:t xml:space="preserve"> </w:t>
      </w:r>
      <w:r>
        <w:t xml:space="preserve">adopt a hybrid inventory management system in </w:t>
      </w:r>
      <w:proofErr w:type="spellStart"/>
      <w:r>
        <w:t>Brocksweir</w:t>
      </w:r>
      <w:proofErr w:type="spellEnd"/>
      <w:r>
        <w:t>. Sand should be closely controlled</w:t>
      </w:r>
      <w:r>
        <w:rPr>
          <w:spacing w:val="-2"/>
        </w:rPr>
        <w:t xml:space="preserve"> </w:t>
      </w:r>
      <w:r>
        <w:t>using</w:t>
      </w:r>
      <w:r>
        <w:rPr>
          <w:spacing w:val="-2"/>
        </w:rPr>
        <w:t xml:space="preserve"> </w:t>
      </w:r>
      <w:r>
        <w:t>min-max</w:t>
      </w:r>
      <w:r>
        <w:rPr>
          <w:spacing w:val="-2"/>
        </w:rPr>
        <w:t xml:space="preserve"> </w:t>
      </w:r>
      <w:r>
        <w:t>and</w:t>
      </w:r>
      <w:r>
        <w:rPr>
          <w:spacing w:val="-2"/>
        </w:rPr>
        <w:t xml:space="preserve"> </w:t>
      </w:r>
      <w:r>
        <w:t>EOQ-based</w:t>
      </w:r>
      <w:r>
        <w:rPr>
          <w:spacing w:val="-2"/>
        </w:rPr>
        <w:t xml:space="preserve"> </w:t>
      </w:r>
      <w:r>
        <w:t>materials</w:t>
      </w:r>
      <w:r>
        <w:rPr>
          <w:spacing w:val="-2"/>
        </w:rPr>
        <w:t xml:space="preserve"> </w:t>
      </w:r>
      <w:r>
        <w:t>management</w:t>
      </w:r>
      <w:r>
        <w:rPr>
          <w:spacing w:val="-2"/>
        </w:rPr>
        <w:t xml:space="preserve"> </w:t>
      </w:r>
      <w:r>
        <w:t>techniques,</w:t>
      </w:r>
      <w:r>
        <w:rPr>
          <w:spacing w:val="-2"/>
        </w:rPr>
        <w:t xml:space="preserve"> </w:t>
      </w:r>
      <w:r>
        <w:t>and</w:t>
      </w:r>
      <w:r>
        <w:rPr>
          <w:spacing w:val="-2"/>
        </w:rPr>
        <w:t xml:space="preserve"> </w:t>
      </w:r>
      <w:r>
        <w:t>at the</w:t>
      </w:r>
      <w:r>
        <w:rPr>
          <w:spacing w:val="-6"/>
        </w:rPr>
        <w:t xml:space="preserve"> </w:t>
      </w:r>
      <w:r>
        <w:t>same</w:t>
      </w:r>
      <w:r>
        <w:rPr>
          <w:spacing w:val="-6"/>
        </w:rPr>
        <w:t xml:space="preserve"> </w:t>
      </w:r>
      <w:r>
        <w:t>time,</w:t>
      </w:r>
      <w:r>
        <w:rPr>
          <w:spacing w:val="-6"/>
        </w:rPr>
        <w:t xml:space="preserve"> </w:t>
      </w:r>
      <w:r>
        <w:t>resin</w:t>
      </w:r>
      <w:r>
        <w:rPr>
          <w:spacing w:val="-6"/>
        </w:rPr>
        <w:t xml:space="preserve"> </w:t>
      </w:r>
      <w:r>
        <w:t>should</w:t>
      </w:r>
      <w:r>
        <w:rPr>
          <w:spacing w:val="-6"/>
        </w:rPr>
        <w:t xml:space="preserve"> </w:t>
      </w:r>
      <w:r>
        <w:t>be</w:t>
      </w:r>
      <w:r>
        <w:rPr>
          <w:spacing w:val="-6"/>
        </w:rPr>
        <w:t xml:space="preserve"> </w:t>
      </w:r>
      <w:r>
        <w:t>managed</w:t>
      </w:r>
      <w:r>
        <w:rPr>
          <w:spacing w:val="-6"/>
        </w:rPr>
        <w:t xml:space="preserve"> </w:t>
      </w:r>
      <w:r>
        <w:t>by</w:t>
      </w:r>
      <w:r>
        <w:rPr>
          <w:spacing w:val="-6"/>
        </w:rPr>
        <w:t xml:space="preserve"> </w:t>
      </w:r>
      <w:r>
        <w:t>using</w:t>
      </w:r>
      <w:r>
        <w:rPr>
          <w:spacing w:val="-6"/>
        </w:rPr>
        <w:t xml:space="preserve"> </w:t>
      </w:r>
      <w:r>
        <w:t>FEFO</w:t>
      </w:r>
      <w:r>
        <w:rPr>
          <w:spacing w:val="-6"/>
        </w:rPr>
        <w:t xml:space="preserve"> </w:t>
      </w:r>
      <w:r>
        <w:t>discipline,</w:t>
      </w:r>
      <w:r>
        <w:rPr>
          <w:spacing w:val="-6"/>
        </w:rPr>
        <w:t xml:space="preserve"> </w:t>
      </w:r>
      <w:r>
        <w:t>batching</w:t>
      </w:r>
      <w:r>
        <w:rPr>
          <w:spacing w:val="-6"/>
        </w:rPr>
        <w:t xml:space="preserve"> </w:t>
      </w:r>
      <w:r>
        <w:t xml:space="preserve">visibility, reduction of order quantity and better coordination of the suppliers (Slack, Brandon- Jones and Burgess, 2024; </w:t>
      </w:r>
      <w:proofErr w:type="spellStart"/>
      <w:r>
        <w:t>Asghari</w:t>
      </w:r>
      <w:proofErr w:type="spellEnd"/>
      <w:r>
        <w:t xml:space="preserve"> </w:t>
      </w:r>
      <w:r>
        <w:rPr>
          <w:rFonts w:ascii="Arial"/>
          <w:i/>
        </w:rPr>
        <w:t xml:space="preserve">et al., </w:t>
      </w:r>
      <w:r>
        <w:t xml:space="preserve">2026; Salas-Navarro </w:t>
      </w:r>
      <w:r>
        <w:rPr>
          <w:rFonts w:ascii="Arial"/>
          <w:i/>
        </w:rPr>
        <w:t xml:space="preserve">et al., </w:t>
      </w:r>
      <w:r>
        <w:t>2026). It also highlights the need for a structurally careful series of quarantine, verif</w:t>
      </w:r>
      <w:r>
        <w:t xml:space="preserve">ication, </w:t>
      </w:r>
      <w:proofErr w:type="spellStart"/>
      <w:r>
        <w:t>authorised</w:t>
      </w:r>
      <w:proofErr w:type="spellEnd"/>
      <w:r>
        <w:rPr>
          <w:spacing w:val="-17"/>
        </w:rPr>
        <w:t xml:space="preserve"> </w:t>
      </w:r>
      <w:r>
        <w:t>recovery</w:t>
      </w:r>
      <w:r>
        <w:rPr>
          <w:spacing w:val="-17"/>
        </w:rPr>
        <w:t xml:space="preserve"> </w:t>
      </w:r>
      <w:r>
        <w:t>screening</w:t>
      </w:r>
      <w:r>
        <w:rPr>
          <w:spacing w:val="-16"/>
        </w:rPr>
        <w:t xml:space="preserve"> </w:t>
      </w:r>
      <w:r>
        <w:t>and</w:t>
      </w:r>
      <w:r>
        <w:rPr>
          <w:spacing w:val="-17"/>
        </w:rPr>
        <w:t xml:space="preserve"> </w:t>
      </w:r>
      <w:proofErr w:type="spellStart"/>
      <w:r>
        <w:t>authorised</w:t>
      </w:r>
      <w:proofErr w:type="spellEnd"/>
      <w:r>
        <w:rPr>
          <w:spacing w:val="-17"/>
        </w:rPr>
        <w:t xml:space="preserve"> </w:t>
      </w:r>
      <w:r>
        <w:t>disposal</w:t>
      </w:r>
      <w:r>
        <w:rPr>
          <w:spacing w:val="-17"/>
        </w:rPr>
        <w:t xml:space="preserve"> </w:t>
      </w:r>
      <w:r>
        <w:t>(where</w:t>
      </w:r>
      <w:r>
        <w:rPr>
          <w:spacing w:val="-16"/>
        </w:rPr>
        <w:t xml:space="preserve"> </w:t>
      </w:r>
      <w:r>
        <w:t>there</w:t>
      </w:r>
      <w:r>
        <w:rPr>
          <w:spacing w:val="-17"/>
        </w:rPr>
        <w:t xml:space="preserve"> </w:t>
      </w:r>
      <w:r>
        <w:t>is</w:t>
      </w:r>
      <w:r>
        <w:rPr>
          <w:spacing w:val="-17"/>
        </w:rPr>
        <w:t xml:space="preserve"> </w:t>
      </w:r>
      <w:r>
        <w:t>a</w:t>
      </w:r>
      <w:r>
        <w:rPr>
          <w:spacing w:val="-16"/>
        </w:rPr>
        <w:t xml:space="preserve"> </w:t>
      </w:r>
      <w:r>
        <w:t>clear-cut</w:t>
      </w:r>
      <w:r>
        <w:rPr>
          <w:spacing w:val="-17"/>
        </w:rPr>
        <w:t xml:space="preserve"> </w:t>
      </w:r>
      <w:r>
        <w:t xml:space="preserve">safe alternative) of the current stock of obsolete resin stock in </w:t>
      </w:r>
      <w:proofErr w:type="gramStart"/>
      <w:r>
        <w:t>an</w:t>
      </w:r>
      <w:proofErr w:type="gramEnd"/>
      <w:r>
        <w:t xml:space="preserve"> "unique" category (Department for Environment, Food &amp; Rural Affairs, 2011; Environment Agency, 2</w:t>
      </w:r>
      <w:r>
        <w:t>024).</w:t>
      </w:r>
      <w:r>
        <w:rPr>
          <w:spacing w:val="-16"/>
        </w:rPr>
        <w:t xml:space="preserve"> </w:t>
      </w:r>
      <w:r>
        <w:t>Lastly,</w:t>
      </w:r>
      <w:r>
        <w:rPr>
          <w:spacing w:val="-16"/>
        </w:rPr>
        <w:t xml:space="preserve"> </w:t>
      </w:r>
      <w:proofErr w:type="spellStart"/>
      <w:r>
        <w:t>Brocksweir</w:t>
      </w:r>
      <w:proofErr w:type="spellEnd"/>
      <w:r>
        <w:rPr>
          <w:spacing w:val="-16"/>
        </w:rPr>
        <w:t xml:space="preserve"> </w:t>
      </w:r>
      <w:r>
        <w:t>will</w:t>
      </w:r>
      <w:r>
        <w:rPr>
          <w:spacing w:val="-16"/>
        </w:rPr>
        <w:t xml:space="preserve"> </w:t>
      </w:r>
      <w:r>
        <w:t>require</w:t>
      </w:r>
      <w:r>
        <w:rPr>
          <w:spacing w:val="-16"/>
        </w:rPr>
        <w:t xml:space="preserve"> </w:t>
      </w:r>
      <w:r>
        <w:t>all</w:t>
      </w:r>
      <w:r>
        <w:rPr>
          <w:spacing w:val="-16"/>
        </w:rPr>
        <w:t xml:space="preserve"> </w:t>
      </w:r>
      <w:r>
        <w:t>the</w:t>
      </w:r>
      <w:r>
        <w:rPr>
          <w:spacing w:val="-16"/>
        </w:rPr>
        <w:t xml:space="preserve"> </w:t>
      </w:r>
      <w:r>
        <w:t>lead-time</w:t>
      </w:r>
      <w:r>
        <w:rPr>
          <w:spacing w:val="-16"/>
        </w:rPr>
        <w:t xml:space="preserve"> </w:t>
      </w:r>
      <w:r>
        <w:t>information</w:t>
      </w:r>
      <w:r>
        <w:rPr>
          <w:spacing w:val="-16"/>
        </w:rPr>
        <w:t xml:space="preserve"> </w:t>
      </w:r>
      <w:r>
        <w:t>they</w:t>
      </w:r>
      <w:r>
        <w:rPr>
          <w:spacing w:val="-16"/>
        </w:rPr>
        <w:t xml:space="preserve"> </w:t>
      </w:r>
      <w:r>
        <w:t>could</w:t>
      </w:r>
      <w:r>
        <w:rPr>
          <w:spacing w:val="-16"/>
        </w:rPr>
        <w:t xml:space="preserve"> </w:t>
      </w:r>
      <w:r>
        <w:t>ever</w:t>
      </w:r>
      <w:r>
        <w:rPr>
          <w:spacing w:val="-16"/>
        </w:rPr>
        <w:t xml:space="preserve"> </w:t>
      </w:r>
      <w:r>
        <w:t>want about</w:t>
      </w:r>
      <w:r>
        <w:rPr>
          <w:spacing w:val="-2"/>
        </w:rPr>
        <w:t xml:space="preserve"> </w:t>
      </w:r>
      <w:r>
        <w:t>their</w:t>
      </w:r>
      <w:r>
        <w:rPr>
          <w:spacing w:val="-2"/>
        </w:rPr>
        <w:t xml:space="preserve"> </w:t>
      </w:r>
      <w:r>
        <w:t>suppliers,</w:t>
      </w:r>
      <w:r>
        <w:rPr>
          <w:spacing w:val="-2"/>
        </w:rPr>
        <w:t xml:space="preserve"> </w:t>
      </w:r>
      <w:r>
        <w:t>their</w:t>
      </w:r>
      <w:r>
        <w:rPr>
          <w:spacing w:val="-2"/>
        </w:rPr>
        <w:t xml:space="preserve"> </w:t>
      </w:r>
      <w:r>
        <w:t>stores,</w:t>
      </w:r>
      <w:r>
        <w:rPr>
          <w:spacing w:val="-2"/>
        </w:rPr>
        <w:t xml:space="preserve"> </w:t>
      </w:r>
      <w:r>
        <w:t>how</w:t>
      </w:r>
      <w:r>
        <w:rPr>
          <w:spacing w:val="-2"/>
        </w:rPr>
        <w:t xml:space="preserve"> </w:t>
      </w:r>
      <w:r>
        <w:t>stock</w:t>
      </w:r>
      <w:r>
        <w:rPr>
          <w:spacing w:val="-2"/>
        </w:rPr>
        <w:t xml:space="preserve"> </w:t>
      </w:r>
      <w:r>
        <w:t>flows</w:t>
      </w:r>
      <w:r>
        <w:rPr>
          <w:spacing w:val="-2"/>
        </w:rPr>
        <w:t xml:space="preserve"> </w:t>
      </w:r>
      <w:r>
        <w:t>into</w:t>
      </w:r>
      <w:r>
        <w:rPr>
          <w:spacing w:val="-2"/>
        </w:rPr>
        <w:t xml:space="preserve"> </w:t>
      </w:r>
      <w:r>
        <w:t>production</w:t>
      </w:r>
      <w:r>
        <w:rPr>
          <w:spacing w:val="-2"/>
        </w:rPr>
        <w:t xml:space="preserve"> </w:t>
      </w:r>
      <w:r>
        <w:t>and</w:t>
      </w:r>
      <w:r>
        <w:rPr>
          <w:spacing w:val="-2"/>
        </w:rPr>
        <w:t xml:space="preserve"> </w:t>
      </w:r>
      <w:r>
        <w:t>back</w:t>
      </w:r>
      <w:r>
        <w:rPr>
          <w:spacing w:val="-2"/>
        </w:rPr>
        <w:t xml:space="preserve"> </w:t>
      </w:r>
      <w:r>
        <w:t>again,</w:t>
      </w:r>
      <w:r>
        <w:rPr>
          <w:spacing w:val="-2"/>
        </w:rPr>
        <w:t xml:space="preserve"> </w:t>
      </w:r>
      <w:r>
        <w:t xml:space="preserve">so that they are made aware of the ageing risk before the stock becomes a waste. </w:t>
      </w:r>
      <w:proofErr w:type="spellStart"/>
      <w:r>
        <w:t>S</w:t>
      </w:r>
      <w:r>
        <w:t>tabilising</w:t>
      </w:r>
      <w:proofErr w:type="spellEnd"/>
      <w:r>
        <w:t xml:space="preserve"> batch control for resin and triaging obsolete batches while waiting for updated rules governing batch replenishment based on verified shelf-life and lead- time</w:t>
      </w:r>
      <w:r>
        <w:rPr>
          <w:spacing w:val="-4"/>
        </w:rPr>
        <w:t xml:space="preserve"> </w:t>
      </w:r>
      <w:r>
        <w:t>data</w:t>
      </w:r>
      <w:r>
        <w:rPr>
          <w:spacing w:val="-4"/>
        </w:rPr>
        <w:t xml:space="preserve"> </w:t>
      </w:r>
      <w:r>
        <w:t>should</w:t>
      </w:r>
      <w:r>
        <w:rPr>
          <w:spacing w:val="-4"/>
        </w:rPr>
        <w:t xml:space="preserve"> </w:t>
      </w:r>
      <w:r>
        <w:t>be</w:t>
      </w:r>
      <w:r>
        <w:rPr>
          <w:spacing w:val="-4"/>
        </w:rPr>
        <w:t xml:space="preserve"> </w:t>
      </w:r>
      <w:r>
        <w:t>the</w:t>
      </w:r>
      <w:r>
        <w:rPr>
          <w:spacing w:val="-4"/>
        </w:rPr>
        <w:t xml:space="preserve"> </w:t>
      </w:r>
      <w:r>
        <w:t>top</w:t>
      </w:r>
      <w:r>
        <w:rPr>
          <w:spacing w:val="-4"/>
        </w:rPr>
        <w:t xml:space="preserve"> </w:t>
      </w:r>
      <w:r>
        <w:t>priority</w:t>
      </w:r>
      <w:r>
        <w:rPr>
          <w:spacing w:val="-4"/>
        </w:rPr>
        <w:t xml:space="preserve"> </w:t>
      </w:r>
      <w:r>
        <w:t>for</w:t>
      </w:r>
      <w:r>
        <w:rPr>
          <w:spacing w:val="-4"/>
        </w:rPr>
        <w:t xml:space="preserve"> </w:t>
      </w:r>
      <w:r>
        <w:t>resin</w:t>
      </w:r>
      <w:r>
        <w:rPr>
          <w:spacing w:val="-4"/>
        </w:rPr>
        <w:t xml:space="preserve"> </w:t>
      </w:r>
      <w:r>
        <w:t>(</w:t>
      </w:r>
      <w:proofErr w:type="spellStart"/>
      <w:r>
        <w:t>Teriete</w:t>
      </w:r>
      <w:proofErr w:type="spellEnd"/>
      <w:r>
        <w:rPr>
          <w:spacing w:val="-4"/>
        </w:rPr>
        <w:t xml:space="preserve"> </w:t>
      </w:r>
      <w:r>
        <w:rPr>
          <w:rFonts w:ascii="Arial"/>
          <w:i/>
        </w:rPr>
        <w:t>et</w:t>
      </w:r>
      <w:r>
        <w:rPr>
          <w:rFonts w:ascii="Arial"/>
          <w:i/>
          <w:spacing w:val="-4"/>
        </w:rPr>
        <w:t xml:space="preserve"> </w:t>
      </w:r>
      <w:r>
        <w:rPr>
          <w:rFonts w:ascii="Arial"/>
          <w:i/>
        </w:rPr>
        <w:t>al.,</w:t>
      </w:r>
      <w:r>
        <w:rPr>
          <w:rFonts w:ascii="Arial"/>
          <w:i/>
          <w:spacing w:val="-4"/>
        </w:rPr>
        <w:t xml:space="preserve"> </w:t>
      </w:r>
      <w:r>
        <w:t>2026;</w:t>
      </w:r>
      <w:r>
        <w:rPr>
          <w:spacing w:val="-4"/>
        </w:rPr>
        <w:t xml:space="preserve"> </w:t>
      </w:r>
      <w:proofErr w:type="spellStart"/>
      <w:r>
        <w:t>Kalla</w:t>
      </w:r>
      <w:proofErr w:type="spellEnd"/>
      <w:r>
        <w:t>,</w:t>
      </w:r>
      <w:r>
        <w:rPr>
          <w:spacing w:val="-4"/>
        </w:rPr>
        <w:t xml:space="preserve"> </w:t>
      </w:r>
      <w:proofErr w:type="spellStart"/>
      <w:r>
        <w:t>Scavarda</w:t>
      </w:r>
      <w:proofErr w:type="spellEnd"/>
      <w:r>
        <w:rPr>
          <w:spacing w:val="-4"/>
        </w:rPr>
        <w:t xml:space="preserve"> </w:t>
      </w:r>
      <w:r>
        <w:t xml:space="preserve">and </w:t>
      </w:r>
      <w:proofErr w:type="spellStart"/>
      <w:r>
        <w:t>Hellingrath</w:t>
      </w:r>
      <w:proofErr w:type="spellEnd"/>
      <w:r>
        <w:t>, 2025).</w:t>
      </w:r>
    </w:p>
    <w:p w14:paraId="59FE32EC" w14:textId="77777777" w:rsidR="00122CE8" w:rsidRDefault="00122CE8">
      <w:pPr>
        <w:pStyle w:val="BodyText"/>
        <w:spacing w:line="360" w:lineRule="auto"/>
        <w:sectPr w:rsidR="00122CE8">
          <w:pgSz w:w="11910" w:h="16840"/>
          <w:pgMar w:top="1360" w:right="1275" w:bottom="1500" w:left="1417" w:header="0" w:footer="1308" w:gutter="0"/>
          <w:cols w:space="720"/>
        </w:sectPr>
      </w:pPr>
    </w:p>
    <w:p w14:paraId="07F47343" w14:textId="77777777" w:rsidR="00122CE8" w:rsidRDefault="00AC01CC">
      <w:pPr>
        <w:spacing w:before="64"/>
        <w:ind w:left="23"/>
        <w:rPr>
          <w:rFonts w:ascii="Arial"/>
          <w:b/>
          <w:sz w:val="32"/>
        </w:rPr>
      </w:pPr>
      <w:r>
        <w:rPr>
          <w:rFonts w:ascii="Arial"/>
          <w:b/>
          <w:sz w:val="32"/>
        </w:rPr>
        <w:lastRenderedPageBreak/>
        <w:t>Table</w:t>
      </w:r>
      <w:r>
        <w:rPr>
          <w:rFonts w:ascii="Arial"/>
          <w:b/>
          <w:spacing w:val="-5"/>
          <w:sz w:val="32"/>
        </w:rPr>
        <w:t xml:space="preserve"> </w:t>
      </w:r>
      <w:r>
        <w:rPr>
          <w:rFonts w:ascii="Arial"/>
          <w:b/>
          <w:sz w:val="32"/>
        </w:rPr>
        <w:t>of</w:t>
      </w:r>
      <w:r>
        <w:rPr>
          <w:rFonts w:ascii="Arial"/>
          <w:b/>
          <w:spacing w:val="-4"/>
          <w:sz w:val="32"/>
        </w:rPr>
        <w:t xml:space="preserve"> </w:t>
      </w:r>
      <w:r>
        <w:rPr>
          <w:rFonts w:ascii="Arial"/>
          <w:b/>
          <w:spacing w:val="-2"/>
          <w:sz w:val="32"/>
        </w:rPr>
        <w:t>Contents</w:t>
      </w:r>
    </w:p>
    <w:sdt>
      <w:sdtPr>
        <w:rPr>
          <w:rFonts w:ascii="Arial MT" w:eastAsia="Arial MT" w:hAnsi="Arial MT" w:cs="Arial MT"/>
          <w:sz w:val="22"/>
          <w:szCs w:val="22"/>
        </w:rPr>
        <w:id w:val="-1266845983"/>
        <w:docPartObj>
          <w:docPartGallery w:val="Table of Contents"/>
          <w:docPartUnique/>
        </w:docPartObj>
      </w:sdtPr>
      <w:sdtEndPr/>
      <w:sdtContent>
        <w:p w14:paraId="47F6778E" w14:textId="77777777" w:rsidR="00122CE8" w:rsidRDefault="00AC01CC">
          <w:pPr>
            <w:pStyle w:val="TOC1"/>
            <w:tabs>
              <w:tab w:val="right" w:leader="dot" w:pos="9038"/>
            </w:tabs>
            <w:spacing w:before="380"/>
            <w:ind w:left="23" w:firstLine="0"/>
          </w:pPr>
          <w:r>
            <w:fldChar w:fldCharType="begin"/>
          </w:r>
          <w:r>
            <w:instrText xml:space="preserve">TOC \o "1-2" \h \z \u </w:instrText>
          </w:r>
          <w:r>
            <w:fldChar w:fldCharType="separate"/>
          </w:r>
          <w:hyperlink w:anchor="_bookmark0" w:history="1">
            <w:r>
              <w:t>Executive</w:t>
            </w:r>
            <w:r>
              <w:rPr>
                <w:spacing w:val="-1"/>
              </w:rPr>
              <w:t xml:space="preserve"> </w:t>
            </w:r>
            <w:r>
              <w:rPr>
                <w:spacing w:val="-2"/>
              </w:rPr>
              <w:t>Summary</w:t>
            </w:r>
            <w:r>
              <w:rPr>
                <w:rFonts w:ascii="Times New Roman"/>
              </w:rPr>
              <w:tab/>
            </w:r>
            <w:r>
              <w:rPr>
                <w:spacing w:val="-10"/>
              </w:rPr>
              <w:t>2</w:t>
            </w:r>
          </w:hyperlink>
        </w:p>
        <w:p w14:paraId="55554E7D" w14:textId="77777777" w:rsidR="00122CE8" w:rsidRDefault="00AC01CC">
          <w:pPr>
            <w:pStyle w:val="TOC1"/>
            <w:numPr>
              <w:ilvl w:val="0"/>
              <w:numId w:val="5"/>
            </w:numPr>
            <w:tabs>
              <w:tab w:val="left" w:pos="256"/>
              <w:tab w:val="right" w:leader="dot" w:pos="9038"/>
            </w:tabs>
            <w:ind w:left="256" w:hanging="233"/>
          </w:pPr>
          <w:hyperlink w:anchor="_bookmark1" w:history="1">
            <w:r>
              <w:rPr>
                <w:spacing w:val="-2"/>
              </w:rPr>
              <w:t>Introduction</w:t>
            </w:r>
            <w:r>
              <w:rPr>
                <w:rFonts w:ascii="Times New Roman"/>
              </w:rPr>
              <w:tab/>
            </w:r>
            <w:r>
              <w:rPr>
                <w:spacing w:val="-10"/>
              </w:rPr>
              <w:t>4</w:t>
            </w:r>
          </w:hyperlink>
        </w:p>
        <w:p w14:paraId="44B0EB53" w14:textId="77777777" w:rsidR="00122CE8" w:rsidRDefault="00AC01CC">
          <w:pPr>
            <w:pStyle w:val="TOC1"/>
            <w:numPr>
              <w:ilvl w:val="0"/>
              <w:numId w:val="5"/>
            </w:numPr>
            <w:tabs>
              <w:tab w:val="left" w:pos="256"/>
              <w:tab w:val="right" w:leader="dot" w:pos="9038"/>
            </w:tabs>
            <w:ind w:left="256" w:hanging="233"/>
          </w:pPr>
          <w:hyperlink w:anchor="_bookmark2" w:history="1">
            <w:r>
              <w:t>Managing</w:t>
            </w:r>
            <w:r>
              <w:rPr>
                <w:spacing w:val="-3"/>
              </w:rPr>
              <w:t xml:space="preserve"> </w:t>
            </w:r>
            <w:r>
              <w:t>Sand</w:t>
            </w:r>
            <w:r>
              <w:rPr>
                <w:spacing w:val="-3"/>
              </w:rPr>
              <w:t xml:space="preserve"> </w:t>
            </w:r>
            <w:r>
              <w:t>and</w:t>
            </w:r>
            <w:r>
              <w:rPr>
                <w:spacing w:val="-3"/>
              </w:rPr>
              <w:t xml:space="preserve"> </w:t>
            </w:r>
            <w:r>
              <w:t>Resin</w:t>
            </w:r>
            <w:r>
              <w:rPr>
                <w:spacing w:val="-3"/>
              </w:rPr>
              <w:t xml:space="preserve"> </w:t>
            </w:r>
            <w:r>
              <w:t>Inventory</w:t>
            </w:r>
            <w:r>
              <w:rPr>
                <w:spacing w:val="-3"/>
              </w:rPr>
              <w:t xml:space="preserve"> </w:t>
            </w:r>
            <w:r>
              <w:rPr>
                <w:spacing w:val="-2"/>
              </w:rPr>
              <w:t>Better</w:t>
            </w:r>
            <w:r>
              <w:rPr>
                <w:rFonts w:ascii="Times New Roman"/>
              </w:rPr>
              <w:tab/>
            </w:r>
            <w:r>
              <w:rPr>
                <w:spacing w:val="-10"/>
              </w:rPr>
              <w:t>5</w:t>
            </w:r>
          </w:hyperlink>
        </w:p>
        <w:p w14:paraId="5240A7CB" w14:textId="77777777" w:rsidR="00122CE8" w:rsidRDefault="00AC01CC">
          <w:pPr>
            <w:pStyle w:val="TOC2"/>
            <w:numPr>
              <w:ilvl w:val="1"/>
              <w:numId w:val="5"/>
            </w:numPr>
            <w:tabs>
              <w:tab w:val="left" w:pos="598"/>
              <w:tab w:val="right" w:leader="dot" w:pos="9039"/>
            </w:tabs>
            <w:spacing w:before="117"/>
            <w:ind w:left="598" w:hanging="335"/>
          </w:pPr>
          <w:hyperlink w:anchor="_bookmark3" w:history="1">
            <w:r>
              <w:t>Diagnose</w:t>
            </w:r>
            <w:r>
              <w:rPr>
                <w:spacing w:val="-8"/>
              </w:rPr>
              <w:t xml:space="preserve"> </w:t>
            </w:r>
            <w:r>
              <w:t>why</w:t>
            </w:r>
            <w:r>
              <w:rPr>
                <w:spacing w:val="-6"/>
              </w:rPr>
              <w:t xml:space="preserve"> </w:t>
            </w:r>
            <w:r>
              <w:t>the</w:t>
            </w:r>
            <w:r>
              <w:rPr>
                <w:spacing w:val="-6"/>
              </w:rPr>
              <w:t xml:space="preserve"> </w:t>
            </w:r>
            <w:r>
              <w:t>current</w:t>
            </w:r>
            <w:r>
              <w:rPr>
                <w:spacing w:val="-5"/>
              </w:rPr>
              <w:t xml:space="preserve"> </w:t>
            </w:r>
            <w:r>
              <w:t>inventory</w:t>
            </w:r>
            <w:r>
              <w:rPr>
                <w:spacing w:val="-6"/>
              </w:rPr>
              <w:t xml:space="preserve"> </w:t>
            </w:r>
            <w:r>
              <w:t>approach</w:t>
            </w:r>
            <w:r>
              <w:rPr>
                <w:spacing w:val="-6"/>
              </w:rPr>
              <w:t xml:space="preserve"> </w:t>
            </w:r>
            <w:r>
              <w:t>is</w:t>
            </w:r>
            <w:r>
              <w:rPr>
                <w:spacing w:val="-5"/>
              </w:rPr>
              <w:t xml:space="preserve"> </w:t>
            </w:r>
            <w:r>
              <w:rPr>
                <w:spacing w:val="-2"/>
              </w:rPr>
              <w:t>failing</w:t>
            </w:r>
            <w:r>
              <w:rPr>
                <w:rFonts w:ascii="Times New Roman"/>
              </w:rPr>
              <w:tab/>
            </w:r>
            <w:r>
              <w:rPr>
                <w:spacing w:val="-10"/>
              </w:rPr>
              <w:t>5</w:t>
            </w:r>
          </w:hyperlink>
        </w:p>
        <w:p w14:paraId="1571EC04" w14:textId="77777777" w:rsidR="00122CE8" w:rsidRDefault="00AC01CC">
          <w:pPr>
            <w:pStyle w:val="TOC2"/>
            <w:numPr>
              <w:ilvl w:val="1"/>
              <w:numId w:val="5"/>
            </w:numPr>
            <w:tabs>
              <w:tab w:val="left" w:pos="598"/>
              <w:tab w:val="right" w:leader="dot" w:pos="9039"/>
            </w:tabs>
            <w:ind w:left="598" w:hanging="335"/>
          </w:pPr>
          <w:hyperlink w:anchor="_bookmark4" w:history="1">
            <w:r>
              <w:t>Evaluate</w:t>
            </w:r>
            <w:r>
              <w:rPr>
                <w:spacing w:val="-7"/>
              </w:rPr>
              <w:t xml:space="preserve"> </w:t>
            </w:r>
            <w:r>
              <w:t>the</w:t>
            </w:r>
            <w:r>
              <w:rPr>
                <w:spacing w:val="-7"/>
              </w:rPr>
              <w:t xml:space="preserve"> </w:t>
            </w:r>
            <w:r>
              <w:t>candidate</w:t>
            </w:r>
            <w:r>
              <w:rPr>
                <w:spacing w:val="-7"/>
              </w:rPr>
              <w:t xml:space="preserve"> </w:t>
            </w:r>
            <w:r>
              <w:t>control</w:t>
            </w:r>
            <w:r>
              <w:rPr>
                <w:spacing w:val="-6"/>
              </w:rPr>
              <w:t xml:space="preserve"> </w:t>
            </w:r>
            <w:r>
              <w:rPr>
                <w:spacing w:val="-2"/>
              </w:rPr>
              <w:t>tools</w:t>
            </w:r>
            <w:r>
              <w:rPr>
                <w:rFonts w:ascii="Times New Roman"/>
              </w:rPr>
              <w:tab/>
            </w:r>
            <w:r>
              <w:rPr>
                <w:spacing w:val="-10"/>
              </w:rPr>
              <w:t>5</w:t>
            </w:r>
          </w:hyperlink>
        </w:p>
        <w:p w14:paraId="4E78240D" w14:textId="77777777" w:rsidR="00122CE8" w:rsidRDefault="00AC01CC">
          <w:pPr>
            <w:pStyle w:val="TOC2"/>
            <w:numPr>
              <w:ilvl w:val="1"/>
              <w:numId w:val="5"/>
            </w:numPr>
            <w:tabs>
              <w:tab w:val="left" w:pos="598"/>
              <w:tab w:val="right" w:leader="dot" w:pos="9039"/>
            </w:tabs>
            <w:spacing w:before="122"/>
            <w:ind w:left="598" w:hanging="335"/>
          </w:pPr>
          <w:hyperlink w:anchor="_bookmark5" w:history="1">
            <w:r>
              <w:t>Recommended</w:t>
            </w:r>
            <w:r>
              <w:rPr>
                <w:spacing w:val="-9"/>
              </w:rPr>
              <w:t xml:space="preserve"> </w:t>
            </w:r>
            <w:r>
              <w:t>inventory</w:t>
            </w:r>
            <w:r>
              <w:rPr>
                <w:spacing w:val="-9"/>
              </w:rPr>
              <w:t xml:space="preserve"> </w:t>
            </w:r>
            <w:r>
              <w:t>architecture</w:t>
            </w:r>
            <w:r>
              <w:rPr>
                <w:spacing w:val="-9"/>
              </w:rPr>
              <w:t xml:space="preserve"> </w:t>
            </w:r>
            <w:r>
              <w:t>for</w:t>
            </w:r>
            <w:r>
              <w:rPr>
                <w:spacing w:val="-8"/>
              </w:rPr>
              <w:t xml:space="preserve"> </w:t>
            </w:r>
            <w:r>
              <w:rPr>
                <w:spacing w:val="-2"/>
              </w:rPr>
              <w:t>Brocksweir</w:t>
            </w:r>
            <w:r>
              <w:rPr>
                <w:rFonts w:ascii="Times New Roman"/>
              </w:rPr>
              <w:tab/>
            </w:r>
            <w:r>
              <w:rPr>
                <w:spacing w:val="-10"/>
              </w:rPr>
              <w:t>7</w:t>
            </w:r>
          </w:hyperlink>
        </w:p>
        <w:p w14:paraId="720BF550" w14:textId="77777777" w:rsidR="00122CE8" w:rsidRDefault="00AC01CC">
          <w:pPr>
            <w:pStyle w:val="TOC1"/>
            <w:numPr>
              <w:ilvl w:val="0"/>
              <w:numId w:val="5"/>
            </w:numPr>
            <w:tabs>
              <w:tab w:val="left" w:pos="256"/>
              <w:tab w:val="right" w:leader="dot" w:pos="9038"/>
            </w:tabs>
            <w:spacing w:before="116"/>
            <w:ind w:left="256" w:hanging="233"/>
          </w:pPr>
          <w:hyperlink w:anchor="_bookmark6" w:history="1">
            <w:r>
              <w:t>Options</w:t>
            </w:r>
            <w:r>
              <w:rPr>
                <w:spacing w:val="-2"/>
              </w:rPr>
              <w:t xml:space="preserve"> </w:t>
            </w:r>
            <w:r>
              <w:t>for</w:t>
            </w:r>
            <w:r>
              <w:rPr>
                <w:spacing w:val="-1"/>
              </w:rPr>
              <w:t xml:space="preserve"> </w:t>
            </w:r>
            <w:r>
              <w:t>Dealing</w:t>
            </w:r>
            <w:r>
              <w:rPr>
                <w:spacing w:val="-2"/>
              </w:rPr>
              <w:t xml:space="preserve"> </w:t>
            </w:r>
            <w:r>
              <w:t>with</w:t>
            </w:r>
            <w:r>
              <w:rPr>
                <w:spacing w:val="-1"/>
              </w:rPr>
              <w:t xml:space="preserve"> </w:t>
            </w:r>
            <w:r>
              <w:t>the</w:t>
            </w:r>
            <w:r>
              <w:rPr>
                <w:spacing w:val="-2"/>
              </w:rPr>
              <w:t xml:space="preserve"> </w:t>
            </w:r>
            <w:r>
              <w:t>Obsolete</w:t>
            </w:r>
            <w:r>
              <w:rPr>
                <w:spacing w:val="-1"/>
              </w:rPr>
              <w:t xml:space="preserve"> </w:t>
            </w:r>
            <w:r>
              <w:rPr>
                <w:spacing w:val="-2"/>
              </w:rPr>
              <w:t>Stock</w:t>
            </w:r>
            <w:r>
              <w:rPr>
                <w:rFonts w:ascii="Times New Roman"/>
              </w:rPr>
              <w:tab/>
            </w:r>
            <w:r>
              <w:rPr>
                <w:spacing w:val="-10"/>
              </w:rPr>
              <w:t>9</w:t>
            </w:r>
          </w:hyperlink>
        </w:p>
        <w:p w14:paraId="4FCF0229" w14:textId="77777777" w:rsidR="00122CE8" w:rsidRDefault="00AC01CC">
          <w:pPr>
            <w:pStyle w:val="TOC2"/>
            <w:numPr>
              <w:ilvl w:val="1"/>
              <w:numId w:val="5"/>
            </w:numPr>
            <w:tabs>
              <w:tab w:val="left" w:pos="598"/>
              <w:tab w:val="right" w:leader="dot" w:pos="9039"/>
            </w:tabs>
            <w:spacing w:before="122"/>
            <w:ind w:left="598" w:hanging="335"/>
          </w:pPr>
          <w:hyperlink w:anchor="_bookmark7" w:history="1">
            <w:r>
              <w:t>Define</w:t>
            </w:r>
            <w:r>
              <w:rPr>
                <w:spacing w:val="-8"/>
              </w:rPr>
              <w:t xml:space="preserve"> </w:t>
            </w:r>
            <w:r>
              <w:t>the</w:t>
            </w:r>
            <w:r>
              <w:rPr>
                <w:spacing w:val="-7"/>
              </w:rPr>
              <w:t xml:space="preserve"> </w:t>
            </w:r>
            <w:r>
              <w:t>obsolete-stock</w:t>
            </w:r>
            <w:r>
              <w:rPr>
                <w:spacing w:val="-8"/>
              </w:rPr>
              <w:t xml:space="preserve"> </w:t>
            </w:r>
            <w:r>
              <w:t>decision</w:t>
            </w:r>
            <w:r>
              <w:rPr>
                <w:spacing w:val="-7"/>
              </w:rPr>
              <w:t xml:space="preserve"> </w:t>
            </w:r>
            <w:r>
              <w:rPr>
                <w:spacing w:val="-2"/>
              </w:rPr>
              <w:t>problem</w:t>
            </w:r>
            <w:r>
              <w:rPr>
                <w:rFonts w:ascii="Times New Roman"/>
              </w:rPr>
              <w:tab/>
            </w:r>
            <w:r>
              <w:rPr>
                <w:spacing w:val="-10"/>
              </w:rPr>
              <w:t>9</w:t>
            </w:r>
          </w:hyperlink>
        </w:p>
        <w:p w14:paraId="5392C1B9" w14:textId="77777777" w:rsidR="00122CE8" w:rsidRDefault="00AC01CC">
          <w:pPr>
            <w:pStyle w:val="TOC2"/>
            <w:numPr>
              <w:ilvl w:val="1"/>
              <w:numId w:val="5"/>
            </w:numPr>
            <w:tabs>
              <w:tab w:val="left" w:pos="598"/>
              <w:tab w:val="right" w:leader="dot" w:pos="9039"/>
            </w:tabs>
            <w:ind w:left="598" w:hanging="335"/>
          </w:pPr>
          <w:hyperlink w:anchor="_bookmark8" w:history="1">
            <w:r>
              <w:t>Critically</w:t>
            </w:r>
            <w:r>
              <w:rPr>
                <w:spacing w:val="-8"/>
              </w:rPr>
              <w:t xml:space="preserve"> </w:t>
            </w:r>
            <w:r>
              <w:t>analyse</w:t>
            </w:r>
            <w:r>
              <w:rPr>
                <w:spacing w:val="-7"/>
              </w:rPr>
              <w:t xml:space="preserve"> </w:t>
            </w:r>
            <w:r>
              <w:t>the</w:t>
            </w:r>
            <w:r>
              <w:rPr>
                <w:spacing w:val="-7"/>
              </w:rPr>
              <w:t xml:space="preserve"> </w:t>
            </w:r>
            <w:r>
              <w:t>available</w:t>
            </w:r>
            <w:r>
              <w:rPr>
                <w:spacing w:val="-7"/>
              </w:rPr>
              <w:t xml:space="preserve"> </w:t>
            </w:r>
            <w:r>
              <w:rPr>
                <w:spacing w:val="-2"/>
              </w:rPr>
              <w:t>options</w:t>
            </w:r>
            <w:r>
              <w:rPr>
                <w:rFonts w:ascii="Times New Roman"/>
              </w:rPr>
              <w:tab/>
            </w:r>
            <w:r>
              <w:rPr>
                <w:spacing w:val="-10"/>
              </w:rPr>
              <w:t>9</w:t>
            </w:r>
          </w:hyperlink>
        </w:p>
        <w:p w14:paraId="401EC673" w14:textId="77777777" w:rsidR="00122CE8" w:rsidRDefault="00AC01CC">
          <w:pPr>
            <w:pStyle w:val="TOC2"/>
            <w:numPr>
              <w:ilvl w:val="1"/>
              <w:numId w:val="5"/>
            </w:numPr>
            <w:tabs>
              <w:tab w:val="left" w:pos="598"/>
              <w:tab w:val="right" w:leader="dot" w:pos="9038"/>
            </w:tabs>
            <w:ind w:left="598" w:hanging="335"/>
          </w:pPr>
          <w:hyperlink w:anchor="_bookmark9" w:history="1">
            <w:r>
              <w:t>Recommended</w:t>
            </w:r>
            <w:r>
              <w:rPr>
                <w:spacing w:val="-9"/>
              </w:rPr>
              <w:t xml:space="preserve"> </w:t>
            </w:r>
            <w:r>
              <w:t>option</w:t>
            </w:r>
            <w:r>
              <w:rPr>
                <w:spacing w:val="-8"/>
              </w:rPr>
              <w:t xml:space="preserve"> </w:t>
            </w:r>
            <w:r>
              <w:rPr>
                <w:spacing w:val="-2"/>
              </w:rPr>
              <w:t>hierarchy</w:t>
            </w:r>
            <w:r>
              <w:rPr>
                <w:rFonts w:ascii="Times New Roman"/>
              </w:rPr>
              <w:tab/>
            </w:r>
            <w:r>
              <w:rPr>
                <w:spacing w:val="-5"/>
              </w:rPr>
              <w:t>12</w:t>
            </w:r>
          </w:hyperlink>
        </w:p>
        <w:p w14:paraId="77B0075C" w14:textId="77777777" w:rsidR="00122CE8" w:rsidRDefault="00AC01CC">
          <w:pPr>
            <w:pStyle w:val="TOC1"/>
            <w:numPr>
              <w:ilvl w:val="0"/>
              <w:numId w:val="5"/>
            </w:numPr>
            <w:tabs>
              <w:tab w:val="left" w:pos="257"/>
              <w:tab w:val="right" w:leader="dot" w:pos="9038"/>
            </w:tabs>
            <w:spacing w:before="117"/>
            <w:ind w:hanging="234"/>
          </w:pPr>
          <w:hyperlink w:anchor="_bookmark10" w:history="1">
            <w:r>
              <w:t>Understanding</w:t>
            </w:r>
            <w:r>
              <w:rPr>
                <w:spacing w:val="-2"/>
              </w:rPr>
              <w:t xml:space="preserve"> </w:t>
            </w:r>
            <w:r>
              <w:t>Lead Time Across the</w:t>
            </w:r>
            <w:r>
              <w:rPr>
                <w:spacing w:val="-1"/>
              </w:rPr>
              <w:t xml:space="preserve"> </w:t>
            </w:r>
            <w:r>
              <w:t xml:space="preserve">Business and Extended </w:t>
            </w:r>
            <w:r>
              <w:rPr>
                <w:spacing w:val="-2"/>
              </w:rPr>
              <w:t>Enterprise</w:t>
            </w:r>
            <w:r>
              <w:rPr>
                <w:rFonts w:ascii="Times New Roman"/>
              </w:rPr>
              <w:tab/>
            </w:r>
            <w:r>
              <w:rPr>
                <w:spacing w:val="-5"/>
              </w:rPr>
              <w:t>13</w:t>
            </w:r>
          </w:hyperlink>
        </w:p>
        <w:p w14:paraId="37174F9B" w14:textId="77777777" w:rsidR="00122CE8" w:rsidRDefault="00AC01CC">
          <w:pPr>
            <w:pStyle w:val="TOC2"/>
            <w:numPr>
              <w:ilvl w:val="1"/>
              <w:numId w:val="5"/>
            </w:numPr>
            <w:tabs>
              <w:tab w:val="left" w:pos="598"/>
              <w:tab w:val="right" w:leader="dot" w:pos="9038"/>
            </w:tabs>
            <w:spacing w:before="122"/>
            <w:ind w:left="598" w:hanging="335"/>
          </w:pPr>
          <w:hyperlink w:anchor="_bookmark11" w:history="1">
            <w:r>
              <w:t>Identify</w:t>
            </w:r>
            <w:r>
              <w:rPr>
                <w:spacing w:val="-8"/>
              </w:rPr>
              <w:t xml:space="preserve"> </w:t>
            </w:r>
            <w:r>
              <w:t>the</w:t>
            </w:r>
            <w:r>
              <w:rPr>
                <w:spacing w:val="-5"/>
              </w:rPr>
              <w:t xml:space="preserve"> </w:t>
            </w:r>
            <w:r>
              <w:t>blind</w:t>
            </w:r>
            <w:r>
              <w:rPr>
                <w:spacing w:val="-5"/>
              </w:rPr>
              <w:t xml:space="preserve"> </w:t>
            </w:r>
            <w:r>
              <w:t>spots</w:t>
            </w:r>
            <w:r>
              <w:rPr>
                <w:spacing w:val="-6"/>
              </w:rPr>
              <w:t xml:space="preserve"> </w:t>
            </w:r>
            <w:r>
              <w:t>in</w:t>
            </w:r>
            <w:r>
              <w:rPr>
                <w:spacing w:val="-5"/>
              </w:rPr>
              <w:t xml:space="preserve"> </w:t>
            </w:r>
            <w:r>
              <w:t>current</w:t>
            </w:r>
            <w:r>
              <w:rPr>
                <w:spacing w:val="-5"/>
              </w:rPr>
              <w:t xml:space="preserve"> </w:t>
            </w:r>
            <w:r>
              <w:t>lead-time</w:t>
            </w:r>
            <w:r>
              <w:rPr>
                <w:spacing w:val="-5"/>
              </w:rPr>
              <w:t xml:space="preserve"> </w:t>
            </w:r>
            <w:r>
              <w:rPr>
                <w:spacing w:val="-2"/>
              </w:rPr>
              <w:t>understanding</w:t>
            </w:r>
            <w:r>
              <w:rPr>
                <w:rFonts w:ascii="Times New Roman"/>
              </w:rPr>
              <w:tab/>
            </w:r>
            <w:r>
              <w:rPr>
                <w:spacing w:val="-5"/>
              </w:rPr>
              <w:t>13</w:t>
            </w:r>
          </w:hyperlink>
        </w:p>
        <w:p w14:paraId="1455B877" w14:textId="77777777" w:rsidR="00122CE8" w:rsidRDefault="00AC01CC">
          <w:pPr>
            <w:pStyle w:val="TOC2"/>
            <w:numPr>
              <w:ilvl w:val="1"/>
              <w:numId w:val="5"/>
            </w:numPr>
            <w:tabs>
              <w:tab w:val="left" w:pos="598"/>
              <w:tab w:val="right" w:leader="dot" w:pos="9038"/>
            </w:tabs>
            <w:ind w:left="598" w:hanging="335"/>
          </w:pPr>
          <w:hyperlink w:anchor="_bookmark12" w:history="1">
            <w:r>
              <w:t>Evaluate</w:t>
            </w:r>
            <w:r>
              <w:rPr>
                <w:spacing w:val="-7"/>
              </w:rPr>
              <w:t xml:space="preserve"> </w:t>
            </w:r>
            <w:r>
              <w:t>the</w:t>
            </w:r>
            <w:r>
              <w:rPr>
                <w:spacing w:val="-7"/>
              </w:rPr>
              <w:t xml:space="preserve"> </w:t>
            </w:r>
            <w:r>
              <w:t>measures</w:t>
            </w:r>
            <w:r>
              <w:rPr>
                <w:spacing w:val="-7"/>
              </w:rPr>
              <w:t xml:space="preserve"> </w:t>
            </w:r>
            <w:r>
              <w:t>Brocksweir</w:t>
            </w:r>
            <w:r>
              <w:rPr>
                <w:spacing w:val="-7"/>
              </w:rPr>
              <w:t xml:space="preserve"> </w:t>
            </w:r>
            <w:r>
              <w:t>should</w:t>
            </w:r>
            <w:r>
              <w:rPr>
                <w:spacing w:val="-7"/>
              </w:rPr>
              <w:t xml:space="preserve"> </w:t>
            </w:r>
            <w:r>
              <w:rPr>
                <w:spacing w:val="-4"/>
              </w:rPr>
              <w:t>take</w:t>
            </w:r>
            <w:r>
              <w:rPr>
                <w:rFonts w:ascii="Times New Roman"/>
              </w:rPr>
              <w:tab/>
            </w:r>
            <w:r>
              <w:rPr>
                <w:spacing w:val="-5"/>
              </w:rPr>
              <w:t>13</w:t>
            </w:r>
          </w:hyperlink>
        </w:p>
        <w:p w14:paraId="379267D3" w14:textId="77777777" w:rsidR="00122CE8" w:rsidRDefault="00AC01CC">
          <w:pPr>
            <w:pStyle w:val="TOC2"/>
            <w:numPr>
              <w:ilvl w:val="1"/>
              <w:numId w:val="5"/>
            </w:numPr>
            <w:tabs>
              <w:tab w:val="left" w:pos="598"/>
              <w:tab w:val="right" w:leader="dot" w:pos="9038"/>
            </w:tabs>
            <w:spacing w:before="116"/>
            <w:ind w:left="598" w:hanging="335"/>
          </w:pPr>
          <w:hyperlink w:anchor="_bookmark13" w:history="1">
            <w:r>
              <w:t>Recommended</w:t>
            </w:r>
            <w:r>
              <w:rPr>
                <w:spacing w:val="-11"/>
              </w:rPr>
              <w:t xml:space="preserve"> </w:t>
            </w:r>
            <w:r>
              <w:t>governance</w:t>
            </w:r>
            <w:r>
              <w:rPr>
                <w:spacing w:val="-10"/>
              </w:rPr>
              <w:t xml:space="preserve"> </w:t>
            </w:r>
            <w:r>
              <w:rPr>
                <w:spacing w:val="-2"/>
              </w:rPr>
              <w:t>model</w:t>
            </w:r>
            <w:r>
              <w:rPr>
                <w:rFonts w:ascii="Times New Roman"/>
              </w:rPr>
              <w:tab/>
            </w:r>
            <w:r>
              <w:rPr>
                <w:spacing w:val="-5"/>
              </w:rPr>
              <w:t>17</w:t>
            </w:r>
          </w:hyperlink>
        </w:p>
        <w:p w14:paraId="06A5E525" w14:textId="77777777" w:rsidR="00122CE8" w:rsidRDefault="00AC01CC">
          <w:pPr>
            <w:pStyle w:val="TOC1"/>
            <w:numPr>
              <w:ilvl w:val="0"/>
              <w:numId w:val="5"/>
            </w:numPr>
            <w:tabs>
              <w:tab w:val="left" w:pos="257"/>
              <w:tab w:val="right" w:leader="dot" w:pos="9038"/>
            </w:tabs>
            <w:ind w:hanging="234"/>
          </w:pPr>
          <w:hyperlink w:anchor="_bookmark14" w:history="1">
            <w:r>
              <w:t xml:space="preserve">Integrated Recommendations and </w:t>
            </w:r>
            <w:r>
              <w:rPr>
                <w:spacing w:val="-2"/>
              </w:rPr>
              <w:t>Conclusion</w:t>
            </w:r>
            <w:r>
              <w:rPr>
                <w:rFonts w:ascii="Times New Roman"/>
              </w:rPr>
              <w:tab/>
            </w:r>
            <w:r>
              <w:rPr>
                <w:spacing w:val="-5"/>
              </w:rPr>
              <w:t>18</w:t>
            </w:r>
          </w:hyperlink>
        </w:p>
        <w:p w14:paraId="2554679A" w14:textId="77777777" w:rsidR="00122CE8" w:rsidRDefault="00AC01CC">
          <w:pPr>
            <w:pStyle w:val="TOC1"/>
            <w:tabs>
              <w:tab w:val="right" w:leader="dot" w:pos="9038"/>
            </w:tabs>
            <w:ind w:left="23" w:firstLine="0"/>
          </w:pPr>
          <w:hyperlink w:anchor="_bookmark15" w:history="1">
            <w:r>
              <w:rPr>
                <w:spacing w:val="-2"/>
              </w:rPr>
              <w:t>References</w:t>
            </w:r>
            <w:r>
              <w:rPr>
                <w:rFonts w:ascii="Times New Roman"/>
              </w:rPr>
              <w:tab/>
            </w:r>
            <w:r>
              <w:rPr>
                <w:spacing w:val="-5"/>
              </w:rPr>
              <w:t>19</w:t>
            </w:r>
          </w:hyperlink>
        </w:p>
        <w:p w14:paraId="32174A66" w14:textId="77777777" w:rsidR="00122CE8" w:rsidRDefault="00AC01CC">
          <w:r>
            <w:fldChar w:fldCharType="end"/>
          </w:r>
        </w:p>
      </w:sdtContent>
    </w:sdt>
    <w:p w14:paraId="428E0186" w14:textId="77777777" w:rsidR="00122CE8" w:rsidRDefault="00122CE8">
      <w:pPr>
        <w:sectPr w:rsidR="00122CE8">
          <w:pgSz w:w="11910" w:h="16840"/>
          <w:pgMar w:top="1360" w:right="1275" w:bottom="1500" w:left="1417" w:header="0" w:footer="1308" w:gutter="0"/>
          <w:cols w:space="720"/>
        </w:sectPr>
      </w:pPr>
    </w:p>
    <w:p w14:paraId="5CDD3CAE" w14:textId="77777777" w:rsidR="00122CE8" w:rsidRDefault="00AC01CC">
      <w:pPr>
        <w:pStyle w:val="Heading1"/>
        <w:numPr>
          <w:ilvl w:val="0"/>
          <w:numId w:val="4"/>
        </w:numPr>
        <w:tabs>
          <w:tab w:val="left" w:pos="378"/>
        </w:tabs>
        <w:ind w:hanging="355"/>
      </w:pPr>
      <w:bookmarkStart w:id="1" w:name="_bookmark1"/>
      <w:bookmarkEnd w:id="1"/>
      <w:r>
        <w:rPr>
          <w:spacing w:val="-2"/>
        </w:rPr>
        <w:lastRenderedPageBreak/>
        <w:t>Introduction</w:t>
      </w:r>
    </w:p>
    <w:p w14:paraId="2E6DD899" w14:textId="77777777" w:rsidR="00122CE8" w:rsidRDefault="00122CE8">
      <w:pPr>
        <w:pStyle w:val="BodyText"/>
        <w:spacing w:before="54"/>
        <w:ind w:left="0" w:right="0"/>
        <w:jc w:val="left"/>
        <w:rPr>
          <w:rFonts w:ascii="Arial"/>
          <w:b/>
          <w:sz w:val="32"/>
        </w:rPr>
      </w:pPr>
    </w:p>
    <w:p w14:paraId="471B22F3" w14:textId="77777777" w:rsidR="00122CE8" w:rsidRDefault="00AC01CC">
      <w:pPr>
        <w:pStyle w:val="BodyText"/>
        <w:spacing w:line="360" w:lineRule="auto"/>
      </w:pPr>
      <w:proofErr w:type="spellStart"/>
      <w:r>
        <w:t>Brocksweir</w:t>
      </w:r>
      <w:proofErr w:type="spellEnd"/>
      <w:r>
        <w:rPr>
          <w:spacing w:val="-17"/>
        </w:rPr>
        <w:t xml:space="preserve"> </w:t>
      </w:r>
      <w:r>
        <w:t>Engineering</w:t>
      </w:r>
      <w:r>
        <w:rPr>
          <w:spacing w:val="-17"/>
        </w:rPr>
        <w:t xml:space="preserve"> </w:t>
      </w:r>
      <w:r>
        <w:t>Ltd</w:t>
      </w:r>
      <w:r>
        <w:rPr>
          <w:spacing w:val="-16"/>
        </w:rPr>
        <w:t xml:space="preserve"> </w:t>
      </w:r>
      <w:r>
        <w:t>faces</w:t>
      </w:r>
      <w:r>
        <w:rPr>
          <w:spacing w:val="-17"/>
        </w:rPr>
        <w:t xml:space="preserve"> </w:t>
      </w:r>
      <w:r>
        <w:t>a</w:t>
      </w:r>
      <w:r>
        <w:rPr>
          <w:spacing w:val="-17"/>
        </w:rPr>
        <w:t xml:space="preserve"> </w:t>
      </w:r>
      <w:r>
        <w:t>significant</w:t>
      </w:r>
      <w:r>
        <w:rPr>
          <w:spacing w:val="-17"/>
        </w:rPr>
        <w:t xml:space="preserve"> </w:t>
      </w:r>
      <w:r>
        <w:t>operational</w:t>
      </w:r>
      <w:r>
        <w:rPr>
          <w:spacing w:val="-16"/>
        </w:rPr>
        <w:t xml:space="preserve"> </w:t>
      </w:r>
      <w:r>
        <w:t>problem.</w:t>
      </w:r>
      <w:r>
        <w:rPr>
          <w:spacing w:val="-17"/>
        </w:rPr>
        <w:t xml:space="preserve"> </w:t>
      </w:r>
      <w:r>
        <w:t>They've</w:t>
      </w:r>
      <w:r>
        <w:rPr>
          <w:spacing w:val="-17"/>
        </w:rPr>
        <w:t xml:space="preserve"> </w:t>
      </w:r>
      <w:r>
        <w:t>seen</w:t>
      </w:r>
      <w:r>
        <w:rPr>
          <w:spacing w:val="-16"/>
        </w:rPr>
        <w:t xml:space="preserve"> </w:t>
      </w:r>
      <w:r>
        <w:t>poor inventory</w:t>
      </w:r>
      <w:r>
        <w:rPr>
          <w:spacing w:val="-2"/>
        </w:rPr>
        <w:t xml:space="preserve"> </w:t>
      </w:r>
      <w:r>
        <w:t>discipline,</w:t>
      </w:r>
      <w:r>
        <w:rPr>
          <w:spacing w:val="-2"/>
        </w:rPr>
        <w:t xml:space="preserve"> </w:t>
      </w:r>
      <w:r>
        <w:t>more</w:t>
      </w:r>
      <w:r>
        <w:rPr>
          <w:spacing w:val="-2"/>
        </w:rPr>
        <w:t xml:space="preserve"> </w:t>
      </w:r>
      <w:r>
        <w:t>than</w:t>
      </w:r>
      <w:r>
        <w:rPr>
          <w:spacing w:val="-2"/>
        </w:rPr>
        <w:t xml:space="preserve"> </w:t>
      </w:r>
      <w:r>
        <w:t>£20,000</w:t>
      </w:r>
      <w:r>
        <w:rPr>
          <w:spacing w:val="-2"/>
        </w:rPr>
        <w:t xml:space="preserve"> </w:t>
      </w:r>
      <w:r>
        <w:t>of</w:t>
      </w:r>
      <w:r>
        <w:rPr>
          <w:spacing w:val="-2"/>
        </w:rPr>
        <w:t xml:space="preserve"> </w:t>
      </w:r>
      <w:r>
        <w:t>resin</w:t>
      </w:r>
      <w:r>
        <w:rPr>
          <w:spacing w:val="-2"/>
        </w:rPr>
        <w:t xml:space="preserve"> </w:t>
      </w:r>
      <w:r>
        <w:t>has</w:t>
      </w:r>
      <w:r>
        <w:rPr>
          <w:spacing w:val="-2"/>
        </w:rPr>
        <w:t xml:space="preserve"> </w:t>
      </w:r>
      <w:r>
        <w:t>passed</w:t>
      </w:r>
      <w:r>
        <w:rPr>
          <w:spacing w:val="-2"/>
        </w:rPr>
        <w:t xml:space="preserve"> </w:t>
      </w:r>
      <w:r>
        <w:t>its</w:t>
      </w:r>
      <w:r>
        <w:rPr>
          <w:spacing w:val="-2"/>
        </w:rPr>
        <w:t xml:space="preserve"> </w:t>
      </w:r>
      <w:r>
        <w:t>shelf</w:t>
      </w:r>
      <w:r>
        <w:rPr>
          <w:spacing w:val="-2"/>
        </w:rPr>
        <w:t xml:space="preserve"> </w:t>
      </w:r>
      <w:r>
        <w:t>life</w:t>
      </w:r>
      <w:r>
        <w:rPr>
          <w:spacing w:val="-2"/>
        </w:rPr>
        <w:t xml:space="preserve"> </w:t>
      </w:r>
      <w:r>
        <w:t>and</w:t>
      </w:r>
      <w:r>
        <w:rPr>
          <w:spacing w:val="-2"/>
        </w:rPr>
        <w:t xml:space="preserve"> </w:t>
      </w:r>
      <w:r>
        <w:t>rising</w:t>
      </w:r>
      <w:r>
        <w:rPr>
          <w:spacing w:val="-2"/>
        </w:rPr>
        <w:t xml:space="preserve"> </w:t>
      </w:r>
      <w:r>
        <w:t xml:space="preserve">on the disposal costs when the demand for sand has increased. In that context, buying can only be made based on the total economic impact. In that context, there is only one way to buy judgment: the total impact of the economy. They also need to be </w:t>
      </w:r>
      <w:r>
        <w:t>evaluated</w:t>
      </w:r>
      <w:r>
        <w:rPr>
          <w:spacing w:val="-1"/>
        </w:rPr>
        <w:t xml:space="preserve"> </w:t>
      </w:r>
      <w:r>
        <w:t>in</w:t>
      </w:r>
      <w:r>
        <w:rPr>
          <w:spacing w:val="-1"/>
        </w:rPr>
        <w:t xml:space="preserve"> </w:t>
      </w:r>
      <w:r>
        <w:t>terms</w:t>
      </w:r>
      <w:r>
        <w:rPr>
          <w:spacing w:val="-1"/>
        </w:rPr>
        <w:t xml:space="preserve"> </w:t>
      </w:r>
      <w:r>
        <w:t>of</w:t>
      </w:r>
      <w:r>
        <w:rPr>
          <w:spacing w:val="-1"/>
        </w:rPr>
        <w:t xml:space="preserve"> </w:t>
      </w:r>
      <w:r>
        <w:t>their</w:t>
      </w:r>
      <w:r>
        <w:rPr>
          <w:spacing w:val="-1"/>
        </w:rPr>
        <w:t xml:space="preserve"> </w:t>
      </w:r>
      <w:r>
        <w:t>impact</w:t>
      </w:r>
      <w:r>
        <w:rPr>
          <w:spacing w:val="-1"/>
        </w:rPr>
        <w:t xml:space="preserve"> </w:t>
      </w:r>
      <w:r>
        <w:t>on</w:t>
      </w:r>
      <w:r>
        <w:rPr>
          <w:spacing w:val="-1"/>
        </w:rPr>
        <w:t xml:space="preserve"> </w:t>
      </w:r>
      <w:r>
        <w:t>wastefulness,</w:t>
      </w:r>
      <w:r>
        <w:rPr>
          <w:spacing w:val="-1"/>
        </w:rPr>
        <w:t xml:space="preserve"> </w:t>
      </w:r>
      <w:r>
        <w:t>working</w:t>
      </w:r>
      <w:r>
        <w:rPr>
          <w:spacing w:val="-1"/>
        </w:rPr>
        <w:t xml:space="preserve"> </w:t>
      </w:r>
      <w:r>
        <w:t>capital,</w:t>
      </w:r>
      <w:r>
        <w:rPr>
          <w:spacing w:val="-1"/>
        </w:rPr>
        <w:t xml:space="preserve"> </w:t>
      </w:r>
      <w:r>
        <w:t>service</w:t>
      </w:r>
      <w:r>
        <w:rPr>
          <w:spacing w:val="-1"/>
        </w:rPr>
        <w:t xml:space="preserve"> </w:t>
      </w:r>
      <w:r>
        <w:t>reliability, compliance</w:t>
      </w:r>
      <w:r>
        <w:rPr>
          <w:spacing w:val="-13"/>
        </w:rPr>
        <w:t xml:space="preserve"> </w:t>
      </w:r>
      <w:r>
        <w:t>risk</w:t>
      </w:r>
      <w:r>
        <w:rPr>
          <w:spacing w:val="-13"/>
        </w:rPr>
        <w:t xml:space="preserve"> </w:t>
      </w:r>
      <w:r>
        <w:t>and</w:t>
      </w:r>
      <w:r>
        <w:rPr>
          <w:spacing w:val="-13"/>
        </w:rPr>
        <w:t xml:space="preserve"> </w:t>
      </w:r>
      <w:r>
        <w:t>environmental</w:t>
      </w:r>
      <w:r>
        <w:rPr>
          <w:spacing w:val="-13"/>
        </w:rPr>
        <w:t xml:space="preserve"> </w:t>
      </w:r>
      <w:r>
        <w:t>impact</w:t>
      </w:r>
      <w:r>
        <w:rPr>
          <w:spacing w:val="-13"/>
        </w:rPr>
        <w:t xml:space="preserve"> </w:t>
      </w:r>
      <w:r>
        <w:t>(Slack,</w:t>
      </w:r>
      <w:r>
        <w:rPr>
          <w:spacing w:val="-13"/>
        </w:rPr>
        <w:t xml:space="preserve"> </w:t>
      </w:r>
      <w:r>
        <w:t>Brandon-Jones</w:t>
      </w:r>
      <w:r>
        <w:rPr>
          <w:spacing w:val="-13"/>
        </w:rPr>
        <w:t xml:space="preserve"> </w:t>
      </w:r>
      <w:r>
        <w:t>and</w:t>
      </w:r>
      <w:r>
        <w:rPr>
          <w:spacing w:val="-13"/>
        </w:rPr>
        <w:t xml:space="preserve"> </w:t>
      </w:r>
      <w:r>
        <w:t>Burgess,</w:t>
      </w:r>
      <w:r>
        <w:rPr>
          <w:spacing w:val="-13"/>
        </w:rPr>
        <w:t xml:space="preserve"> </w:t>
      </w:r>
      <w:r>
        <w:t>2024; Department for Environment, Food &amp; Rural Affairs, 2011).</w:t>
      </w:r>
    </w:p>
    <w:p w14:paraId="7718950C" w14:textId="77777777" w:rsidR="00122CE8" w:rsidRDefault="00AC01CC">
      <w:pPr>
        <w:pStyle w:val="BodyText"/>
        <w:spacing w:before="240" w:line="360" w:lineRule="auto"/>
      </w:pPr>
      <w:r>
        <w:t xml:space="preserve">This report looks at </w:t>
      </w:r>
      <w:proofErr w:type="spellStart"/>
      <w:r>
        <w:t>Brocksweir's</w:t>
      </w:r>
      <w:proofErr w:type="spellEnd"/>
      <w:r>
        <w:t xml:space="preserve"> issue from an operations sustainability perspective, applying inventory-control theory, waste-tracking principles and end-to-end lead time analysis to compare </w:t>
      </w:r>
      <w:r>
        <w:t>choices on sustainability factors such as cost, compliance, service</w:t>
      </w:r>
      <w:r>
        <w:rPr>
          <w:spacing w:val="-16"/>
        </w:rPr>
        <w:t xml:space="preserve"> </w:t>
      </w:r>
      <w:r>
        <w:t>reliability,</w:t>
      </w:r>
      <w:r>
        <w:rPr>
          <w:spacing w:val="-16"/>
        </w:rPr>
        <w:t xml:space="preserve"> </w:t>
      </w:r>
      <w:r>
        <w:t>and</w:t>
      </w:r>
      <w:r>
        <w:rPr>
          <w:spacing w:val="-16"/>
        </w:rPr>
        <w:t xml:space="preserve"> </w:t>
      </w:r>
      <w:r>
        <w:t>environmental</w:t>
      </w:r>
      <w:r>
        <w:rPr>
          <w:spacing w:val="-16"/>
        </w:rPr>
        <w:t xml:space="preserve"> </w:t>
      </w:r>
      <w:r>
        <w:t>considerations.</w:t>
      </w:r>
      <w:r>
        <w:rPr>
          <w:spacing w:val="-16"/>
        </w:rPr>
        <w:t xml:space="preserve"> </w:t>
      </w:r>
      <w:r>
        <w:t>It</w:t>
      </w:r>
      <w:r>
        <w:rPr>
          <w:spacing w:val="-16"/>
        </w:rPr>
        <w:t xml:space="preserve"> </w:t>
      </w:r>
      <w:r>
        <w:t>starts</w:t>
      </w:r>
      <w:r>
        <w:rPr>
          <w:spacing w:val="-16"/>
        </w:rPr>
        <w:t xml:space="preserve"> </w:t>
      </w:r>
      <w:r>
        <w:t>with</w:t>
      </w:r>
      <w:r>
        <w:rPr>
          <w:spacing w:val="-16"/>
        </w:rPr>
        <w:t xml:space="preserve"> </w:t>
      </w:r>
      <w:r>
        <w:t>looking</w:t>
      </w:r>
      <w:r>
        <w:rPr>
          <w:spacing w:val="-16"/>
        </w:rPr>
        <w:t xml:space="preserve"> </w:t>
      </w:r>
      <w:r>
        <w:t>at</w:t>
      </w:r>
      <w:r>
        <w:rPr>
          <w:spacing w:val="-16"/>
        </w:rPr>
        <w:t xml:space="preserve"> </w:t>
      </w:r>
      <w:r>
        <w:t>controlling inventory of sand and resin, then explores the tools which are available for dealing with obsolete stoc</w:t>
      </w:r>
      <w:r>
        <w:t>k, and finally considers how lead time should be understood throughout the business and extended enterprise.</w:t>
      </w:r>
    </w:p>
    <w:p w14:paraId="051AE639" w14:textId="77777777" w:rsidR="00122CE8" w:rsidRDefault="00122CE8">
      <w:pPr>
        <w:pStyle w:val="BodyText"/>
        <w:spacing w:line="360" w:lineRule="auto"/>
        <w:sectPr w:rsidR="00122CE8">
          <w:pgSz w:w="11910" w:h="16840"/>
          <w:pgMar w:top="1360" w:right="1275" w:bottom="1500" w:left="1417" w:header="0" w:footer="1308" w:gutter="0"/>
          <w:cols w:space="720"/>
        </w:sectPr>
      </w:pPr>
    </w:p>
    <w:p w14:paraId="73FECBBB" w14:textId="77777777" w:rsidR="00122CE8" w:rsidRDefault="00AC01CC">
      <w:pPr>
        <w:pStyle w:val="Heading1"/>
        <w:numPr>
          <w:ilvl w:val="0"/>
          <w:numId w:val="4"/>
        </w:numPr>
        <w:tabs>
          <w:tab w:val="left" w:pos="378"/>
        </w:tabs>
        <w:ind w:hanging="355"/>
      </w:pPr>
      <w:bookmarkStart w:id="2" w:name="_bookmark2"/>
      <w:bookmarkEnd w:id="2"/>
      <w:r>
        <w:lastRenderedPageBreak/>
        <w:t>Managing</w:t>
      </w:r>
      <w:r>
        <w:rPr>
          <w:spacing w:val="-11"/>
        </w:rPr>
        <w:t xml:space="preserve"> </w:t>
      </w:r>
      <w:r>
        <w:t>Sand</w:t>
      </w:r>
      <w:r>
        <w:rPr>
          <w:spacing w:val="-9"/>
        </w:rPr>
        <w:t xml:space="preserve"> </w:t>
      </w:r>
      <w:r>
        <w:t>and</w:t>
      </w:r>
      <w:r>
        <w:rPr>
          <w:spacing w:val="-9"/>
        </w:rPr>
        <w:t xml:space="preserve"> </w:t>
      </w:r>
      <w:r>
        <w:t>Resin</w:t>
      </w:r>
      <w:r>
        <w:rPr>
          <w:spacing w:val="-9"/>
        </w:rPr>
        <w:t xml:space="preserve"> </w:t>
      </w:r>
      <w:r>
        <w:t>Inventory</w:t>
      </w:r>
      <w:r>
        <w:rPr>
          <w:spacing w:val="-8"/>
        </w:rPr>
        <w:t xml:space="preserve"> </w:t>
      </w:r>
      <w:r>
        <w:rPr>
          <w:spacing w:val="-2"/>
        </w:rPr>
        <w:t>Better</w:t>
      </w:r>
    </w:p>
    <w:p w14:paraId="10DAB986" w14:textId="77777777" w:rsidR="00122CE8" w:rsidRDefault="00122CE8">
      <w:pPr>
        <w:pStyle w:val="BodyText"/>
        <w:spacing w:before="98"/>
        <w:ind w:left="0" w:right="0"/>
        <w:jc w:val="left"/>
        <w:rPr>
          <w:rFonts w:ascii="Arial"/>
          <w:b/>
          <w:sz w:val="32"/>
        </w:rPr>
      </w:pPr>
    </w:p>
    <w:p w14:paraId="320C156F" w14:textId="77777777" w:rsidR="00122CE8" w:rsidRDefault="00AC01CC">
      <w:pPr>
        <w:pStyle w:val="Heading2"/>
        <w:numPr>
          <w:ilvl w:val="1"/>
          <w:numId w:val="4"/>
        </w:numPr>
        <w:tabs>
          <w:tab w:val="left" w:pos="487"/>
        </w:tabs>
        <w:ind w:left="487" w:hanging="464"/>
      </w:pPr>
      <w:bookmarkStart w:id="3" w:name="_bookmark3"/>
      <w:bookmarkEnd w:id="3"/>
      <w:r>
        <w:t>Diagnose</w:t>
      </w:r>
      <w:r>
        <w:rPr>
          <w:spacing w:val="-9"/>
        </w:rPr>
        <w:t xml:space="preserve"> </w:t>
      </w:r>
      <w:r>
        <w:t>why</w:t>
      </w:r>
      <w:r>
        <w:rPr>
          <w:spacing w:val="-8"/>
        </w:rPr>
        <w:t xml:space="preserve"> </w:t>
      </w:r>
      <w:r>
        <w:t>the</w:t>
      </w:r>
      <w:r>
        <w:rPr>
          <w:spacing w:val="-8"/>
        </w:rPr>
        <w:t xml:space="preserve"> </w:t>
      </w:r>
      <w:r>
        <w:t>current</w:t>
      </w:r>
      <w:r>
        <w:rPr>
          <w:spacing w:val="-8"/>
        </w:rPr>
        <w:t xml:space="preserve"> </w:t>
      </w:r>
      <w:r>
        <w:t>inventory</w:t>
      </w:r>
      <w:r>
        <w:rPr>
          <w:spacing w:val="-9"/>
        </w:rPr>
        <w:t xml:space="preserve"> </w:t>
      </w:r>
      <w:r>
        <w:t>approach</w:t>
      </w:r>
      <w:r>
        <w:rPr>
          <w:spacing w:val="-8"/>
        </w:rPr>
        <w:t xml:space="preserve"> </w:t>
      </w:r>
      <w:r>
        <w:t>is</w:t>
      </w:r>
      <w:r>
        <w:rPr>
          <w:spacing w:val="-8"/>
        </w:rPr>
        <w:t xml:space="preserve"> </w:t>
      </w:r>
      <w:r>
        <w:rPr>
          <w:spacing w:val="-2"/>
        </w:rPr>
        <w:t>failing</w:t>
      </w:r>
    </w:p>
    <w:p w14:paraId="149F0F4E" w14:textId="77777777" w:rsidR="00122CE8" w:rsidRDefault="00122CE8">
      <w:pPr>
        <w:pStyle w:val="BodyText"/>
        <w:spacing w:before="75"/>
        <w:ind w:left="0" w:right="0"/>
        <w:jc w:val="left"/>
        <w:rPr>
          <w:rFonts w:ascii="Arial"/>
          <w:b/>
          <w:sz w:val="28"/>
        </w:rPr>
      </w:pPr>
    </w:p>
    <w:p w14:paraId="351ADDDB" w14:textId="77777777" w:rsidR="00122CE8" w:rsidRDefault="00AC01CC">
      <w:pPr>
        <w:pStyle w:val="BodyText"/>
        <w:spacing w:line="360" w:lineRule="auto"/>
      </w:pPr>
      <w:r>
        <w:t>The initial failure mode is thinking in one-size-fits-all policies. Demand has increased from</w:t>
      </w:r>
      <w:r>
        <w:rPr>
          <w:spacing w:val="-3"/>
        </w:rPr>
        <w:t xml:space="preserve"> </w:t>
      </w:r>
      <w:r>
        <w:t>the</w:t>
      </w:r>
      <w:r>
        <w:rPr>
          <w:spacing w:val="-3"/>
        </w:rPr>
        <w:t xml:space="preserve"> </w:t>
      </w:r>
      <w:r>
        <w:t>foundry</w:t>
      </w:r>
      <w:r>
        <w:rPr>
          <w:spacing w:val="-3"/>
        </w:rPr>
        <w:t xml:space="preserve"> </w:t>
      </w:r>
      <w:r>
        <w:t>market,</w:t>
      </w:r>
      <w:r>
        <w:rPr>
          <w:spacing w:val="-3"/>
        </w:rPr>
        <w:t xml:space="preserve"> </w:t>
      </w:r>
      <w:r>
        <w:t>while</w:t>
      </w:r>
      <w:r>
        <w:rPr>
          <w:spacing w:val="-3"/>
        </w:rPr>
        <w:t xml:space="preserve"> </w:t>
      </w:r>
      <w:r>
        <w:t>resin</w:t>
      </w:r>
      <w:r>
        <w:rPr>
          <w:spacing w:val="-3"/>
        </w:rPr>
        <w:t xml:space="preserve"> </w:t>
      </w:r>
      <w:r>
        <w:t>has</w:t>
      </w:r>
      <w:r>
        <w:rPr>
          <w:spacing w:val="-3"/>
        </w:rPr>
        <w:t xml:space="preserve"> </w:t>
      </w:r>
      <w:r>
        <w:t>expired</w:t>
      </w:r>
      <w:r>
        <w:rPr>
          <w:spacing w:val="-3"/>
        </w:rPr>
        <w:t xml:space="preserve"> </w:t>
      </w:r>
      <w:r>
        <w:t>in</w:t>
      </w:r>
      <w:r>
        <w:rPr>
          <w:spacing w:val="-3"/>
        </w:rPr>
        <w:t xml:space="preserve"> </w:t>
      </w:r>
      <w:r>
        <w:t>stock,</w:t>
      </w:r>
      <w:r>
        <w:rPr>
          <w:spacing w:val="-3"/>
        </w:rPr>
        <w:t xml:space="preserve"> </w:t>
      </w:r>
      <w:r>
        <w:t>implying</w:t>
      </w:r>
      <w:r>
        <w:rPr>
          <w:spacing w:val="-3"/>
        </w:rPr>
        <w:t xml:space="preserve"> </w:t>
      </w:r>
      <w:r>
        <w:t>that</w:t>
      </w:r>
      <w:r>
        <w:rPr>
          <w:spacing w:val="-3"/>
        </w:rPr>
        <w:t xml:space="preserve"> </w:t>
      </w:r>
      <w:r>
        <w:t>there</w:t>
      </w:r>
      <w:r>
        <w:rPr>
          <w:spacing w:val="-3"/>
        </w:rPr>
        <w:t xml:space="preserve"> </w:t>
      </w:r>
      <w:r>
        <w:t>is</w:t>
      </w:r>
      <w:r>
        <w:rPr>
          <w:spacing w:val="-3"/>
        </w:rPr>
        <w:t xml:space="preserve"> </w:t>
      </w:r>
      <w:r>
        <w:t>a</w:t>
      </w:r>
      <w:r>
        <w:rPr>
          <w:spacing w:val="-3"/>
        </w:rPr>
        <w:t xml:space="preserve"> </w:t>
      </w:r>
      <w:r>
        <w:t>lack of alignment between purchase, stock maintenance, issuance discipline and revi</w:t>
      </w:r>
      <w:r>
        <w:t>ew frequency. The authors of this paper argue the importance based on deteriorating inventory</w:t>
      </w:r>
      <w:r>
        <w:rPr>
          <w:spacing w:val="-8"/>
        </w:rPr>
        <w:t xml:space="preserve"> </w:t>
      </w:r>
      <w:r>
        <w:t>research.</w:t>
      </w:r>
      <w:r>
        <w:rPr>
          <w:spacing w:val="-8"/>
        </w:rPr>
        <w:t xml:space="preserve"> </w:t>
      </w:r>
      <w:r>
        <w:t>While</w:t>
      </w:r>
      <w:r>
        <w:rPr>
          <w:spacing w:val="-8"/>
        </w:rPr>
        <w:t xml:space="preserve"> </w:t>
      </w:r>
      <w:r>
        <w:t>sand,</w:t>
      </w:r>
      <w:r>
        <w:rPr>
          <w:spacing w:val="-8"/>
        </w:rPr>
        <w:t xml:space="preserve"> </w:t>
      </w:r>
      <w:r>
        <w:t>known</w:t>
      </w:r>
      <w:r>
        <w:rPr>
          <w:spacing w:val="-8"/>
        </w:rPr>
        <w:t xml:space="preserve"> </w:t>
      </w:r>
      <w:r>
        <w:t>as</w:t>
      </w:r>
      <w:r>
        <w:rPr>
          <w:spacing w:val="-8"/>
        </w:rPr>
        <w:t xml:space="preserve"> </w:t>
      </w:r>
      <w:r>
        <w:t>an</w:t>
      </w:r>
      <w:r>
        <w:rPr>
          <w:spacing w:val="-8"/>
        </w:rPr>
        <w:t xml:space="preserve"> </w:t>
      </w:r>
      <w:r>
        <w:t>inert</w:t>
      </w:r>
      <w:r>
        <w:rPr>
          <w:spacing w:val="-8"/>
        </w:rPr>
        <w:t xml:space="preserve"> </w:t>
      </w:r>
      <w:r>
        <w:t>material,</w:t>
      </w:r>
      <w:r>
        <w:rPr>
          <w:spacing w:val="-8"/>
        </w:rPr>
        <w:t xml:space="preserve"> </w:t>
      </w:r>
      <w:r>
        <w:t>can</w:t>
      </w:r>
      <w:r>
        <w:rPr>
          <w:spacing w:val="-8"/>
        </w:rPr>
        <w:t xml:space="preserve"> </w:t>
      </w:r>
      <w:r>
        <w:t>be</w:t>
      </w:r>
      <w:r>
        <w:rPr>
          <w:spacing w:val="-8"/>
        </w:rPr>
        <w:t xml:space="preserve"> </w:t>
      </w:r>
      <w:r>
        <w:t>managed</w:t>
      </w:r>
      <w:r>
        <w:rPr>
          <w:spacing w:val="-8"/>
        </w:rPr>
        <w:t xml:space="preserve"> </w:t>
      </w:r>
      <w:r>
        <w:t>similarly to a non-deteriorating inventory, the replenishment logic for stability-sensitive chemi</w:t>
      </w:r>
      <w:r>
        <w:t>cals must be different, since the deterioration of the inventory itself reduces value (</w:t>
      </w:r>
      <w:proofErr w:type="spellStart"/>
      <w:r>
        <w:t>Asghari</w:t>
      </w:r>
      <w:proofErr w:type="spellEnd"/>
      <w:r>
        <w:t xml:space="preserve"> </w:t>
      </w:r>
      <w:r>
        <w:rPr>
          <w:rFonts w:ascii="Arial"/>
          <w:i/>
        </w:rPr>
        <w:t xml:space="preserve">et al., </w:t>
      </w:r>
      <w:r>
        <w:t>2026). A similar finding is offered by the multi-criteria classification research, which demonstrates that, in addition to annual usage value, lead time,</w:t>
      </w:r>
      <w:r>
        <w:t xml:space="preserve"> durability, ordering cost, and criticality have to be considered (</w:t>
      </w:r>
      <w:proofErr w:type="spellStart"/>
      <w:r>
        <w:t>Soylu</w:t>
      </w:r>
      <w:proofErr w:type="spellEnd"/>
      <w:r>
        <w:t xml:space="preserve"> and Akyol, 2014). Purchase price is not the only factor for </w:t>
      </w:r>
      <w:proofErr w:type="spellStart"/>
      <w:r>
        <w:t>Brocksweir</w:t>
      </w:r>
      <w:proofErr w:type="spellEnd"/>
      <w:r>
        <w:t xml:space="preserve"> to consider when deciding on stocks.</w:t>
      </w:r>
    </w:p>
    <w:p w14:paraId="62BDEF13" w14:textId="77777777" w:rsidR="00122CE8" w:rsidRDefault="00122CE8">
      <w:pPr>
        <w:pStyle w:val="BodyText"/>
        <w:spacing w:before="4"/>
        <w:ind w:left="0" w:right="0"/>
        <w:jc w:val="left"/>
      </w:pPr>
    </w:p>
    <w:p w14:paraId="2B89A7E9" w14:textId="77777777" w:rsidR="00122CE8" w:rsidRDefault="00AC01CC">
      <w:pPr>
        <w:pStyle w:val="Heading2"/>
        <w:numPr>
          <w:ilvl w:val="1"/>
          <w:numId w:val="4"/>
        </w:numPr>
        <w:tabs>
          <w:tab w:val="left" w:pos="487"/>
        </w:tabs>
        <w:ind w:left="487" w:hanging="464"/>
      </w:pPr>
      <w:bookmarkStart w:id="4" w:name="_bookmark4"/>
      <w:bookmarkEnd w:id="4"/>
      <w:r>
        <w:t>Evaluate</w:t>
      </w:r>
      <w:r>
        <w:rPr>
          <w:spacing w:val="-10"/>
        </w:rPr>
        <w:t xml:space="preserve"> </w:t>
      </w:r>
      <w:r>
        <w:t>the</w:t>
      </w:r>
      <w:r>
        <w:rPr>
          <w:spacing w:val="-9"/>
        </w:rPr>
        <w:t xml:space="preserve"> </w:t>
      </w:r>
      <w:r>
        <w:t>candidate</w:t>
      </w:r>
      <w:r>
        <w:rPr>
          <w:spacing w:val="-9"/>
        </w:rPr>
        <w:t xml:space="preserve"> </w:t>
      </w:r>
      <w:r>
        <w:t>control</w:t>
      </w:r>
      <w:r>
        <w:rPr>
          <w:spacing w:val="-10"/>
        </w:rPr>
        <w:t xml:space="preserve"> </w:t>
      </w:r>
      <w:r>
        <w:rPr>
          <w:spacing w:val="-2"/>
        </w:rPr>
        <w:t>tools</w:t>
      </w:r>
    </w:p>
    <w:p w14:paraId="5AFB60B9" w14:textId="77777777" w:rsidR="00122CE8" w:rsidRDefault="00122CE8">
      <w:pPr>
        <w:pStyle w:val="BodyText"/>
        <w:spacing w:before="80"/>
        <w:ind w:left="0" w:right="0"/>
        <w:jc w:val="left"/>
        <w:rPr>
          <w:rFonts w:ascii="Arial"/>
          <w:b/>
          <w:sz w:val="28"/>
        </w:rPr>
      </w:pPr>
    </w:p>
    <w:p w14:paraId="78BA7331" w14:textId="77777777" w:rsidR="00122CE8" w:rsidRDefault="00AC01CC">
      <w:pPr>
        <w:pStyle w:val="BodyText"/>
        <w:spacing w:line="360" w:lineRule="auto"/>
      </w:pPr>
      <w:r>
        <w:t>The</w:t>
      </w:r>
      <w:r>
        <w:rPr>
          <w:spacing w:val="-4"/>
        </w:rPr>
        <w:t xml:space="preserve"> </w:t>
      </w:r>
      <w:r>
        <w:t>most</w:t>
      </w:r>
      <w:r>
        <w:rPr>
          <w:spacing w:val="-4"/>
        </w:rPr>
        <w:t xml:space="preserve"> </w:t>
      </w:r>
      <w:r>
        <w:t>appropriate</w:t>
      </w:r>
      <w:r>
        <w:rPr>
          <w:spacing w:val="-4"/>
        </w:rPr>
        <w:t xml:space="preserve"> </w:t>
      </w:r>
      <w:r>
        <w:t>techniques</w:t>
      </w:r>
      <w:r>
        <w:rPr>
          <w:spacing w:val="-4"/>
        </w:rPr>
        <w:t xml:space="preserve"> </w:t>
      </w:r>
      <w:r>
        <w:t>to</w:t>
      </w:r>
      <w:r>
        <w:rPr>
          <w:spacing w:val="-4"/>
        </w:rPr>
        <w:t xml:space="preserve"> </w:t>
      </w:r>
      <w:r>
        <w:t>use</w:t>
      </w:r>
      <w:r>
        <w:rPr>
          <w:spacing w:val="-4"/>
        </w:rPr>
        <w:t xml:space="preserve"> </w:t>
      </w:r>
      <w:r>
        <w:t>for</w:t>
      </w:r>
      <w:r>
        <w:rPr>
          <w:spacing w:val="-4"/>
        </w:rPr>
        <w:t xml:space="preserve"> </w:t>
      </w:r>
      <w:r>
        <w:t>inventory</w:t>
      </w:r>
      <w:r>
        <w:rPr>
          <w:spacing w:val="-4"/>
        </w:rPr>
        <w:t xml:space="preserve"> </w:t>
      </w:r>
      <w:r>
        <w:t>can</w:t>
      </w:r>
      <w:r>
        <w:rPr>
          <w:spacing w:val="-4"/>
        </w:rPr>
        <w:t xml:space="preserve"> </w:t>
      </w:r>
      <w:r>
        <w:t>be</w:t>
      </w:r>
      <w:r>
        <w:rPr>
          <w:spacing w:val="-4"/>
        </w:rPr>
        <w:t xml:space="preserve"> </w:t>
      </w:r>
      <w:r>
        <w:t>determined</w:t>
      </w:r>
      <w:r>
        <w:rPr>
          <w:spacing w:val="-4"/>
        </w:rPr>
        <w:t xml:space="preserve"> </w:t>
      </w:r>
      <w:r>
        <w:t>as</w:t>
      </w:r>
      <w:r>
        <w:rPr>
          <w:spacing w:val="-4"/>
        </w:rPr>
        <w:t xml:space="preserve"> </w:t>
      </w:r>
      <w:r>
        <w:t>being</w:t>
      </w:r>
      <w:r>
        <w:rPr>
          <w:spacing w:val="-4"/>
        </w:rPr>
        <w:t xml:space="preserve"> </w:t>
      </w:r>
      <w:r>
        <w:t xml:space="preserve">the following for </w:t>
      </w:r>
      <w:proofErr w:type="spellStart"/>
      <w:r>
        <w:t>Brocksweir</w:t>
      </w:r>
      <w:proofErr w:type="spellEnd"/>
      <w:r>
        <w:t>: EOQ and Min/Max Control, but this is to be used differently depending on the material type. EOQ can be beneficial in reducing emergency purchasing</w:t>
      </w:r>
      <w:r>
        <w:rPr>
          <w:spacing w:val="-8"/>
        </w:rPr>
        <w:t xml:space="preserve"> </w:t>
      </w:r>
      <w:r>
        <w:t>when</w:t>
      </w:r>
      <w:r>
        <w:rPr>
          <w:spacing w:val="-8"/>
        </w:rPr>
        <w:t xml:space="preserve"> </w:t>
      </w:r>
      <w:r>
        <w:t>demand</w:t>
      </w:r>
      <w:r>
        <w:rPr>
          <w:spacing w:val="-8"/>
        </w:rPr>
        <w:t xml:space="preserve"> </w:t>
      </w:r>
      <w:r>
        <w:t>is</w:t>
      </w:r>
      <w:r>
        <w:rPr>
          <w:spacing w:val="-8"/>
        </w:rPr>
        <w:t xml:space="preserve"> </w:t>
      </w:r>
      <w:r>
        <w:t>relatively</w:t>
      </w:r>
      <w:r>
        <w:rPr>
          <w:spacing w:val="-8"/>
        </w:rPr>
        <w:t xml:space="preserve"> </w:t>
      </w:r>
      <w:r>
        <w:t>stable,</w:t>
      </w:r>
      <w:r>
        <w:rPr>
          <w:spacing w:val="-8"/>
        </w:rPr>
        <w:t xml:space="preserve"> </w:t>
      </w:r>
      <w:r>
        <w:t>when</w:t>
      </w:r>
      <w:r>
        <w:rPr>
          <w:spacing w:val="-8"/>
        </w:rPr>
        <w:t xml:space="preserve"> </w:t>
      </w:r>
      <w:r>
        <w:t>the</w:t>
      </w:r>
      <w:r>
        <w:rPr>
          <w:spacing w:val="-8"/>
        </w:rPr>
        <w:t xml:space="preserve"> </w:t>
      </w:r>
      <w:r>
        <w:t>material</w:t>
      </w:r>
      <w:r>
        <w:rPr>
          <w:spacing w:val="-8"/>
        </w:rPr>
        <w:t xml:space="preserve"> </w:t>
      </w:r>
      <w:r>
        <w:t>has</w:t>
      </w:r>
      <w:r>
        <w:rPr>
          <w:spacing w:val="-8"/>
        </w:rPr>
        <w:t xml:space="preserve"> </w:t>
      </w:r>
      <w:r>
        <w:t>high</w:t>
      </w:r>
      <w:r>
        <w:rPr>
          <w:spacing w:val="-8"/>
        </w:rPr>
        <w:t xml:space="preserve"> </w:t>
      </w:r>
      <w:r>
        <w:t>volume,</w:t>
      </w:r>
      <w:r>
        <w:rPr>
          <w:spacing w:val="-8"/>
        </w:rPr>
        <w:t xml:space="preserve"> </w:t>
      </w:r>
      <w:r>
        <w:t>and when t</w:t>
      </w:r>
      <w:r>
        <w:t>he shelf-life is low, as in the case of sand. These costs must be factored into the holding cost calculation, which should include storage, drying, handling and disposal environmental costs of the unused material. When these costs associated with sustainab</w:t>
      </w:r>
      <w:r>
        <w:t xml:space="preserve">ility are not considered, the EOQ model may fail to identify the actual cost of carrying excess sand inventory (Slack, Brandon-Jones and Burgess, 2024; </w:t>
      </w:r>
      <w:proofErr w:type="spellStart"/>
      <w:r>
        <w:t>Asghari</w:t>
      </w:r>
      <w:proofErr w:type="spellEnd"/>
      <w:r>
        <w:t xml:space="preserve"> </w:t>
      </w:r>
      <w:r>
        <w:rPr>
          <w:rFonts w:ascii="Arial"/>
          <w:i/>
        </w:rPr>
        <w:t xml:space="preserve">et al., </w:t>
      </w:r>
      <w:r>
        <w:t>2026).</w:t>
      </w:r>
    </w:p>
    <w:p w14:paraId="23E224C6" w14:textId="77777777" w:rsidR="00122CE8" w:rsidRDefault="00AC01CC">
      <w:pPr>
        <w:pStyle w:val="BodyText"/>
        <w:spacing w:before="238" w:line="360" w:lineRule="auto"/>
      </w:pPr>
      <w:r>
        <w:t>Resin</w:t>
      </w:r>
      <w:r>
        <w:rPr>
          <w:spacing w:val="-9"/>
        </w:rPr>
        <w:t xml:space="preserve"> </w:t>
      </w:r>
      <w:r>
        <w:t>is</w:t>
      </w:r>
      <w:r>
        <w:rPr>
          <w:spacing w:val="-9"/>
        </w:rPr>
        <w:t xml:space="preserve"> </w:t>
      </w:r>
      <w:r>
        <w:t>a</w:t>
      </w:r>
      <w:r>
        <w:rPr>
          <w:spacing w:val="-9"/>
        </w:rPr>
        <w:t xml:space="preserve"> </w:t>
      </w:r>
      <w:r>
        <w:t>hazardous</w:t>
      </w:r>
      <w:r>
        <w:rPr>
          <w:spacing w:val="-9"/>
        </w:rPr>
        <w:t xml:space="preserve"> </w:t>
      </w:r>
      <w:r>
        <w:t>material</w:t>
      </w:r>
      <w:r>
        <w:rPr>
          <w:spacing w:val="-9"/>
        </w:rPr>
        <w:t xml:space="preserve"> </w:t>
      </w:r>
      <w:r>
        <w:t>that</w:t>
      </w:r>
      <w:r>
        <w:rPr>
          <w:spacing w:val="-9"/>
        </w:rPr>
        <w:t xml:space="preserve"> </w:t>
      </w:r>
      <w:r>
        <w:t>needs</w:t>
      </w:r>
      <w:r>
        <w:rPr>
          <w:spacing w:val="-9"/>
        </w:rPr>
        <w:t xml:space="preserve"> </w:t>
      </w:r>
      <w:r>
        <w:t>to</w:t>
      </w:r>
      <w:r>
        <w:rPr>
          <w:spacing w:val="-9"/>
        </w:rPr>
        <w:t xml:space="preserve"> </w:t>
      </w:r>
      <w:r>
        <w:t>be</w:t>
      </w:r>
      <w:r>
        <w:rPr>
          <w:spacing w:val="-9"/>
        </w:rPr>
        <w:t xml:space="preserve"> </w:t>
      </w:r>
      <w:r>
        <w:t>managed</w:t>
      </w:r>
      <w:r>
        <w:rPr>
          <w:spacing w:val="-9"/>
        </w:rPr>
        <w:t xml:space="preserve"> </w:t>
      </w:r>
      <w:r>
        <w:t>differently</w:t>
      </w:r>
      <w:r>
        <w:rPr>
          <w:spacing w:val="-9"/>
        </w:rPr>
        <w:t xml:space="preserve"> </w:t>
      </w:r>
      <w:r>
        <w:t>as</w:t>
      </w:r>
      <w:r>
        <w:rPr>
          <w:spacing w:val="-9"/>
        </w:rPr>
        <w:t xml:space="preserve"> </w:t>
      </w:r>
      <w:r>
        <w:t>it</w:t>
      </w:r>
      <w:r>
        <w:rPr>
          <w:spacing w:val="-9"/>
        </w:rPr>
        <w:t xml:space="preserve"> </w:t>
      </w:r>
      <w:r>
        <w:t>is</w:t>
      </w:r>
      <w:r>
        <w:rPr>
          <w:spacing w:val="-9"/>
        </w:rPr>
        <w:t xml:space="preserve"> </w:t>
      </w:r>
      <w:r>
        <w:t>peris</w:t>
      </w:r>
      <w:r>
        <w:t>hable. Perishable</w:t>
      </w:r>
      <w:r>
        <w:rPr>
          <w:spacing w:val="-11"/>
        </w:rPr>
        <w:t xml:space="preserve"> </w:t>
      </w:r>
      <w:r>
        <w:t>inventory</w:t>
      </w:r>
      <w:r>
        <w:rPr>
          <w:spacing w:val="-11"/>
        </w:rPr>
        <w:t xml:space="preserve"> </w:t>
      </w:r>
      <w:r>
        <w:t>studies</w:t>
      </w:r>
      <w:r>
        <w:rPr>
          <w:spacing w:val="-11"/>
        </w:rPr>
        <w:t xml:space="preserve"> </w:t>
      </w:r>
      <w:r>
        <w:t>stress</w:t>
      </w:r>
      <w:r>
        <w:rPr>
          <w:spacing w:val="-11"/>
        </w:rPr>
        <w:t xml:space="preserve"> </w:t>
      </w:r>
      <w:r>
        <w:t>that</w:t>
      </w:r>
      <w:r>
        <w:rPr>
          <w:spacing w:val="-11"/>
        </w:rPr>
        <w:t xml:space="preserve"> </w:t>
      </w:r>
      <w:r>
        <w:t>the</w:t>
      </w:r>
      <w:r>
        <w:rPr>
          <w:spacing w:val="-11"/>
        </w:rPr>
        <w:t xml:space="preserve"> </w:t>
      </w:r>
      <w:r>
        <w:t>issue</w:t>
      </w:r>
      <w:r>
        <w:rPr>
          <w:spacing w:val="-11"/>
        </w:rPr>
        <w:t xml:space="preserve"> </w:t>
      </w:r>
      <w:r>
        <w:t>of</w:t>
      </w:r>
      <w:r>
        <w:rPr>
          <w:spacing w:val="-11"/>
        </w:rPr>
        <w:t xml:space="preserve"> </w:t>
      </w:r>
      <w:r>
        <w:t>stocks</w:t>
      </w:r>
      <w:r>
        <w:rPr>
          <w:spacing w:val="-11"/>
        </w:rPr>
        <w:t xml:space="preserve"> </w:t>
      </w:r>
      <w:r>
        <w:t>with</w:t>
      </w:r>
      <w:r>
        <w:rPr>
          <w:spacing w:val="-11"/>
        </w:rPr>
        <w:t xml:space="preserve"> </w:t>
      </w:r>
      <w:r>
        <w:t>"use</w:t>
      </w:r>
      <w:r>
        <w:rPr>
          <w:spacing w:val="-11"/>
        </w:rPr>
        <w:t xml:space="preserve"> </w:t>
      </w:r>
      <w:r>
        <w:t>by"</w:t>
      </w:r>
      <w:r>
        <w:rPr>
          <w:spacing w:val="-11"/>
        </w:rPr>
        <w:t xml:space="preserve"> </w:t>
      </w:r>
      <w:r>
        <w:t>dates</w:t>
      </w:r>
      <w:r>
        <w:rPr>
          <w:spacing w:val="-11"/>
        </w:rPr>
        <w:t xml:space="preserve"> </w:t>
      </w:r>
      <w:r>
        <w:t>directly results in financial loss and risk of disposing of the stocks (</w:t>
      </w:r>
      <w:proofErr w:type="spellStart"/>
      <w:r>
        <w:t>Boxma</w:t>
      </w:r>
      <w:proofErr w:type="spellEnd"/>
      <w:r>
        <w:t xml:space="preserve">, Perry and </w:t>
      </w:r>
      <w:proofErr w:type="spellStart"/>
      <w:r>
        <w:t>Stadje</w:t>
      </w:r>
      <w:proofErr w:type="spellEnd"/>
      <w:r>
        <w:t>, 2024).</w:t>
      </w:r>
      <w:r>
        <w:rPr>
          <w:spacing w:val="30"/>
        </w:rPr>
        <w:t xml:space="preserve"> </w:t>
      </w:r>
      <w:r>
        <w:t>Hence,</w:t>
      </w:r>
      <w:r>
        <w:rPr>
          <w:spacing w:val="32"/>
        </w:rPr>
        <w:t xml:space="preserve"> </w:t>
      </w:r>
      <w:r>
        <w:t>resin</w:t>
      </w:r>
      <w:r>
        <w:rPr>
          <w:spacing w:val="32"/>
        </w:rPr>
        <w:t xml:space="preserve"> </w:t>
      </w:r>
      <w:r>
        <w:t>should</w:t>
      </w:r>
      <w:r>
        <w:rPr>
          <w:spacing w:val="32"/>
        </w:rPr>
        <w:t xml:space="preserve"> </w:t>
      </w:r>
      <w:r>
        <w:t>be</w:t>
      </w:r>
      <w:r>
        <w:rPr>
          <w:spacing w:val="32"/>
        </w:rPr>
        <w:t xml:space="preserve"> </w:t>
      </w:r>
      <w:r>
        <w:t>managed</w:t>
      </w:r>
      <w:r>
        <w:rPr>
          <w:spacing w:val="32"/>
        </w:rPr>
        <w:t xml:space="preserve"> </w:t>
      </w:r>
      <w:r>
        <w:t>with</w:t>
      </w:r>
      <w:r>
        <w:rPr>
          <w:spacing w:val="32"/>
        </w:rPr>
        <w:t xml:space="preserve"> </w:t>
      </w:r>
      <w:r>
        <w:t>smaller</w:t>
      </w:r>
      <w:r>
        <w:rPr>
          <w:spacing w:val="32"/>
        </w:rPr>
        <w:t xml:space="preserve"> </w:t>
      </w:r>
      <w:r>
        <w:t>and</w:t>
      </w:r>
      <w:r>
        <w:rPr>
          <w:spacing w:val="32"/>
        </w:rPr>
        <w:t xml:space="preserve"> </w:t>
      </w:r>
      <w:r>
        <w:t>more</w:t>
      </w:r>
      <w:r>
        <w:rPr>
          <w:spacing w:val="33"/>
        </w:rPr>
        <w:t xml:space="preserve"> </w:t>
      </w:r>
      <w:r>
        <w:t>frequent</w:t>
      </w:r>
      <w:r>
        <w:rPr>
          <w:spacing w:val="32"/>
        </w:rPr>
        <w:t xml:space="preserve"> </w:t>
      </w:r>
      <w:r>
        <w:rPr>
          <w:spacing w:val="-2"/>
        </w:rPr>
        <w:t>ordering,</w:t>
      </w:r>
    </w:p>
    <w:p w14:paraId="35A99114" w14:textId="77777777" w:rsidR="00122CE8" w:rsidRDefault="00122CE8">
      <w:pPr>
        <w:pStyle w:val="BodyText"/>
        <w:spacing w:line="360" w:lineRule="auto"/>
        <w:sectPr w:rsidR="00122CE8">
          <w:pgSz w:w="11910" w:h="16840"/>
          <w:pgMar w:top="1360" w:right="1275" w:bottom="1500" w:left="1417" w:header="0" w:footer="1308" w:gutter="0"/>
          <w:cols w:space="720"/>
        </w:sectPr>
      </w:pPr>
    </w:p>
    <w:p w14:paraId="452F7B3D" w14:textId="77777777" w:rsidR="00122CE8" w:rsidRDefault="00AC01CC">
      <w:pPr>
        <w:pStyle w:val="BodyText"/>
        <w:spacing w:before="82" w:line="360" w:lineRule="auto"/>
      </w:pPr>
      <w:r>
        <w:lastRenderedPageBreak/>
        <w:t>inflexible reorder points, FEFO (first-expiry-first-out) storage controls and controlled safety stocks. However, the (classical) EOQ models can recommend a high ordering quantity for orders that seems cost-effective but</w:t>
      </w:r>
      <w:r>
        <w:t xml:space="preserve"> may pose practical challenges when combined with expiry, hazardous-disposal, and other factors (</w:t>
      </w:r>
      <w:proofErr w:type="spellStart"/>
      <w:r>
        <w:t>Asghari</w:t>
      </w:r>
      <w:proofErr w:type="spellEnd"/>
      <w:r>
        <w:t xml:space="preserve"> </w:t>
      </w:r>
      <w:r>
        <w:rPr>
          <w:rFonts w:ascii="Arial"/>
          <w:i/>
        </w:rPr>
        <w:t xml:space="preserve">et al., </w:t>
      </w:r>
      <w:r>
        <w:t xml:space="preserve">2026; </w:t>
      </w:r>
      <w:proofErr w:type="spellStart"/>
      <w:r>
        <w:t>Schuitemaker</w:t>
      </w:r>
      <w:proofErr w:type="spellEnd"/>
      <w:r>
        <w:t xml:space="preserve"> and Xu, 2020). In general, a segmented inventory policy that takes the different operational risks of the materials into acc</w:t>
      </w:r>
      <w:r>
        <w:t xml:space="preserve">ount is recommended for </w:t>
      </w:r>
      <w:proofErr w:type="spellStart"/>
      <w:r>
        <w:rPr>
          <w:spacing w:val="-2"/>
        </w:rPr>
        <w:t>Brocksweir</w:t>
      </w:r>
      <w:proofErr w:type="spellEnd"/>
      <w:r>
        <w:rPr>
          <w:spacing w:val="-2"/>
        </w:rPr>
        <w:t>.</w:t>
      </w:r>
    </w:p>
    <w:p w14:paraId="4997BE3C" w14:textId="77777777" w:rsidR="00122CE8" w:rsidRDefault="00AC01CC">
      <w:pPr>
        <w:pStyle w:val="BodyText"/>
        <w:spacing w:before="241" w:line="360" w:lineRule="auto"/>
      </w:pPr>
      <w:r>
        <w:t xml:space="preserve">Selected lines of resin can be a possibility, if data are reliable, due to the selective supplier collaboration. While being able to help reduce waste and increase </w:t>
      </w:r>
      <w:proofErr w:type="spellStart"/>
      <w:r>
        <w:t>synchronisation</w:t>
      </w:r>
      <w:proofErr w:type="spellEnd"/>
      <w:r>
        <w:t>, VMI requires information sharing and di</w:t>
      </w:r>
      <w:r>
        <w:t xml:space="preserve">gital and realistic routine (Salas-Navarro </w:t>
      </w:r>
      <w:r>
        <w:rPr>
          <w:rFonts w:ascii="Arial"/>
          <w:i/>
        </w:rPr>
        <w:t xml:space="preserve">et al., </w:t>
      </w:r>
      <w:r>
        <w:t xml:space="preserve">2026). Therefore, a planning cycle is considered to be more suitable than supplier-led replenishment (SLP) across a larger time horizon, for </w:t>
      </w:r>
      <w:proofErr w:type="spellStart"/>
      <w:r>
        <w:t>Brocksweir</w:t>
      </w:r>
      <w:proofErr w:type="spellEnd"/>
      <w:r>
        <w:t xml:space="preserve"> this monthly cross-functional planning cycle is more </w:t>
      </w:r>
      <w:r>
        <w:t>suited than replenishment from suppliers (SLP) (</w:t>
      </w:r>
      <w:proofErr w:type="spellStart"/>
      <w:r>
        <w:t>Kreuter</w:t>
      </w:r>
      <w:proofErr w:type="spellEnd"/>
      <w:r>
        <w:t xml:space="preserve"> </w:t>
      </w:r>
      <w:r>
        <w:rPr>
          <w:rFonts w:ascii="Arial"/>
          <w:i/>
        </w:rPr>
        <w:t xml:space="preserve">et al., </w:t>
      </w:r>
      <w:r>
        <w:t xml:space="preserve">2022; </w:t>
      </w:r>
      <w:proofErr w:type="spellStart"/>
      <w:r>
        <w:t>Kalla</w:t>
      </w:r>
      <w:proofErr w:type="spellEnd"/>
      <w:r>
        <w:t xml:space="preserve">, </w:t>
      </w:r>
      <w:proofErr w:type="spellStart"/>
      <w:r>
        <w:t>Scavarda</w:t>
      </w:r>
      <w:proofErr w:type="spellEnd"/>
      <w:r>
        <w:t xml:space="preserve"> and </w:t>
      </w:r>
      <w:proofErr w:type="spellStart"/>
      <w:r>
        <w:t>Hellingrath</w:t>
      </w:r>
      <w:proofErr w:type="spellEnd"/>
      <w:r>
        <w:t xml:space="preserve">, 2025). This logic is </w:t>
      </w:r>
      <w:proofErr w:type="spellStart"/>
      <w:r>
        <w:t>realised</w:t>
      </w:r>
      <w:proofErr w:type="spellEnd"/>
      <w:r>
        <w:t xml:space="preserve"> as the matrix of </w:t>
      </w:r>
      <w:proofErr w:type="spellStart"/>
      <w:r>
        <w:t>Brocksweir</w:t>
      </w:r>
      <w:proofErr w:type="spellEnd"/>
      <w:r>
        <w:t xml:space="preserve"> in Table 1.</w:t>
      </w:r>
    </w:p>
    <w:p w14:paraId="5D69CCED" w14:textId="77777777" w:rsidR="00122CE8" w:rsidRDefault="00AC01CC">
      <w:pPr>
        <w:pStyle w:val="BodyText"/>
        <w:spacing w:before="241" w:line="360" w:lineRule="auto"/>
        <w:ind w:right="162"/>
      </w:pPr>
      <w:r>
        <w:t xml:space="preserve">Table 1: </w:t>
      </w:r>
      <w:proofErr w:type="spellStart"/>
      <w:r>
        <w:t>Brocksweir</w:t>
      </w:r>
      <w:proofErr w:type="spellEnd"/>
      <w:r>
        <w:t xml:space="preserve"> inventory-control matrix by material type, demand pattern, shel</w:t>
      </w:r>
      <w:r>
        <w:t>f- life risk, recommended rule, owner, and KPI</w:t>
      </w:r>
    </w:p>
    <w:p w14:paraId="3EE784BA" w14:textId="77777777" w:rsidR="00122CE8" w:rsidRDefault="00122CE8">
      <w:pPr>
        <w:pStyle w:val="BodyText"/>
        <w:spacing w:line="360" w:lineRule="auto"/>
        <w:sectPr w:rsidR="00122CE8">
          <w:pgSz w:w="11910" w:h="16840"/>
          <w:pgMar w:top="1340" w:right="1275" w:bottom="1500" w:left="1417" w:header="0" w:footer="1308" w:gutter="0"/>
          <w:cols w:space="720"/>
        </w:sectPr>
      </w:pPr>
    </w:p>
    <w:p w14:paraId="52DBAB3C" w14:textId="77777777" w:rsidR="00122CE8" w:rsidRDefault="00AC01CC">
      <w:pPr>
        <w:pStyle w:val="BodyText"/>
        <w:ind w:left="78" w:right="0"/>
        <w:jc w:val="left"/>
        <w:rPr>
          <w:sz w:val="20"/>
        </w:rPr>
      </w:pPr>
      <w:r>
        <w:rPr>
          <w:noProof/>
          <w:sz w:val="20"/>
        </w:rPr>
        <w:lastRenderedPageBreak/>
        <w:drawing>
          <wp:inline distT="0" distB="0" distL="0" distR="0" wp14:anchorId="0001DD56" wp14:editId="6294E7CF">
            <wp:extent cx="5695948" cy="574852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5695948" cy="5748528"/>
                    </a:xfrm>
                    <a:prstGeom prst="rect">
                      <a:avLst/>
                    </a:prstGeom>
                  </pic:spPr>
                </pic:pic>
              </a:graphicData>
            </a:graphic>
          </wp:inline>
        </w:drawing>
      </w:r>
    </w:p>
    <w:p w14:paraId="50450A91" w14:textId="77777777" w:rsidR="00122CE8" w:rsidRDefault="00122CE8">
      <w:pPr>
        <w:pStyle w:val="BodyText"/>
        <w:spacing w:before="205"/>
        <w:ind w:left="0" w:right="0"/>
        <w:jc w:val="left"/>
        <w:rPr>
          <w:sz w:val="28"/>
        </w:rPr>
      </w:pPr>
    </w:p>
    <w:p w14:paraId="03B33A7D" w14:textId="77777777" w:rsidR="00122CE8" w:rsidRDefault="00AC01CC">
      <w:pPr>
        <w:pStyle w:val="Heading2"/>
        <w:numPr>
          <w:ilvl w:val="1"/>
          <w:numId w:val="4"/>
        </w:numPr>
        <w:tabs>
          <w:tab w:val="left" w:pos="487"/>
        </w:tabs>
        <w:ind w:left="487" w:hanging="464"/>
        <w:jc w:val="both"/>
      </w:pPr>
      <w:bookmarkStart w:id="5" w:name="_bookmark5"/>
      <w:bookmarkEnd w:id="5"/>
      <w:r>
        <w:t>Recommended</w:t>
      </w:r>
      <w:r>
        <w:rPr>
          <w:spacing w:val="-13"/>
        </w:rPr>
        <w:t xml:space="preserve"> </w:t>
      </w:r>
      <w:r>
        <w:t>inventory</w:t>
      </w:r>
      <w:r>
        <w:rPr>
          <w:spacing w:val="-12"/>
        </w:rPr>
        <w:t xml:space="preserve"> </w:t>
      </w:r>
      <w:r>
        <w:t>architecture</w:t>
      </w:r>
      <w:r>
        <w:rPr>
          <w:spacing w:val="-13"/>
        </w:rPr>
        <w:t xml:space="preserve"> </w:t>
      </w:r>
      <w:r>
        <w:t>for</w:t>
      </w:r>
      <w:r>
        <w:rPr>
          <w:spacing w:val="-12"/>
        </w:rPr>
        <w:t xml:space="preserve"> </w:t>
      </w:r>
      <w:proofErr w:type="spellStart"/>
      <w:r>
        <w:rPr>
          <w:spacing w:val="-2"/>
        </w:rPr>
        <w:t>Brocksweir</w:t>
      </w:r>
      <w:proofErr w:type="spellEnd"/>
    </w:p>
    <w:p w14:paraId="0DD790C6" w14:textId="77777777" w:rsidR="00122CE8" w:rsidRDefault="00122CE8">
      <w:pPr>
        <w:pStyle w:val="BodyText"/>
        <w:spacing w:before="80"/>
        <w:ind w:left="0" w:right="0"/>
        <w:jc w:val="left"/>
        <w:rPr>
          <w:rFonts w:ascii="Arial"/>
          <w:b/>
          <w:sz w:val="28"/>
        </w:rPr>
      </w:pPr>
    </w:p>
    <w:p w14:paraId="21D9BAB9" w14:textId="77777777" w:rsidR="00122CE8" w:rsidRDefault="00AC01CC">
      <w:pPr>
        <w:pStyle w:val="ListParagraph"/>
        <w:numPr>
          <w:ilvl w:val="0"/>
          <w:numId w:val="3"/>
        </w:numPr>
        <w:tabs>
          <w:tab w:val="left" w:pos="284"/>
        </w:tabs>
        <w:spacing w:line="360" w:lineRule="auto"/>
        <w:ind w:right="161" w:firstLine="0"/>
        <w:jc w:val="both"/>
        <w:rPr>
          <w:sz w:val="24"/>
        </w:rPr>
      </w:pPr>
      <w:r>
        <w:rPr>
          <w:sz w:val="24"/>
        </w:rPr>
        <w:t>Another</w:t>
      </w:r>
      <w:r>
        <w:rPr>
          <w:spacing w:val="-8"/>
          <w:sz w:val="24"/>
        </w:rPr>
        <w:t xml:space="preserve"> </w:t>
      </w:r>
      <w:r>
        <w:rPr>
          <w:sz w:val="24"/>
        </w:rPr>
        <w:t>important</w:t>
      </w:r>
      <w:r>
        <w:rPr>
          <w:spacing w:val="-8"/>
          <w:sz w:val="24"/>
        </w:rPr>
        <w:t xml:space="preserve"> </w:t>
      </w:r>
      <w:r>
        <w:rPr>
          <w:sz w:val="24"/>
        </w:rPr>
        <w:t>point</w:t>
      </w:r>
      <w:r>
        <w:rPr>
          <w:spacing w:val="-8"/>
          <w:sz w:val="24"/>
        </w:rPr>
        <w:t xml:space="preserve"> </w:t>
      </w:r>
      <w:r>
        <w:rPr>
          <w:sz w:val="24"/>
        </w:rPr>
        <w:t>is</w:t>
      </w:r>
      <w:r>
        <w:rPr>
          <w:spacing w:val="-8"/>
          <w:sz w:val="24"/>
        </w:rPr>
        <w:t xml:space="preserve"> </w:t>
      </w:r>
      <w:r>
        <w:rPr>
          <w:sz w:val="24"/>
        </w:rPr>
        <w:t>differentiating</w:t>
      </w:r>
      <w:r>
        <w:rPr>
          <w:spacing w:val="-8"/>
          <w:sz w:val="24"/>
        </w:rPr>
        <w:t xml:space="preserve"> </w:t>
      </w:r>
      <w:r>
        <w:rPr>
          <w:sz w:val="24"/>
        </w:rPr>
        <w:t>the</w:t>
      </w:r>
      <w:r>
        <w:rPr>
          <w:spacing w:val="-8"/>
          <w:sz w:val="24"/>
        </w:rPr>
        <w:t xml:space="preserve"> </w:t>
      </w:r>
      <w:r>
        <w:rPr>
          <w:sz w:val="24"/>
        </w:rPr>
        <w:t>inputs,</w:t>
      </w:r>
      <w:r>
        <w:rPr>
          <w:spacing w:val="-8"/>
          <w:sz w:val="24"/>
        </w:rPr>
        <w:t xml:space="preserve"> </w:t>
      </w:r>
      <w:r>
        <w:rPr>
          <w:sz w:val="24"/>
        </w:rPr>
        <w:t>critical</w:t>
      </w:r>
      <w:r>
        <w:rPr>
          <w:spacing w:val="-8"/>
          <w:sz w:val="24"/>
        </w:rPr>
        <w:t xml:space="preserve"> </w:t>
      </w:r>
      <w:r>
        <w:rPr>
          <w:sz w:val="24"/>
        </w:rPr>
        <w:t>specialist</w:t>
      </w:r>
      <w:r>
        <w:rPr>
          <w:spacing w:val="-8"/>
          <w:sz w:val="24"/>
        </w:rPr>
        <w:t xml:space="preserve"> </w:t>
      </w:r>
      <w:r>
        <w:rPr>
          <w:sz w:val="24"/>
        </w:rPr>
        <w:t>from</w:t>
      </w:r>
      <w:r>
        <w:rPr>
          <w:spacing w:val="-8"/>
          <w:sz w:val="24"/>
        </w:rPr>
        <w:t xml:space="preserve"> </w:t>
      </w:r>
      <w:r>
        <w:rPr>
          <w:sz w:val="24"/>
        </w:rPr>
        <w:t>sand</w:t>
      </w:r>
      <w:r>
        <w:rPr>
          <w:spacing w:val="-8"/>
          <w:sz w:val="24"/>
        </w:rPr>
        <w:t xml:space="preserve"> </w:t>
      </w:r>
      <w:r>
        <w:rPr>
          <w:sz w:val="24"/>
        </w:rPr>
        <w:t>and resin,</w:t>
      </w:r>
      <w:r>
        <w:rPr>
          <w:spacing w:val="-5"/>
          <w:sz w:val="24"/>
        </w:rPr>
        <w:t xml:space="preserve"> </w:t>
      </w:r>
      <w:r>
        <w:rPr>
          <w:sz w:val="24"/>
        </w:rPr>
        <w:t>into</w:t>
      </w:r>
      <w:r>
        <w:rPr>
          <w:spacing w:val="-5"/>
          <w:sz w:val="24"/>
        </w:rPr>
        <w:t xml:space="preserve"> </w:t>
      </w:r>
      <w:r>
        <w:rPr>
          <w:sz w:val="24"/>
        </w:rPr>
        <w:t>separate</w:t>
      </w:r>
      <w:r>
        <w:rPr>
          <w:spacing w:val="-5"/>
          <w:sz w:val="24"/>
        </w:rPr>
        <w:t xml:space="preserve"> </w:t>
      </w:r>
      <w:r>
        <w:rPr>
          <w:sz w:val="24"/>
        </w:rPr>
        <w:t>policy</w:t>
      </w:r>
      <w:r>
        <w:rPr>
          <w:spacing w:val="-5"/>
          <w:sz w:val="24"/>
        </w:rPr>
        <w:t xml:space="preserve"> </w:t>
      </w:r>
      <w:r>
        <w:rPr>
          <w:sz w:val="24"/>
        </w:rPr>
        <w:t>classes</w:t>
      </w:r>
      <w:r>
        <w:rPr>
          <w:spacing w:val="-5"/>
          <w:sz w:val="24"/>
        </w:rPr>
        <w:t xml:space="preserve"> </w:t>
      </w:r>
      <w:r>
        <w:rPr>
          <w:sz w:val="24"/>
        </w:rPr>
        <w:t>as</w:t>
      </w:r>
      <w:r>
        <w:rPr>
          <w:spacing w:val="-5"/>
          <w:sz w:val="24"/>
        </w:rPr>
        <w:t xml:space="preserve"> </w:t>
      </w:r>
      <w:r>
        <w:rPr>
          <w:sz w:val="24"/>
        </w:rPr>
        <w:t>their</w:t>
      </w:r>
      <w:r>
        <w:rPr>
          <w:spacing w:val="-5"/>
          <w:sz w:val="24"/>
        </w:rPr>
        <w:t xml:space="preserve"> </w:t>
      </w:r>
      <w:r>
        <w:rPr>
          <w:sz w:val="24"/>
        </w:rPr>
        <w:t>deterioration</w:t>
      </w:r>
      <w:r>
        <w:rPr>
          <w:spacing w:val="-5"/>
          <w:sz w:val="24"/>
        </w:rPr>
        <w:t xml:space="preserve"> </w:t>
      </w:r>
      <w:r>
        <w:rPr>
          <w:sz w:val="24"/>
        </w:rPr>
        <w:t>and</w:t>
      </w:r>
      <w:r>
        <w:rPr>
          <w:spacing w:val="-5"/>
          <w:sz w:val="24"/>
        </w:rPr>
        <w:t xml:space="preserve"> </w:t>
      </w:r>
      <w:r>
        <w:rPr>
          <w:sz w:val="24"/>
        </w:rPr>
        <w:t>service</w:t>
      </w:r>
      <w:r>
        <w:rPr>
          <w:spacing w:val="-5"/>
          <w:sz w:val="24"/>
        </w:rPr>
        <w:t xml:space="preserve"> </w:t>
      </w:r>
      <w:r>
        <w:rPr>
          <w:sz w:val="24"/>
        </w:rPr>
        <w:t>risks</w:t>
      </w:r>
      <w:r>
        <w:rPr>
          <w:spacing w:val="-5"/>
          <w:sz w:val="24"/>
        </w:rPr>
        <w:t xml:space="preserve"> </w:t>
      </w:r>
      <w:r>
        <w:rPr>
          <w:sz w:val="24"/>
        </w:rPr>
        <w:t>are</w:t>
      </w:r>
      <w:r>
        <w:rPr>
          <w:spacing w:val="-5"/>
          <w:sz w:val="24"/>
        </w:rPr>
        <w:t xml:space="preserve"> </w:t>
      </w:r>
      <w:r>
        <w:rPr>
          <w:sz w:val="24"/>
        </w:rPr>
        <w:t>different from each other (</w:t>
      </w:r>
      <w:proofErr w:type="spellStart"/>
      <w:r>
        <w:rPr>
          <w:sz w:val="24"/>
        </w:rPr>
        <w:t>Asghari</w:t>
      </w:r>
      <w:proofErr w:type="spellEnd"/>
      <w:r>
        <w:rPr>
          <w:sz w:val="24"/>
        </w:rPr>
        <w:t xml:space="preserve"> </w:t>
      </w:r>
      <w:r>
        <w:rPr>
          <w:rFonts w:ascii="Arial"/>
          <w:i/>
          <w:sz w:val="24"/>
        </w:rPr>
        <w:t xml:space="preserve">et al., </w:t>
      </w:r>
      <w:r>
        <w:rPr>
          <w:sz w:val="24"/>
        </w:rPr>
        <w:t xml:space="preserve">2026; </w:t>
      </w:r>
      <w:proofErr w:type="spellStart"/>
      <w:r>
        <w:rPr>
          <w:sz w:val="24"/>
        </w:rPr>
        <w:t>Soylu</w:t>
      </w:r>
      <w:proofErr w:type="spellEnd"/>
      <w:r>
        <w:rPr>
          <w:sz w:val="24"/>
        </w:rPr>
        <w:t xml:space="preserve"> and Akyol, 2014).</w:t>
      </w:r>
    </w:p>
    <w:p w14:paraId="38DD06ED" w14:textId="77777777" w:rsidR="00122CE8" w:rsidRDefault="00AC01CC">
      <w:pPr>
        <w:pStyle w:val="ListParagraph"/>
        <w:numPr>
          <w:ilvl w:val="0"/>
          <w:numId w:val="3"/>
        </w:numPr>
        <w:tabs>
          <w:tab w:val="left" w:pos="286"/>
        </w:tabs>
        <w:spacing w:before="237" w:line="360" w:lineRule="auto"/>
        <w:ind w:right="160" w:firstLine="0"/>
        <w:jc w:val="both"/>
        <w:rPr>
          <w:sz w:val="24"/>
        </w:rPr>
      </w:pPr>
      <w:r>
        <w:rPr>
          <w:sz w:val="24"/>
        </w:rPr>
        <w:t>Implement</w:t>
      </w:r>
      <w:r>
        <w:rPr>
          <w:spacing w:val="-5"/>
          <w:sz w:val="24"/>
        </w:rPr>
        <w:t xml:space="preserve"> </w:t>
      </w:r>
      <w:r>
        <w:rPr>
          <w:sz w:val="24"/>
        </w:rPr>
        <w:t>FEFO,</w:t>
      </w:r>
      <w:r>
        <w:rPr>
          <w:spacing w:val="-5"/>
          <w:sz w:val="24"/>
        </w:rPr>
        <w:t xml:space="preserve"> </w:t>
      </w:r>
      <w:r>
        <w:rPr>
          <w:sz w:val="24"/>
        </w:rPr>
        <w:t>batch</w:t>
      </w:r>
      <w:r>
        <w:rPr>
          <w:spacing w:val="-5"/>
          <w:sz w:val="24"/>
        </w:rPr>
        <w:t xml:space="preserve"> </w:t>
      </w:r>
      <w:r>
        <w:rPr>
          <w:sz w:val="24"/>
        </w:rPr>
        <w:t>coding</w:t>
      </w:r>
      <w:r>
        <w:rPr>
          <w:spacing w:val="-5"/>
          <w:sz w:val="24"/>
        </w:rPr>
        <w:t xml:space="preserve"> </w:t>
      </w:r>
      <w:r>
        <w:rPr>
          <w:sz w:val="24"/>
        </w:rPr>
        <w:t>and</w:t>
      </w:r>
      <w:r>
        <w:rPr>
          <w:spacing w:val="-5"/>
          <w:sz w:val="24"/>
        </w:rPr>
        <w:t xml:space="preserve"> </w:t>
      </w:r>
      <w:r>
        <w:rPr>
          <w:sz w:val="24"/>
        </w:rPr>
        <w:t>ageing</w:t>
      </w:r>
      <w:r>
        <w:rPr>
          <w:spacing w:val="-5"/>
          <w:sz w:val="24"/>
        </w:rPr>
        <w:t xml:space="preserve"> </w:t>
      </w:r>
      <w:r>
        <w:rPr>
          <w:sz w:val="24"/>
        </w:rPr>
        <w:t>alerts</w:t>
      </w:r>
      <w:r>
        <w:rPr>
          <w:spacing w:val="-5"/>
          <w:sz w:val="24"/>
        </w:rPr>
        <w:t xml:space="preserve"> </w:t>
      </w:r>
      <w:r>
        <w:rPr>
          <w:sz w:val="24"/>
        </w:rPr>
        <w:t>for</w:t>
      </w:r>
      <w:r>
        <w:rPr>
          <w:spacing w:val="-5"/>
          <w:sz w:val="24"/>
        </w:rPr>
        <w:t xml:space="preserve"> </w:t>
      </w:r>
      <w:r>
        <w:rPr>
          <w:sz w:val="24"/>
        </w:rPr>
        <w:t>all</w:t>
      </w:r>
      <w:r>
        <w:rPr>
          <w:spacing w:val="-5"/>
          <w:sz w:val="24"/>
        </w:rPr>
        <w:t xml:space="preserve"> </w:t>
      </w:r>
      <w:r>
        <w:rPr>
          <w:sz w:val="24"/>
        </w:rPr>
        <w:t>resin</w:t>
      </w:r>
      <w:r>
        <w:rPr>
          <w:spacing w:val="-5"/>
          <w:sz w:val="24"/>
        </w:rPr>
        <w:t xml:space="preserve"> </w:t>
      </w:r>
      <w:r>
        <w:rPr>
          <w:sz w:val="24"/>
        </w:rPr>
        <w:t>stock</w:t>
      </w:r>
      <w:r>
        <w:rPr>
          <w:spacing w:val="-5"/>
          <w:sz w:val="24"/>
        </w:rPr>
        <w:t xml:space="preserve"> </w:t>
      </w:r>
      <w:r>
        <w:rPr>
          <w:sz w:val="24"/>
        </w:rPr>
        <w:t>to</w:t>
      </w:r>
      <w:r>
        <w:rPr>
          <w:spacing w:val="-5"/>
          <w:sz w:val="24"/>
        </w:rPr>
        <w:t xml:space="preserve"> </w:t>
      </w:r>
      <w:r>
        <w:rPr>
          <w:sz w:val="24"/>
        </w:rPr>
        <w:t>ensure</w:t>
      </w:r>
      <w:r>
        <w:rPr>
          <w:spacing w:val="-5"/>
          <w:sz w:val="24"/>
        </w:rPr>
        <w:t xml:space="preserve"> </w:t>
      </w:r>
      <w:r>
        <w:rPr>
          <w:sz w:val="24"/>
        </w:rPr>
        <w:t>issue discipline by expiry risk and not based on “convenience in the issues” (</w:t>
      </w:r>
      <w:proofErr w:type="spellStart"/>
      <w:r>
        <w:rPr>
          <w:sz w:val="24"/>
        </w:rPr>
        <w:t>Schuitemaker</w:t>
      </w:r>
      <w:proofErr w:type="spellEnd"/>
      <w:r>
        <w:rPr>
          <w:sz w:val="24"/>
        </w:rPr>
        <w:t xml:space="preserve"> and Xu, 2020; </w:t>
      </w:r>
      <w:proofErr w:type="spellStart"/>
      <w:r>
        <w:rPr>
          <w:sz w:val="24"/>
        </w:rPr>
        <w:t>Boxma</w:t>
      </w:r>
      <w:proofErr w:type="spellEnd"/>
      <w:r>
        <w:rPr>
          <w:sz w:val="24"/>
        </w:rPr>
        <w:t xml:space="preserve">, Perry and </w:t>
      </w:r>
      <w:proofErr w:type="spellStart"/>
      <w:r>
        <w:rPr>
          <w:sz w:val="24"/>
        </w:rPr>
        <w:t>Stadje</w:t>
      </w:r>
      <w:proofErr w:type="spellEnd"/>
      <w:r>
        <w:rPr>
          <w:sz w:val="24"/>
        </w:rPr>
        <w:t>, 2024).</w:t>
      </w:r>
    </w:p>
    <w:p w14:paraId="125F8306" w14:textId="77777777" w:rsidR="00122CE8" w:rsidRDefault="00122CE8">
      <w:pPr>
        <w:pStyle w:val="ListParagraph"/>
        <w:spacing w:line="360" w:lineRule="auto"/>
        <w:jc w:val="both"/>
        <w:rPr>
          <w:sz w:val="24"/>
        </w:rPr>
        <w:sectPr w:rsidR="00122CE8">
          <w:pgSz w:w="11910" w:h="16840"/>
          <w:pgMar w:top="1500" w:right="1275" w:bottom="1500" w:left="1417" w:header="0" w:footer="1308" w:gutter="0"/>
          <w:cols w:space="720"/>
        </w:sectPr>
      </w:pPr>
    </w:p>
    <w:p w14:paraId="7532373F" w14:textId="77777777" w:rsidR="00122CE8" w:rsidRDefault="00AC01CC">
      <w:pPr>
        <w:pStyle w:val="ListParagraph"/>
        <w:numPr>
          <w:ilvl w:val="0"/>
          <w:numId w:val="3"/>
        </w:numPr>
        <w:tabs>
          <w:tab w:val="left" w:pos="331"/>
        </w:tabs>
        <w:spacing w:before="82" w:line="360" w:lineRule="auto"/>
        <w:ind w:right="160" w:firstLine="0"/>
        <w:jc w:val="both"/>
        <w:rPr>
          <w:sz w:val="24"/>
        </w:rPr>
      </w:pPr>
      <w:r>
        <w:rPr>
          <w:sz w:val="24"/>
        </w:rPr>
        <w:lastRenderedPageBreak/>
        <w:t>Implementing reorder points and min-max bands that are dynamic, rather than static, that are shortene</w:t>
      </w:r>
      <w:r>
        <w:rPr>
          <w:sz w:val="24"/>
        </w:rPr>
        <w:t xml:space="preserve">d with actual demand and extended with shelf life to prevent out-of-stocks (Slack, Brandon-Jones and Burgess, 2024; </w:t>
      </w:r>
      <w:proofErr w:type="spellStart"/>
      <w:r>
        <w:rPr>
          <w:sz w:val="24"/>
        </w:rPr>
        <w:t>Asghari</w:t>
      </w:r>
      <w:proofErr w:type="spellEnd"/>
      <w:r>
        <w:rPr>
          <w:sz w:val="24"/>
        </w:rPr>
        <w:t xml:space="preserve"> </w:t>
      </w:r>
      <w:r>
        <w:rPr>
          <w:rFonts w:ascii="Arial"/>
          <w:i/>
          <w:sz w:val="24"/>
        </w:rPr>
        <w:t xml:space="preserve">et al., </w:t>
      </w:r>
      <w:r>
        <w:rPr>
          <w:sz w:val="24"/>
        </w:rPr>
        <w:t>2026).</w:t>
      </w:r>
    </w:p>
    <w:p w14:paraId="227E6353" w14:textId="77777777" w:rsidR="00122CE8" w:rsidRDefault="00AC01CC">
      <w:pPr>
        <w:pStyle w:val="ListParagraph"/>
        <w:numPr>
          <w:ilvl w:val="0"/>
          <w:numId w:val="3"/>
        </w:numPr>
        <w:tabs>
          <w:tab w:val="left" w:pos="328"/>
        </w:tabs>
        <w:spacing w:before="241" w:line="360" w:lineRule="auto"/>
        <w:ind w:right="162" w:firstLine="0"/>
        <w:jc w:val="both"/>
        <w:rPr>
          <w:sz w:val="24"/>
        </w:rPr>
      </w:pPr>
      <w:r>
        <w:rPr>
          <w:sz w:val="24"/>
        </w:rPr>
        <w:t>Incorporate the use of cycle counts for resin critical inputs, as per the Monthly discrepancy review, which should re</w:t>
      </w:r>
      <w:r>
        <w:rPr>
          <w:sz w:val="24"/>
        </w:rPr>
        <w:t>sult in FEFO and reorder points based on accurate batch information (</w:t>
      </w:r>
      <w:proofErr w:type="spellStart"/>
      <w:r>
        <w:rPr>
          <w:sz w:val="24"/>
        </w:rPr>
        <w:t>Schuitemaker</w:t>
      </w:r>
      <w:proofErr w:type="spellEnd"/>
      <w:r>
        <w:rPr>
          <w:sz w:val="24"/>
        </w:rPr>
        <w:t xml:space="preserve"> and Xu, 2020; </w:t>
      </w:r>
      <w:proofErr w:type="spellStart"/>
      <w:r>
        <w:rPr>
          <w:sz w:val="24"/>
        </w:rPr>
        <w:t>Kreuter</w:t>
      </w:r>
      <w:proofErr w:type="spellEnd"/>
      <w:r>
        <w:rPr>
          <w:sz w:val="24"/>
        </w:rPr>
        <w:t xml:space="preserve"> </w:t>
      </w:r>
      <w:r>
        <w:rPr>
          <w:rFonts w:ascii="Arial"/>
          <w:i/>
          <w:sz w:val="24"/>
        </w:rPr>
        <w:t xml:space="preserve">et al., </w:t>
      </w:r>
      <w:r>
        <w:rPr>
          <w:sz w:val="24"/>
        </w:rPr>
        <w:t>2022).</w:t>
      </w:r>
    </w:p>
    <w:p w14:paraId="65B52F4E" w14:textId="77777777" w:rsidR="00122CE8" w:rsidRDefault="00AC01CC">
      <w:pPr>
        <w:pStyle w:val="ListParagraph"/>
        <w:numPr>
          <w:ilvl w:val="0"/>
          <w:numId w:val="3"/>
        </w:numPr>
        <w:tabs>
          <w:tab w:val="left" w:pos="306"/>
        </w:tabs>
        <w:spacing w:before="237" w:line="360" w:lineRule="auto"/>
        <w:ind w:right="160" w:firstLine="0"/>
        <w:jc w:val="both"/>
        <w:rPr>
          <w:sz w:val="24"/>
        </w:rPr>
      </w:pPr>
      <w:r>
        <w:rPr>
          <w:sz w:val="24"/>
        </w:rPr>
        <w:t>Improves the accuracy of stocks and considers trial supplier collaboration or VMI only for selected lines of resin, through the Monthly F</w:t>
      </w:r>
      <w:r>
        <w:rPr>
          <w:sz w:val="24"/>
        </w:rPr>
        <w:t>orum, reviewing discrepancies. (</w:t>
      </w:r>
      <w:proofErr w:type="spellStart"/>
      <w:r>
        <w:rPr>
          <w:sz w:val="24"/>
        </w:rPr>
        <w:t>Kalla</w:t>
      </w:r>
      <w:proofErr w:type="spellEnd"/>
      <w:r>
        <w:rPr>
          <w:sz w:val="24"/>
        </w:rPr>
        <w:t xml:space="preserve">, </w:t>
      </w:r>
      <w:proofErr w:type="spellStart"/>
      <w:r>
        <w:rPr>
          <w:sz w:val="24"/>
        </w:rPr>
        <w:t>Scavarda</w:t>
      </w:r>
      <w:proofErr w:type="spellEnd"/>
      <w:r>
        <w:rPr>
          <w:sz w:val="24"/>
        </w:rPr>
        <w:t xml:space="preserve"> and </w:t>
      </w:r>
      <w:proofErr w:type="spellStart"/>
      <w:r>
        <w:rPr>
          <w:sz w:val="24"/>
        </w:rPr>
        <w:t>Hellingrath</w:t>
      </w:r>
      <w:proofErr w:type="spellEnd"/>
      <w:r>
        <w:rPr>
          <w:sz w:val="24"/>
        </w:rPr>
        <w:t xml:space="preserve">, 2025; Salas-Navarro </w:t>
      </w:r>
      <w:r>
        <w:rPr>
          <w:rFonts w:ascii="Arial"/>
          <w:i/>
          <w:sz w:val="24"/>
        </w:rPr>
        <w:t xml:space="preserve">et al., </w:t>
      </w:r>
      <w:r>
        <w:rPr>
          <w:sz w:val="24"/>
        </w:rPr>
        <w:t>2026).</w:t>
      </w:r>
    </w:p>
    <w:p w14:paraId="72E4C077" w14:textId="77777777" w:rsidR="00122CE8" w:rsidRDefault="00122CE8">
      <w:pPr>
        <w:pStyle w:val="ListParagraph"/>
        <w:spacing w:line="360" w:lineRule="auto"/>
        <w:jc w:val="both"/>
        <w:rPr>
          <w:sz w:val="24"/>
        </w:rPr>
        <w:sectPr w:rsidR="00122CE8">
          <w:pgSz w:w="11910" w:h="16840"/>
          <w:pgMar w:top="1340" w:right="1275" w:bottom="1500" w:left="1417" w:header="0" w:footer="1308" w:gutter="0"/>
          <w:cols w:space="720"/>
        </w:sectPr>
      </w:pPr>
    </w:p>
    <w:p w14:paraId="4CB87C1B" w14:textId="77777777" w:rsidR="00122CE8" w:rsidRDefault="00AC01CC">
      <w:pPr>
        <w:pStyle w:val="Heading1"/>
        <w:numPr>
          <w:ilvl w:val="0"/>
          <w:numId w:val="4"/>
        </w:numPr>
        <w:tabs>
          <w:tab w:val="left" w:pos="378"/>
        </w:tabs>
        <w:ind w:hanging="355"/>
      </w:pPr>
      <w:bookmarkStart w:id="6" w:name="_bookmark6"/>
      <w:bookmarkEnd w:id="6"/>
      <w:r>
        <w:lastRenderedPageBreak/>
        <w:t>Options</w:t>
      </w:r>
      <w:r>
        <w:rPr>
          <w:spacing w:val="-8"/>
        </w:rPr>
        <w:t xml:space="preserve"> </w:t>
      </w:r>
      <w:r>
        <w:t>for</w:t>
      </w:r>
      <w:r>
        <w:rPr>
          <w:spacing w:val="-7"/>
        </w:rPr>
        <w:t xml:space="preserve"> </w:t>
      </w:r>
      <w:r>
        <w:t>Dealing</w:t>
      </w:r>
      <w:r>
        <w:rPr>
          <w:spacing w:val="-8"/>
        </w:rPr>
        <w:t xml:space="preserve"> </w:t>
      </w:r>
      <w:r>
        <w:t>with</w:t>
      </w:r>
      <w:r>
        <w:rPr>
          <w:spacing w:val="-9"/>
        </w:rPr>
        <w:t xml:space="preserve"> </w:t>
      </w:r>
      <w:r>
        <w:t>the</w:t>
      </w:r>
      <w:r>
        <w:rPr>
          <w:spacing w:val="-7"/>
        </w:rPr>
        <w:t xml:space="preserve"> </w:t>
      </w:r>
      <w:r>
        <w:t>Obsolete</w:t>
      </w:r>
      <w:r>
        <w:rPr>
          <w:spacing w:val="-7"/>
        </w:rPr>
        <w:t xml:space="preserve"> </w:t>
      </w:r>
      <w:r>
        <w:rPr>
          <w:spacing w:val="-2"/>
        </w:rPr>
        <w:t>Stock</w:t>
      </w:r>
    </w:p>
    <w:p w14:paraId="5C7E00C8" w14:textId="77777777" w:rsidR="00122CE8" w:rsidRDefault="00122CE8">
      <w:pPr>
        <w:pStyle w:val="BodyText"/>
        <w:spacing w:before="98"/>
        <w:ind w:left="0" w:right="0"/>
        <w:jc w:val="left"/>
        <w:rPr>
          <w:rFonts w:ascii="Arial"/>
          <w:b/>
          <w:sz w:val="32"/>
        </w:rPr>
      </w:pPr>
    </w:p>
    <w:p w14:paraId="68F0E4DA" w14:textId="77777777" w:rsidR="00122CE8" w:rsidRDefault="00AC01CC">
      <w:pPr>
        <w:pStyle w:val="Heading2"/>
        <w:numPr>
          <w:ilvl w:val="1"/>
          <w:numId w:val="4"/>
        </w:numPr>
        <w:tabs>
          <w:tab w:val="left" w:pos="487"/>
        </w:tabs>
        <w:ind w:left="487" w:hanging="464"/>
      </w:pPr>
      <w:bookmarkStart w:id="7" w:name="_bookmark7"/>
      <w:bookmarkEnd w:id="7"/>
      <w:r>
        <w:t>Define</w:t>
      </w:r>
      <w:r>
        <w:rPr>
          <w:spacing w:val="-11"/>
        </w:rPr>
        <w:t xml:space="preserve"> </w:t>
      </w:r>
      <w:r>
        <w:t>the</w:t>
      </w:r>
      <w:r>
        <w:rPr>
          <w:spacing w:val="-11"/>
        </w:rPr>
        <w:t xml:space="preserve"> </w:t>
      </w:r>
      <w:r>
        <w:t>obsolete-stock</w:t>
      </w:r>
      <w:r>
        <w:rPr>
          <w:spacing w:val="-11"/>
        </w:rPr>
        <w:t xml:space="preserve"> </w:t>
      </w:r>
      <w:r>
        <w:t>decision</w:t>
      </w:r>
      <w:r>
        <w:rPr>
          <w:spacing w:val="-10"/>
        </w:rPr>
        <w:t xml:space="preserve"> </w:t>
      </w:r>
      <w:r>
        <w:rPr>
          <w:spacing w:val="-2"/>
        </w:rPr>
        <w:t>problem</w:t>
      </w:r>
    </w:p>
    <w:p w14:paraId="7C88641F" w14:textId="77777777" w:rsidR="00122CE8" w:rsidRDefault="00122CE8">
      <w:pPr>
        <w:pStyle w:val="BodyText"/>
        <w:spacing w:before="75"/>
        <w:ind w:left="0" w:right="0"/>
        <w:jc w:val="left"/>
        <w:rPr>
          <w:rFonts w:ascii="Arial"/>
          <w:b/>
          <w:sz w:val="28"/>
        </w:rPr>
      </w:pPr>
    </w:p>
    <w:p w14:paraId="1775ECCE" w14:textId="77777777" w:rsidR="00122CE8" w:rsidRDefault="00AC01CC">
      <w:pPr>
        <w:pStyle w:val="BodyText"/>
        <w:spacing w:line="360" w:lineRule="auto"/>
      </w:pPr>
      <w:r>
        <w:t xml:space="preserve">Ought </w:t>
      </w:r>
      <w:proofErr w:type="gramStart"/>
      <w:r>
        <w:t>expired</w:t>
      </w:r>
      <w:proofErr w:type="gramEnd"/>
      <w:r>
        <w:t xml:space="preserve"> resin is a mixed quality, Compliance, cash-flow and environmental concern.</w:t>
      </w:r>
      <w:r>
        <w:rPr>
          <w:spacing w:val="-15"/>
        </w:rPr>
        <w:t xml:space="preserve"> </w:t>
      </w:r>
      <w:r>
        <w:t>Guidance</w:t>
      </w:r>
      <w:r>
        <w:rPr>
          <w:spacing w:val="-15"/>
        </w:rPr>
        <w:t xml:space="preserve"> </w:t>
      </w:r>
      <w:r>
        <w:t>by</w:t>
      </w:r>
      <w:r>
        <w:rPr>
          <w:spacing w:val="-15"/>
        </w:rPr>
        <w:t xml:space="preserve"> </w:t>
      </w:r>
      <w:r>
        <w:t>the</w:t>
      </w:r>
      <w:r>
        <w:rPr>
          <w:spacing w:val="-15"/>
        </w:rPr>
        <w:t xml:space="preserve"> </w:t>
      </w:r>
      <w:r>
        <w:t>Environment</w:t>
      </w:r>
      <w:r>
        <w:rPr>
          <w:spacing w:val="-15"/>
        </w:rPr>
        <w:t xml:space="preserve"> </w:t>
      </w:r>
      <w:r>
        <w:t>Agency</w:t>
      </w:r>
      <w:r>
        <w:rPr>
          <w:spacing w:val="-15"/>
        </w:rPr>
        <w:t xml:space="preserve"> </w:t>
      </w:r>
      <w:r>
        <w:t>indicates</w:t>
      </w:r>
      <w:r>
        <w:rPr>
          <w:spacing w:val="-15"/>
        </w:rPr>
        <w:t xml:space="preserve"> </w:t>
      </w:r>
      <w:r>
        <w:t>that</w:t>
      </w:r>
      <w:r>
        <w:rPr>
          <w:spacing w:val="-15"/>
        </w:rPr>
        <w:t xml:space="preserve"> </w:t>
      </w:r>
      <w:r>
        <w:t>more</w:t>
      </w:r>
      <w:r>
        <w:rPr>
          <w:spacing w:val="-15"/>
        </w:rPr>
        <w:t xml:space="preserve"> </w:t>
      </w:r>
      <w:r>
        <w:t>likely</w:t>
      </w:r>
      <w:r>
        <w:rPr>
          <w:spacing w:val="-15"/>
        </w:rPr>
        <w:t xml:space="preserve"> </w:t>
      </w:r>
      <w:r>
        <w:t>materials</w:t>
      </w:r>
      <w:r>
        <w:rPr>
          <w:spacing w:val="-15"/>
        </w:rPr>
        <w:t xml:space="preserve"> </w:t>
      </w:r>
      <w:r>
        <w:t>will be treated as waste when unwanted, when inappropriate, when in excess supply, when treated</w:t>
      </w:r>
      <w:r>
        <w:t xml:space="preserve"> in harmful ways, and when so reused under the legal claim of reuse, there must be certainty of use, fitness of purpose and no increased risk of health or the environment (Environment Agency, 2024). </w:t>
      </w:r>
      <w:proofErr w:type="spellStart"/>
      <w:r>
        <w:t>Brocksweir</w:t>
      </w:r>
      <w:proofErr w:type="spellEnd"/>
      <w:r>
        <w:t xml:space="preserve"> cannot thus presuppose that</w:t>
      </w:r>
      <w:r>
        <w:rPr>
          <w:spacing w:val="-1"/>
        </w:rPr>
        <w:t xml:space="preserve"> </w:t>
      </w:r>
      <w:r>
        <w:t>resin</w:t>
      </w:r>
      <w:r>
        <w:rPr>
          <w:spacing w:val="-1"/>
        </w:rPr>
        <w:t xml:space="preserve"> </w:t>
      </w:r>
      <w:r>
        <w:t>that</w:t>
      </w:r>
      <w:r>
        <w:rPr>
          <w:spacing w:val="-1"/>
        </w:rPr>
        <w:t xml:space="preserve"> </w:t>
      </w:r>
      <w:r>
        <w:t>has</w:t>
      </w:r>
      <w:r>
        <w:rPr>
          <w:spacing w:val="-1"/>
        </w:rPr>
        <w:t xml:space="preserve"> </w:t>
      </w:r>
      <w:r>
        <w:t>pas</w:t>
      </w:r>
      <w:r>
        <w:t>sed</w:t>
      </w:r>
      <w:r>
        <w:rPr>
          <w:spacing w:val="-1"/>
        </w:rPr>
        <w:t xml:space="preserve"> </w:t>
      </w:r>
      <w:r>
        <w:t>its</w:t>
      </w:r>
      <w:r>
        <w:rPr>
          <w:spacing w:val="-1"/>
        </w:rPr>
        <w:t xml:space="preserve"> </w:t>
      </w:r>
      <w:r>
        <w:t>expiry</w:t>
      </w:r>
      <w:r>
        <w:rPr>
          <w:spacing w:val="-1"/>
        </w:rPr>
        <w:t xml:space="preserve"> </w:t>
      </w:r>
      <w:r>
        <w:t>date</w:t>
      </w:r>
      <w:r>
        <w:rPr>
          <w:spacing w:val="-1"/>
        </w:rPr>
        <w:t xml:space="preserve"> </w:t>
      </w:r>
      <w:r>
        <w:t>is</w:t>
      </w:r>
      <w:r>
        <w:rPr>
          <w:spacing w:val="-1"/>
        </w:rPr>
        <w:t xml:space="preserve"> </w:t>
      </w:r>
      <w:r>
        <w:t>still</w:t>
      </w:r>
      <w:r>
        <w:rPr>
          <w:spacing w:val="-1"/>
        </w:rPr>
        <w:t xml:space="preserve"> </w:t>
      </w:r>
      <w:r>
        <w:t>a</w:t>
      </w:r>
      <w:r>
        <w:rPr>
          <w:spacing w:val="-1"/>
        </w:rPr>
        <w:t xml:space="preserve"> </w:t>
      </w:r>
      <w:r>
        <w:t>viable</w:t>
      </w:r>
      <w:r>
        <w:rPr>
          <w:spacing w:val="-1"/>
        </w:rPr>
        <w:t xml:space="preserve"> </w:t>
      </w:r>
      <w:r>
        <w:t>input</w:t>
      </w:r>
      <w:r>
        <w:rPr>
          <w:spacing w:val="-1"/>
        </w:rPr>
        <w:t xml:space="preserve"> </w:t>
      </w:r>
      <w:r>
        <w:t>due</w:t>
      </w:r>
      <w:r>
        <w:rPr>
          <w:spacing w:val="-1"/>
        </w:rPr>
        <w:t xml:space="preserve"> </w:t>
      </w:r>
      <w:r>
        <w:t>to</w:t>
      </w:r>
      <w:r>
        <w:rPr>
          <w:spacing w:val="-1"/>
        </w:rPr>
        <w:t xml:space="preserve"> </w:t>
      </w:r>
      <w:r>
        <w:t>the</w:t>
      </w:r>
      <w:r>
        <w:rPr>
          <w:spacing w:val="-1"/>
        </w:rPr>
        <w:t xml:space="preserve"> </w:t>
      </w:r>
      <w:r>
        <w:t>fact</w:t>
      </w:r>
      <w:r>
        <w:rPr>
          <w:spacing w:val="-1"/>
        </w:rPr>
        <w:t xml:space="preserve"> </w:t>
      </w:r>
      <w:r>
        <w:t>that</w:t>
      </w:r>
      <w:r>
        <w:rPr>
          <w:spacing w:val="-1"/>
        </w:rPr>
        <w:t xml:space="preserve"> </w:t>
      </w:r>
      <w:r>
        <w:t>they have not opened the bottles. Some of its decision criteria should be legal status, technical usability, disposal liability, recovery value, reputational risk and that of speedy resolutio</w:t>
      </w:r>
      <w:r>
        <w:t>n.</w:t>
      </w:r>
    </w:p>
    <w:p w14:paraId="220A51E9" w14:textId="77777777" w:rsidR="00122CE8" w:rsidRDefault="00122CE8">
      <w:pPr>
        <w:pStyle w:val="BodyText"/>
        <w:spacing w:before="1"/>
        <w:ind w:left="0" w:right="0"/>
        <w:jc w:val="left"/>
      </w:pPr>
    </w:p>
    <w:p w14:paraId="00F51E88" w14:textId="77777777" w:rsidR="00122CE8" w:rsidRDefault="00AC01CC">
      <w:pPr>
        <w:pStyle w:val="Heading2"/>
        <w:numPr>
          <w:ilvl w:val="1"/>
          <w:numId w:val="4"/>
        </w:numPr>
        <w:tabs>
          <w:tab w:val="left" w:pos="487"/>
        </w:tabs>
        <w:ind w:left="487" w:hanging="464"/>
      </w:pPr>
      <w:bookmarkStart w:id="8" w:name="_bookmark8"/>
      <w:bookmarkEnd w:id="8"/>
      <w:r>
        <w:t>Critically</w:t>
      </w:r>
      <w:r>
        <w:rPr>
          <w:spacing w:val="-10"/>
        </w:rPr>
        <w:t xml:space="preserve"> </w:t>
      </w:r>
      <w:proofErr w:type="spellStart"/>
      <w:r>
        <w:t>analyse</w:t>
      </w:r>
      <w:proofErr w:type="spellEnd"/>
      <w:r>
        <w:rPr>
          <w:spacing w:val="-9"/>
        </w:rPr>
        <w:t xml:space="preserve"> </w:t>
      </w:r>
      <w:r>
        <w:t>the</w:t>
      </w:r>
      <w:r>
        <w:rPr>
          <w:spacing w:val="-9"/>
        </w:rPr>
        <w:t xml:space="preserve"> </w:t>
      </w:r>
      <w:r>
        <w:t>available</w:t>
      </w:r>
      <w:r>
        <w:rPr>
          <w:spacing w:val="-10"/>
        </w:rPr>
        <w:t xml:space="preserve"> </w:t>
      </w:r>
      <w:r>
        <w:rPr>
          <w:spacing w:val="-2"/>
        </w:rPr>
        <w:t>options</w:t>
      </w:r>
    </w:p>
    <w:p w14:paraId="56A0F470" w14:textId="77777777" w:rsidR="00122CE8" w:rsidRDefault="00122CE8">
      <w:pPr>
        <w:pStyle w:val="BodyText"/>
        <w:spacing w:before="85"/>
        <w:ind w:left="0" w:right="0"/>
        <w:jc w:val="left"/>
        <w:rPr>
          <w:rFonts w:ascii="Arial"/>
          <w:b/>
          <w:sz w:val="28"/>
        </w:rPr>
      </w:pPr>
    </w:p>
    <w:p w14:paraId="77CE4CE5" w14:textId="77777777" w:rsidR="00122CE8" w:rsidRDefault="00AC01CC">
      <w:pPr>
        <w:pStyle w:val="BodyText"/>
        <w:spacing w:line="360" w:lineRule="auto"/>
      </w:pPr>
      <w:r>
        <w:t>Quarantine is the initial and proper action for the disposal of surplus resin. Unless recovery or disposal can be determined, all expired or potentially unstable resin batches</w:t>
      </w:r>
      <w:r>
        <w:rPr>
          <w:spacing w:val="-17"/>
        </w:rPr>
        <w:t xml:space="preserve"> </w:t>
      </w:r>
      <w:r>
        <w:t>should</w:t>
      </w:r>
      <w:r>
        <w:rPr>
          <w:spacing w:val="-17"/>
        </w:rPr>
        <w:t xml:space="preserve"> </w:t>
      </w:r>
      <w:r>
        <w:t>be</w:t>
      </w:r>
      <w:r>
        <w:rPr>
          <w:spacing w:val="-16"/>
        </w:rPr>
        <w:t xml:space="preserve"> </w:t>
      </w:r>
      <w:r>
        <w:t>isolated,</w:t>
      </w:r>
      <w:r>
        <w:rPr>
          <w:spacing w:val="-17"/>
        </w:rPr>
        <w:t xml:space="preserve"> </w:t>
      </w:r>
      <w:r>
        <w:t>clearly</w:t>
      </w:r>
      <w:r>
        <w:rPr>
          <w:spacing w:val="-17"/>
        </w:rPr>
        <w:t xml:space="preserve"> </w:t>
      </w:r>
      <w:r>
        <w:t>marked</w:t>
      </w:r>
      <w:r>
        <w:rPr>
          <w:spacing w:val="-16"/>
        </w:rPr>
        <w:t xml:space="preserve"> </w:t>
      </w:r>
      <w:r>
        <w:t>and</w:t>
      </w:r>
      <w:r>
        <w:rPr>
          <w:spacing w:val="-17"/>
        </w:rPr>
        <w:t xml:space="preserve"> </w:t>
      </w:r>
      <w:r>
        <w:t>subject</w:t>
      </w:r>
      <w:r>
        <w:rPr>
          <w:spacing w:val="-17"/>
        </w:rPr>
        <w:t xml:space="preserve"> </w:t>
      </w:r>
      <w:r>
        <w:t>to</w:t>
      </w:r>
      <w:r>
        <w:rPr>
          <w:spacing w:val="-16"/>
        </w:rPr>
        <w:t xml:space="preserve"> </w:t>
      </w:r>
      <w:r>
        <w:t>careful</w:t>
      </w:r>
      <w:r>
        <w:rPr>
          <w:spacing w:val="-17"/>
        </w:rPr>
        <w:t xml:space="preserve"> </w:t>
      </w:r>
      <w:r>
        <w:t>handling</w:t>
      </w:r>
      <w:r>
        <w:rPr>
          <w:spacing w:val="-17"/>
        </w:rPr>
        <w:t xml:space="preserve"> </w:t>
      </w:r>
      <w:r>
        <w:t>and</w:t>
      </w:r>
      <w:r>
        <w:rPr>
          <w:spacing w:val="-16"/>
        </w:rPr>
        <w:t xml:space="preserve"> </w:t>
      </w:r>
      <w:r>
        <w:t xml:space="preserve">storage along with periodic container checks for potential damage. Advice from the Environment Agency </w:t>
      </w:r>
      <w:proofErr w:type="spellStart"/>
      <w:r>
        <w:t>emphasises</w:t>
      </w:r>
      <w:proofErr w:type="spellEnd"/>
      <w:r>
        <w:t xml:space="preserve"> the need to separate, store and ensure competent management</w:t>
      </w:r>
      <w:r>
        <w:rPr>
          <w:spacing w:val="-11"/>
        </w:rPr>
        <w:t xml:space="preserve"> </w:t>
      </w:r>
      <w:r>
        <w:t>of</w:t>
      </w:r>
      <w:r>
        <w:rPr>
          <w:spacing w:val="-11"/>
        </w:rPr>
        <w:t xml:space="preserve"> </w:t>
      </w:r>
      <w:r>
        <w:t>hazardous</w:t>
      </w:r>
      <w:r>
        <w:rPr>
          <w:spacing w:val="-11"/>
        </w:rPr>
        <w:t xml:space="preserve"> </w:t>
      </w:r>
      <w:r>
        <w:t>waste.</w:t>
      </w:r>
      <w:r>
        <w:rPr>
          <w:spacing w:val="-11"/>
        </w:rPr>
        <w:t xml:space="preserve"> </w:t>
      </w:r>
      <w:r>
        <w:t>The</w:t>
      </w:r>
      <w:r>
        <w:rPr>
          <w:spacing w:val="-11"/>
        </w:rPr>
        <w:t xml:space="preserve"> </w:t>
      </w:r>
      <w:r>
        <w:t>Health</w:t>
      </w:r>
      <w:r>
        <w:rPr>
          <w:spacing w:val="-11"/>
        </w:rPr>
        <w:t xml:space="preserve"> </w:t>
      </w:r>
      <w:r>
        <w:t>and</w:t>
      </w:r>
      <w:r>
        <w:rPr>
          <w:spacing w:val="-11"/>
        </w:rPr>
        <w:t xml:space="preserve"> </w:t>
      </w:r>
      <w:r>
        <w:t>Safet</w:t>
      </w:r>
      <w:r>
        <w:t>y</w:t>
      </w:r>
      <w:r>
        <w:rPr>
          <w:spacing w:val="-11"/>
        </w:rPr>
        <w:t xml:space="preserve"> </w:t>
      </w:r>
      <w:r>
        <w:t>Executive</w:t>
      </w:r>
      <w:r>
        <w:rPr>
          <w:spacing w:val="-11"/>
        </w:rPr>
        <w:t xml:space="preserve"> </w:t>
      </w:r>
      <w:r>
        <w:t>(HSE)</w:t>
      </w:r>
      <w:r>
        <w:rPr>
          <w:spacing w:val="-11"/>
        </w:rPr>
        <w:t xml:space="preserve"> </w:t>
      </w:r>
      <w:r>
        <w:t>advises</w:t>
      </w:r>
      <w:r>
        <w:rPr>
          <w:spacing w:val="-11"/>
        </w:rPr>
        <w:t xml:space="preserve"> </w:t>
      </w:r>
      <w:r>
        <w:t>on the significant risk associated with unstable and incompatible chemical materials (Environment Agency, 2020; Health and Safety Executive, 2023). As such, it is important for obsolete resin to be treated as a controlled hazard a</w:t>
      </w:r>
      <w:r>
        <w:t>nd not as a normal ingredient in a stockroom.</w:t>
      </w:r>
    </w:p>
    <w:p w14:paraId="4068DB30" w14:textId="77777777" w:rsidR="00122CE8" w:rsidRDefault="00AC01CC">
      <w:pPr>
        <w:pStyle w:val="BodyText"/>
        <w:spacing w:before="238" w:line="360" w:lineRule="auto"/>
      </w:pPr>
      <w:r>
        <w:t>The</w:t>
      </w:r>
      <w:r>
        <w:rPr>
          <w:spacing w:val="-1"/>
        </w:rPr>
        <w:t xml:space="preserve"> </w:t>
      </w:r>
      <w:r>
        <w:t>next</w:t>
      </w:r>
      <w:r>
        <w:rPr>
          <w:spacing w:val="-1"/>
        </w:rPr>
        <w:t xml:space="preserve"> </w:t>
      </w:r>
      <w:r>
        <w:t>step</w:t>
      </w:r>
      <w:r>
        <w:rPr>
          <w:spacing w:val="-1"/>
        </w:rPr>
        <w:t xml:space="preserve"> </w:t>
      </w:r>
      <w:r>
        <w:t>should</w:t>
      </w:r>
      <w:r>
        <w:rPr>
          <w:spacing w:val="-1"/>
        </w:rPr>
        <w:t xml:space="preserve"> </w:t>
      </w:r>
      <w:r>
        <w:t>be</w:t>
      </w:r>
      <w:r>
        <w:rPr>
          <w:spacing w:val="-1"/>
        </w:rPr>
        <w:t xml:space="preserve"> </w:t>
      </w:r>
      <w:r>
        <w:t>information-based</w:t>
      </w:r>
      <w:r>
        <w:rPr>
          <w:spacing w:val="-1"/>
        </w:rPr>
        <w:t xml:space="preserve"> </w:t>
      </w:r>
      <w:r>
        <w:t>screening.</w:t>
      </w:r>
      <w:r>
        <w:rPr>
          <w:spacing w:val="-1"/>
        </w:rPr>
        <w:t xml:space="preserve"> </w:t>
      </w:r>
      <w:r>
        <w:t>Before</w:t>
      </w:r>
      <w:r>
        <w:rPr>
          <w:spacing w:val="-1"/>
        </w:rPr>
        <w:t xml:space="preserve"> </w:t>
      </w:r>
      <w:r>
        <w:t>deciding</w:t>
      </w:r>
      <w:r>
        <w:rPr>
          <w:spacing w:val="-1"/>
        </w:rPr>
        <w:t xml:space="preserve"> </w:t>
      </w:r>
      <w:r>
        <w:t>whether</w:t>
      </w:r>
      <w:r>
        <w:rPr>
          <w:spacing w:val="-1"/>
        </w:rPr>
        <w:t xml:space="preserve"> </w:t>
      </w:r>
      <w:r>
        <w:t>to</w:t>
      </w:r>
      <w:r>
        <w:rPr>
          <w:spacing w:val="-1"/>
        </w:rPr>
        <w:t xml:space="preserve"> </w:t>
      </w:r>
      <w:r>
        <w:t xml:space="preserve">re- use or recover, </w:t>
      </w:r>
      <w:proofErr w:type="spellStart"/>
      <w:r>
        <w:t>Brocksweir</w:t>
      </w:r>
      <w:proofErr w:type="spellEnd"/>
      <w:r>
        <w:t xml:space="preserve"> should consult the most up-to-date SDS, supplier advice, Expiry evidence and Batch history. In acco</w:t>
      </w:r>
      <w:r>
        <w:t>rdance with the guidance provided by DEFRA, waste prevention and lawful recovery are encouraged wherever safe and practically</w:t>
      </w:r>
      <w:r>
        <w:rPr>
          <w:spacing w:val="-13"/>
        </w:rPr>
        <w:t xml:space="preserve"> </w:t>
      </w:r>
      <w:r>
        <w:t>possible</w:t>
      </w:r>
      <w:r>
        <w:rPr>
          <w:spacing w:val="-13"/>
        </w:rPr>
        <w:t xml:space="preserve"> </w:t>
      </w:r>
      <w:r>
        <w:t>(Department</w:t>
      </w:r>
      <w:r>
        <w:rPr>
          <w:spacing w:val="-13"/>
        </w:rPr>
        <w:t xml:space="preserve"> </w:t>
      </w:r>
      <w:r>
        <w:t>for</w:t>
      </w:r>
      <w:r>
        <w:rPr>
          <w:spacing w:val="-13"/>
        </w:rPr>
        <w:t xml:space="preserve"> </w:t>
      </w:r>
      <w:r>
        <w:t>Environment,</w:t>
      </w:r>
      <w:r>
        <w:rPr>
          <w:spacing w:val="-13"/>
        </w:rPr>
        <w:t xml:space="preserve"> </w:t>
      </w:r>
      <w:r>
        <w:t>Food</w:t>
      </w:r>
      <w:r>
        <w:rPr>
          <w:spacing w:val="-13"/>
        </w:rPr>
        <w:t xml:space="preserve"> </w:t>
      </w:r>
      <w:r>
        <w:t>&amp;</w:t>
      </w:r>
      <w:r>
        <w:rPr>
          <w:spacing w:val="-13"/>
        </w:rPr>
        <w:t xml:space="preserve"> </w:t>
      </w:r>
      <w:r>
        <w:t>Rural</w:t>
      </w:r>
      <w:r>
        <w:rPr>
          <w:spacing w:val="-13"/>
        </w:rPr>
        <w:t xml:space="preserve"> </w:t>
      </w:r>
      <w:r>
        <w:t>Affairs,</w:t>
      </w:r>
      <w:r>
        <w:rPr>
          <w:spacing w:val="-13"/>
        </w:rPr>
        <w:t xml:space="preserve"> </w:t>
      </w:r>
      <w:r>
        <w:t>2011).</w:t>
      </w:r>
      <w:r>
        <w:rPr>
          <w:spacing w:val="-13"/>
        </w:rPr>
        <w:t xml:space="preserve"> </w:t>
      </w:r>
      <w:r>
        <w:t>Re-use is</w:t>
      </w:r>
      <w:r>
        <w:rPr>
          <w:spacing w:val="75"/>
        </w:rPr>
        <w:t xml:space="preserve"> </w:t>
      </w:r>
      <w:r>
        <w:t>a</w:t>
      </w:r>
      <w:r>
        <w:rPr>
          <w:spacing w:val="77"/>
        </w:rPr>
        <w:t xml:space="preserve"> </w:t>
      </w:r>
      <w:r>
        <w:t>valid</w:t>
      </w:r>
      <w:r>
        <w:rPr>
          <w:spacing w:val="77"/>
        </w:rPr>
        <w:t xml:space="preserve"> </w:t>
      </w:r>
      <w:r>
        <w:t>option.</w:t>
      </w:r>
      <w:r>
        <w:rPr>
          <w:spacing w:val="77"/>
        </w:rPr>
        <w:t xml:space="preserve"> </w:t>
      </w:r>
      <w:r>
        <w:t>The</w:t>
      </w:r>
      <w:r>
        <w:rPr>
          <w:spacing w:val="78"/>
        </w:rPr>
        <w:t xml:space="preserve"> </w:t>
      </w:r>
      <w:r>
        <w:t>Environment</w:t>
      </w:r>
      <w:r>
        <w:rPr>
          <w:spacing w:val="77"/>
        </w:rPr>
        <w:t xml:space="preserve"> </w:t>
      </w:r>
      <w:r>
        <w:t>Agency</w:t>
      </w:r>
      <w:r>
        <w:rPr>
          <w:spacing w:val="77"/>
        </w:rPr>
        <w:t xml:space="preserve"> </w:t>
      </w:r>
      <w:r>
        <w:t>reminds</w:t>
      </w:r>
      <w:r>
        <w:rPr>
          <w:spacing w:val="77"/>
        </w:rPr>
        <w:t xml:space="preserve"> </w:t>
      </w:r>
      <w:r>
        <w:t>that</w:t>
      </w:r>
      <w:r>
        <w:rPr>
          <w:spacing w:val="77"/>
        </w:rPr>
        <w:t xml:space="preserve"> </w:t>
      </w:r>
      <w:r>
        <w:t>only</w:t>
      </w:r>
      <w:r>
        <w:rPr>
          <w:spacing w:val="77"/>
        </w:rPr>
        <w:t xml:space="preserve"> </w:t>
      </w:r>
      <w:r>
        <w:t>when</w:t>
      </w:r>
      <w:r>
        <w:rPr>
          <w:spacing w:val="77"/>
        </w:rPr>
        <w:t xml:space="preserve"> </w:t>
      </w:r>
      <w:r>
        <w:t>it</w:t>
      </w:r>
      <w:r>
        <w:rPr>
          <w:spacing w:val="77"/>
        </w:rPr>
        <w:t xml:space="preserve"> </w:t>
      </w:r>
      <w:r>
        <w:t>can</w:t>
      </w:r>
      <w:r>
        <w:rPr>
          <w:spacing w:val="78"/>
        </w:rPr>
        <w:t xml:space="preserve"> </w:t>
      </w:r>
      <w:r>
        <w:rPr>
          <w:spacing w:val="-5"/>
        </w:rPr>
        <w:t>be</w:t>
      </w:r>
    </w:p>
    <w:p w14:paraId="11AD8CCB" w14:textId="77777777" w:rsidR="00122CE8" w:rsidRDefault="00122CE8">
      <w:pPr>
        <w:pStyle w:val="BodyText"/>
        <w:spacing w:line="360" w:lineRule="auto"/>
        <w:sectPr w:rsidR="00122CE8">
          <w:pgSz w:w="11910" w:h="16840"/>
          <w:pgMar w:top="1360" w:right="1275" w:bottom="1500" w:left="1417" w:header="0" w:footer="1308" w:gutter="0"/>
          <w:cols w:space="720"/>
        </w:sectPr>
      </w:pPr>
    </w:p>
    <w:p w14:paraId="49FEFEBE" w14:textId="77777777" w:rsidR="00122CE8" w:rsidRDefault="00AC01CC">
      <w:pPr>
        <w:pStyle w:val="BodyText"/>
        <w:spacing w:before="82" w:line="360" w:lineRule="auto"/>
      </w:pPr>
      <w:r>
        <w:lastRenderedPageBreak/>
        <w:t>demonstrated that the material is safe, technically appropriate and legally permitted (Environment Agency, 2024). Thus, controlled testing or limited use may only be appropriate for those batches of components tha</w:t>
      </w:r>
      <w:r>
        <w:t>t are found to meet supplier requirements and operational needs.</w:t>
      </w:r>
    </w:p>
    <w:p w14:paraId="567FA54D" w14:textId="77777777" w:rsidR="00122CE8" w:rsidRDefault="00AC01CC">
      <w:pPr>
        <w:pStyle w:val="BodyText"/>
        <w:spacing w:before="240" w:line="360" w:lineRule="auto"/>
      </w:pPr>
      <w:r>
        <w:t>Recycling and particularly supplier take-back schemes and specialist treatment options</w:t>
      </w:r>
      <w:r>
        <w:rPr>
          <w:spacing w:val="-8"/>
        </w:rPr>
        <w:t xml:space="preserve"> </w:t>
      </w:r>
      <w:r>
        <w:t>should</w:t>
      </w:r>
      <w:r>
        <w:rPr>
          <w:spacing w:val="-9"/>
        </w:rPr>
        <w:t xml:space="preserve"> </w:t>
      </w:r>
      <w:r>
        <w:t>be</w:t>
      </w:r>
      <w:r>
        <w:rPr>
          <w:spacing w:val="-8"/>
        </w:rPr>
        <w:t xml:space="preserve"> </w:t>
      </w:r>
      <w:r>
        <w:t>considered</w:t>
      </w:r>
      <w:r>
        <w:rPr>
          <w:spacing w:val="-9"/>
        </w:rPr>
        <w:t xml:space="preserve"> </w:t>
      </w:r>
      <w:r>
        <w:t>to</w:t>
      </w:r>
      <w:r>
        <w:rPr>
          <w:spacing w:val="-8"/>
        </w:rPr>
        <w:t xml:space="preserve"> </w:t>
      </w:r>
      <w:r>
        <w:t>reduce</w:t>
      </w:r>
      <w:r>
        <w:rPr>
          <w:spacing w:val="-9"/>
        </w:rPr>
        <w:t xml:space="preserve"> </w:t>
      </w:r>
      <w:r>
        <w:t>the</w:t>
      </w:r>
      <w:r>
        <w:rPr>
          <w:spacing w:val="-8"/>
        </w:rPr>
        <w:t xml:space="preserve"> </w:t>
      </w:r>
      <w:proofErr w:type="gramStart"/>
      <w:r>
        <w:t>amount</w:t>
      </w:r>
      <w:proofErr w:type="gramEnd"/>
      <w:r>
        <w:rPr>
          <w:spacing w:val="-9"/>
        </w:rPr>
        <w:t xml:space="preserve"> </w:t>
      </w:r>
      <w:r>
        <w:t>of</w:t>
      </w:r>
      <w:r>
        <w:rPr>
          <w:spacing w:val="-8"/>
        </w:rPr>
        <w:t xml:space="preserve"> </w:t>
      </w:r>
      <w:r>
        <w:t>items</w:t>
      </w:r>
      <w:r>
        <w:rPr>
          <w:spacing w:val="-9"/>
        </w:rPr>
        <w:t xml:space="preserve"> </w:t>
      </w:r>
      <w:r>
        <w:t>going</w:t>
      </w:r>
      <w:r>
        <w:rPr>
          <w:spacing w:val="-8"/>
        </w:rPr>
        <w:t xml:space="preserve"> </w:t>
      </w:r>
      <w:r>
        <w:t>for</w:t>
      </w:r>
      <w:r>
        <w:rPr>
          <w:spacing w:val="-9"/>
        </w:rPr>
        <w:t xml:space="preserve"> </w:t>
      </w:r>
      <w:r>
        <w:t>disposal,</w:t>
      </w:r>
      <w:r>
        <w:rPr>
          <w:spacing w:val="-8"/>
        </w:rPr>
        <w:t xml:space="preserve"> </w:t>
      </w:r>
      <w:r>
        <w:t>where this is not possible. Howev</w:t>
      </w:r>
      <w:r>
        <w:t>er, environmental assessments show that there are concerns</w:t>
      </w:r>
      <w:r>
        <w:rPr>
          <w:spacing w:val="-16"/>
        </w:rPr>
        <w:t xml:space="preserve"> </w:t>
      </w:r>
      <w:r>
        <w:t>to</w:t>
      </w:r>
      <w:r>
        <w:rPr>
          <w:spacing w:val="-16"/>
        </w:rPr>
        <w:t xml:space="preserve"> </w:t>
      </w:r>
      <w:r>
        <w:t>be</w:t>
      </w:r>
      <w:r>
        <w:rPr>
          <w:spacing w:val="-16"/>
        </w:rPr>
        <w:t xml:space="preserve"> </w:t>
      </w:r>
      <w:r>
        <w:t>raised</w:t>
      </w:r>
      <w:r>
        <w:rPr>
          <w:spacing w:val="-16"/>
        </w:rPr>
        <w:t xml:space="preserve"> </w:t>
      </w:r>
      <w:r>
        <w:t>about</w:t>
      </w:r>
      <w:r>
        <w:rPr>
          <w:spacing w:val="-16"/>
        </w:rPr>
        <w:t xml:space="preserve"> </w:t>
      </w:r>
      <w:r>
        <w:t>the</w:t>
      </w:r>
      <w:r>
        <w:rPr>
          <w:spacing w:val="-16"/>
        </w:rPr>
        <w:t xml:space="preserve"> </w:t>
      </w:r>
      <w:r>
        <w:t>release</w:t>
      </w:r>
      <w:r>
        <w:rPr>
          <w:spacing w:val="-16"/>
        </w:rPr>
        <w:t xml:space="preserve"> </w:t>
      </w:r>
      <w:r>
        <w:t>of</w:t>
      </w:r>
      <w:r>
        <w:rPr>
          <w:spacing w:val="-16"/>
        </w:rPr>
        <w:t xml:space="preserve"> </w:t>
      </w:r>
      <w:r>
        <w:t>contaminants</w:t>
      </w:r>
      <w:r>
        <w:rPr>
          <w:spacing w:val="-16"/>
        </w:rPr>
        <w:t xml:space="preserve"> </w:t>
      </w:r>
      <w:r>
        <w:t>and</w:t>
      </w:r>
      <w:r>
        <w:rPr>
          <w:spacing w:val="-16"/>
        </w:rPr>
        <w:t xml:space="preserve"> </w:t>
      </w:r>
      <w:r>
        <w:t>leaching</w:t>
      </w:r>
      <w:r>
        <w:rPr>
          <w:spacing w:val="-16"/>
        </w:rPr>
        <w:t xml:space="preserve"> </w:t>
      </w:r>
      <w:r>
        <w:t>risks</w:t>
      </w:r>
      <w:r>
        <w:rPr>
          <w:spacing w:val="-16"/>
        </w:rPr>
        <w:t xml:space="preserve"> </w:t>
      </w:r>
      <w:r>
        <w:t>of</w:t>
      </w:r>
      <w:r>
        <w:rPr>
          <w:spacing w:val="-16"/>
        </w:rPr>
        <w:t xml:space="preserve"> </w:t>
      </w:r>
      <w:r>
        <w:t>phenolic and furan resin systems (</w:t>
      </w:r>
      <w:proofErr w:type="spellStart"/>
      <w:r>
        <w:t>Cioli</w:t>
      </w:r>
      <w:proofErr w:type="spellEnd"/>
      <w:r>
        <w:t xml:space="preserve"> </w:t>
      </w:r>
      <w:r>
        <w:rPr>
          <w:rFonts w:ascii="Arial"/>
          <w:i/>
        </w:rPr>
        <w:t xml:space="preserve">et al., </w:t>
      </w:r>
      <w:r>
        <w:t xml:space="preserve">2022; </w:t>
      </w:r>
      <w:proofErr w:type="spellStart"/>
      <w:r>
        <w:t>Holtzer</w:t>
      </w:r>
      <w:proofErr w:type="spellEnd"/>
      <w:r>
        <w:t xml:space="preserve"> </w:t>
      </w:r>
      <w:r>
        <w:rPr>
          <w:rFonts w:ascii="Arial"/>
          <w:i/>
        </w:rPr>
        <w:t xml:space="preserve">et al., </w:t>
      </w:r>
      <w:r>
        <w:t>2020). Even if part of the stock</w:t>
      </w:r>
      <w:r>
        <w:rPr>
          <w:spacing w:val="-2"/>
        </w:rPr>
        <w:t xml:space="preserve"> </w:t>
      </w:r>
      <w:r>
        <w:t>of</w:t>
      </w:r>
      <w:r>
        <w:rPr>
          <w:spacing w:val="-2"/>
        </w:rPr>
        <w:t xml:space="preserve"> </w:t>
      </w:r>
      <w:r>
        <w:t>GBP20,000</w:t>
      </w:r>
      <w:r>
        <w:rPr>
          <w:spacing w:val="-2"/>
        </w:rPr>
        <w:t xml:space="preserve"> </w:t>
      </w:r>
      <w:r>
        <w:t>is</w:t>
      </w:r>
      <w:r>
        <w:rPr>
          <w:spacing w:val="-2"/>
        </w:rPr>
        <w:t xml:space="preserve"> </w:t>
      </w:r>
      <w:r>
        <w:t>lost,</w:t>
      </w:r>
      <w:r>
        <w:rPr>
          <w:spacing w:val="-2"/>
        </w:rPr>
        <w:t xml:space="preserve"> </w:t>
      </w:r>
      <w:r>
        <w:t>there</w:t>
      </w:r>
      <w:r>
        <w:rPr>
          <w:spacing w:val="-2"/>
        </w:rPr>
        <w:t xml:space="preserve"> </w:t>
      </w:r>
      <w:r>
        <w:t>is</w:t>
      </w:r>
      <w:r>
        <w:rPr>
          <w:spacing w:val="-2"/>
        </w:rPr>
        <w:t xml:space="preserve"> </w:t>
      </w:r>
      <w:r>
        <w:t>really</w:t>
      </w:r>
      <w:r>
        <w:rPr>
          <w:spacing w:val="-2"/>
        </w:rPr>
        <w:t xml:space="preserve"> </w:t>
      </w:r>
      <w:r>
        <w:t>no</w:t>
      </w:r>
      <w:r>
        <w:rPr>
          <w:spacing w:val="-2"/>
        </w:rPr>
        <w:t xml:space="preserve"> </w:t>
      </w:r>
      <w:r>
        <w:t>other</w:t>
      </w:r>
      <w:r>
        <w:rPr>
          <w:spacing w:val="-2"/>
        </w:rPr>
        <w:t xml:space="preserve"> </w:t>
      </w:r>
      <w:r>
        <w:t>safe</w:t>
      </w:r>
      <w:r>
        <w:rPr>
          <w:spacing w:val="-2"/>
        </w:rPr>
        <w:t xml:space="preserve"> </w:t>
      </w:r>
      <w:r>
        <w:t>or</w:t>
      </w:r>
      <w:r>
        <w:rPr>
          <w:spacing w:val="-2"/>
        </w:rPr>
        <w:t xml:space="preserve"> </w:t>
      </w:r>
      <w:r>
        <w:t>legal</w:t>
      </w:r>
      <w:r>
        <w:rPr>
          <w:spacing w:val="-2"/>
        </w:rPr>
        <w:t xml:space="preserve"> </w:t>
      </w:r>
      <w:r>
        <w:t>way</w:t>
      </w:r>
      <w:r>
        <w:rPr>
          <w:spacing w:val="-2"/>
        </w:rPr>
        <w:t xml:space="preserve"> </w:t>
      </w:r>
      <w:r>
        <w:t>to</w:t>
      </w:r>
      <w:r>
        <w:rPr>
          <w:spacing w:val="-2"/>
        </w:rPr>
        <w:t xml:space="preserve"> </w:t>
      </w:r>
      <w:r>
        <w:t>dispose</w:t>
      </w:r>
      <w:r>
        <w:rPr>
          <w:spacing w:val="-2"/>
        </w:rPr>
        <w:t xml:space="preserve"> </w:t>
      </w:r>
      <w:r>
        <w:t>of</w:t>
      </w:r>
      <w:r>
        <w:rPr>
          <w:spacing w:val="-2"/>
        </w:rPr>
        <w:t xml:space="preserve"> </w:t>
      </w:r>
      <w:r>
        <w:t>the hazardous waste than using licensed hazardous-waste services (Environment Agency, 2024; Health and Safety Executive, 2023).</w:t>
      </w:r>
    </w:p>
    <w:p w14:paraId="79F5527C" w14:textId="77777777" w:rsidR="00122CE8" w:rsidRDefault="00AC01CC">
      <w:pPr>
        <w:pStyle w:val="BodyText"/>
        <w:spacing w:before="240"/>
        <w:ind w:right="0"/>
      </w:pPr>
      <w:r>
        <w:t>Table</w:t>
      </w:r>
      <w:r>
        <w:rPr>
          <w:spacing w:val="-1"/>
        </w:rPr>
        <w:t xml:space="preserve"> </w:t>
      </w:r>
      <w:r>
        <w:t>2:</w:t>
      </w:r>
      <w:r>
        <w:rPr>
          <w:spacing w:val="-2"/>
        </w:rPr>
        <w:t xml:space="preserve"> </w:t>
      </w:r>
      <w:r>
        <w:t>Decision</w:t>
      </w:r>
      <w:r>
        <w:rPr>
          <w:spacing w:val="-1"/>
        </w:rPr>
        <w:t xml:space="preserve"> </w:t>
      </w:r>
      <w:r>
        <w:t>matrix</w:t>
      </w:r>
      <w:r>
        <w:rPr>
          <w:spacing w:val="-1"/>
        </w:rPr>
        <w:t xml:space="preserve"> </w:t>
      </w:r>
      <w:r>
        <w:t>for</w:t>
      </w:r>
      <w:r>
        <w:rPr>
          <w:spacing w:val="-1"/>
        </w:rPr>
        <w:t xml:space="preserve"> </w:t>
      </w:r>
      <w:r>
        <w:t xml:space="preserve">obsolete-stock </w:t>
      </w:r>
      <w:r>
        <w:rPr>
          <w:spacing w:val="-2"/>
        </w:rPr>
        <w:t>options</w:t>
      </w:r>
    </w:p>
    <w:p w14:paraId="536A653E" w14:textId="77777777" w:rsidR="00122CE8" w:rsidRDefault="00122CE8">
      <w:pPr>
        <w:pStyle w:val="BodyText"/>
        <w:sectPr w:rsidR="00122CE8">
          <w:pgSz w:w="11910" w:h="16840"/>
          <w:pgMar w:top="1340" w:right="1275" w:bottom="1500" w:left="1417" w:header="0" w:footer="1308" w:gutter="0"/>
          <w:cols w:space="720"/>
        </w:sect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59"/>
        <w:gridCol w:w="1377"/>
        <w:gridCol w:w="1487"/>
        <w:gridCol w:w="1857"/>
        <w:gridCol w:w="1228"/>
        <w:gridCol w:w="1602"/>
      </w:tblGrid>
      <w:tr w:rsidR="00122CE8" w14:paraId="550987A8" w14:textId="77777777">
        <w:trPr>
          <w:trHeight w:val="1190"/>
        </w:trPr>
        <w:tc>
          <w:tcPr>
            <w:tcW w:w="1459" w:type="dxa"/>
            <w:shd w:val="clear" w:color="auto" w:fill="D9E2F3"/>
          </w:tcPr>
          <w:p w14:paraId="33BAE1A7" w14:textId="77777777" w:rsidR="00122CE8" w:rsidRDefault="00AC01CC">
            <w:pPr>
              <w:pStyle w:val="TableParagraph"/>
              <w:spacing w:before="240"/>
              <w:ind w:left="110"/>
              <w:rPr>
                <w:sz w:val="24"/>
              </w:rPr>
            </w:pPr>
            <w:r>
              <w:rPr>
                <w:spacing w:val="-2"/>
                <w:sz w:val="24"/>
              </w:rPr>
              <w:lastRenderedPageBreak/>
              <w:t>O</w:t>
            </w:r>
            <w:r>
              <w:rPr>
                <w:spacing w:val="-2"/>
                <w:sz w:val="24"/>
              </w:rPr>
              <w:t>ption</w:t>
            </w:r>
          </w:p>
        </w:tc>
        <w:tc>
          <w:tcPr>
            <w:tcW w:w="1377" w:type="dxa"/>
            <w:shd w:val="clear" w:color="auto" w:fill="D9E2F3"/>
          </w:tcPr>
          <w:p w14:paraId="236F8D40" w14:textId="77777777" w:rsidR="00122CE8" w:rsidRDefault="00AC01CC">
            <w:pPr>
              <w:pStyle w:val="TableParagraph"/>
              <w:spacing w:before="240"/>
              <w:ind w:left="110"/>
              <w:rPr>
                <w:sz w:val="24"/>
              </w:rPr>
            </w:pPr>
            <w:r>
              <w:rPr>
                <w:sz w:val="24"/>
              </w:rPr>
              <w:t>Cost</w:t>
            </w:r>
            <w:r>
              <w:rPr>
                <w:spacing w:val="-1"/>
                <w:sz w:val="24"/>
              </w:rPr>
              <w:t xml:space="preserve"> </w:t>
            </w:r>
            <w:r>
              <w:rPr>
                <w:spacing w:val="-2"/>
                <w:sz w:val="24"/>
              </w:rPr>
              <w:t>effect</w:t>
            </w:r>
          </w:p>
        </w:tc>
        <w:tc>
          <w:tcPr>
            <w:tcW w:w="1487" w:type="dxa"/>
            <w:shd w:val="clear" w:color="auto" w:fill="D9E2F3"/>
          </w:tcPr>
          <w:p w14:paraId="098A91F7" w14:textId="77777777" w:rsidR="00122CE8" w:rsidRDefault="00AC01CC">
            <w:pPr>
              <w:pStyle w:val="TableParagraph"/>
              <w:spacing w:before="240" w:line="360" w:lineRule="auto"/>
              <w:ind w:left="106"/>
              <w:rPr>
                <w:sz w:val="24"/>
              </w:rPr>
            </w:pPr>
            <w:r>
              <w:rPr>
                <w:spacing w:val="-2"/>
                <w:sz w:val="24"/>
              </w:rPr>
              <w:t xml:space="preserve">Compliance </w:t>
            </w:r>
            <w:r>
              <w:rPr>
                <w:spacing w:val="-4"/>
                <w:sz w:val="24"/>
              </w:rPr>
              <w:t>risk</w:t>
            </w:r>
          </w:p>
        </w:tc>
        <w:tc>
          <w:tcPr>
            <w:tcW w:w="1857" w:type="dxa"/>
            <w:shd w:val="clear" w:color="auto" w:fill="D9E2F3"/>
          </w:tcPr>
          <w:p w14:paraId="240E6FAC" w14:textId="77777777" w:rsidR="00122CE8" w:rsidRDefault="00AC01CC">
            <w:pPr>
              <w:pStyle w:val="TableParagraph"/>
              <w:spacing w:before="240" w:line="360" w:lineRule="auto"/>
              <w:ind w:left="112"/>
              <w:rPr>
                <w:sz w:val="24"/>
              </w:rPr>
            </w:pPr>
            <w:r>
              <w:rPr>
                <w:spacing w:val="-2"/>
                <w:sz w:val="24"/>
              </w:rPr>
              <w:t>Environmental effect</w:t>
            </w:r>
          </w:p>
        </w:tc>
        <w:tc>
          <w:tcPr>
            <w:tcW w:w="1228" w:type="dxa"/>
            <w:shd w:val="clear" w:color="auto" w:fill="D9E2F3"/>
          </w:tcPr>
          <w:p w14:paraId="58DEE323" w14:textId="77777777" w:rsidR="00122CE8" w:rsidRDefault="00AC01CC">
            <w:pPr>
              <w:pStyle w:val="TableParagraph"/>
              <w:spacing w:before="240"/>
              <w:ind w:left="107"/>
              <w:rPr>
                <w:sz w:val="24"/>
              </w:rPr>
            </w:pPr>
            <w:r>
              <w:rPr>
                <w:spacing w:val="-2"/>
                <w:sz w:val="24"/>
              </w:rPr>
              <w:t>Speed</w:t>
            </w:r>
          </w:p>
        </w:tc>
        <w:tc>
          <w:tcPr>
            <w:tcW w:w="1602" w:type="dxa"/>
            <w:shd w:val="clear" w:color="auto" w:fill="D9E2F3"/>
          </w:tcPr>
          <w:p w14:paraId="79BCA4C1" w14:textId="77777777" w:rsidR="00122CE8" w:rsidRDefault="00AC01CC">
            <w:pPr>
              <w:pStyle w:val="TableParagraph"/>
              <w:spacing w:before="240" w:line="360" w:lineRule="auto"/>
              <w:ind w:left="113"/>
              <w:rPr>
                <w:sz w:val="24"/>
              </w:rPr>
            </w:pPr>
            <w:r>
              <w:rPr>
                <w:sz w:val="24"/>
              </w:rPr>
              <w:t>Suitability</w:t>
            </w:r>
            <w:r>
              <w:rPr>
                <w:spacing w:val="-15"/>
                <w:sz w:val="24"/>
              </w:rPr>
              <w:t xml:space="preserve"> </w:t>
            </w:r>
            <w:r>
              <w:rPr>
                <w:sz w:val="24"/>
              </w:rPr>
              <w:t xml:space="preserve">for </w:t>
            </w:r>
            <w:proofErr w:type="spellStart"/>
            <w:r>
              <w:rPr>
                <w:spacing w:val="-2"/>
                <w:sz w:val="24"/>
              </w:rPr>
              <w:t>Brocksweir</w:t>
            </w:r>
            <w:proofErr w:type="spellEnd"/>
          </w:p>
        </w:tc>
      </w:tr>
      <w:tr w:rsidR="00122CE8" w14:paraId="1AE5A5AC" w14:textId="77777777">
        <w:trPr>
          <w:trHeight w:val="588"/>
        </w:trPr>
        <w:tc>
          <w:tcPr>
            <w:tcW w:w="1459" w:type="dxa"/>
            <w:tcBorders>
              <w:bottom w:val="nil"/>
            </w:tcBorders>
          </w:tcPr>
          <w:p w14:paraId="69A6287F" w14:textId="77777777" w:rsidR="00122CE8" w:rsidRDefault="00AC01CC">
            <w:pPr>
              <w:pStyle w:val="TableParagraph"/>
              <w:spacing w:before="240"/>
              <w:ind w:left="110"/>
              <w:rPr>
                <w:sz w:val="24"/>
              </w:rPr>
            </w:pPr>
            <w:r>
              <w:rPr>
                <w:spacing w:val="-2"/>
                <w:sz w:val="24"/>
              </w:rPr>
              <w:t>Quarantine</w:t>
            </w:r>
          </w:p>
        </w:tc>
        <w:tc>
          <w:tcPr>
            <w:tcW w:w="1377" w:type="dxa"/>
            <w:tcBorders>
              <w:bottom w:val="nil"/>
            </w:tcBorders>
          </w:tcPr>
          <w:p w14:paraId="266C82A1" w14:textId="77777777" w:rsidR="00122CE8" w:rsidRDefault="00AC01CC">
            <w:pPr>
              <w:pStyle w:val="TableParagraph"/>
              <w:spacing w:before="240"/>
              <w:ind w:left="110"/>
              <w:rPr>
                <w:sz w:val="24"/>
              </w:rPr>
            </w:pPr>
            <w:r>
              <w:rPr>
                <w:spacing w:val="-5"/>
                <w:sz w:val="24"/>
              </w:rPr>
              <w:t>Low</w:t>
            </w:r>
          </w:p>
        </w:tc>
        <w:tc>
          <w:tcPr>
            <w:tcW w:w="1487" w:type="dxa"/>
            <w:tcBorders>
              <w:bottom w:val="nil"/>
            </w:tcBorders>
          </w:tcPr>
          <w:p w14:paraId="2BDC22F2" w14:textId="77777777" w:rsidR="00122CE8" w:rsidRDefault="00AC01CC">
            <w:pPr>
              <w:pStyle w:val="TableParagraph"/>
              <w:tabs>
                <w:tab w:val="left" w:pos="1260"/>
              </w:tabs>
              <w:spacing w:before="240"/>
              <w:ind w:left="106"/>
              <w:rPr>
                <w:sz w:val="24"/>
              </w:rPr>
            </w:pPr>
            <w:r>
              <w:rPr>
                <w:spacing w:val="-5"/>
                <w:sz w:val="24"/>
              </w:rPr>
              <w:t>Low</w:t>
            </w:r>
            <w:r>
              <w:rPr>
                <w:sz w:val="24"/>
              </w:rPr>
              <w:tab/>
            </w:r>
            <w:r>
              <w:rPr>
                <w:spacing w:val="-5"/>
                <w:sz w:val="24"/>
              </w:rPr>
              <w:t>if</w:t>
            </w:r>
          </w:p>
        </w:tc>
        <w:tc>
          <w:tcPr>
            <w:tcW w:w="1857" w:type="dxa"/>
            <w:tcBorders>
              <w:bottom w:val="nil"/>
            </w:tcBorders>
          </w:tcPr>
          <w:p w14:paraId="37356A31" w14:textId="77777777" w:rsidR="00122CE8" w:rsidRDefault="00AC01CC">
            <w:pPr>
              <w:pStyle w:val="TableParagraph"/>
              <w:spacing w:before="240"/>
              <w:ind w:left="112"/>
              <w:rPr>
                <w:sz w:val="24"/>
              </w:rPr>
            </w:pPr>
            <w:r>
              <w:rPr>
                <w:spacing w:val="-2"/>
                <w:sz w:val="24"/>
              </w:rPr>
              <w:t>Positive</w:t>
            </w:r>
          </w:p>
        </w:tc>
        <w:tc>
          <w:tcPr>
            <w:tcW w:w="1228" w:type="dxa"/>
            <w:tcBorders>
              <w:bottom w:val="nil"/>
            </w:tcBorders>
          </w:tcPr>
          <w:p w14:paraId="1737B032" w14:textId="77777777" w:rsidR="00122CE8" w:rsidRDefault="00AC01CC">
            <w:pPr>
              <w:pStyle w:val="TableParagraph"/>
              <w:spacing w:before="240"/>
              <w:ind w:left="107"/>
              <w:rPr>
                <w:sz w:val="24"/>
              </w:rPr>
            </w:pPr>
            <w:r>
              <w:rPr>
                <w:spacing w:val="-4"/>
                <w:sz w:val="24"/>
              </w:rPr>
              <w:t>Fast</w:t>
            </w:r>
          </w:p>
        </w:tc>
        <w:tc>
          <w:tcPr>
            <w:tcW w:w="1602" w:type="dxa"/>
            <w:tcBorders>
              <w:bottom w:val="nil"/>
            </w:tcBorders>
          </w:tcPr>
          <w:p w14:paraId="4E6F3233" w14:textId="77777777" w:rsidR="00122CE8" w:rsidRDefault="00AC01CC">
            <w:pPr>
              <w:pStyle w:val="TableParagraph"/>
              <w:spacing w:before="240"/>
              <w:ind w:left="113"/>
              <w:rPr>
                <w:sz w:val="24"/>
              </w:rPr>
            </w:pPr>
            <w:r>
              <w:rPr>
                <w:spacing w:val="-2"/>
                <w:sz w:val="24"/>
              </w:rPr>
              <w:t>Essential</w:t>
            </w:r>
          </w:p>
        </w:tc>
      </w:tr>
      <w:tr w:rsidR="00122CE8" w14:paraId="14BB3F5A" w14:textId="77777777">
        <w:trPr>
          <w:trHeight w:val="412"/>
        </w:trPr>
        <w:tc>
          <w:tcPr>
            <w:tcW w:w="1459" w:type="dxa"/>
            <w:tcBorders>
              <w:top w:val="nil"/>
              <w:bottom w:val="nil"/>
            </w:tcBorders>
          </w:tcPr>
          <w:p w14:paraId="77117479" w14:textId="77777777" w:rsidR="00122CE8" w:rsidRDefault="00AC01CC">
            <w:pPr>
              <w:pStyle w:val="TableParagraph"/>
              <w:spacing w:before="64"/>
              <w:ind w:left="110"/>
              <w:rPr>
                <w:sz w:val="24"/>
              </w:rPr>
            </w:pPr>
            <w:r>
              <w:rPr>
                <w:sz w:val="24"/>
              </w:rPr>
              <w:t xml:space="preserve">and </w:t>
            </w:r>
            <w:r>
              <w:rPr>
                <w:spacing w:val="-2"/>
                <w:sz w:val="24"/>
              </w:rPr>
              <w:t>identify</w:t>
            </w:r>
          </w:p>
        </w:tc>
        <w:tc>
          <w:tcPr>
            <w:tcW w:w="1377" w:type="dxa"/>
            <w:tcBorders>
              <w:top w:val="nil"/>
              <w:bottom w:val="nil"/>
            </w:tcBorders>
          </w:tcPr>
          <w:p w14:paraId="73AE409D" w14:textId="77777777" w:rsidR="00122CE8" w:rsidRDefault="00AC01CC">
            <w:pPr>
              <w:pStyle w:val="TableParagraph"/>
              <w:spacing w:before="64"/>
              <w:ind w:left="110"/>
              <w:rPr>
                <w:sz w:val="24"/>
              </w:rPr>
            </w:pPr>
            <w:r>
              <w:rPr>
                <w:spacing w:val="-2"/>
                <w:sz w:val="24"/>
              </w:rPr>
              <w:t>immediate</w:t>
            </w:r>
          </w:p>
        </w:tc>
        <w:tc>
          <w:tcPr>
            <w:tcW w:w="1487" w:type="dxa"/>
            <w:tcBorders>
              <w:top w:val="nil"/>
              <w:bottom w:val="nil"/>
            </w:tcBorders>
          </w:tcPr>
          <w:p w14:paraId="7EF1AE35" w14:textId="77777777" w:rsidR="00122CE8" w:rsidRDefault="00AC01CC">
            <w:pPr>
              <w:pStyle w:val="TableParagraph"/>
              <w:spacing w:before="64"/>
              <w:ind w:left="106"/>
              <w:rPr>
                <w:sz w:val="24"/>
              </w:rPr>
            </w:pPr>
            <w:r>
              <w:rPr>
                <w:spacing w:val="-2"/>
                <w:sz w:val="24"/>
              </w:rPr>
              <w:t>handled</w:t>
            </w:r>
          </w:p>
        </w:tc>
        <w:tc>
          <w:tcPr>
            <w:tcW w:w="1857" w:type="dxa"/>
            <w:tcBorders>
              <w:top w:val="nil"/>
              <w:bottom w:val="nil"/>
            </w:tcBorders>
          </w:tcPr>
          <w:p w14:paraId="18B52C1B" w14:textId="77777777" w:rsidR="00122CE8" w:rsidRDefault="00AC01CC">
            <w:pPr>
              <w:pStyle w:val="TableParagraph"/>
              <w:tabs>
                <w:tab w:val="left" w:pos="1632"/>
              </w:tabs>
              <w:spacing w:before="64"/>
              <w:ind w:left="112"/>
              <w:rPr>
                <w:sz w:val="24"/>
              </w:rPr>
            </w:pPr>
            <w:r>
              <w:rPr>
                <w:spacing w:val="-2"/>
                <w:sz w:val="24"/>
              </w:rPr>
              <w:t>because</w:t>
            </w:r>
            <w:r>
              <w:rPr>
                <w:sz w:val="24"/>
              </w:rPr>
              <w:tab/>
            </w:r>
            <w:r>
              <w:rPr>
                <w:spacing w:val="-5"/>
                <w:sz w:val="24"/>
              </w:rPr>
              <w:t>it</w:t>
            </w:r>
          </w:p>
        </w:tc>
        <w:tc>
          <w:tcPr>
            <w:tcW w:w="1228" w:type="dxa"/>
            <w:tcBorders>
              <w:top w:val="nil"/>
              <w:bottom w:val="nil"/>
            </w:tcBorders>
          </w:tcPr>
          <w:p w14:paraId="7969BD3B" w14:textId="77777777" w:rsidR="00122CE8" w:rsidRDefault="00122CE8">
            <w:pPr>
              <w:pStyle w:val="TableParagraph"/>
              <w:rPr>
                <w:rFonts w:ascii="Times New Roman"/>
                <w:sz w:val="24"/>
              </w:rPr>
            </w:pPr>
          </w:p>
        </w:tc>
        <w:tc>
          <w:tcPr>
            <w:tcW w:w="1602" w:type="dxa"/>
            <w:tcBorders>
              <w:top w:val="nil"/>
              <w:bottom w:val="nil"/>
            </w:tcBorders>
          </w:tcPr>
          <w:p w14:paraId="688D6DD4" w14:textId="77777777" w:rsidR="00122CE8" w:rsidRDefault="00AC01CC">
            <w:pPr>
              <w:pStyle w:val="TableParagraph"/>
              <w:spacing w:before="64"/>
              <w:ind w:left="113"/>
              <w:rPr>
                <w:sz w:val="24"/>
              </w:rPr>
            </w:pPr>
            <w:r>
              <w:rPr>
                <w:sz w:val="24"/>
              </w:rPr>
              <w:t>first</w:t>
            </w:r>
            <w:r>
              <w:rPr>
                <w:spacing w:val="-1"/>
                <w:sz w:val="24"/>
              </w:rPr>
              <w:t xml:space="preserve"> </w:t>
            </w:r>
            <w:r>
              <w:rPr>
                <w:spacing w:val="-4"/>
                <w:sz w:val="24"/>
              </w:rPr>
              <w:t>step</w:t>
            </w:r>
          </w:p>
        </w:tc>
      </w:tr>
      <w:tr w:rsidR="00122CE8" w14:paraId="2CC8BB0D" w14:textId="77777777">
        <w:trPr>
          <w:trHeight w:val="412"/>
        </w:trPr>
        <w:tc>
          <w:tcPr>
            <w:tcW w:w="1459" w:type="dxa"/>
            <w:tcBorders>
              <w:top w:val="nil"/>
              <w:bottom w:val="nil"/>
            </w:tcBorders>
          </w:tcPr>
          <w:p w14:paraId="6E7A114C" w14:textId="77777777" w:rsidR="00122CE8" w:rsidRDefault="00122CE8">
            <w:pPr>
              <w:pStyle w:val="TableParagraph"/>
              <w:rPr>
                <w:rFonts w:ascii="Times New Roman"/>
                <w:sz w:val="24"/>
              </w:rPr>
            </w:pPr>
          </w:p>
        </w:tc>
        <w:tc>
          <w:tcPr>
            <w:tcW w:w="1377" w:type="dxa"/>
            <w:tcBorders>
              <w:top w:val="nil"/>
              <w:bottom w:val="nil"/>
            </w:tcBorders>
          </w:tcPr>
          <w:p w14:paraId="5BF673E3" w14:textId="77777777" w:rsidR="00122CE8" w:rsidRDefault="00AC01CC">
            <w:pPr>
              <w:pStyle w:val="TableParagraph"/>
              <w:spacing w:before="64"/>
              <w:ind w:left="110"/>
              <w:rPr>
                <w:sz w:val="24"/>
              </w:rPr>
            </w:pPr>
            <w:r>
              <w:rPr>
                <w:spacing w:val="-2"/>
                <w:sz w:val="24"/>
              </w:rPr>
              <w:t>cost,</w:t>
            </w:r>
          </w:p>
        </w:tc>
        <w:tc>
          <w:tcPr>
            <w:tcW w:w="1487" w:type="dxa"/>
            <w:tcBorders>
              <w:top w:val="nil"/>
              <w:bottom w:val="nil"/>
            </w:tcBorders>
          </w:tcPr>
          <w:p w14:paraId="18C8BF3B" w14:textId="77777777" w:rsidR="00122CE8" w:rsidRDefault="00AC01CC">
            <w:pPr>
              <w:pStyle w:val="TableParagraph"/>
              <w:spacing w:before="64"/>
              <w:ind w:left="106"/>
              <w:rPr>
                <w:sz w:val="24"/>
              </w:rPr>
            </w:pPr>
            <w:r>
              <w:rPr>
                <w:spacing w:val="-2"/>
                <w:sz w:val="24"/>
              </w:rPr>
              <w:t>correctly</w:t>
            </w:r>
          </w:p>
        </w:tc>
        <w:tc>
          <w:tcPr>
            <w:tcW w:w="1857" w:type="dxa"/>
            <w:tcBorders>
              <w:top w:val="nil"/>
              <w:bottom w:val="nil"/>
            </w:tcBorders>
          </w:tcPr>
          <w:p w14:paraId="685D0642" w14:textId="77777777" w:rsidR="00122CE8" w:rsidRDefault="00AC01CC">
            <w:pPr>
              <w:pStyle w:val="TableParagraph"/>
              <w:spacing w:before="64"/>
              <w:ind w:left="112"/>
              <w:rPr>
                <w:sz w:val="24"/>
              </w:rPr>
            </w:pPr>
            <w:r>
              <w:rPr>
                <w:spacing w:val="-2"/>
                <w:sz w:val="24"/>
              </w:rPr>
              <w:t>prevents</w:t>
            </w:r>
          </w:p>
        </w:tc>
        <w:tc>
          <w:tcPr>
            <w:tcW w:w="1228" w:type="dxa"/>
            <w:tcBorders>
              <w:top w:val="nil"/>
              <w:bottom w:val="nil"/>
            </w:tcBorders>
          </w:tcPr>
          <w:p w14:paraId="53C60B49" w14:textId="77777777" w:rsidR="00122CE8" w:rsidRDefault="00122CE8">
            <w:pPr>
              <w:pStyle w:val="TableParagraph"/>
              <w:rPr>
                <w:rFonts w:ascii="Times New Roman"/>
                <w:sz w:val="24"/>
              </w:rPr>
            </w:pPr>
          </w:p>
        </w:tc>
        <w:tc>
          <w:tcPr>
            <w:tcW w:w="1602" w:type="dxa"/>
            <w:tcBorders>
              <w:top w:val="nil"/>
              <w:bottom w:val="nil"/>
            </w:tcBorders>
          </w:tcPr>
          <w:p w14:paraId="6FABCC47" w14:textId="77777777" w:rsidR="00122CE8" w:rsidRDefault="00122CE8">
            <w:pPr>
              <w:pStyle w:val="TableParagraph"/>
              <w:rPr>
                <w:rFonts w:ascii="Times New Roman"/>
                <w:sz w:val="24"/>
              </w:rPr>
            </w:pPr>
          </w:p>
        </w:tc>
      </w:tr>
      <w:tr w:rsidR="00122CE8" w14:paraId="594712D3" w14:textId="77777777">
        <w:trPr>
          <w:trHeight w:val="415"/>
        </w:trPr>
        <w:tc>
          <w:tcPr>
            <w:tcW w:w="1459" w:type="dxa"/>
            <w:tcBorders>
              <w:top w:val="nil"/>
              <w:bottom w:val="nil"/>
            </w:tcBorders>
          </w:tcPr>
          <w:p w14:paraId="2BBCB3EC" w14:textId="77777777" w:rsidR="00122CE8" w:rsidRDefault="00122CE8">
            <w:pPr>
              <w:pStyle w:val="TableParagraph"/>
              <w:rPr>
                <w:rFonts w:ascii="Times New Roman"/>
                <w:sz w:val="24"/>
              </w:rPr>
            </w:pPr>
          </w:p>
        </w:tc>
        <w:tc>
          <w:tcPr>
            <w:tcW w:w="1377" w:type="dxa"/>
            <w:tcBorders>
              <w:top w:val="nil"/>
              <w:bottom w:val="nil"/>
            </w:tcBorders>
          </w:tcPr>
          <w:p w14:paraId="014F222E" w14:textId="77777777" w:rsidR="00122CE8" w:rsidRDefault="00AC01CC">
            <w:pPr>
              <w:pStyle w:val="TableParagraph"/>
              <w:spacing w:before="64"/>
              <w:ind w:left="110"/>
              <w:rPr>
                <w:sz w:val="24"/>
              </w:rPr>
            </w:pPr>
            <w:r>
              <w:rPr>
                <w:spacing w:val="-2"/>
                <w:sz w:val="24"/>
              </w:rPr>
              <w:t>prevents</w:t>
            </w:r>
          </w:p>
        </w:tc>
        <w:tc>
          <w:tcPr>
            <w:tcW w:w="1487" w:type="dxa"/>
            <w:tcBorders>
              <w:top w:val="nil"/>
              <w:bottom w:val="nil"/>
            </w:tcBorders>
          </w:tcPr>
          <w:p w14:paraId="53DEF016" w14:textId="77777777" w:rsidR="00122CE8" w:rsidRDefault="00122CE8">
            <w:pPr>
              <w:pStyle w:val="TableParagraph"/>
              <w:rPr>
                <w:rFonts w:ascii="Times New Roman"/>
                <w:sz w:val="24"/>
              </w:rPr>
            </w:pPr>
          </w:p>
        </w:tc>
        <w:tc>
          <w:tcPr>
            <w:tcW w:w="1857" w:type="dxa"/>
            <w:tcBorders>
              <w:top w:val="nil"/>
              <w:bottom w:val="nil"/>
            </w:tcBorders>
          </w:tcPr>
          <w:p w14:paraId="2AAD70BC" w14:textId="77777777" w:rsidR="00122CE8" w:rsidRDefault="00AC01CC">
            <w:pPr>
              <w:pStyle w:val="TableParagraph"/>
              <w:spacing w:before="64"/>
              <w:ind w:left="112"/>
              <w:rPr>
                <w:sz w:val="24"/>
              </w:rPr>
            </w:pPr>
            <w:r>
              <w:rPr>
                <w:spacing w:val="-2"/>
                <w:sz w:val="24"/>
              </w:rPr>
              <w:t>accidental</w:t>
            </w:r>
          </w:p>
        </w:tc>
        <w:tc>
          <w:tcPr>
            <w:tcW w:w="1228" w:type="dxa"/>
            <w:tcBorders>
              <w:top w:val="nil"/>
              <w:bottom w:val="nil"/>
            </w:tcBorders>
          </w:tcPr>
          <w:p w14:paraId="5ACA9B16" w14:textId="77777777" w:rsidR="00122CE8" w:rsidRDefault="00122CE8">
            <w:pPr>
              <w:pStyle w:val="TableParagraph"/>
              <w:rPr>
                <w:rFonts w:ascii="Times New Roman"/>
                <w:sz w:val="24"/>
              </w:rPr>
            </w:pPr>
          </w:p>
        </w:tc>
        <w:tc>
          <w:tcPr>
            <w:tcW w:w="1602" w:type="dxa"/>
            <w:tcBorders>
              <w:top w:val="nil"/>
              <w:bottom w:val="nil"/>
            </w:tcBorders>
          </w:tcPr>
          <w:p w14:paraId="29AC7D13" w14:textId="77777777" w:rsidR="00122CE8" w:rsidRDefault="00122CE8">
            <w:pPr>
              <w:pStyle w:val="TableParagraph"/>
              <w:rPr>
                <w:rFonts w:ascii="Times New Roman"/>
                <w:sz w:val="24"/>
              </w:rPr>
            </w:pPr>
          </w:p>
        </w:tc>
      </w:tr>
      <w:tr w:rsidR="00122CE8" w14:paraId="070BB425" w14:textId="77777777">
        <w:trPr>
          <w:trHeight w:val="599"/>
        </w:trPr>
        <w:tc>
          <w:tcPr>
            <w:tcW w:w="1459" w:type="dxa"/>
            <w:tcBorders>
              <w:top w:val="nil"/>
            </w:tcBorders>
          </w:tcPr>
          <w:p w14:paraId="16AA0917" w14:textId="77777777" w:rsidR="00122CE8" w:rsidRDefault="00122CE8">
            <w:pPr>
              <w:pStyle w:val="TableParagraph"/>
              <w:rPr>
                <w:rFonts w:ascii="Times New Roman"/>
                <w:sz w:val="24"/>
              </w:rPr>
            </w:pPr>
          </w:p>
        </w:tc>
        <w:tc>
          <w:tcPr>
            <w:tcW w:w="1377" w:type="dxa"/>
            <w:tcBorders>
              <w:top w:val="nil"/>
            </w:tcBorders>
          </w:tcPr>
          <w:p w14:paraId="142B6211" w14:textId="77777777" w:rsidR="00122CE8" w:rsidRDefault="00AC01CC">
            <w:pPr>
              <w:pStyle w:val="TableParagraph"/>
              <w:spacing w:before="67"/>
              <w:ind w:left="110"/>
              <w:rPr>
                <w:sz w:val="24"/>
              </w:rPr>
            </w:pPr>
            <w:r>
              <w:rPr>
                <w:spacing w:val="-2"/>
                <w:sz w:val="24"/>
              </w:rPr>
              <w:t>escalation</w:t>
            </w:r>
          </w:p>
        </w:tc>
        <w:tc>
          <w:tcPr>
            <w:tcW w:w="1487" w:type="dxa"/>
            <w:tcBorders>
              <w:top w:val="nil"/>
            </w:tcBorders>
          </w:tcPr>
          <w:p w14:paraId="5F5DEE2E" w14:textId="77777777" w:rsidR="00122CE8" w:rsidRDefault="00122CE8">
            <w:pPr>
              <w:pStyle w:val="TableParagraph"/>
              <w:rPr>
                <w:rFonts w:ascii="Times New Roman"/>
                <w:sz w:val="24"/>
              </w:rPr>
            </w:pPr>
          </w:p>
        </w:tc>
        <w:tc>
          <w:tcPr>
            <w:tcW w:w="1857" w:type="dxa"/>
            <w:tcBorders>
              <w:top w:val="nil"/>
            </w:tcBorders>
          </w:tcPr>
          <w:p w14:paraId="318749E8" w14:textId="77777777" w:rsidR="00122CE8" w:rsidRDefault="00AC01CC">
            <w:pPr>
              <w:pStyle w:val="TableParagraph"/>
              <w:spacing w:before="67"/>
              <w:ind w:left="112"/>
              <w:rPr>
                <w:sz w:val="24"/>
              </w:rPr>
            </w:pPr>
            <w:r>
              <w:rPr>
                <w:spacing w:val="-2"/>
                <w:sz w:val="24"/>
              </w:rPr>
              <w:t>release</w:t>
            </w:r>
          </w:p>
        </w:tc>
        <w:tc>
          <w:tcPr>
            <w:tcW w:w="1228" w:type="dxa"/>
            <w:tcBorders>
              <w:top w:val="nil"/>
            </w:tcBorders>
          </w:tcPr>
          <w:p w14:paraId="2E2B120A" w14:textId="77777777" w:rsidR="00122CE8" w:rsidRDefault="00122CE8">
            <w:pPr>
              <w:pStyle w:val="TableParagraph"/>
              <w:rPr>
                <w:rFonts w:ascii="Times New Roman"/>
                <w:sz w:val="24"/>
              </w:rPr>
            </w:pPr>
          </w:p>
        </w:tc>
        <w:tc>
          <w:tcPr>
            <w:tcW w:w="1602" w:type="dxa"/>
            <w:tcBorders>
              <w:top w:val="nil"/>
            </w:tcBorders>
          </w:tcPr>
          <w:p w14:paraId="455FCB6B" w14:textId="77777777" w:rsidR="00122CE8" w:rsidRDefault="00122CE8">
            <w:pPr>
              <w:pStyle w:val="TableParagraph"/>
              <w:rPr>
                <w:rFonts w:ascii="Times New Roman"/>
                <w:sz w:val="24"/>
              </w:rPr>
            </w:pPr>
          </w:p>
        </w:tc>
      </w:tr>
      <w:tr w:rsidR="00122CE8" w14:paraId="26DBC66C" w14:textId="77777777">
        <w:trPr>
          <w:trHeight w:val="588"/>
        </w:trPr>
        <w:tc>
          <w:tcPr>
            <w:tcW w:w="1459" w:type="dxa"/>
            <w:tcBorders>
              <w:bottom w:val="nil"/>
            </w:tcBorders>
          </w:tcPr>
          <w:p w14:paraId="670AB4F9" w14:textId="77777777" w:rsidR="00122CE8" w:rsidRDefault="00AC01CC">
            <w:pPr>
              <w:pStyle w:val="TableParagraph"/>
              <w:spacing w:before="240"/>
              <w:ind w:left="110"/>
              <w:rPr>
                <w:sz w:val="24"/>
              </w:rPr>
            </w:pPr>
            <w:r>
              <w:rPr>
                <w:spacing w:val="-2"/>
                <w:sz w:val="24"/>
              </w:rPr>
              <w:t>Technical</w:t>
            </w:r>
          </w:p>
        </w:tc>
        <w:tc>
          <w:tcPr>
            <w:tcW w:w="1377" w:type="dxa"/>
            <w:tcBorders>
              <w:bottom w:val="nil"/>
            </w:tcBorders>
          </w:tcPr>
          <w:p w14:paraId="20CDA3E1" w14:textId="77777777" w:rsidR="00122CE8" w:rsidRDefault="00AC01CC">
            <w:pPr>
              <w:pStyle w:val="TableParagraph"/>
              <w:spacing w:before="240"/>
              <w:ind w:left="110"/>
              <w:rPr>
                <w:sz w:val="24"/>
              </w:rPr>
            </w:pPr>
            <w:r>
              <w:rPr>
                <w:spacing w:val="-5"/>
                <w:sz w:val="24"/>
              </w:rPr>
              <w:t>May</w:t>
            </w:r>
          </w:p>
        </w:tc>
        <w:tc>
          <w:tcPr>
            <w:tcW w:w="1487" w:type="dxa"/>
            <w:tcBorders>
              <w:bottom w:val="nil"/>
            </w:tcBorders>
          </w:tcPr>
          <w:p w14:paraId="0C14A60A" w14:textId="77777777" w:rsidR="00122CE8" w:rsidRDefault="00AC01CC">
            <w:pPr>
              <w:pStyle w:val="TableParagraph"/>
              <w:tabs>
                <w:tab w:val="left" w:pos="1179"/>
              </w:tabs>
              <w:spacing w:before="240"/>
              <w:ind w:left="106"/>
              <w:rPr>
                <w:sz w:val="24"/>
              </w:rPr>
            </w:pPr>
            <w:r>
              <w:rPr>
                <w:spacing w:val="-2"/>
                <w:sz w:val="24"/>
              </w:rPr>
              <w:t>Medium</w:t>
            </w:r>
            <w:r>
              <w:rPr>
                <w:sz w:val="24"/>
              </w:rPr>
              <w:tab/>
            </w:r>
            <w:r>
              <w:rPr>
                <w:spacing w:val="-5"/>
                <w:sz w:val="24"/>
              </w:rPr>
              <w:t>to</w:t>
            </w:r>
          </w:p>
        </w:tc>
        <w:tc>
          <w:tcPr>
            <w:tcW w:w="1857" w:type="dxa"/>
            <w:tcBorders>
              <w:bottom w:val="nil"/>
            </w:tcBorders>
          </w:tcPr>
          <w:p w14:paraId="0F32830F" w14:textId="77777777" w:rsidR="00122CE8" w:rsidRDefault="00AC01CC">
            <w:pPr>
              <w:pStyle w:val="TableParagraph"/>
              <w:spacing w:before="240"/>
              <w:ind w:left="112"/>
              <w:rPr>
                <w:sz w:val="24"/>
              </w:rPr>
            </w:pPr>
            <w:r>
              <w:rPr>
                <w:spacing w:val="-2"/>
                <w:sz w:val="24"/>
              </w:rPr>
              <w:t>Mixed;</w:t>
            </w:r>
          </w:p>
        </w:tc>
        <w:tc>
          <w:tcPr>
            <w:tcW w:w="1228" w:type="dxa"/>
            <w:tcBorders>
              <w:bottom w:val="nil"/>
            </w:tcBorders>
          </w:tcPr>
          <w:p w14:paraId="1FDA9D7C" w14:textId="77777777" w:rsidR="00122CE8" w:rsidRDefault="00AC01CC">
            <w:pPr>
              <w:pStyle w:val="TableParagraph"/>
              <w:spacing w:before="240"/>
              <w:ind w:left="107"/>
              <w:rPr>
                <w:sz w:val="24"/>
              </w:rPr>
            </w:pPr>
            <w:r>
              <w:rPr>
                <w:spacing w:val="-2"/>
                <w:sz w:val="24"/>
              </w:rPr>
              <w:t>Moderate</w:t>
            </w:r>
          </w:p>
        </w:tc>
        <w:tc>
          <w:tcPr>
            <w:tcW w:w="1602" w:type="dxa"/>
            <w:tcBorders>
              <w:bottom w:val="nil"/>
            </w:tcBorders>
          </w:tcPr>
          <w:p w14:paraId="20D85905" w14:textId="77777777" w:rsidR="00122CE8" w:rsidRDefault="00AC01CC">
            <w:pPr>
              <w:pStyle w:val="TableParagraph"/>
              <w:tabs>
                <w:tab w:val="left" w:pos="1221"/>
              </w:tabs>
              <w:spacing w:before="240"/>
              <w:ind w:left="113"/>
              <w:rPr>
                <w:sz w:val="24"/>
              </w:rPr>
            </w:pPr>
            <w:r>
              <w:rPr>
                <w:spacing w:val="-4"/>
                <w:sz w:val="24"/>
              </w:rPr>
              <w:t>Only</w:t>
            </w:r>
            <w:r>
              <w:rPr>
                <w:sz w:val="24"/>
              </w:rPr>
              <w:tab/>
            </w:r>
            <w:r>
              <w:rPr>
                <w:spacing w:val="-5"/>
                <w:sz w:val="24"/>
              </w:rPr>
              <w:t>for</w:t>
            </w:r>
          </w:p>
        </w:tc>
      </w:tr>
      <w:tr w:rsidR="00122CE8" w14:paraId="30BEDD7B" w14:textId="77777777">
        <w:trPr>
          <w:trHeight w:val="412"/>
        </w:trPr>
        <w:tc>
          <w:tcPr>
            <w:tcW w:w="1459" w:type="dxa"/>
            <w:tcBorders>
              <w:top w:val="nil"/>
              <w:bottom w:val="nil"/>
            </w:tcBorders>
          </w:tcPr>
          <w:p w14:paraId="5857DA26" w14:textId="77777777" w:rsidR="00122CE8" w:rsidRDefault="00AC01CC">
            <w:pPr>
              <w:pStyle w:val="TableParagraph"/>
              <w:spacing w:before="64"/>
              <w:ind w:left="110"/>
              <w:rPr>
                <w:sz w:val="24"/>
              </w:rPr>
            </w:pPr>
            <w:r>
              <w:rPr>
                <w:spacing w:val="-2"/>
                <w:sz w:val="24"/>
              </w:rPr>
              <w:t>revalidation</w:t>
            </w:r>
          </w:p>
        </w:tc>
        <w:tc>
          <w:tcPr>
            <w:tcW w:w="1377" w:type="dxa"/>
            <w:tcBorders>
              <w:top w:val="nil"/>
              <w:bottom w:val="nil"/>
            </w:tcBorders>
          </w:tcPr>
          <w:p w14:paraId="3D58D77F" w14:textId="77777777" w:rsidR="00122CE8" w:rsidRDefault="00AC01CC">
            <w:pPr>
              <w:pStyle w:val="TableParagraph"/>
              <w:spacing w:before="64"/>
              <w:ind w:left="110"/>
              <w:rPr>
                <w:sz w:val="24"/>
              </w:rPr>
            </w:pPr>
            <w:r>
              <w:rPr>
                <w:spacing w:val="-2"/>
                <w:sz w:val="24"/>
              </w:rPr>
              <w:t>recover</w:t>
            </w:r>
          </w:p>
        </w:tc>
        <w:tc>
          <w:tcPr>
            <w:tcW w:w="1487" w:type="dxa"/>
            <w:tcBorders>
              <w:top w:val="nil"/>
              <w:bottom w:val="nil"/>
            </w:tcBorders>
          </w:tcPr>
          <w:p w14:paraId="144FE800" w14:textId="77777777" w:rsidR="00122CE8" w:rsidRDefault="00AC01CC">
            <w:pPr>
              <w:pStyle w:val="TableParagraph"/>
              <w:spacing w:before="64"/>
              <w:ind w:left="106"/>
              <w:rPr>
                <w:sz w:val="24"/>
              </w:rPr>
            </w:pPr>
            <w:r>
              <w:rPr>
                <w:sz w:val="24"/>
              </w:rPr>
              <w:t>high</w:t>
            </w:r>
            <w:r>
              <w:rPr>
                <w:spacing w:val="59"/>
                <w:sz w:val="24"/>
              </w:rPr>
              <w:t xml:space="preserve"> </w:t>
            </w:r>
            <w:r>
              <w:rPr>
                <w:spacing w:val="-2"/>
                <w:sz w:val="24"/>
              </w:rPr>
              <w:t>unless</w:t>
            </w:r>
          </w:p>
        </w:tc>
        <w:tc>
          <w:tcPr>
            <w:tcW w:w="1857" w:type="dxa"/>
            <w:tcBorders>
              <w:top w:val="nil"/>
              <w:bottom w:val="nil"/>
            </w:tcBorders>
          </w:tcPr>
          <w:p w14:paraId="5883F8B4" w14:textId="77777777" w:rsidR="00122CE8" w:rsidRDefault="00AC01CC">
            <w:pPr>
              <w:pStyle w:val="TableParagraph"/>
              <w:tabs>
                <w:tab w:val="left" w:pos="1486"/>
              </w:tabs>
              <w:spacing w:before="64"/>
              <w:ind w:left="112"/>
              <w:rPr>
                <w:sz w:val="24"/>
              </w:rPr>
            </w:pPr>
            <w:r>
              <w:rPr>
                <w:spacing w:val="-2"/>
                <w:sz w:val="24"/>
              </w:rPr>
              <w:t>depends</w:t>
            </w:r>
            <w:r>
              <w:rPr>
                <w:sz w:val="24"/>
              </w:rPr>
              <w:tab/>
            </w:r>
            <w:r>
              <w:rPr>
                <w:spacing w:val="-5"/>
                <w:sz w:val="24"/>
              </w:rPr>
              <w:t>on</w:t>
            </w:r>
          </w:p>
        </w:tc>
        <w:tc>
          <w:tcPr>
            <w:tcW w:w="1228" w:type="dxa"/>
            <w:tcBorders>
              <w:top w:val="nil"/>
              <w:bottom w:val="nil"/>
            </w:tcBorders>
          </w:tcPr>
          <w:p w14:paraId="59E8EDC7" w14:textId="77777777" w:rsidR="00122CE8" w:rsidRDefault="00122CE8">
            <w:pPr>
              <w:pStyle w:val="TableParagraph"/>
              <w:rPr>
                <w:rFonts w:ascii="Times New Roman"/>
                <w:sz w:val="24"/>
              </w:rPr>
            </w:pPr>
          </w:p>
        </w:tc>
        <w:tc>
          <w:tcPr>
            <w:tcW w:w="1602" w:type="dxa"/>
            <w:tcBorders>
              <w:top w:val="nil"/>
              <w:bottom w:val="nil"/>
            </w:tcBorders>
          </w:tcPr>
          <w:p w14:paraId="57F6C3B5" w14:textId="77777777" w:rsidR="00122CE8" w:rsidRDefault="00AC01CC">
            <w:pPr>
              <w:pStyle w:val="TableParagraph"/>
              <w:spacing w:before="64"/>
              <w:ind w:left="113"/>
              <w:rPr>
                <w:sz w:val="24"/>
              </w:rPr>
            </w:pPr>
            <w:r>
              <w:rPr>
                <w:spacing w:val="-2"/>
                <w:sz w:val="24"/>
              </w:rPr>
              <w:t>clearly</w:t>
            </w:r>
          </w:p>
        </w:tc>
      </w:tr>
      <w:tr w:rsidR="00122CE8" w14:paraId="4E7E60A6" w14:textId="77777777">
        <w:trPr>
          <w:trHeight w:val="415"/>
        </w:trPr>
        <w:tc>
          <w:tcPr>
            <w:tcW w:w="1459" w:type="dxa"/>
            <w:tcBorders>
              <w:top w:val="nil"/>
              <w:bottom w:val="nil"/>
            </w:tcBorders>
          </w:tcPr>
          <w:p w14:paraId="254392A6" w14:textId="77777777" w:rsidR="00122CE8" w:rsidRDefault="00AC01CC">
            <w:pPr>
              <w:pStyle w:val="TableParagraph"/>
              <w:spacing w:before="64"/>
              <w:ind w:left="110"/>
              <w:rPr>
                <w:sz w:val="24"/>
              </w:rPr>
            </w:pPr>
            <w:r>
              <w:rPr>
                <w:spacing w:val="-5"/>
                <w:sz w:val="24"/>
              </w:rPr>
              <w:t>or</w:t>
            </w:r>
          </w:p>
        </w:tc>
        <w:tc>
          <w:tcPr>
            <w:tcW w:w="1377" w:type="dxa"/>
            <w:tcBorders>
              <w:top w:val="nil"/>
              <w:bottom w:val="nil"/>
            </w:tcBorders>
          </w:tcPr>
          <w:p w14:paraId="2C5DB16A" w14:textId="77777777" w:rsidR="00122CE8" w:rsidRDefault="00AC01CC">
            <w:pPr>
              <w:pStyle w:val="TableParagraph"/>
              <w:tabs>
                <w:tab w:val="left" w:pos="1002"/>
              </w:tabs>
              <w:spacing w:before="64"/>
              <w:ind w:left="110"/>
              <w:rPr>
                <w:sz w:val="24"/>
              </w:rPr>
            </w:pPr>
            <w:r>
              <w:rPr>
                <w:spacing w:val="-2"/>
                <w:sz w:val="24"/>
              </w:rPr>
              <w:t>value</w:t>
            </w:r>
            <w:r>
              <w:rPr>
                <w:sz w:val="24"/>
              </w:rPr>
              <w:tab/>
            </w:r>
            <w:r>
              <w:rPr>
                <w:spacing w:val="-5"/>
                <w:sz w:val="24"/>
              </w:rPr>
              <w:t>on</w:t>
            </w:r>
          </w:p>
        </w:tc>
        <w:tc>
          <w:tcPr>
            <w:tcW w:w="1487" w:type="dxa"/>
            <w:tcBorders>
              <w:top w:val="nil"/>
              <w:bottom w:val="nil"/>
            </w:tcBorders>
          </w:tcPr>
          <w:p w14:paraId="216BF172" w14:textId="77777777" w:rsidR="00122CE8" w:rsidRDefault="00AC01CC">
            <w:pPr>
              <w:pStyle w:val="TableParagraph"/>
              <w:spacing w:before="64"/>
              <w:ind w:left="106"/>
              <w:rPr>
                <w:sz w:val="24"/>
              </w:rPr>
            </w:pPr>
            <w:r>
              <w:rPr>
                <w:spacing w:val="-2"/>
                <w:sz w:val="24"/>
              </w:rPr>
              <w:t>strongly</w:t>
            </w:r>
          </w:p>
        </w:tc>
        <w:tc>
          <w:tcPr>
            <w:tcW w:w="1857" w:type="dxa"/>
            <w:tcBorders>
              <w:top w:val="nil"/>
              <w:bottom w:val="nil"/>
            </w:tcBorders>
          </w:tcPr>
          <w:p w14:paraId="451A7642" w14:textId="77777777" w:rsidR="00122CE8" w:rsidRDefault="00AC01CC">
            <w:pPr>
              <w:pStyle w:val="TableParagraph"/>
              <w:spacing w:before="64"/>
              <w:ind w:left="112"/>
              <w:rPr>
                <w:sz w:val="24"/>
              </w:rPr>
            </w:pPr>
            <w:r>
              <w:rPr>
                <w:sz w:val="24"/>
              </w:rPr>
              <w:t>lawful</w:t>
            </w:r>
            <w:r>
              <w:rPr>
                <w:spacing w:val="-1"/>
                <w:sz w:val="24"/>
              </w:rPr>
              <w:t xml:space="preserve"> </w:t>
            </w:r>
            <w:r>
              <w:rPr>
                <w:sz w:val="24"/>
              </w:rPr>
              <w:t xml:space="preserve">safe </w:t>
            </w:r>
            <w:r>
              <w:rPr>
                <w:spacing w:val="-5"/>
                <w:sz w:val="24"/>
              </w:rPr>
              <w:t>use</w:t>
            </w:r>
          </w:p>
        </w:tc>
        <w:tc>
          <w:tcPr>
            <w:tcW w:w="1228" w:type="dxa"/>
            <w:tcBorders>
              <w:top w:val="nil"/>
              <w:bottom w:val="nil"/>
            </w:tcBorders>
          </w:tcPr>
          <w:p w14:paraId="2337A5A2" w14:textId="77777777" w:rsidR="00122CE8" w:rsidRDefault="00122CE8">
            <w:pPr>
              <w:pStyle w:val="TableParagraph"/>
              <w:rPr>
                <w:rFonts w:ascii="Times New Roman"/>
                <w:sz w:val="24"/>
              </w:rPr>
            </w:pPr>
          </w:p>
        </w:tc>
        <w:tc>
          <w:tcPr>
            <w:tcW w:w="1602" w:type="dxa"/>
            <w:tcBorders>
              <w:top w:val="nil"/>
              <w:bottom w:val="nil"/>
            </w:tcBorders>
          </w:tcPr>
          <w:p w14:paraId="28DA01A8" w14:textId="77777777" w:rsidR="00122CE8" w:rsidRDefault="00AC01CC">
            <w:pPr>
              <w:pStyle w:val="TableParagraph"/>
              <w:spacing w:before="64"/>
              <w:ind w:left="113"/>
              <w:rPr>
                <w:sz w:val="24"/>
              </w:rPr>
            </w:pPr>
            <w:r>
              <w:rPr>
                <w:spacing w:val="-2"/>
                <w:sz w:val="24"/>
              </w:rPr>
              <w:t>defensible</w:t>
            </w:r>
          </w:p>
        </w:tc>
      </w:tr>
      <w:tr w:rsidR="00122CE8" w14:paraId="55FE2401" w14:textId="77777777">
        <w:trPr>
          <w:trHeight w:val="415"/>
        </w:trPr>
        <w:tc>
          <w:tcPr>
            <w:tcW w:w="1459" w:type="dxa"/>
            <w:tcBorders>
              <w:top w:val="nil"/>
              <w:bottom w:val="nil"/>
            </w:tcBorders>
          </w:tcPr>
          <w:p w14:paraId="614E993E" w14:textId="77777777" w:rsidR="00122CE8" w:rsidRDefault="00AC01CC">
            <w:pPr>
              <w:pStyle w:val="TableParagraph"/>
              <w:spacing w:before="67"/>
              <w:ind w:left="110"/>
              <w:rPr>
                <w:sz w:val="24"/>
              </w:rPr>
            </w:pPr>
            <w:r>
              <w:rPr>
                <w:spacing w:val="-2"/>
                <w:sz w:val="24"/>
              </w:rPr>
              <w:t>controlled</w:t>
            </w:r>
          </w:p>
        </w:tc>
        <w:tc>
          <w:tcPr>
            <w:tcW w:w="1377" w:type="dxa"/>
            <w:tcBorders>
              <w:top w:val="nil"/>
              <w:bottom w:val="nil"/>
            </w:tcBorders>
          </w:tcPr>
          <w:p w14:paraId="1F59D0AB" w14:textId="77777777" w:rsidR="00122CE8" w:rsidRDefault="00AC01CC">
            <w:pPr>
              <w:pStyle w:val="TableParagraph"/>
              <w:spacing w:before="67"/>
              <w:ind w:left="110"/>
              <w:rPr>
                <w:sz w:val="24"/>
              </w:rPr>
            </w:pPr>
            <w:r>
              <w:rPr>
                <w:spacing w:val="-2"/>
                <w:sz w:val="24"/>
              </w:rPr>
              <w:t>limited</w:t>
            </w:r>
          </w:p>
        </w:tc>
        <w:tc>
          <w:tcPr>
            <w:tcW w:w="1487" w:type="dxa"/>
            <w:tcBorders>
              <w:top w:val="nil"/>
              <w:bottom w:val="nil"/>
            </w:tcBorders>
          </w:tcPr>
          <w:p w14:paraId="53A6EE3C" w14:textId="77777777" w:rsidR="00122CE8" w:rsidRDefault="00AC01CC">
            <w:pPr>
              <w:pStyle w:val="TableParagraph"/>
              <w:spacing w:before="67"/>
              <w:ind w:left="106"/>
              <w:rPr>
                <w:sz w:val="24"/>
              </w:rPr>
            </w:pPr>
            <w:r>
              <w:rPr>
                <w:spacing w:val="-2"/>
                <w:sz w:val="24"/>
              </w:rPr>
              <w:t>evidenced</w:t>
            </w:r>
          </w:p>
        </w:tc>
        <w:tc>
          <w:tcPr>
            <w:tcW w:w="1857" w:type="dxa"/>
            <w:tcBorders>
              <w:top w:val="nil"/>
              <w:bottom w:val="nil"/>
            </w:tcBorders>
          </w:tcPr>
          <w:p w14:paraId="460E63E4" w14:textId="77777777" w:rsidR="00122CE8" w:rsidRDefault="00122CE8">
            <w:pPr>
              <w:pStyle w:val="TableParagraph"/>
              <w:rPr>
                <w:rFonts w:ascii="Times New Roman"/>
                <w:sz w:val="24"/>
              </w:rPr>
            </w:pPr>
          </w:p>
        </w:tc>
        <w:tc>
          <w:tcPr>
            <w:tcW w:w="1228" w:type="dxa"/>
            <w:tcBorders>
              <w:top w:val="nil"/>
              <w:bottom w:val="nil"/>
            </w:tcBorders>
          </w:tcPr>
          <w:p w14:paraId="311AF17A" w14:textId="77777777" w:rsidR="00122CE8" w:rsidRDefault="00122CE8">
            <w:pPr>
              <w:pStyle w:val="TableParagraph"/>
              <w:rPr>
                <w:rFonts w:ascii="Times New Roman"/>
                <w:sz w:val="24"/>
              </w:rPr>
            </w:pPr>
          </w:p>
        </w:tc>
        <w:tc>
          <w:tcPr>
            <w:tcW w:w="1602" w:type="dxa"/>
            <w:tcBorders>
              <w:top w:val="nil"/>
              <w:bottom w:val="nil"/>
            </w:tcBorders>
          </w:tcPr>
          <w:p w14:paraId="71AEB261" w14:textId="77777777" w:rsidR="00122CE8" w:rsidRDefault="00AC01CC">
            <w:pPr>
              <w:pStyle w:val="TableParagraph"/>
              <w:spacing w:before="67"/>
              <w:ind w:left="113"/>
              <w:rPr>
                <w:sz w:val="24"/>
              </w:rPr>
            </w:pPr>
            <w:r>
              <w:rPr>
                <w:spacing w:val="-2"/>
                <w:sz w:val="24"/>
              </w:rPr>
              <w:t>batches</w:t>
            </w:r>
          </w:p>
        </w:tc>
      </w:tr>
      <w:tr w:rsidR="00122CE8" w14:paraId="3FA1DEAC" w14:textId="77777777">
        <w:trPr>
          <w:trHeight w:val="596"/>
        </w:trPr>
        <w:tc>
          <w:tcPr>
            <w:tcW w:w="1459" w:type="dxa"/>
            <w:tcBorders>
              <w:top w:val="nil"/>
            </w:tcBorders>
          </w:tcPr>
          <w:p w14:paraId="11B82271" w14:textId="77777777" w:rsidR="00122CE8" w:rsidRDefault="00AC01CC">
            <w:pPr>
              <w:pStyle w:val="TableParagraph"/>
              <w:spacing w:before="64"/>
              <w:ind w:left="110"/>
              <w:rPr>
                <w:sz w:val="24"/>
              </w:rPr>
            </w:pPr>
            <w:r>
              <w:rPr>
                <w:spacing w:val="-5"/>
                <w:sz w:val="24"/>
              </w:rPr>
              <w:t>use</w:t>
            </w:r>
          </w:p>
        </w:tc>
        <w:tc>
          <w:tcPr>
            <w:tcW w:w="1377" w:type="dxa"/>
            <w:tcBorders>
              <w:top w:val="nil"/>
            </w:tcBorders>
          </w:tcPr>
          <w:p w14:paraId="600E07FD" w14:textId="77777777" w:rsidR="00122CE8" w:rsidRDefault="00AC01CC">
            <w:pPr>
              <w:pStyle w:val="TableParagraph"/>
              <w:spacing w:before="64"/>
              <w:ind w:left="110"/>
              <w:rPr>
                <w:sz w:val="24"/>
              </w:rPr>
            </w:pPr>
            <w:r>
              <w:rPr>
                <w:spacing w:val="-2"/>
                <w:sz w:val="24"/>
              </w:rPr>
              <w:t>batches</w:t>
            </w:r>
          </w:p>
        </w:tc>
        <w:tc>
          <w:tcPr>
            <w:tcW w:w="1487" w:type="dxa"/>
            <w:tcBorders>
              <w:top w:val="nil"/>
            </w:tcBorders>
          </w:tcPr>
          <w:p w14:paraId="155564EE" w14:textId="77777777" w:rsidR="00122CE8" w:rsidRDefault="00122CE8">
            <w:pPr>
              <w:pStyle w:val="TableParagraph"/>
              <w:rPr>
                <w:rFonts w:ascii="Times New Roman"/>
                <w:sz w:val="24"/>
              </w:rPr>
            </w:pPr>
          </w:p>
        </w:tc>
        <w:tc>
          <w:tcPr>
            <w:tcW w:w="1857" w:type="dxa"/>
            <w:tcBorders>
              <w:top w:val="nil"/>
            </w:tcBorders>
          </w:tcPr>
          <w:p w14:paraId="080DC725" w14:textId="77777777" w:rsidR="00122CE8" w:rsidRDefault="00122CE8">
            <w:pPr>
              <w:pStyle w:val="TableParagraph"/>
              <w:rPr>
                <w:rFonts w:ascii="Times New Roman"/>
                <w:sz w:val="24"/>
              </w:rPr>
            </w:pPr>
          </w:p>
        </w:tc>
        <w:tc>
          <w:tcPr>
            <w:tcW w:w="1228" w:type="dxa"/>
            <w:tcBorders>
              <w:top w:val="nil"/>
            </w:tcBorders>
          </w:tcPr>
          <w:p w14:paraId="139D9143" w14:textId="77777777" w:rsidR="00122CE8" w:rsidRDefault="00122CE8">
            <w:pPr>
              <w:pStyle w:val="TableParagraph"/>
              <w:rPr>
                <w:rFonts w:ascii="Times New Roman"/>
                <w:sz w:val="24"/>
              </w:rPr>
            </w:pPr>
          </w:p>
        </w:tc>
        <w:tc>
          <w:tcPr>
            <w:tcW w:w="1602" w:type="dxa"/>
            <w:tcBorders>
              <w:top w:val="nil"/>
            </w:tcBorders>
          </w:tcPr>
          <w:p w14:paraId="1EDA815F" w14:textId="77777777" w:rsidR="00122CE8" w:rsidRDefault="00122CE8">
            <w:pPr>
              <w:pStyle w:val="TableParagraph"/>
              <w:rPr>
                <w:rFonts w:ascii="Times New Roman"/>
                <w:sz w:val="24"/>
              </w:rPr>
            </w:pPr>
          </w:p>
        </w:tc>
      </w:tr>
      <w:tr w:rsidR="00122CE8" w14:paraId="366B7B03" w14:textId="77777777">
        <w:trPr>
          <w:trHeight w:val="588"/>
        </w:trPr>
        <w:tc>
          <w:tcPr>
            <w:tcW w:w="1459" w:type="dxa"/>
            <w:tcBorders>
              <w:bottom w:val="nil"/>
            </w:tcBorders>
          </w:tcPr>
          <w:p w14:paraId="3FE83910" w14:textId="77777777" w:rsidR="00122CE8" w:rsidRDefault="00AC01CC">
            <w:pPr>
              <w:pStyle w:val="TableParagraph"/>
              <w:spacing w:before="240"/>
              <w:ind w:left="110"/>
              <w:rPr>
                <w:sz w:val="24"/>
              </w:rPr>
            </w:pPr>
            <w:r>
              <w:rPr>
                <w:spacing w:val="-2"/>
                <w:sz w:val="24"/>
              </w:rPr>
              <w:t>Supplier</w:t>
            </w:r>
          </w:p>
        </w:tc>
        <w:tc>
          <w:tcPr>
            <w:tcW w:w="1377" w:type="dxa"/>
            <w:tcBorders>
              <w:bottom w:val="nil"/>
            </w:tcBorders>
          </w:tcPr>
          <w:p w14:paraId="4AE1E6B7" w14:textId="77777777" w:rsidR="00122CE8" w:rsidRDefault="00AC01CC">
            <w:pPr>
              <w:pStyle w:val="TableParagraph"/>
              <w:spacing w:before="240"/>
              <w:ind w:left="110"/>
              <w:rPr>
                <w:sz w:val="24"/>
              </w:rPr>
            </w:pPr>
            <w:r>
              <w:rPr>
                <w:spacing w:val="-5"/>
                <w:sz w:val="24"/>
              </w:rPr>
              <w:t>Can</w:t>
            </w:r>
          </w:p>
        </w:tc>
        <w:tc>
          <w:tcPr>
            <w:tcW w:w="1487" w:type="dxa"/>
            <w:tcBorders>
              <w:bottom w:val="nil"/>
            </w:tcBorders>
          </w:tcPr>
          <w:p w14:paraId="575CD465" w14:textId="77777777" w:rsidR="00122CE8" w:rsidRDefault="00AC01CC">
            <w:pPr>
              <w:pStyle w:val="TableParagraph"/>
              <w:spacing w:before="240"/>
              <w:ind w:left="106"/>
              <w:rPr>
                <w:sz w:val="24"/>
              </w:rPr>
            </w:pPr>
            <w:r>
              <w:rPr>
                <w:spacing w:val="-2"/>
                <w:sz w:val="24"/>
              </w:rPr>
              <w:t>Medium;</w:t>
            </w:r>
          </w:p>
        </w:tc>
        <w:tc>
          <w:tcPr>
            <w:tcW w:w="1857" w:type="dxa"/>
            <w:tcBorders>
              <w:bottom w:val="nil"/>
            </w:tcBorders>
          </w:tcPr>
          <w:p w14:paraId="1F4CFF55" w14:textId="77777777" w:rsidR="00122CE8" w:rsidRDefault="00AC01CC">
            <w:pPr>
              <w:pStyle w:val="TableParagraph"/>
              <w:tabs>
                <w:tab w:val="left" w:pos="1285"/>
              </w:tabs>
              <w:spacing w:before="240"/>
              <w:ind w:left="112"/>
              <w:rPr>
                <w:sz w:val="24"/>
              </w:rPr>
            </w:pPr>
            <w:r>
              <w:rPr>
                <w:spacing w:val="-2"/>
                <w:sz w:val="24"/>
              </w:rPr>
              <w:t>Better</w:t>
            </w:r>
            <w:r>
              <w:rPr>
                <w:sz w:val="24"/>
              </w:rPr>
              <w:tab/>
            </w:r>
            <w:r>
              <w:rPr>
                <w:spacing w:val="-4"/>
                <w:sz w:val="24"/>
              </w:rPr>
              <w:t>than</w:t>
            </w:r>
          </w:p>
        </w:tc>
        <w:tc>
          <w:tcPr>
            <w:tcW w:w="1228" w:type="dxa"/>
            <w:tcBorders>
              <w:bottom w:val="nil"/>
            </w:tcBorders>
          </w:tcPr>
          <w:p w14:paraId="67EC3525" w14:textId="77777777" w:rsidR="00122CE8" w:rsidRDefault="00AC01CC">
            <w:pPr>
              <w:pStyle w:val="TableParagraph"/>
              <w:spacing w:before="240"/>
              <w:ind w:left="107"/>
              <w:rPr>
                <w:sz w:val="24"/>
              </w:rPr>
            </w:pPr>
            <w:r>
              <w:rPr>
                <w:spacing w:val="-2"/>
                <w:sz w:val="24"/>
              </w:rPr>
              <w:t>Moderate</w:t>
            </w:r>
          </w:p>
        </w:tc>
        <w:tc>
          <w:tcPr>
            <w:tcW w:w="1602" w:type="dxa"/>
            <w:tcBorders>
              <w:bottom w:val="nil"/>
            </w:tcBorders>
          </w:tcPr>
          <w:p w14:paraId="6BBFC167" w14:textId="77777777" w:rsidR="00122CE8" w:rsidRDefault="00AC01CC">
            <w:pPr>
              <w:pStyle w:val="TableParagraph"/>
              <w:spacing w:before="240"/>
              <w:ind w:left="113"/>
              <w:rPr>
                <w:sz w:val="24"/>
              </w:rPr>
            </w:pPr>
            <w:r>
              <w:rPr>
                <w:spacing w:val="-2"/>
                <w:sz w:val="24"/>
              </w:rPr>
              <w:t>Worth</w:t>
            </w:r>
          </w:p>
        </w:tc>
      </w:tr>
      <w:tr w:rsidR="00122CE8" w14:paraId="60440A85" w14:textId="77777777">
        <w:trPr>
          <w:trHeight w:val="415"/>
        </w:trPr>
        <w:tc>
          <w:tcPr>
            <w:tcW w:w="1459" w:type="dxa"/>
            <w:tcBorders>
              <w:top w:val="nil"/>
              <w:bottom w:val="nil"/>
            </w:tcBorders>
          </w:tcPr>
          <w:p w14:paraId="545AFFD3" w14:textId="77777777" w:rsidR="00122CE8" w:rsidRDefault="00AC01CC">
            <w:pPr>
              <w:pStyle w:val="TableParagraph"/>
              <w:tabs>
                <w:tab w:val="left" w:pos="1140"/>
              </w:tabs>
              <w:spacing w:before="64"/>
              <w:ind w:left="110"/>
              <w:rPr>
                <w:sz w:val="24"/>
              </w:rPr>
            </w:pPr>
            <w:r>
              <w:rPr>
                <w:spacing w:val="-2"/>
                <w:sz w:val="24"/>
              </w:rPr>
              <w:t>return</w:t>
            </w:r>
            <w:r>
              <w:rPr>
                <w:sz w:val="24"/>
              </w:rPr>
              <w:tab/>
            </w:r>
            <w:r>
              <w:rPr>
                <w:spacing w:val="-5"/>
                <w:sz w:val="24"/>
              </w:rPr>
              <w:t>or</w:t>
            </w:r>
          </w:p>
        </w:tc>
        <w:tc>
          <w:tcPr>
            <w:tcW w:w="1377" w:type="dxa"/>
            <w:tcBorders>
              <w:top w:val="nil"/>
              <w:bottom w:val="nil"/>
            </w:tcBorders>
          </w:tcPr>
          <w:p w14:paraId="42152468" w14:textId="77777777" w:rsidR="00122CE8" w:rsidRDefault="00AC01CC">
            <w:pPr>
              <w:pStyle w:val="TableParagraph"/>
              <w:spacing w:before="64"/>
              <w:ind w:left="110"/>
              <w:rPr>
                <w:sz w:val="24"/>
              </w:rPr>
            </w:pPr>
            <w:r>
              <w:rPr>
                <w:spacing w:val="-2"/>
                <w:sz w:val="24"/>
              </w:rPr>
              <w:t>reduce</w:t>
            </w:r>
          </w:p>
        </w:tc>
        <w:tc>
          <w:tcPr>
            <w:tcW w:w="1487" w:type="dxa"/>
            <w:tcBorders>
              <w:top w:val="nil"/>
              <w:bottom w:val="nil"/>
            </w:tcBorders>
          </w:tcPr>
          <w:p w14:paraId="4022930E" w14:textId="77777777" w:rsidR="00122CE8" w:rsidRDefault="00AC01CC">
            <w:pPr>
              <w:pStyle w:val="TableParagraph"/>
              <w:spacing w:before="64"/>
              <w:ind w:left="106"/>
              <w:rPr>
                <w:sz w:val="24"/>
              </w:rPr>
            </w:pPr>
            <w:r>
              <w:rPr>
                <w:sz w:val="24"/>
              </w:rPr>
              <w:t>depends</w:t>
            </w:r>
            <w:r>
              <w:rPr>
                <w:spacing w:val="19"/>
                <w:sz w:val="24"/>
              </w:rPr>
              <w:t xml:space="preserve"> </w:t>
            </w:r>
            <w:r>
              <w:rPr>
                <w:spacing w:val="-5"/>
                <w:sz w:val="24"/>
              </w:rPr>
              <w:t>on</w:t>
            </w:r>
          </w:p>
        </w:tc>
        <w:tc>
          <w:tcPr>
            <w:tcW w:w="1857" w:type="dxa"/>
            <w:tcBorders>
              <w:top w:val="nil"/>
              <w:bottom w:val="nil"/>
            </w:tcBorders>
          </w:tcPr>
          <w:p w14:paraId="097061CC" w14:textId="77777777" w:rsidR="00122CE8" w:rsidRDefault="00AC01CC">
            <w:pPr>
              <w:pStyle w:val="TableParagraph"/>
              <w:spacing w:before="64"/>
              <w:ind w:left="112"/>
              <w:rPr>
                <w:sz w:val="24"/>
              </w:rPr>
            </w:pPr>
            <w:r>
              <w:rPr>
                <w:sz w:val="24"/>
              </w:rPr>
              <w:t>direct</w:t>
            </w:r>
            <w:r>
              <w:rPr>
                <w:spacing w:val="71"/>
                <w:w w:val="150"/>
                <w:sz w:val="24"/>
              </w:rPr>
              <w:t xml:space="preserve"> </w:t>
            </w:r>
            <w:r>
              <w:rPr>
                <w:spacing w:val="-2"/>
                <w:sz w:val="24"/>
              </w:rPr>
              <w:t>disposal</w:t>
            </w:r>
          </w:p>
        </w:tc>
        <w:tc>
          <w:tcPr>
            <w:tcW w:w="1228" w:type="dxa"/>
            <w:tcBorders>
              <w:top w:val="nil"/>
              <w:bottom w:val="nil"/>
            </w:tcBorders>
          </w:tcPr>
          <w:p w14:paraId="37647D31" w14:textId="77777777" w:rsidR="00122CE8" w:rsidRDefault="00122CE8">
            <w:pPr>
              <w:pStyle w:val="TableParagraph"/>
              <w:rPr>
                <w:rFonts w:ascii="Times New Roman"/>
                <w:sz w:val="24"/>
              </w:rPr>
            </w:pPr>
          </w:p>
        </w:tc>
        <w:tc>
          <w:tcPr>
            <w:tcW w:w="1602" w:type="dxa"/>
            <w:tcBorders>
              <w:top w:val="nil"/>
              <w:bottom w:val="nil"/>
            </w:tcBorders>
          </w:tcPr>
          <w:p w14:paraId="25238F7A" w14:textId="77777777" w:rsidR="00122CE8" w:rsidRDefault="00AC01CC">
            <w:pPr>
              <w:pStyle w:val="TableParagraph"/>
              <w:spacing w:before="64"/>
              <w:ind w:left="113"/>
              <w:rPr>
                <w:sz w:val="24"/>
              </w:rPr>
            </w:pPr>
            <w:r>
              <w:rPr>
                <w:spacing w:val="-2"/>
                <w:sz w:val="24"/>
              </w:rPr>
              <w:t>pursuing</w:t>
            </w:r>
          </w:p>
        </w:tc>
      </w:tr>
      <w:tr w:rsidR="00122CE8" w14:paraId="33221B15" w14:textId="77777777">
        <w:trPr>
          <w:trHeight w:val="415"/>
        </w:trPr>
        <w:tc>
          <w:tcPr>
            <w:tcW w:w="1459" w:type="dxa"/>
            <w:tcBorders>
              <w:top w:val="nil"/>
              <w:bottom w:val="nil"/>
            </w:tcBorders>
          </w:tcPr>
          <w:p w14:paraId="2D5469EF" w14:textId="77777777" w:rsidR="00122CE8" w:rsidRDefault="00AC01CC">
            <w:pPr>
              <w:pStyle w:val="TableParagraph"/>
              <w:spacing w:before="67"/>
              <w:ind w:left="110"/>
              <w:rPr>
                <w:sz w:val="24"/>
              </w:rPr>
            </w:pPr>
            <w:r>
              <w:rPr>
                <w:spacing w:val="-2"/>
                <w:sz w:val="24"/>
              </w:rPr>
              <w:t>take-</w:t>
            </w:r>
            <w:r>
              <w:rPr>
                <w:spacing w:val="-4"/>
                <w:sz w:val="24"/>
              </w:rPr>
              <w:t>back</w:t>
            </w:r>
          </w:p>
        </w:tc>
        <w:tc>
          <w:tcPr>
            <w:tcW w:w="1377" w:type="dxa"/>
            <w:tcBorders>
              <w:top w:val="nil"/>
              <w:bottom w:val="nil"/>
            </w:tcBorders>
          </w:tcPr>
          <w:p w14:paraId="1A70B298" w14:textId="77777777" w:rsidR="00122CE8" w:rsidRDefault="00AC01CC">
            <w:pPr>
              <w:pStyle w:val="TableParagraph"/>
              <w:spacing w:before="67"/>
              <w:ind w:left="110"/>
              <w:rPr>
                <w:sz w:val="24"/>
              </w:rPr>
            </w:pPr>
            <w:r>
              <w:rPr>
                <w:spacing w:val="-2"/>
                <w:sz w:val="24"/>
              </w:rPr>
              <w:t>disposal</w:t>
            </w:r>
          </w:p>
        </w:tc>
        <w:tc>
          <w:tcPr>
            <w:tcW w:w="1487" w:type="dxa"/>
            <w:tcBorders>
              <w:top w:val="nil"/>
              <w:bottom w:val="nil"/>
            </w:tcBorders>
          </w:tcPr>
          <w:p w14:paraId="7080309B" w14:textId="77777777" w:rsidR="00122CE8" w:rsidRDefault="00AC01CC">
            <w:pPr>
              <w:pStyle w:val="TableParagraph"/>
              <w:spacing w:before="67"/>
              <w:ind w:left="106"/>
              <w:rPr>
                <w:sz w:val="24"/>
              </w:rPr>
            </w:pPr>
            <w:r>
              <w:rPr>
                <w:spacing w:val="-2"/>
                <w:sz w:val="24"/>
              </w:rPr>
              <w:t>contractual</w:t>
            </w:r>
          </w:p>
        </w:tc>
        <w:tc>
          <w:tcPr>
            <w:tcW w:w="1857" w:type="dxa"/>
            <w:tcBorders>
              <w:top w:val="nil"/>
              <w:bottom w:val="nil"/>
            </w:tcBorders>
          </w:tcPr>
          <w:p w14:paraId="00D59DC7" w14:textId="77777777" w:rsidR="00122CE8" w:rsidRDefault="00AC01CC">
            <w:pPr>
              <w:pStyle w:val="TableParagraph"/>
              <w:spacing w:before="67"/>
              <w:ind w:left="112"/>
              <w:rPr>
                <w:sz w:val="24"/>
              </w:rPr>
            </w:pPr>
            <w:r>
              <w:rPr>
                <w:sz w:val="24"/>
              </w:rPr>
              <w:t>if</w:t>
            </w:r>
            <w:r>
              <w:rPr>
                <w:spacing w:val="-1"/>
                <w:sz w:val="24"/>
              </w:rPr>
              <w:t xml:space="preserve"> </w:t>
            </w:r>
            <w:r>
              <w:rPr>
                <w:spacing w:val="-2"/>
                <w:sz w:val="24"/>
              </w:rPr>
              <w:t>approved</w:t>
            </w:r>
          </w:p>
        </w:tc>
        <w:tc>
          <w:tcPr>
            <w:tcW w:w="1228" w:type="dxa"/>
            <w:tcBorders>
              <w:top w:val="nil"/>
              <w:bottom w:val="nil"/>
            </w:tcBorders>
          </w:tcPr>
          <w:p w14:paraId="1E128B53" w14:textId="77777777" w:rsidR="00122CE8" w:rsidRDefault="00122CE8">
            <w:pPr>
              <w:pStyle w:val="TableParagraph"/>
              <w:rPr>
                <w:rFonts w:ascii="Times New Roman"/>
                <w:sz w:val="24"/>
              </w:rPr>
            </w:pPr>
          </w:p>
        </w:tc>
        <w:tc>
          <w:tcPr>
            <w:tcW w:w="1602" w:type="dxa"/>
            <w:tcBorders>
              <w:top w:val="nil"/>
              <w:bottom w:val="nil"/>
            </w:tcBorders>
          </w:tcPr>
          <w:p w14:paraId="4877B330" w14:textId="77777777" w:rsidR="00122CE8" w:rsidRDefault="00AC01CC">
            <w:pPr>
              <w:pStyle w:val="TableParagraph"/>
              <w:spacing w:before="67"/>
              <w:ind w:left="113"/>
              <w:rPr>
                <w:sz w:val="24"/>
              </w:rPr>
            </w:pPr>
            <w:r>
              <w:rPr>
                <w:spacing w:val="-2"/>
                <w:sz w:val="24"/>
              </w:rPr>
              <w:t>selectively</w:t>
            </w:r>
          </w:p>
        </w:tc>
      </w:tr>
      <w:tr w:rsidR="00122CE8" w14:paraId="03219498" w14:textId="77777777">
        <w:trPr>
          <w:trHeight w:val="412"/>
        </w:trPr>
        <w:tc>
          <w:tcPr>
            <w:tcW w:w="1459" w:type="dxa"/>
            <w:tcBorders>
              <w:top w:val="nil"/>
              <w:bottom w:val="nil"/>
            </w:tcBorders>
          </w:tcPr>
          <w:p w14:paraId="3E75C04F" w14:textId="77777777" w:rsidR="00122CE8" w:rsidRDefault="00122CE8">
            <w:pPr>
              <w:pStyle w:val="TableParagraph"/>
              <w:rPr>
                <w:rFonts w:ascii="Times New Roman"/>
                <w:sz w:val="24"/>
              </w:rPr>
            </w:pPr>
          </w:p>
        </w:tc>
        <w:tc>
          <w:tcPr>
            <w:tcW w:w="1377" w:type="dxa"/>
            <w:tcBorders>
              <w:top w:val="nil"/>
              <w:bottom w:val="nil"/>
            </w:tcBorders>
          </w:tcPr>
          <w:p w14:paraId="465F5BB5" w14:textId="77777777" w:rsidR="00122CE8" w:rsidRDefault="00AC01CC">
            <w:pPr>
              <w:pStyle w:val="TableParagraph"/>
              <w:spacing w:before="64"/>
              <w:ind w:left="110"/>
              <w:rPr>
                <w:sz w:val="24"/>
              </w:rPr>
            </w:pPr>
            <w:r>
              <w:rPr>
                <w:spacing w:val="-2"/>
                <w:sz w:val="24"/>
              </w:rPr>
              <w:t>costs</w:t>
            </w:r>
          </w:p>
        </w:tc>
        <w:tc>
          <w:tcPr>
            <w:tcW w:w="1487" w:type="dxa"/>
            <w:tcBorders>
              <w:top w:val="nil"/>
              <w:bottom w:val="nil"/>
            </w:tcBorders>
          </w:tcPr>
          <w:p w14:paraId="534E13C2" w14:textId="77777777" w:rsidR="00122CE8" w:rsidRDefault="00AC01CC">
            <w:pPr>
              <w:pStyle w:val="TableParagraph"/>
              <w:tabs>
                <w:tab w:val="left" w:pos="873"/>
              </w:tabs>
              <w:spacing w:before="64"/>
              <w:ind w:left="106"/>
              <w:rPr>
                <w:sz w:val="24"/>
              </w:rPr>
            </w:pPr>
            <w:r>
              <w:rPr>
                <w:spacing w:val="-5"/>
                <w:sz w:val="24"/>
              </w:rPr>
              <w:t>and</w:t>
            </w:r>
            <w:r>
              <w:rPr>
                <w:sz w:val="24"/>
              </w:rPr>
              <w:tab/>
            </w:r>
            <w:r>
              <w:rPr>
                <w:spacing w:val="-2"/>
                <w:sz w:val="24"/>
              </w:rPr>
              <w:t>legal</w:t>
            </w:r>
          </w:p>
        </w:tc>
        <w:tc>
          <w:tcPr>
            <w:tcW w:w="1857" w:type="dxa"/>
            <w:tcBorders>
              <w:top w:val="nil"/>
              <w:bottom w:val="nil"/>
            </w:tcBorders>
          </w:tcPr>
          <w:p w14:paraId="7558CD9E" w14:textId="77777777" w:rsidR="00122CE8" w:rsidRDefault="00122CE8">
            <w:pPr>
              <w:pStyle w:val="TableParagraph"/>
              <w:rPr>
                <w:rFonts w:ascii="Times New Roman"/>
                <w:sz w:val="24"/>
              </w:rPr>
            </w:pPr>
          </w:p>
        </w:tc>
        <w:tc>
          <w:tcPr>
            <w:tcW w:w="1228" w:type="dxa"/>
            <w:tcBorders>
              <w:top w:val="nil"/>
              <w:bottom w:val="nil"/>
            </w:tcBorders>
          </w:tcPr>
          <w:p w14:paraId="6AD525ED" w14:textId="77777777" w:rsidR="00122CE8" w:rsidRDefault="00122CE8">
            <w:pPr>
              <w:pStyle w:val="TableParagraph"/>
              <w:rPr>
                <w:rFonts w:ascii="Times New Roman"/>
                <w:sz w:val="24"/>
              </w:rPr>
            </w:pPr>
          </w:p>
        </w:tc>
        <w:tc>
          <w:tcPr>
            <w:tcW w:w="1602" w:type="dxa"/>
            <w:tcBorders>
              <w:top w:val="nil"/>
              <w:bottom w:val="nil"/>
            </w:tcBorders>
          </w:tcPr>
          <w:p w14:paraId="0E1CD4EF" w14:textId="77777777" w:rsidR="00122CE8" w:rsidRDefault="00122CE8">
            <w:pPr>
              <w:pStyle w:val="TableParagraph"/>
              <w:rPr>
                <w:rFonts w:ascii="Times New Roman"/>
                <w:sz w:val="24"/>
              </w:rPr>
            </w:pPr>
          </w:p>
        </w:tc>
      </w:tr>
      <w:tr w:rsidR="00122CE8" w14:paraId="792D2C64" w14:textId="77777777">
        <w:trPr>
          <w:trHeight w:val="596"/>
        </w:trPr>
        <w:tc>
          <w:tcPr>
            <w:tcW w:w="1459" w:type="dxa"/>
            <w:tcBorders>
              <w:top w:val="nil"/>
            </w:tcBorders>
          </w:tcPr>
          <w:p w14:paraId="3A4E2E70" w14:textId="77777777" w:rsidR="00122CE8" w:rsidRDefault="00122CE8">
            <w:pPr>
              <w:pStyle w:val="TableParagraph"/>
              <w:rPr>
                <w:rFonts w:ascii="Times New Roman"/>
                <w:sz w:val="24"/>
              </w:rPr>
            </w:pPr>
          </w:p>
        </w:tc>
        <w:tc>
          <w:tcPr>
            <w:tcW w:w="1377" w:type="dxa"/>
            <w:tcBorders>
              <w:top w:val="nil"/>
            </w:tcBorders>
          </w:tcPr>
          <w:p w14:paraId="64584066" w14:textId="77777777" w:rsidR="00122CE8" w:rsidRDefault="00122CE8">
            <w:pPr>
              <w:pStyle w:val="TableParagraph"/>
              <w:rPr>
                <w:rFonts w:ascii="Times New Roman"/>
                <w:sz w:val="24"/>
              </w:rPr>
            </w:pPr>
          </w:p>
        </w:tc>
        <w:tc>
          <w:tcPr>
            <w:tcW w:w="1487" w:type="dxa"/>
            <w:tcBorders>
              <w:top w:val="nil"/>
            </w:tcBorders>
          </w:tcPr>
          <w:p w14:paraId="28AB855D" w14:textId="77777777" w:rsidR="00122CE8" w:rsidRDefault="00AC01CC">
            <w:pPr>
              <w:pStyle w:val="TableParagraph"/>
              <w:spacing w:before="64"/>
              <w:ind w:left="106"/>
              <w:rPr>
                <w:sz w:val="24"/>
              </w:rPr>
            </w:pPr>
            <w:r>
              <w:rPr>
                <w:spacing w:val="-2"/>
                <w:sz w:val="24"/>
              </w:rPr>
              <w:t>route</w:t>
            </w:r>
          </w:p>
        </w:tc>
        <w:tc>
          <w:tcPr>
            <w:tcW w:w="1857" w:type="dxa"/>
            <w:tcBorders>
              <w:top w:val="nil"/>
            </w:tcBorders>
          </w:tcPr>
          <w:p w14:paraId="5728015F" w14:textId="77777777" w:rsidR="00122CE8" w:rsidRDefault="00122CE8">
            <w:pPr>
              <w:pStyle w:val="TableParagraph"/>
              <w:rPr>
                <w:rFonts w:ascii="Times New Roman"/>
                <w:sz w:val="24"/>
              </w:rPr>
            </w:pPr>
          </w:p>
        </w:tc>
        <w:tc>
          <w:tcPr>
            <w:tcW w:w="1228" w:type="dxa"/>
            <w:tcBorders>
              <w:top w:val="nil"/>
            </w:tcBorders>
          </w:tcPr>
          <w:p w14:paraId="34C98961" w14:textId="77777777" w:rsidR="00122CE8" w:rsidRDefault="00122CE8">
            <w:pPr>
              <w:pStyle w:val="TableParagraph"/>
              <w:rPr>
                <w:rFonts w:ascii="Times New Roman"/>
                <w:sz w:val="24"/>
              </w:rPr>
            </w:pPr>
          </w:p>
        </w:tc>
        <w:tc>
          <w:tcPr>
            <w:tcW w:w="1602" w:type="dxa"/>
            <w:tcBorders>
              <w:top w:val="nil"/>
            </w:tcBorders>
          </w:tcPr>
          <w:p w14:paraId="32A82F59" w14:textId="77777777" w:rsidR="00122CE8" w:rsidRDefault="00122CE8">
            <w:pPr>
              <w:pStyle w:val="TableParagraph"/>
              <w:rPr>
                <w:rFonts w:ascii="Times New Roman"/>
                <w:sz w:val="24"/>
              </w:rPr>
            </w:pPr>
          </w:p>
        </w:tc>
      </w:tr>
      <w:tr w:rsidR="00122CE8" w14:paraId="5929119C" w14:textId="77777777">
        <w:trPr>
          <w:trHeight w:val="593"/>
        </w:trPr>
        <w:tc>
          <w:tcPr>
            <w:tcW w:w="1459" w:type="dxa"/>
            <w:tcBorders>
              <w:bottom w:val="nil"/>
            </w:tcBorders>
          </w:tcPr>
          <w:p w14:paraId="550CE7F8" w14:textId="77777777" w:rsidR="00122CE8" w:rsidRDefault="00AC01CC">
            <w:pPr>
              <w:pStyle w:val="TableParagraph"/>
              <w:spacing w:before="245"/>
              <w:ind w:left="110"/>
              <w:rPr>
                <w:sz w:val="24"/>
              </w:rPr>
            </w:pPr>
            <w:r>
              <w:rPr>
                <w:spacing w:val="-2"/>
                <w:sz w:val="24"/>
              </w:rPr>
              <w:t>Specialist</w:t>
            </w:r>
          </w:p>
        </w:tc>
        <w:tc>
          <w:tcPr>
            <w:tcW w:w="1377" w:type="dxa"/>
            <w:tcBorders>
              <w:bottom w:val="nil"/>
            </w:tcBorders>
          </w:tcPr>
          <w:p w14:paraId="6B2C07CF" w14:textId="77777777" w:rsidR="00122CE8" w:rsidRDefault="00AC01CC">
            <w:pPr>
              <w:pStyle w:val="TableParagraph"/>
              <w:spacing w:before="245"/>
              <w:ind w:left="110"/>
              <w:rPr>
                <w:sz w:val="24"/>
              </w:rPr>
            </w:pPr>
            <w:r>
              <w:rPr>
                <w:spacing w:val="-5"/>
                <w:sz w:val="24"/>
              </w:rPr>
              <w:t>May</w:t>
            </w:r>
          </w:p>
        </w:tc>
        <w:tc>
          <w:tcPr>
            <w:tcW w:w="1487" w:type="dxa"/>
            <w:tcBorders>
              <w:bottom w:val="nil"/>
            </w:tcBorders>
          </w:tcPr>
          <w:p w14:paraId="13346D90" w14:textId="77777777" w:rsidR="00122CE8" w:rsidRDefault="00AC01CC">
            <w:pPr>
              <w:pStyle w:val="TableParagraph"/>
              <w:spacing w:before="245"/>
              <w:ind w:left="106"/>
              <w:rPr>
                <w:sz w:val="24"/>
              </w:rPr>
            </w:pPr>
            <w:r>
              <w:rPr>
                <w:spacing w:val="-2"/>
                <w:sz w:val="24"/>
              </w:rPr>
              <w:t>Medium</w:t>
            </w:r>
          </w:p>
        </w:tc>
        <w:tc>
          <w:tcPr>
            <w:tcW w:w="1857" w:type="dxa"/>
            <w:tcBorders>
              <w:bottom w:val="nil"/>
            </w:tcBorders>
          </w:tcPr>
          <w:p w14:paraId="5D5BED60" w14:textId="77777777" w:rsidR="00122CE8" w:rsidRDefault="00AC01CC">
            <w:pPr>
              <w:pStyle w:val="TableParagraph"/>
              <w:spacing w:before="245"/>
              <w:ind w:left="112"/>
              <w:rPr>
                <w:sz w:val="24"/>
              </w:rPr>
            </w:pPr>
            <w:r>
              <w:rPr>
                <w:spacing w:val="-2"/>
                <w:sz w:val="24"/>
              </w:rPr>
              <w:t>Potentially</w:t>
            </w:r>
          </w:p>
        </w:tc>
        <w:tc>
          <w:tcPr>
            <w:tcW w:w="1228" w:type="dxa"/>
            <w:tcBorders>
              <w:bottom w:val="nil"/>
            </w:tcBorders>
          </w:tcPr>
          <w:p w14:paraId="2AAE6154" w14:textId="77777777" w:rsidR="00122CE8" w:rsidRDefault="00AC01CC">
            <w:pPr>
              <w:pStyle w:val="TableParagraph"/>
              <w:spacing w:before="245"/>
              <w:ind w:left="107"/>
              <w:rPr>
                <w:sz w:val="24"/>
              </w:rPr>
            </w:pPr>
            <w:r>
              <w:rPr>
                <w:spacing w:val="-2"/>
                <w:sz w:val="24"/>
              </w:rPr>
              <w:t>Moderate</w:t>
            </w:r>
          </w:p>
        </w:tc>
        <w:tc>
          <w:tcPr>
            <w:tcW w:w="1602" w:type="dxa"/>
            <w:tcBorders>
              <w:bottom w:val="nil"/>
            </w:tcBorders>
          </w:tcPr>
          <w:p w14:paraId="7ED8AB1A" w14:textId="77777777" w:rsidR="00122CE8" w:rsidRDefault="00AC01CC">
            <w:pPr>
              <w:pStyle w:val="TableParagraph"/>
              <w:spacing w:before="245"/>
              <w:ind w:left="113"/>
              <w:rPr>
                <w:sz w:val="24"/>
              </w:rPr>
            </w:pPr>
            <w:r>
              <w:rPr>
                <w:spacing w:val="-2"/>
                <w:sz w:val="24"/>
              </w:rPr>
              <w:t>Case-</w:t>
            </w:r>
            <w:r>
              <w:rPr>
                <w:spacing w:val="-5"/>
                <w:sz w:val="24"/>
              </w:rPr>
              <w:t>by-</w:t>
            </w:r>
          </w:p>
        </w:tc>
      </w:tr>
      <w:tr w:rsidR="00122CE8" w14:paraId="7554A4B8" w14:textId="77777777">
        <w:trPr>
          <w:trHeight w:val="412"/>
        </w:trPr>
        <w:tc>
          <w:tcPr>
            <w:tcW w:w="1459" w:type="dxa"/>
            <w:tcBorders>
              <w:top w:val="nil"/>
              <w:bottom w:val="nil"/>
            </w:tcBorders>
          </w:tcPr>
          <w:p w14:paraId="17956F9B" w14:textId="77777777" w:rsidR="00122CE8" w:rsidRDefault="00AC01CC">
            <w:pPr>
              <w:pStyle w:val="TableParagraph"/>
              <w:spacing w:before="64"/>
              <w:ind w:left="110"/>
              <w:rPr>
                <w:sz w:val="24"/>
              </w:rPr>
            </w:pPr>
            <w:r>
              <w:rPr>
                <w:sz w:val="24"/>
              </w:rPr>
              <w:t>recovery</w:t>
            </w:r>
            <w:r>
              <w:rPr>
                <w:spacing w:val="37"/>
                <w:sz w:val="24"/>
              </w:rPr>
              <w:t xml:space="preserve"> </w:t>
            </w:r>
            <w:r>
              <w:rPr>
                <w:spacing w:val="-5"/>
                <w:sz w:val="24"/>
              </w:rPr>
              <w:t>or</w:t>
            </w:r>
          </w:p>
        </w:tc>
        <w:tc>
          <w:tcPr>
            <w:tcW w:w="1377" w:type="dxa"/>
            <w:tcBorders>
              <w:top w:val="nil"/>
              <w:bottom w:val="nil"/>
            </w:tcBorders>
          </w:tcPr>
          <w:p w14:paraId="5AE7504B" w14:textId="77777777" w:rsidR="00122CE8" w:rsidRDefault="00AC01CC">
            <w:pPr>
              <w:pStyle w:val="TableParagraph"/>
              <w:spacing w:before="64"/>
              <w:ind w:left="110"/>
              <w:rPr>
                <w:sz w:val="24"/>
              </w:rPr>
            </w:pPr>
            <w:r>
              <w:rPr>
                <w:spacing w:val="-2"/>
                <w:sz w:val="24"/>
              </w:rPr>
              <w:t>reduce</w:t>
            </w:r>
          </w:p>
        </w:tc>
        <w:tc>
          <w:tcPr>
            <w:tcW w:w="1487" w:type="dxa"/>
            <w:tcBorders>
              <w:top w:val="nil"/>
              <w:bottom w:val="nil"/>
            </w:tcBorders>
          </w:tcPr>
          <w:p w14:paraId="770035EB" w14:textId="77777777" w:rsidR="00122CE8" w:rsidRDefault="00122CE8">
            <w:pPr>
              <w:pStyle w:val="TableParagraph"/>
              <w:rPr>
                <w:rFonts w:ascii="Times New Roman"/>
                <w:sz w:val="24"/>
              </w:rPr>
            </w:pPr>
          </w:p>
        </w:tc>
        <w:tc>
          <w:tcPr>
            <w:tcW w:w="1857" w:type="dxa"/>
            <w:tcBorders>
              <w:top w:val="nil"/>
              <w:bottom w:val="nil"/>
            </w:tcBorders>
          </w:tcPr>
          <w:p w14:paraId="5E216F0E" w14:textId="77777777" w:rsidR="00122CE8" w:rsidRDefault="00AC01CC">
            <w:pPr>
              <w:pStyle w:val="TableParagraph"/>
              <w:tabs>
                <w:tab w:val="left" w:pos="1632"/>
              </w:tabs>
              <w:spacing w:before="64"/>
              <w:ind w:left="112"/>
              <w:rPr>
                <w:sz w:val="24"/>
              </w:rPr>
            </w:pPr>
            <w:r>
              <w:rPr>
                <w:spacing w:val="-2"/>
                <w:sz w:val="24"/>
              </w:rPr>
              <w:t>positive</w:t>
            </w:r>
            <w:r>
              <w:rPr>
                <w:sz w:val="24"/>
              </w:rPr>
              <w:tab/>
            </w:r>
            <w:r>
              <w:rPr>
                <w:spacing w:val="-5"/>
                <w:sz w:val="24"/>
              </w:rPr>
              <w:t>if</w:t>
            </w:r>
          </w:p>
        </w:tc>
        <w:tc>
          <w:tcPr>
            <w:tcW w:w="1228" w:type="dxa"/>
            <w:tcBorders>
              <w:top w:val="nil"/>
              <w:bottom w:val="nil"/>
            </w:tcBorders>
          </w:tcPr>
          <w:p w14:paraId="43AE6180" w14:textId="77777777" w:rsidR="00122CE8" w:rsidRDefault="00AC01CC">
            <w:pPr>
              <w:pStyle w:val="TableParagraph"/>
              <w:spacing w:before="64"/>
              <w:ind w:left="107"/>
              <w:rPr>
                <w:sz w:val="24"/>
              </w:rPr>
            </w:pPr>
            <w:r>
              <w:rPr>
                <w:sz w:val="24"/>
              </w:rPr>
              <w:t xml:space="preserve">to </w:t>
            </w:r>
            <w:r>
              <w:rPr>
                <w:spacing w:val="-4"/>
                <w:sz w:val="24"/>
              </w:rPr>
              <w:t>slow</w:t>
            </w:r>
          </w:p>
        </w:tc>
        <w:tc>
          <w:tcPr>
            <w:tcW w:w="1602" w:type="dxa"/>
            <w:tcBorders>
              <w:top w:val="nil"/>
              <w:bottom w:val="nil"/>
            </w:tcBorders>
          </w:tcPr>
          <w:p w14:paraId="13DF372E" w14:textId="77777777" w:rsidR="00122CE8" w:rsidRDefault="00AC01CC">
            <w:pPr>
              <w:pStyle w:val="TableParagraph"/>
              <w:spacing w:before="64"/>
              <w:ind w:left="113"/>
              <w:rPr>
                <w:sz w:val="24"/>
              </w:rPr>
            </w:pPr>
            <w:r>
              <w:rPr>
                <w:sz w:val="24"/>
              </w:rPr>
              <w:t>case</w:t>
            </w:r>
            <w:r>
              <w:rPr>
                <w:spacing w:val="-2"/>
                <w:sz w:val="24"/>
              </w:rPr>
              <w:t xml:space="preserve"> </w:t>
            </w:r>
            <w:r>
              <w:rPr>
                <w:spacing w:val="-4"/>
                <w:sz w:val="24"/>
              </w:rPr>
              <w:t>only</w:t>
            </w:r>
          </w:p>
        </w:tc>
      </w:tr>
      <w:tr w:rsidR="00122CE8" w14:paraId="7E3E807E" w14:textId="77777777">
        <w:trPr>
          <w:trHeight w:val="412"/>
        </w:trPr>
        <w:tc>
          <w:tcPr>
            <w:tcW w:w="1459" w:type="dxa"/>
            <w:tcBorders>
              <w:top w:val="nil"/>
              <w:bottom w:val="nil"/>
            </w:tcBorders>
          </w:tcPr>
          <w:p w14:paraId="4B400BD9" w14:textId="77777777" w:rsidR="00122CE8" w:rsidRDefault="00AC01CC">
            <w:pPr>
              <w:pStyle w:val="TableParagraph"/>
              <w:spacing w:before="64"/>
              <w:ind w:left="110"/>
              <w:rPr>
                <w:sz w:val="24"/>
              </w:rPr>
            </w:pPr>
            <w:r>
              <w:rPr>
                <w:spacing w:val="-2"/>
                <w:sz w:val="24"/>
              </w:rPr>
              <w:t>treatment</w:t>
            </w:r>
          </w:p>
        </w:tc>
        <w:tc>
          <w:tcPr>
            <w:tcW w:w="1377" w:type="dxa"/>
            <w:tcBorders>
              <w:top w:val="nil"/>
              <w:bottom w:val="nil"/>
            </w:tcBorders>
          </w:tcPr>
          <w:p w14:paraId="731357F9" w14:textId="77777777" w:rsidR="00122CE8" w:rsidRDefault="00AC01CC">
            <w:pPr>
              <w:pStyle w:val="TableParagraph"/>
              <w:spacing w:before="64"/>
              <w:ind w:left="110"/>
              <w:rPr>
                <w:sz w:val="24"/>
              </w:rPr>
            </w:pPr>
            <w:r>
              <w:rPr>
                <w:spacing w:val="-2"/>
                <w:sz w:val="24"/>
              </w:rPr>
              <w:t>landfill</w:t>
            </w:r>
          </w:p>
        </w:tc>
        <w:tc>
          <w:tcPr>
            <w:tcW w:w="1487" w:type="dxa"/>
            <w:tcBorders>
              <w:top w:val="nil"/>
              <w:bottom w:val="nil"/>
            </w:tcBorders>
          </w:tcPr>
          <w:p w14:paraId="4822EAFC" w14:textId="77777777" w:rsidR="00122CE8" w:rsidRDefault="00122CE8">
            <w:pPr>
              <w:pStyle w:val="TableParagraph"/>
              <w:rPr>
                <w:rFonts w:ascii="Times New Roman"/>
                <w:sz w:val="24"/>
              </w:rPr>
            </w:pPr>
          </w:p>
        </w:tc>
        <w:tc>
          <w:tcPr>
            <w:tcW w:w="1857" w:type="dxa"/>
            <w:tcBorders>
              <w:top w:val="nil"/>
              <w:bottom w:val="nil"/>
            </w:tcBorders>
          </w:tcPr>
          <w:p w14:paraId="7E9DA560" w14:textId="77777777" w:rsidR="00122CE8" w:rsidRDefault="00AC01CC">
            <w:pPr>
              <w:pStyle w:val="TableParagraph"/>
              <w:spacing w:before="64"/>
              <w:ind w:left="112"/>
              <w:rPr>
                <w:sz w:val="24"/>
              </w:rPr>
            </w:pPr>
            <w:r>
              <w:rPr>
                <w:spacing w:val="-2"/>
                <w:sz w:val="24"/>
              </w:rPr>
              <w:t>legitimate</w:t>
            </w:r>
          </w:p>
        </w:tc>
        <w:tc>
          <w:tcPr>
            <w:tcW w:w="1228" w:type="dxa"/>
            <w:tcBorders>
              <w:top w:val="nil"/>
              <w:bottom w:val="nil"/>
            </w:tcBorders>
          </w:tcPr>
          <w:p w14:paraId="00DE604B" w14:textId="77777777" w:rsidR="00122CE8" w:rsidRDefault="00122CE8">
            <w:pPr>
              <w:pStyle w:val="TableParagraph"/>
              <w:rPr>
                <w:rFonts w:ascii="Times New Roman"/>
                <w:sz w:val="24"/>
              </w:rPr>
            </w:pPr>
          </w:p>
        </w:tc>
        <w:tc>
          <w:tcPr>
            <w:tcW w:w="1602" w:type="dxa"/>
            <w:tcBorders>
              <w:top w:val="nil"/>
              <w:bottom w:val="nil"/>
            </w:tcBorders>
          </w:tcPr>
          <w:p w14:paraId="6E20E001" w14:textId="77777777" w:rsidR="00122CE8" w:rsidRDefault="00122CE8">
            <w:pPr>
              <w:pStyle w:val="TableParagraph"/>
              <w:rPr>
                <w:rFonts w:ascii="Times New Roman"/>
                <w:sz w:val="24"/>
              </w:rPr>
            </w:pPr>
          </w:p>
        </w:tc>
      </w:tr>
      <w:tr w:rsidR="00122CE8" w14:paraId="1B9CBAA1" w14:textId="77777777">
        <w:trPr>
          <w:trHeight w:val="415"/>
        </w:trPr>
        <w:tc>
          <w:tcPr>
            <w:tcW w:w="1459" w:type="dxa"/>
            <w:tcBorders>
              <w:top w:val="nil"/>
              <w:bottom w:val="nil"/>
            </w:tcBorders>
          </w:tcPr>
          <w:p w14:paraId="3ED4705D" w14:textId="77777777" w:rsidR="00122CE8" w:rsidRDefault="00122CE8">
            <w:pPr>
              <w:pStyle w:val="TableParagraph"/>
              <w:rPr>
                <w:rFonts w:ascii="Times New Roman"/>
                <w:sz w:val="24"/>
              </w:rPr>
            </w:pPr>
          </w:p>
        </w:tc>
        <w:tc>
          <w:tcPr>
            <w:tcW w:w="1377" w:type="dxa"/>
            <w:tcBorders>
              <w:top w:val="nil"/>
              <w:bottom w:val="nil"/>
            </w:tcBorders>
          </w:tcPr>
          <w:p w14:paraId="76E76CBC" w14:textId="77777777" w:rsidR="00122CE8" w:rsidRDefault="00AC01CC">
            <w:pPr>
              <w:pStyle w:val="TableParagraph"/>
              <w:spacing w:before="64"/>
              <w:ind w:left="110"/>
              <w:rPr>
                <w:sz w:val="24"/>
              </w:rPr>
            </w:pPr>
            <w:r>
              <w:rPr>
                <w:spacing w:val="-2"/>
                <w:sz w:val="24"/>
              </w:rPr>
              <w:t>burden,</w:t>
            </w:r>
          </w:p>
        </w:tc>
        <w:tc>
          <w:tcPr>
            <w:tcW w:w="1487" w:type="dxa"/>
            <w:tcBorders>
              <w:top w:val="nil"/>
              <w:bottom w:val="nil"/>
            </w:tcBorders>
          </w:tcPr>
          <w:p w14:paraId="2743570B" w14:textId="77777777" w:rsidR="00122CE8" w:rsidRDefault="00122CE8">
            <w:pPr>
              <w:pStyle w:val="TableParagraph"/>
              <w:rPr>
                <w:rFonts w:ascii="Times New Roman"/>
                <w:sz w:val="24"/>
              </w:rPr>
            </w:pPr>
          </w:p>
        </w:tc>
        <w:tc>
          <w:tcPr>
            <w:tcW w:w="1857" w:type="dxa"/>
            <w:tcBorders>
              <w:top w:val="nil"/>
              <w:bottom w:val="nil"/>
            </w:tcBorders>
          </w:tcPr>
          <w:p w14:paraId="5D6F0674" w14:textId="77777777" w:rsidR="00122CE8" w:rsidRDefault="00122CE8">
            <w:pPr>
              <w:pStyle w:val="TableParagraph"/>
              <w:rPr>
                <w:rFonts w:ascii="Times New Roman"/>
                <w:sz w:val="24"/>
              </w:rPr>
            </w:pPr>
          </w:p>
        </w:tc>
        <w:tc>
          <w:tcPr>
            <w:tcW w:w="1228" w:type="dxa"/>
            <w:tcBorders>
              <w:top w:val="nil"/>
              <w:bottom w:val="nil"/>
            </w:tcBorders>
          </w:tcPr>
          <w:p w14:paraId="07577898" w14:textId="77777777" w:rsidR="00122CE8" w:rsidRDefault="00122CE8">
            <w:pPr>
              <w:pStyle w:val="TableParagraph"/>
              <w:rPr>
                <w:rFonts w:ascii="Times New Roman"/>
                <w:sz w:val="24"/>
              </w:rPr>
            </w:pPr>
          </w:p>
        </w:tc>
        <w:tc>
          <w:tcPr>
            <w:tcW w:w="1602" w:type="dxa"/>
            <w:tcBorders>
              <w:top w:val="nil"/>
              <w:bottom w:val="nil"/>
            </w:tcBorders>
          </w:tcPr>
          <w:p w14:paraId="41BA1AA3" w14:textId="77777777" w:rsidR="00122CE8" w:rsidRDefault="00122CE8">
            <w:pPr>
              <w:pStyle w:val="TableParagraph"/>
              <w:rPr>
                <w:rFonts w:ascii="Times New Roman"/>
                <w:sz w:val="24"/>
              </w:rPr>
            </w:pPr>
          </w:p>
        </w:tc>
      </w:tr>
      <w:tr w:rsidR="00122CE8" w14:paraId="682FDCF0" w14:textId="77777777">
        <w:trPr>
          <w:trHeight w:val="415"/>
        </w:trPr>
        <w:tc>
          <w:tcPr>
            <w:tcW w:w="1459" w:type="dxa"/>
            <w:tcBorders>
              <w:top w:val="nil"/>
              <w:bottom w:val="nil"/>
            </w:tcBorders>
          </w:tcPr>
          <w:p w14:paraId="66B07D0A" w14:textId="77777777" w:rsidR="00122CE8" w:rsidRDefault="00122CE8">
            <w:pPr>
              <w:pStyle w:val="TableParagraph"/>
              <w:rPr>
                <w:rFonts w:ascii="Times New Roman"/>
                <w:sz w:val="24"/>
              </w:rPr>
            </w:pPr>
          </w:p>
        </w:tc>
        <w:tc>
          <w:tcPr>
            <w:tcW w:w="1377" w:type="dxa"/>
            <w:tcBorders>
              <w:top w:val="nil"/>
              <w:bottom w:val="nil"/>
            </w:tcBorders>
          </w:tcPr>
          <w:p w14:paraId="1BB9DE93" w14:textId="77777777" w:rsidR="00122CE8" w:rsidRDefault="00AC01CC">
            <w:pPr>
              <w:pStyle w:val="TableParagraph"/>
              <w:spacing w:before="67"/>
              <w:ind w:left="110"/>
              <w:rPr>
                <w:sz w:val="24"/>
              </w:rPr>
            </w:pPr>
            <w:r>
              <w:rPr>
                <w:sz w:val="24"/>
              </w:rPr>
              <w:t>but</w:t>
            </w:r>
            <w:r>
              <w:rPr>
                <w:spacing w:val="70"/>
                <w:w w:val="150"/>
                <w:sz w:val="24"/>
              </w:rPr>
              <w:t xml:space="preserve"> </w:t>
            </w:r>
            <w:r>
              <w:rPr>
                <w:spacing w:val="-2"/>
                <w:sz w:val="24"/>
              </w:rPr>
              <w:t>needs</w:t>
            </w:r>
          </w:p>
        </w:tc>
        <w:tc>
          <w:tcPr>
            <w:tcW w:w="1487" w:type="dxa"/>
            <w:tcBorders>
              <w:top w:val="nil"/>
              <w:bottom w:val="nil"/>
            </w:tcBorders>
          </w:tcPr>
          <w:p w14:paraId="449C5D22" w14:textId="77777777" w:rsidR="00122CE8" w:rsidRDefault="00122CE8">
            <w:pPr>
              <w:pStyle w:val="TableParagraph"/>
              <w:rPr>
                <w:rFonts w:ascii="Times New Roman"/>
                <w:sz w:val="24"/>
              </w:rPr>
            </w:pPr>
          </w:p>
        </w:tc>
        <w:tc>
          <w:tcPr>
            <w:tcW w:w="1857" w:type="dxa"/>
            <w:tcBorders>
              <w:top w:val="nil"/>
              <w:bottom w:val="nil"/>
            </w:tcBorders>
          </w:tcPr>
          <w:p w14:paraId="3DADAFE0" w14:textId="77777777" w:rsidR="00122CE8" w:rsidRDefault="00122CE8">
            <w:pPr>
              <w:pStyle w:val="TableParagraph"/>
              <w:rPr>
                <w:rFonts w:ascii="Times New Roman"/>
                <w:sz w:val="24"/>
              </w:rPr>
            </w:pPr>
          </w:p>
        </w:tc>
        <w:tc>
          <w:tcPr>
            <w:tcW w:w="1228" w:type="dxa"/>
            <w:tcBorders>
              <w:top w:val="nil"/>
              <w:bottom w:val="nil"/>
            </w:tcBorders>
          </w:tcPr>
          <w:p w14:paraId="4B410C00" w14:textId="77777777" w:rsidR="00122CE8" w:rsidRDefault="00122CE8">
            <w:pPr>
              <w:pStyle w:val="TableParagraph"/>
              <w:rPr>
                <w:rFonts w:ascii="Times New Roman"/>
                <w:sz w:val="24"/>
              </w:rPr>
            </w:pPr>
          </w:p>
        </w:tc>
        <w:tc>
          <w:tcPr>
            <w:tcW w:w="1602" w:type="dxa"/>
            <w:tcBorders>
              <w:top w:val="nil"/>
              <w:bottom w:val="nil"/>
            </w:tcBorders>
          </w:tcPr>
          <w:p w14:paraId="19763DDC" w14:textId="77777777" w:rsidR="00122CE8" w:rsidRDefault="00122CE8">
            <w:pPr>
              <w:pStyle w:val="TableParagraph"/>
              <w:rPr>
                <w:rFonts w:ascii="Times New Roman"/>
                <w:sz w:val="24"/>
              </w:rPr>
            </w:pPr>
          </w:p>
        </w:tc>
      </w:tr>
      <w:tr w:rsidR="00122CE8" w14:paraId="1E631516" w14:textId="77777777">
        <w:trPr>
          <w:trHeight w:val="596"/>
        </w:trPr>
        <w:tc>
          <w:tcPr>
            <w:tcW w:w="1459" w:type="dxa"/>
            <w:tcBorders>
              <w:top w:val="nil"/>
            </w:tcBorders>
          </w:tcPr>
          <w:p w14:paraId="0F3BCFFD" w14:textId="77777777" w:rsidR="00122CE8" w:rsidRDefault="00122CE8">
            <w:pPr>
              <w:pStyle w:val="TableParagraph"/>
              <w:rPr>
                <w:rFonts w:ascii="Times New Roman"/>
                <w:sz w:val="24"/>
              </w:rPr>
            </w:pPr>
          </w:p>
        </w:tc>
        <w:tc>
          <w:tcPr>
            <w:tcW w:w="1377" w:type="dxa"/>
            <w:tcBorders>
              <w:top w:val="nil"/>
            </w:tcBorders>
          </w:tcPr>
          <w:p w14:paraId="04A6C680" w14:textId="77777777" w:rsidR="00122CE8" w:rsidRDefault="00AC01CC">
            <w:pPr>
              <w:pStyle w:val="TableParagraph"/>
              <w:spacing w:before="64"/>
              <w:ind w:left="110"/>
              <w:rPr>
                <w:sz w:val="24"/>
              </w:rPr>
            </w:pPr>
            <w:r>
              <w:rPr>
                <w:spacing w:val="-2"/>
                <w:sz w:val="24"/>
              </w:rPr>
              <w:t>approval</w:t>
            </w:r>
          </w:p>
        </w:tc>
        <w:tc>
          <w:tcPr>
            <w:tcW w:w="1487" w:type="dxa"/>
            <w:tcBorders>
              <w:top w:val="nil"/>
            </w:tcBorders>
          </w:tcPr>
          <w:p w14:paraId="0D19C8B6" w14:textId="77777777" w:rsidR="00122CE8" w:rsidRDefault="00122CE8">
            <w:pPr>
              <w:pStyle w:val="TableParagraph"/>
              <w:rPr>
                <w:rFonts w:ascii="Times New Roman"/>
                <w:sz w:val="24"/>
              </w:rPr>
            </w:pPr>
          </w:p>
        </w:tc>
        <w:tc>
          <w:tcPr>
            <w:tcW w:w="1857" w:type="dxa"/>
            <w:tcBorders>
              <w:top w:val="nil"/>
            </w:tcBorders>
          </w:tcPr>
          <w:p w14:paraId="3135A80A" w14:textId="77777777" w:rsidR="00122CE8" w:rsidRDefault="00122CE8">
            <w:pPr>
              <w:pStyle w:val="TableParagraph"/>
              <w:rPr>
                <w:rFonts w:ascii="Times New Roman"/>
                <w:sz w:val="24"/>
              </w:rPr>
            </w:pPr>
          </w:p>
        </w:tc>
        <w:tc>
          <w:tcPr>
            <w:tcW w:w="1228" w:type="dxa"/>
            <w:tcBorders>
              <w:top w:val="nil"/>
            </w:tcBorders>
          </w:tcPr>
          <w:p w14:paraId="727C4AC4" w14:textId="77777777" w:rsidR="00122CE8" w:rsidRDefault="00122CE8">
            <w:pPr>
              <w:pStyle w:val="TableParagraph"/>
              <w:rPr>
                <w:rFonts w:ascii="Times New Roman"/>
                <w:sz w:val="24"/>
              </w:rPr>
            </w:pPr>
          </w:p>
        </w:tc>
        <w:tc>
          <w:tcPr>
            <w:tcW w:w="1602" w:type="dxa"/>
            <w:tcBorders>
              <w:top w:val="nil"/>
            </w:tcBorders>
          </w:tcPr>
          <w:p w14:paraId="254D37D1" w14:textId="77777777" w:rsidR="00122CE8" w:rsidRDefault="00122CE8">
            <w:pPr>
              <w:pStyle w:val="TableParagraph"/>
              <w:rPr>
                <w:rFonts w:ascii="Times New Roman"/>
                <w:sz w:val="24"/>
              </w:rPr>
            </w:pPr>
          </w:p>
        </w:tc>
      </w:tr>
      <w:tr w:rsidR="00122CE8" w14:paraId="72DBD785" w14:textId="77777777">
        <w:trPr>
          <w:trHeight w:val="588"/>
        </w:trPr>
        <w:tc>
          <w:tcPr>
            <w:tcW w:w="1459" w:type="dxa"/>
            <w:tcBorders>
              <w:bottom w:val="nil"/>
            </w:tcBorders>
          </w:tcPr>
          <w:p w14:paraId="5A2C9D65" w14:textId="77777777" w:rsidR="00122CE8" w:rsidRDefault="00AC01CC">
            <w:pPr>
              <w:pStyle w:val="TableParagraph"/>
              <w:spacing w:before="240"/>
              <w:ind w:left="110"/>
              <w:rPr>
                <w:sz w:val="24"/>
              </w:rPr>
            </w:pPr>
            <w:r>
              <w:rPr>
                <w:spacing w:val="-2"/>
                <w:sz w:val="24"/>
              </w:rPr>
              <w:t>Licensed</w:t>
            </w:r>
          </w:p>
        </w:tc>
        <w:tc>
          <w:tcPr>
            <w:tcW w:w="1377" w:type="dxa"/>
            <w:tcBorders>
              <w:bottom w:val="nil"/>
            </w:tcBorders>
          </w:tcPr>
          <w:p w14:paraId="7C9F1291" w14:textId="77777777" w:rsidR="00122CE8" w:rsidRDefault="00AC01CC">
            <w:pPr>
              <w:pStyle w:val="TableParagraph"/>
              <w:spacing w:before="240"/>
              <w:ind w:left="110"/>
              <w:rPr>
                <w:sz w:val="24"/>
              </w:rPr>
            </w:pPr>
            <w:r>
              <w:rPr>
                <w:spacing w:val="-2"/>
                <w:sz w:val="24"/>
              </w:rPr>
              <w:t>Highest</w:t>
            </w:r>
          </w:p>
        </w:tc>
        <w:tc>
          <w:tcPr>
            <w:tcW w:w="1487" w:type="dxa"/>
            <w:tcBorders>
              <w:bottom w:val="nil"/>
            </w:tcBorders>
          </w:tcPr>
          <w:p w14:paraId="7D982D92" w14:textId="77777777" w:rsidR="00122CE8" w:rsidRDefault="00AC01CC">
            <w:pPr>
              <w:pStyle w:val="TableParagraph"/>
              <w:tabs>
                <w:tab w:val="left" w:pos="1260"/>
              </w:tabs>
              <w:spacing w:before="240"/>
              <w:ind w:left="106"/>
              <w:rPr>
                <w:sz w:val="24"/>
              </w:rPr>
            </w:pPr>
            <w:r>
              <w:rPr>
                <w:spacing w:val="-2"/>
                <w:sz w:val="24"/>
              </w:rPr>
              <w:t>Lowest</w:t>
            </w:r>
            <w:r>
              <w:rPr>
                <w:sz w:val="24"/>
              </w:rPr>
              <w:tab/>
            </w:r>
            <w:r>
              <w:rPr>
                <w:spacing w:val="-5"/>
                <w:sz w:val="24"/>
              </w:rPr>
              <w:t>if</w:t>
            </w:r>
          </w:p>
        </w:tc>
        <w:tc>
          <w:tcPr>
            <w:tcW w:w="1857" w:type="dxa"/>
            <w:tcBorders>
              <w:bottom w:val="nil"/>
            </w:tcBorders>
          </w:tcPr>
          <w:p w14:paraId="521945A1" w14:textId="77777777" w:rsidR="00122CE8" w:rsidRDefault="00AC01CC">
            <w:pPr>
              <w:pStyle w:val="TableParagraph"/>
              <w:spacing w:before="240"/>
              <w:ind w:left="112"/>
              <w:rPr>
                <w:sz w:val="24"/>
              </w:rPr>
            </w:pPr>
            <w:r>
              <w:rPr>
                <w:spacing w:val="-2"/>
                <w:sz w:val="24"/>
              </w:rPr>
              <w:t>Negative</w:t>
            </w:r>
          </w:p>
        </w:tc>
        <w:tc>
          <w:tcPr>
            <w:tcW w:w="1228" w:type="dxa"/>
            <w:tcBorders>
              <w:bottom w:val="nil"/>
            </w:tcBorders>
          </w:tcPr>
          <w:p w14:paraId="2E911A9D" w14:textId="77777777" w:rsidR="00122CE8" w:rsidRDefault="00AC01CC">
            <w:pPr>
              <w:pStyle w:val="TableParagraph"/>
              <w:spacing w:before="240"/>
              <w:ind w:left="107"/>
              <w:rPr>
                <w:sz w:val="24"/>
              </w:rPr>
            </w:pPr>
            <w:r>
              <w:rPr>
                <w:spacing w:val="-4"/>
                <w:sz w:val="24"/>
              </w:rPr>
              <w:t>High</w:t>
            </w:r>
          </w:p>
        </w:tc>
        <w:tc>
          <w:tcPr>
            <w:tcW w:w="1602" w:type="dxa"/>
            <w:tcBorders>
              <w:bottom w:val="nil"/>
            </w:tcBorders>
          </w:tcPr>
          <w:p w14:paraId="0FB6CCCF" w14:textId="77777777" w:rsidR="00122CE8" w:rsidRDefault="00AC01CC">
            <w:pPr>
              <w:pStyle w:val="TableParagraph"/>
              <w:spacing w:before="240"/>
              <w:ind w:left="113"/>
              <w:rPr>
                <w:sz w:val="24"/>
              </w:rPr>
            </w:pPr>
            <w:r>
              <w:rPr>
                <w:sz w:val="24"/>
              </w:rPr>
              <w:t>Final</w:t>
            </w:r>
            <w:r>
              <w:rPr>
                <w:spacing w:val="-15"/>
                <w:sz w:val="24"/>
              </w:rPr>
              <w:t xml:space="preserve"> </w:t>
            </w:r>
            <w:r>
              <w:rPr>
                <w:spacing w:val="-2"/>
                <w:sz w:val="24"/>
              </w:rPr>
              <w:t>fallback</w:t>
            </w:r>
          </w:p>
        </w:tc>
      </w:tr>
      <w:tr w:rsidR="00122CE8" w14:paraId="531164EA" w14:textId="77777777">
        <w:trPr>
          <w:trHeight w:val="415"/>
        </w:trPr>
        <w:tc>
          <w:tcPr>
            <w:tcW w:w="1459" w:type="dxa"/>
            <w:tcBorders>
              <w:top w:val="nil"/>
              <w:bottom w:val="nil"/>
            </w:tcBorders>
          </w:tcPr>
          <w:p w14:paraId="76E7FD9A" w14:textId="77777777" w:rsidR="00122CE8" w:rsidRDefault="00AC01CC">
            <w:pPr>
              <w:pStyle w:val="TableParagraph"/>
              <w:spacing w:before="64"/>
              <w:ind w:left="110"/>
              <w:rPr>
                <w:sz w:val="24"/>
              </w:rPr>
            </w:pPr>
            <w:r>
              <w:rPr>
                <w:spacing w:val="-2"/>
                <w:sz w:val="24"/>
              </w:rPr>
              <w:t>hazardous</w:t>
            </w:r>
          </w:p>
        </w:tc>
        <w:tc>
          <w:tcPr>
            <w:tcW w:w="1377" w:type="dxa"/>
            <w:tcBorders>
              <w:top w:val="nil"/>
              <w:bottom w:val="nil"/>
            </w:tcBorders>
          </w:tcPr>
          <w:p w14:paraId="3CF8F98D" w14:textId="77777777" w:rsidR="00122CE8" w:rsidRDefault="00AC01CC">
            <w:pPr>
              <w:pStyle w:val="TableParagraph"/>
              <w:spacing w:before="64"/>
              <w:ind w:left="110"/>
              <w:rPr>
                <w:sz w:val="24"/>
              </w:rPr>
            </w:pPr>
            <w:r>
              <w:rPr>
                <w:sz w:val="24"/>
              </w:rPr>
              <w:t>direct</w:t>
            </w:r>
            <w:r>
              <w:rPr>
                <w:spacing w:val="-2"/>
                <w:sz w:val="24"/>
              </w:rPr>
              <w:t xml:space="preserve"> </w:t>
            </w:r>
            <w:r>
              <w:rPr>
                <w:spacing w:val="-4"/>
                <w:sz w:val="24"/>
              </w:rPr>
              <w:t>cost</w:t>
            </w:r>
          </w:p>
        </w:tc>
        <w:tc>
          <w:tcPr>
            <w:tcW w:w="1487" w:type="dxa"/>
            <w:tcBorders>
              <w:top w:val="nil"/>
              <w:bottom w:val="nil"/>
            </w:tcBorders>
          </w:tcPr>
          <w:p w14:paraId="368A72C3" w14:textId="77777777" w:rsidR="00122CE8" w:rsidRDefault="00AC01CC">
            <w:pPr>
              <w:pStyle w:val="TableParagraph"/>
              <w:spacing w:before="64"/>
              <w:ind w:left="106"/>
              <w:rPr>
                <w:sz w:val="24"/>
              </w:rPr>
            </w:pPr>
            <w:r>
              <w:rPr>
                <w:spacing w:val="-2"/>
                <w:sz w:val="24"/>
              </w:rPr>
              <w:t>properly</w:t>
            </w:r>
          </w:p>
        </w:tc>
        <w:tc>
          <w:tcPr>
            <w:tcW w:w="1857" w:type="dxa"/>
            <w:tcBorders>
              <w:top w:val="nil"/>
              <w:bottom w:val="nil"/>
            </w:tcBorders>
          </w:tcPr>
          <w:p w14:paraId="786162D3" w14:textId="77777777" w:rsidR="00122CE8" w:rsidRDefault="00AC01CC">
            <w:pPr>
              <w:pStyle w:val="TableParagraph"/>
              <w:tabs>
                <w:tab w:val="left" w:pos="1552"/>
              </w:tabs>
              <w:spacing w:before="64"/>
              <w:ind w:left="112"/>
              <w:rPr>
                <w:sz w:val="24"/>
              </w:rPr>
            </w:pPr>
            <w:r>
              <w:rPr>
                <w:spacing w:val="-2"/>
                <w:sz w:val="24"/>
              </w:rPr>
              <w:t>relative</w:t>
            </w:r>
            <w:r>
              <w:rPr>
                <w:sz w:val="24"/>
              </w:rPr>
              <w:tab/>
            </w:r>
            <w:r>
              <w:rPr>
                <w:spacing w:val="-5"/>
                <w:sz w:val="24"/>
              </w:rPr>
              <w:t>to</w:t>
            </w:r>
          </w:p>
        </w:tc>
        <w:tc>
          <w:tcPr>
            <w:tcW w:w="1228" w:type="dxa"/>
            <w:tcBorders>
              <w:top w:val="nil"/>
              <w:bottom w:val="nil"/>
            </w:tcBorders>
          </w:tcPr>
          <w:p w14:paraId="4B193D80" w14:textId="77777777" w:rsidR="00122CE8" w:rsidRDefault="00AC01CC">
            <w:pPr>
              <w:pStyle w:val="TableParagraph"/>
              <w:spacing w:before="64"/>
              <w:ind w:left="107"/>
              <w:rPr>
                <w:sz w:val="24"/>
              </w:rPr>
            </w:pPr>
            <w:r>
              <w:rPr>
                <w:spacing w:val="-2"/>
                <w:sz w:val="24"/>
              </w:rPr>
              <w:t>certainty</w:t>
            </w:r>
          </w:p>
        </w:tc>
        <w:tc>
          <w:tcPr>
            <w:tcW w:w="1602" w:type="dxa"/>
            <w:tcBorders>
              <w:top w:val="nil"/>
              <w:bottom w:val="nil"/>
            </w:tcBorders>
          </w:tcPr>
          <w:p w14:paraId="2259334A" w14:textId="77777777" w:rsidR="00122CE8" w:rsidRDefault="00AC01CC">
            <w:pPr>
              <w:pStyle w:val="TableParagraph"/>
              <w:spacing w:before="64"/>
              <w:ind w:left="113"/>
              <w:rPr>
                <w:sz w:val="24"/>
              </w:rPr>
            </w:pPr>
            <w:r>
              <w:rPr>
                <w:spacing w:val="-5"/>
                <w:sz w:val="24"/>
              </w:rPr>
              <w:t>for</w:t>
            </w:r>
          </w:p>
        </w:tc>
      </w:tr>
      <w:tr w:rsidR="00122CE8" w14:paraId="73728B08" w14:textId="77777777">
        <w:trPr>
          <w:trHeight w:val="415"/>
        </w:trPr>
        <w:tc>
          <w:tcPr>
            <w:tcW w:w="1459" w:type="dxa"/>
            <w:tcBorders>
              <w:top w:val="nil"/>
              <w:bottom w:val="nil"/>
            </w:tcBorders>
          </w:tcPr>
          <w:p w14:paraId="5D594657" w14:textId="77777777" w:rsidR="00122CE8" w:rsidRDefault="00AC01CC">
            <w:pPr>
              <w:pStyle w:val="TableParagraph"/>
              <w:tabs>
                <w:tab w:val="left" w:pos="527"/>
              </w:tabs>
              <w:spacing w:before="67"/>
              <w:ind w:left="110"/>
              <w:rPr>
                <w:sz w:val="24"/>
              </w:rPr>
            </w:pPr>
            <w:r>
              <w:rPr>
                <w:spacing w:val="-5"/>
                <w:sz w:val="24"/>
              </w:rPr>
              <w:t>or</w:t>
            </w:r>
            <w:r>
              <w:rPr>
                <w:sz w:val="24"/>
              </w:rPr>
              <w:tab/>
            </w:r>
            <w:r>
              <w:rPr>
                <w:spacing w:val="-2"/>
                <w:sz w:val="24"/>
              </w:rPr>
              <w:t>special-</w:t>
            </w:r>
          </w:p>
        </w:tc>
        <w:tc>
          <w:tcPr>
            <w:tcW w:w="1377" w:type="dxa"/>
            <w:tcBorders>
              <w:top w:val="nil"/>
              <w:bottom w:val="nil"/>
            </w:tcBorders>
          </w:tcPr>
          <w:p w14:paraId="44EC4F92" w14:textId="77777777" w:rsidR="00122CE8" w:rsidRDefault="00122CE8">
            <w:pPr>
              <w:pStyle w:val="TableParagraph"/>
              <w:rPr>
                <w:rFonts w:ascii="Times New Roman"/>
                <w:sz w:val="24"/>
              </w:rPr>
            </w:pPr>
          </w:p>
        </w:tc>
        <w:tc>
          <w:tcPr>
            <w:tcW w:w="1487" w:type="dxa"/>
            <w:tcBorders>
              <w:top w:val="nil"/>
              <w:bottom w:val="nil"/>
            </w:tcBorders>
          </w:tcPr>
          <w:p w14:paraId="38B57752" w14:textId="77777777" w:rsidR="00122CE8" w:rsidRDefault="00AC01CC">
            <w:pPr>
              <w:pStyle w:val="TableParagraph"/>
              <w:spacing w:before="67"/>
              <w:ind w:left="106"/>
              <w:rPr>
                <w:sz w:val="24"/>
              </w:rPr>
            </w:pPr>
            <w:r>
              <w:rPr>
                <w:spacing w:val="-2"/>
                <w:sz w:val="24"/>
              </w:rPr>
              <w:t>managed</w:t>
            </w:r>
          </w:p>
        </w:tc>
        <w:tc>
          <w:tcPr>
            <w:tcW w:w="1857" w:type="dxa"/>
            <w:tcBorders>
              <w:top w:val="nil"/>
              <w:bottom w:val="nil"/>
            </w:tcBorders>
          </w:tcPr>
          <w:p w14:paraId="24AF521E" w14:textId="77777777" w:rsidR="00122CE8" w:rsidRDefault="00AC01CC">
            <w:pPr>
              <w:pStyle w:val="TableParagraph"/>
              <w:tabs>
                <w:tab w:val="left" w:pos="1419"/>
              </w:tabs>
              <w:spacing w:before="67"/>
              <w:ind w:left="112"/>
              <w:rPr>
                <w:sz w:val="24"/>
              </w:rPr>
            </w:pPr>
            <w:r>
              <w:rPr>
                <w:spacing w:val="-2"/>
                <w:sz w:val="24"/>
              </w:rPr>
              <w:t>recovery,</w:t>
            </w:r>
            <w:r>
              <w:rPr>
                <w:sz w:val="24"/>
              </w:rPr>
              <w:tab/>
            </w:r>
            <w:r>
              <w:rPr>
                <w:spacing w:val="-5"/>
                <w:sz w:val="24"/>
              </w:rPr>
              <w:t>but</w:t>
            </w:r>
          </w:p>
        </w:tc>
        <w:tc>
          <w:tcPr>
            <w:tcW w:w="1228" w:type="dxa"/>
            <w:tcBorders>
              <w:top w:val="nil"/>
              <w:bottom w:val="nil"/>
            </w:tcBorders>
          </w:tcPr>
          <w:p w14:paraId="74EE0DC1" w14:textId="77777777" w:rsidR="00122CE8" w:rsidRDefault="00AC01CC">
            <w:pPr>
              <w:pStyle w:val="TableParagraph"/>
              <w:spacing w:before="67"/>
              <w:ind w:left="107"/>
              <w:rPr>
                <w:sz w:val="24"/>
              </w:rPr>
            </w:pPr>
            <w:r>
              <w:rPr>
                <w:spacing w:val="-4"/>
                <w:sz w:val="24"/>
              </w:rPr>
              <w:t>once</w:t>
            </w:r>
          </w:p>
        </w:tc>
        <w:tc>
          <w:tcPr>
            <w:tcW w:w="1602" w:type="dxa"/>
            <w:tcBorders>
              <w:top w:val="nil"/>
              <w:bottom w:val="nil"/>
            </w:tcBorders>
          </w:tcPr>
          <w:p w14:paraId="6B92A28A" w14:textId="77777777" w:rsidR="00122CE8" w:rsidRDefault="00AC01CC">
            <w:pPr>
              <w:pStyle w:val="TableParagraph"/>
              <w:spacing w:before="67"/>
              <w:ind w:left="113"/>
              <w:rPr>
                <w:sz w:val="24"/>
              </w:rPr>
            </w:pPr>
            <w:r>
              <w:rPr>
                <w:spacing w:val="-2"/>
                <w:sz w:val="24"/>
              </w:rPr>
              <w:t>irrecoverable</w:t>
            </w:r>
          </w:p>
        </w:tc>
      </w:tr>
      <w:tr w:rsidR="00122CE8" w14:paraId="73AFDB28" w14:textId="77777777">
        <w:trPr>
          <w:trHeight w:val="596"/>
        </w:trPr>
        <w:tc>
          <w:tcPr>
            <w:tcW w:w="1459" w:type="dxa"/>
            <w:tcBorders>
              <w:top w:val="nil"/>
            </w:tcBorders>
          </w:tcPr>
          <w:p w14:paraId="0C4C9856" w14:textId="77777777" w:rsidR="00122CE8" w:rsidRDefault="00122CE8">
            <w:pPr>
              <w:pStyle w:val="TableParagraph"/>
              <w:rPr>
                <w:rFonts w:ascii="Times New Roman"/>
                <w:sz w:val="24"/>
              </w:rPr>
            </w:pPr>
          </w:p>
        </w:tc>
        <w:tc>
          <w:tcPr>
            <w:tcW w:w="1377" w:type="dxa"/>
            <w:tcBorders>
              <w:top w:val="nil"/>
            </w:tcBorders>
          </w:tcPr>
          <w:p w14:paraId="717CDA67" w14:textId="77777777" w:rsidR="00122CE8" w:rsidRDefault="00122CE8">
            <w:pPr>
              <w:pStyle w:val="TableParagraph"/>
              <w:rPr>
                <w:rFonts w:ascii="Times New Roman"/>
                <w:sz w:val="24"/>
              </w:rPr>
            </w:pPr>
          </w:p>
        </w:tc>
        <w:tc>
          <w:tcPr>
            <w:tcW w:w="1487" w:type="dxa"/>
            <w:tcBorders>
              <w:top w:val="nil"/>
            </w:tcBorders>
          </w:tcPr>
          <w:p w14:paraId="5DD3A657" w14:textId="77777777" w:rsidR="00122CE8" w:rsidRDefault="00122CE8">
            <w:pPr>
              <w:pStyle w:val="TableParagraph"/>
              <w:rPr>
                <w:rFonts w:ascii="Times New Roman"/>
                <w:sz w:val="24"/>
              </w:rPr>
            </w:pPr>
          </w:p>
        </w:tc>
        <w:tc>
          <w:tcPr>
            <w:tcW w:w="1857" w:type="dxa"/>
            <w:tcBorders>
              <w:top w:val="nil"/>
            </w:tcBorders>
          </w:tcPr>
          <w:p w14:paraId="1BA13A70" w14:textId="77777777" w:rsidR="00122CE8" w:rsidRDefault="00AC01CC">
            <w:pPr>
              <w:pStyle w:val="TableParagraph"/>
              <w:tabs>
                <w:tab w:val="left" w:pos="1285"/>
              </w:tabs>
              <w:spacing w:before="64"/>
              <w:ind w:left="112"/>
              <w:rPr>
                <w:sz w:val="24"/>
              </w:rPr>
            </w:pPr>
            <w:r>
              <w:rPr>
                <w:spacing w:val="-2"/>
                <w:sz w:val="24"/>
              </w:rPr>
              <w:t>safer</w:t>
            </w:r>
            <w:r>
              <w:rPr>
                <w:sz w:val="24"/>
              </w:rPr>
              <w:tab/>
            </w:r>
            <w:r>
              <w:rPr>
                <w:spacing w:val="-4"/>
                <w:sz w:val="24"/>
              </w:rPr>
              <w:t>than</w:t>
            </w:r>
          </w:p>
        </w:tc>
        <w:tc>
          <w:tcPr>
            <w:tcW w:w="1228" w:type="dxa"/>
            <w:tcBorders>
              <w:top w:val="nil"/>
            </w:tcBorders>
          </w:tcPr>
          <w:p w14:paraId="134BA492" w14:textId="77777777" w:rsidR="00122CE8" w:rsidRDefault="00AC01CC">
            <w:pPr>
              <w:pStyle w:val="TableParagraph"/>
              <w:spacing w:before="64"/>
              <w:ind w:left="107"/>
              <w:rPr>
                <w:sz w:val="24"/>
              </w:rPr>
            </w:pPr>
            <w:r>
              <w:rPr>
                <w:spacing w:val="-2"/>
                <w:sz w:val="24"/>
              </w:rPr>
              <w:t>arranged</w:t>
            </w:r>
          </w:p>
        </w:tc>
        <w:tc>
          <w:tcPr>
            <w:tcW w:w="1602" w:type="dxa"/>
            <w:tcBorders>
              <w:top w:val="nil"/>
            </w:tcBorders>
          </w:tcPr>
          <w:p w14:paraId="57F52C43" w14:textId="77777777" w:rsidR="00122CE8" w:rsidRDefault="00AC01CC">
            <w:pPr>
              <w:pStyle w:val="TableParagraph"/>
              <w:spacing w:before="64"/>
              <w:ind w:left="113"/>
              <w:rPr>
                <w:sz w:val="24"/>
              </w:rPr>
            </w:pPr>
            <w:r>
              <w:rPr>
                <w:spacing w:val="-2"/>
                <w:sz w:val="24"/>
              </w:rPr>
              <w:t>stock</w:t>
            </w:r>
          </w:p>
        </w:tc>
      </w:tr>
    </w:tbl>
    <w:p w14:paraId="3C777F0C" w14:textId="77777777" w:rsidR="00122CE8" w:rsidRDefault="00122CE8">
      <w:pPr>
        <w:pStyle w:val="TableParagraph"/>
        <w:rPr>
          <w:sz w:val="24"/>
        </w:rPr>
        <w:sectPr w:rsidR="00122CE8">
          <w:pgSz w:w="11910" w:h="16840"/>
          <w:pgMar w:top="1400" w:right="1275" w:bottom="1500" w:left="1417" w:header="0" w:footer="1308" w:gutter="0"/>
          <w:cols w:space="720"/>
        </w:sect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59"/>
        <w:gridCol w:w="1377"/>
        <w:gridCol w:w="1487"/>
        <w:gridCol w:w="1857"/>
        <w:gridCol w:w="1228"/>
        <w:gridCol w:w="1602"/>
      </w:tblGrid>
      <w:tr w:rsidR="00122CE8" w14:paraId="31902D0E" w14:textId="77777777">
        <w:trPr>
          <w:trHeight w:val="950"/>
        </w:trPr>
        <w:tc>
          <w:tcPr>
            <w:tcW w:w="1459" w:type="dxa"/>
          </w:tcPr>
          <w:p w14:paraId="4F51D064" w14:textId="77777777" w:rsidR="00122CE8" w:rsidRDefault="00AC01CC">
            <w:pPr>
              <w:pStyle w:val="TableParagraph"/>
              <w:spacing w:line="360" w:lineRule="auto"/>
              <w:ind w:left="110" w:right="454"/>
              <w:rPr>
                <w:sz w:val="24"/>
              </w:rPr>
            </w:pPr>
            <w:r>
              <w:rPr>
                <w:spacing w:val="-2"/>
                <w:sz w:val="24"/>
              </w:rPr>
              <w:lastRenderedPageBreak/>
              <w:t>waste disposal</w:t>
            </w:r>
          </w:p>
        </w:tc>
        <w:tc>
          <w:tcPr>
            <w:tcW w:w="1377" w:type="dxa"/>
          </w:tcPr>
          <w:p w14:paraId="10B46ECA" w14:textId="77777777" w:rsidR="00122CE8" w:rsidRDefault="00122CE8">
            <w:pPr>
              <w:pStyle w:val="TableParagraph"/>
              <w:rPr>
                <w:rFonts w:ascii="Times New Roman"/>
                <w:sz w:val="24"/>
              </w:rPr>
            </w:pPr>
          </w:p>
        </w:tc>
        <w:tc>
          <w:tcPr>
            <w:tcW w:w="1487" w:type="dxa"/>
          </w:tcPr>
          <w:p w14:paraId="750AE26B" w14:textId="77777777" w:rsidR="00122CE8" w:rsidRDefault="00122CE8">
            <w:pPr>
              <w:pStyle w:val="TableParagraph"/>
              <w:rPr>
                <w:rFonts w:ascii="Times New Roman"/>
                <w:sz w:val="24"/>
              </w:rPr>
            </w:pPr>
          </w:p>
        </w:tc>
        <w:tc>
          <w:tcPr>
            <w:tcW w:w="1857" w:type="dxa"/>
          </w:tcPr>
          <w:p w14:paraId="3D9D1510" w14:textId="77777777" w:rsidR="00122CE8" w:rsidRDefault="00AC01CC">
            <w:pPr>
              <w:pStyle w:val="TableParagraph"/>
              <w:tabs>
                <w:tab w:val="left" w:pos="1152"/>
              </w:tabs>
              <w:spacing w:line="360" w:lineRule="auto"/>
              <w:ind w:left="112" w:right="92"/>
              <w:rPr>
                <w:sz w:val="24"/>
              </w:rPr>
            </w:pPr>
            <w:r>
              <w:rPr>
                <w:spacing w:val="-4"/>
                <w:sz w:val="24"/>
              </w:rPr>
              <w:t>weak</w:t>
            </w:r>
            <w:r>
              <w:rPr>
                <w:sz w:val="24"/>
              </w:rPr>
              <w:tab/>
            </w:r>
            <w:r>
              <w:rPr>
                <w:spacing w:val="-4"/>
                <w:sz w:val="24"/>
              </w:rPr>
              <w:t xml:space="preserve">reuse </w:t>
            </w:r>
            <w:r>
              <w:rPr>
                <w:spacing w:val="-2"/>
                <w:sz w:val="24"/>
              </w:rPr>
              <w:t>claims</w:t>
            </w:r>
          </w:p>
        </w:tc>
        <w:tc>
          <w:tcPr>
            <w:tcW w:w="1228" w:type="dxa"/>
          </w:tcPr>
          <w:p w14:paraId="4E3DD9C2" w14:textId="77777777" w:rsidR="00122CE8" w:rsidRDefault="00122CE8">
            <w:pPr>
              <w:pStyle w:val="TableParagraph"/>
              <w:rPr>
                <w:rFonts w:ascii="Times New Roman"/>
                <w:sz w:val="24"/>
              </w:rPr>
            </w:pPr>
          </w:p>
        </w:tc>
        <w:tc>
          <w:tcPr>
            <w:tcW w:w="1602" w:type="dxa"/>
          </w:tcPr>
          <w:p w14:paraId="35D7C43D" w14:textId="77777777" w:rsidR="00122CE8" w:rsidRDefault="00122CE8">
            <w:pPr>
              <w:pStyle w:val="TableParagraph"/>
              <w:rPr>
                <w:rFonts w:ascii="Times New Roman"/>
                <w:sz w:val="24"/>
              </w:rPr>
            </w:pPr>
          </w:p>
        </w:tc>
      </w:tr>
    </w:tbl>
    <w:p w14:paraId="031D4436" w14:textId="77777777" w:rsidR="00122CE8" w:rsidRDefault="00AC01CC">
      <w:pPr>
        <w:pStyle w:val="Heading2"/>
        <w:numPr>
          <w:ilvl w:val="1"/>
          <w:numId w:val="4"/>
        </w:numPr>
        <w:tabs>
          <w:tab w:val="left" w:pos="487"/>
        </w:tabs>
        <w:spacing w:before="301"/>
        <w:ind w:left="487" w:hanging="464"/>
        <w:jc w:val="both"/>
      </w:pPr>
      <w:bookmarkStart w:id="9" w:name="_bookmark9"/>
      <w:bookmarkEnd w:id="9"/>
      <w:r>
        <w:t>Recommended</w:t>
      </w:r>
      <w:r>
        <w:rPr>
          <w:spacing w:val="-13"/>
        </w:rPr>
        <w:t xml:space="preserve"> </w:t>
      </w:r>
      <w:r>
        <w:t>option</w:t>
      </w:r>
      <w:r>
        <w:rPr>
          <w:spacing w:val="-13"/>
        </w:rPr>
        <w:t xml:space="preserve"> </w:t>
      </w:r>
      <w:r>
        <w:rPr>
          <w:spacing w:val="-2"/>
        </w:rPr>
        <w:t>hierarchy</w:t>
      </w:r>
    </w:p>
    <w:p w14:paraId="14CE8218" w14:textId="77777777" w:rsidR="00122CE8" w:rsidRDefault="00122CE8">
      <w:pPr>
        <w:pStyle w:val="BodyText"/>
        <w:spacing w:before="79"/>
        <w:ind w:left="0" w:right="0"/>
        <w:jc w:val="left"/>
        <w:rPr>
          <w:rFonts w:ascii="Arial"/>
          <w:b/>
          <w:sz w:val="28"/>
        </w:rPr>
      </w:pPr>
    </w:p>
    <w:p w14:paraId="51618838" w14:textId="77777777" w:rsidR="00122CE8" w:rsidRDefault="00AC01CC">
      <w:pPr>
        <w:pStyle w:val="ListParagraph"/>
        <w:numPr>
          <w:ilvl w:val="0"/>
          <w:numId w:val="2"/>
        </w:numPr>
        <w:tabs>
          <w:tab w:val="left" w:pos="349"/>
        </w:tabs>
        <w:spacing w:before="1" w:line="360" w:lineRule="auto"/>
        <w:ind w:right="160" w:firstLine="0"/>
        <w:jc w:val="both"/>
        <w:rPr>
          <w:sz w:val="24"/>
        </w:rPr>
      </w:pPr>
      <w:r>
        <w:rPr>
          <w:sz w:val="24"/>
        </w:rPr>
        <w:t>Immediately quarantine, label and trace all obsolete batches of resin, as the company will not be treating stock that they are unsure of as normal stock (Environment Agency, 2020; Health and Safety Executive, 2023).</w:t>
      </w:r>
    </w:p>
    <w:p w14:paraId="25B3B159" w14:textId="77777777" w:rsidR="00122CE8" w:rsidRDefault="00AC01CC">
      <w:pPr>
        <w:pStyle w:val="ListParagraph"/>
        <w:numPr>
          <w:ilvl w:val="0"/>
          <w:numId w:val="2"/>
        </w:numPr>
        <w:tabs>
          <w:tab w:val="left" w:pos="299"/>
        </w:tabs>
        <w:spacing w:before="236" w:line="360" w:lineRule="auto"/>
        <w:ind w:right="160" w:firstLine="0"/>
        <w:jc w:val="both"/>
        <w:rPr>
          <w:sz w:val="24"/>
        </w:rPr>
      </w:pPr>
      <w:r>
        <w:rPr>
          <w:sz w:val="24"/>
        </w:rPr>
        <w:t xml:space="preserve">Based on the safety data sheets, expiry </w:t>
      </w:r>
      <w:r>
        <w:rPr>
          <w:sz w:val="24"/>
        </w:rPr>
        <w:t xml:space="preserve">date evidence, storage requirements and suppliers' advice, consider and review whether any further option should be pursued (Environment Agency, 2024 and Department for Environment, Food &amp; Rural Affairs, </w:t>
      </w:r>
      <w:r>
        <w:rPr>
          <w:spacing w:val="-2"/>
          <w:sz w:val="24"/>
        </w:rPr>
        <w:t>2011).</w:t>
      </w:r>
    </w:p>
    <w:p w14:paraId="79A77779" w14:textId="77777777" w:rsidR="00122CE8" w:rsidRDefault="00AC01CC">
      <w:pPr>
        <w:pStyle w:val="ListParagraph"/>
        <w:numPr>
          <w:ilvl w:val="0"/>
          <w:numId w:val="2"/>
        </w:numPr>
        <w:tabs>
          <w:tab w:val="left" w:pos="301"/>
        </w:tabs>
        <w:spacing w:before="240" w:line="362" w:lineRule="auto"/>
        <w:ind w:right="161" w:firstLine="0"/>
        <w:jc w:val="both"/>
        <w:rPr>
          <w:sz w:val="24"/>
        </w:rPr>
      </w:pPr>
      <w:r>
        <w:rPr>
          <w:sz w:val="24"/>
        </w:rPr>
        <w:t>Only test or re-validate when performance and</w:t>
      </w:r>
      <w:r>
        <w:rPr>
          <w:sz w:val="24"/>
        </w:rPr>
        <w:t xml:space="preserve"> compliance can be justified based on evidence, but not because of sunk costs (</w:t>
      </w:r>
      <w:proofErr w:type="spellStart"/>
      <w:r>
        <w:rPr>
          <w:sz w:val="24"/>
        </w:rPr>
        <w:t>Cioli</w:t>
      </w:r>
      <w:proofErr w:type="spellEnd"/>
      <w:r>
        <w:rPr>
          <w:sz w:val="24"/>
        </w:rPr>
        <w:t xml:space="preserve"> </w:t>
      </w:r>
      <w:r>
        <w:rPr>
          <w:rFonts w:ascii="Arial"/>
          <w:i/>
          <w:sz w:val="24"/>
        </w:rPr>
        <w:t xml:space="preserve">et al., </w:t>
      </w:r>
      <w:r>
        <w:rPr>
          <w:sz w:val="24"/>
        </w:rPr>
        <w:t xml:space="preserve">2022; </w:t>
      </w:r>
      <w:proofErr w:type="spellStart"/>
      <w:r>
        <w:rPr>
          <w:sz w:val="24"/>
        </w:rPr>
        <w:t>Holtzer</w:t>
      </w:r>
      <w:proofErr w:type="spellEnd"/>
      <w:r>
        <w:rPr>
          <w:sz w:val="24"/>
        </w:rPr>
        <w:t xml:space="preserve"> </w:t>
      </w:r>
      <w:r>
        <w:rPr>
          <w:rFonts w:ascii="Arial"/>
          <w:i/>
          <w:sz w:val="24"/>
        </w:rPr>
        <w:t xml:space="preserve">et al., </w:t>
      </w:r>
      <w:r>
        <w:rPr>
          <w:sz w:val="24"/>
        </w:rPr>
        <w:t>2020).</w:t>
      </w:r>
    </w:p>
    <w:p w14:paraId="289F5C7D" w14:textId="77777777" w:rsidR="00122CE8" w:rsidRDefault="00AC01CC">
      <w:pPr>
        <w:pStyle w:val="ListParagraph"/>
        <w:numPr>
          <w:ilvl w:val="0"/>
          <w:numId w:val="2"/>
        </w:numPr>
        <w:tabs>
          <w:tab w:val="left" w:pos="285"/>
        </w:tabs>
        <w:spacing w:before="237" w:line="360" w:lineRule="auto"/>
        <w:ind w:right="160" w:firstLine="0"/>
        <w:jc w:val="both"/>
        <w:rPr>
          <w:sz w:val="24"/>
        </w:rPr>
      </w:pPr>
      <w:r>
        <w:rPr>
          <w:sz w:val="24"/>
        </w:rPr>
        <w:t>Employ</w:t>
      </w:r>
      <w:r>
        <w:rPr>
          <w:spacing w:val="-7"/>
          <w:sz w:val="24"/>
        </w:rPr>
        <w:t xml:space="preserve"> </w:t>
      </w:r>
      <w:r>
        <w:rPr>
          <w:sz w:val="24"/>
        </w:rPr>
        <w:t>supplier</w:t>
      </w:r>
      <w:r>
        <w:rPr>
          <w:spacing w:val="-7"/>
          <w:sz w:val="24"/>
        </w:rPr>
        <w:t xml:space="preserve"> </w:t>
      </w:r>
      <w:r>
        <w:rPr>
          <w:sz w:val="24"/>
        </w:rPr>
        <w:t>returns,</w:t>
      </w:r>
      <w:r>
        <w:rPr>
          <w:spacing w:val="-7"/>
          <w:sz w:val="24"/>
        </w:rPr>
        <w:t xml:space="preserve"> </w:t>
      </w:r>
      <w:r>
        <w:rPr>
          <w:sz w:val="24"/>
        </w:rPr>
        <w:t>suitable</w:t>
      </w:r>
      <w:r>
        <w:rPr>
          <w:spacing w:val="-7"/>
          <w:sz w:val="24"/>
        </w:rPr>
        <w:t xml:space="preserve"> </w:t>
      </w:r>
      <w:r>
        <w:rPr>
          <w:sz w:val="24"/>
        </w:rPr>
        <w:t>recovery</w:t>
      </w:r>
      <w:r>
        <w:rPr>
          <w:spacing w:val="-7"/>
          <w:sz w:val="24"/>
        </w:rPr>
        <w:t xml:space="preserve"> </w:t>
      </w:r>
      <w:r>
        <w:rPr>
          <w:sz w:val="24"/>
        </w:rPr>
        <w:t>and</w:t>
      </w:r>
      <w:r>
        <w:rPr>
          <w:spacing w:val="-7"/>
          <w:sz w:val="24"/>
        </w:rPr>
        <w:t xml:space="preserve"> </w:t>
      </w:r>
      <w:r>
        <w:rPr>
          <w:sz w:val="24"/>
        </w:rPr>
        <w:t>specialist</w:t>
      </w:r>
      <w:r>
        <w:rPr>
          <w:spacing w:val="-7"/>
          <w:sz w:val="24"/>
        </w:rPr>
        <w:t xml:space="preserve"> </w:t>
      </w:r>
      <w:r>
        <w:rPr>
          <w:sz w:val="24"/>
        </w:rPr>
        <w:t>treatment</w:t>
      </w:r>
      <w:r>
        <w:rPr>
          <w:spacing w:val="-7"/>
          <w:sz w:val="24"/>
        </w:rPr>
        <w:t xml:space="preserve"> </w:t>
      </w:r>
      <w:r>
        <w:rPr>
          <w:sz w:val="24"/>
        </w:rPr>
        <w:t>routes</w:t>
      </w:r>
      <w:r>
        <w:rPr>
          <w:spacing w:val="-7"/>
          <w:sz w:val="24"/>
        </w:rPr>
        <w:t xml:space="preserve"> </w:t>
      </w:r>
      <w:r>
        <w:rPr>
          <w:sz w:val="24"/>
        </w:rPr>
        <w:t>provided that they are legal and feasible (Department for Environment, Food &amp; Rural Affairs, 2011; Environment Agency, 2024).</w:t>
      </w:r>
    </w:p>
    <w:p w14:paraId="04ABE0E2" w14:textId="77777777" w:rsidR="00122CE8" w:rsidRDefault="00AC01CC">
      <w:pPr>
        <w:pStyle w:val="ListParagraph"/>
        <w:numPr>
          <w:ilvl w:val="0"/>
          <w:numId w:val="2"/>
        </w:numPr>
        <w:tabs>
          <w:tab w:val="left" w:pos="298"/>
        </w:tabs>
        <w:spacing w:before="242" w:line="360" w:lineRule="auto"/>
        <w:ind w:right="160" w:firstLine="0"/>
        <w:jc w:val="both"/>
        <w:rPr>
          <w:sz w:val="24"/>
        </w:rPr>
      </w:pPr>
      <w:r>
        <w:rPr>
          <w:sz w:val="24"/>
        </w:rPr>
        <w:t>Consider irrecoverable stock as your last resort and pass back any lessons learnt to the suggested preventive controls listed in s</w:t>
      </w:r>
      <w:r>
        <w:rPr>
          <w:sz w:val="24"/>
        </w:rPr>
        <w:t>ection 2 (Health and Safety Executive, 2023; Department for Environment, Food &amp; Rural Affairs, 2011).</w:t>
      </w:r>
    </w:p>
    <w:p w14:paraId="50DEFDCA" w14:textId="77777777" w:rsidR="00122CE8" w:rsidRDefault="00122CE8">
      <w:pPr>
        <w:pStyle w:val="ListParagraph"/>
        <w:spacing w:line="360" w:lineRule="auto"/>
        <w:jc w:val="both"/>
        <w:rPr>
          <w:sz w:val="24"/>
        </w:rPr>
        <w:sectPr w:rsidR="00122CE8">
          <w:type w:val="continuous"/>
          <w:pgSz w:w="11910" w:h="16840"/>
          <w:pgMar w:top="1400" w:right="1275" w:bottom="1500" w:left="1417" w:header="0" w:footer="1308" w:gutter="0"/>
          <w:cols w:space="720"/>
        </w:sectPr>
      </w:pPr>
    </w:p>
    <w:p w14:paraId="15BB175C" w14:textId="77777777" w:rsidR="00122CE8" w:rsidRDefault="00AC01CC">
      <w:pPr>
        <w:pStyle w:val="Heading1"/>
        <w:numPr>
          <w:ilvl w:val="0"/>
          <w:numId w:val="4"/>
        </w:numPr>
        <w:tabs>
          <w:tab w:val="left" w:pos="496"/>
        </w:tabs>
        <w:spacing w:line="360" w:lineRule="auto"/>
        <w:ind w:left="23" w:right="161" w:firstLine="0"/>
      </w:pPr>
      <w:bookmarkStart w:id="10" w:name="_bookmark10"/>
      <w:bookmarkEnd w:id="10"/>
      <w:r>
        <w:lastRenderedPageBreak/>
        <w:t>Understanding</w:t>
      </w:r>
      <w:r>
        <w:rPr>
          <w:spacing w:val="80"/>
        </w:rPr>
        <w:t xml:space="preserve"> </w:t>
      </w:r>
      <w:r>
        <w:t>Lead</w:t>
      </w:r>
      <w:r>
        <w:rPr>
          <w:spacing w:val="80"/>
        </w:rPr>
        <w:t xml:space="preserve"> </w:t>
      </w:r>
      <w:r>
        <w:t>Time</w:t>
      </w:r>
      <w:r>
        <w:rPr>
          <w:spacing w:val="80"/>
        </w:rPr>
        <w:t xml:space="preserve"> </w:t>
      </w:r>
      <w:r>
        <w:t>Across</w:t>
      </w:r>
      <w:r>
        <w:rPr>
          <w:spacing w:val="80"/>
        </w:rPr>
        <w:t xml:space="preserve"> </w:t>
      </w:r>
      <w:r>
        <w:t>the</w:t>
      </w:r>
      <w:r>
        <w:rPr>
          <w:spacing w:val="80"/>
        </w:rPr>
        <w:t xml:space="preserve"> </w:t>
      </w:r>
      <w:r>
        <w:t>Business</w:t>
      </w:r>
      <w:r>
        <w:rPr>
          <w:spacing w:val="80"/>
        </w:rPr>
        <w:t xml:space="preserve"> </w:t>
      </w:r>
      <w:r>
        <w:t>and Extended Enterprise</w:t>
      </w:r>
    </w:p>
    <w:p w14:paraId="457BEA41" w14:textId="77777777" w:rsidR="00122CE8" w:rsidRDefault="00AC01CC">
      <w:pPr>
        <w:pStyle w:val="Heading2"/>
        <w:numPr>
          <w:ilvl w:val="1"/>
          <w:numId w:val="4"/>
        </w:numPr>
        <w:tabs>
          <w:tab w:val="left" w:pos="487"/>
        </w:tabs>
        <w:spacing w:before="282"/>
        <w:ind w:left="487" w:hanging="464"/>
      </w:pPr>
      <w:bookmarkStart w:id="11" w:name="_bookmark11"/>
      <w:bookmarkEnd w:id="11"/>
      <w:r>
        <w:t>Identify</w:t>
      </w:r>
      <w:r>
        <w:rPr>
          <w:spacing w:val="-8"/>
        </w:rPr>
        <w:t xml:space="preserve"> </w:t>
      </w:r>
      <w:r>
        <w:t>the</w:t>
      </w:r>
      <w:r>
        <w:rPr>
          <w:spacing w:val="-7"/>
        </w:rPr>
        <w:t xml:space="preserve"> </w:t>
      </w:r>
      <w:r>
        <w:t>blind</w:t>
      </w:r>
      <w:r>
        <w:rPr>
          <w:spacing w:val="-7"/>
        </w:rPr>
        <w:t xml:space="preserve"> </w:t>
      </w:r>
      <w:r>
        <w:t>spots</w:t>
      </w:r>
      <w:r>
        <w:rPr>
          <w:spacing w:val="-7"/>
        </w:rPr>
        <w:t xml:space="preserve"> </w:t>
      </w:r>
      <w:r>
        <w:t>in</w:t>
      </w:r>
      <w:r>
        <w:rPr>
          <w:spacing w:val="-8"/>
        </w:rPr>
        <w:t xml:space="preserve"> </w:t>
      </w:r>
      <w:r>
        <w:t>current</w:t>
      </w:r>
      <w:r>
        <w:rPr>
          <w:spacing w:val="-7"/>
        </w:rPr>
        <w:t xml:space="preserve"> </w:t>
      </w:r>
      <w:r>
        <w:t>lead-time</w:t>
      </w:r>
      <w:r>
        <w:rPr>
          <w:spacing w:val="-7"/>
        </w:rPr>
        <w:t xml:space="preserve"> </w:t>
      </w:r>
      <w:r>
        <w:rPr>
          <w:spacing w:val="-2"/>
        </w:rPr>
        <w:t>understanding</w:t>
      </w:r>
    </w:p>
    <w:p w14:paraId="3DD6A48B" w14:textId="77777777" w:rsidR="00122CE8" w:rsidRDefault="00122CE8">
      <w:pPr>
        <w:pStyle w:val="BodyText"/>
        <w:spacing w:before="75"/>
        <w:ind w:left="0" w:right="0"/>
        <w:jc w:val="left"/>
        <w:rPr>
          <w:rFonts w:ascii="Arial"/>
          <w:b/>
          <w:sz w:val="28"/>
        </w:rPr>
      </w:pPr>
    </w:p>
    <w:p w14:paraId="6E7335AB" w14:textId="77777777" w:rsidR="00122CE8" w:rsidRDefault="00AC01CC">
      <w:pPr>
        <w:pStyle w:val="BodyText"/>
        <w:spacing w:line="360" w:lineRule="auto"/>
      </w:pPr>
      <w:r>
        <w:t>It</w:t>
      </w:r>
      <w:r>
        <w:rPr>
          <w:spacing w:val="-9"/>
        </w:rPr>
        <w:t xml:space="preserve"> </w:t>
      </w:r>
      <w:r>
        <w:t>is</w:t>
      </w:r>
      <w:r>
        <w:rPr>
          <w:spacing w:val="-9"/>
        </w:rPr>
        <w:t xml:space="preserve"> </w:t>
      </w:r>
      <w:r>
        <w:t>probably</w:t>
      </w:r>
      <w:r>
        <w:rPr>
          <w:spacing w:val="-9"/>
        </w:rPr>
        <w:t xml:space="preserve"> </w:t>
      </w:r>
      <w:r>
        <w:t>the</w:t>
      </w:r>
      <w:r>
        <w:rPr>
          <w:spacing w:val="-9"/>
        </w:rPr>
        <w:t xml:space="preserve"> </w:t>
      </w:r>
      <w:r>
        <w:t>limits</w:t>
      </w:r>
      <w:r>
        <w:rPr>
          <w:spacing w:val="-9"/>
        </w:rPr>
        <w:t xml:space="preserve"> </w:t>
      </w:r>
      <w:r>
        <w:t>of</w:t>
      </w:r>
      <w:r>
        <w:rPr>
          <w:spacing w:val="-9"/>
        </w:rPr>
        <w:t xml:space="preserve"> </w:t>
      </w:r>
      <w:r>
        <w:t>measurement</w:t>
      </w:r>
      <w:r>
        <w:rPr>
          <w:spacing w:val="-9"/>
        </w:rPr>
        <w:t xml:space="preserve"> </w:t>
      </w:r>
      <w:r>
        <w:t>that</w:t>
      </w:r>
      <w:r>
        <w:rPr>
          <w:spacing w:val="-9"/>
        </w:rPr>
        <w:t xml:space="preserve"> </w:t>
      </w:r>
      <w:r>
        <w:t>are</w:t>
      </w:r>
      <w:r>
        <w:rPr>
          <w:spacing w:val="-9"/>
        </w:rPr>
        <w:t xml:space="preserve"> </w:t>
      </w:r>
      <w:r>
        <w:t>the</w:t>
      </w:r>
      <w:r>
        <w:rPr>
          <w:spacing w:val="-9"/>
        </w:rPr>
        <w:t xml:space="preserve"> </w:t>
      </w:r>
      <w:r>
        <w:t>key</w:t>
      </w:r>
      <w:r>
        <w:rPr>
          <w:spacing w:val="-9"/>
        </w:rPr>
        <w:t xml:space="preserve"> </w:t>
      </w:r>
      <w:r>
        <w:t>blind</w:t>
      </w:r>
      <w:r>
        <w:rPr>
          <w:spacing w:val="-9"/>
        </w:rPr>
        <w:t xml:space="preserve"> </w:t>
      </w:r>
      <w:r>
        <w:t>spot.</w:t>
      </w:r>
      <w:r>
        <w:rPr>
          <w:spacing w:val="-9"/>
        </w:rPr>
        <w:t xml:space="preserve"> </w:t>
      </w:r>
      <w:r>
        <w:t>All</w:t>
      </w:r>
      <w:r>
        <w:rPr>
          <w:spacing w:val="-9"/>
        </w:rPr>
        <w:t xml:space="preserve"> </w:t>
      </w:r>
      <w:r>
        <w:t>lead</w:t>
      </w:r>
      <w:r>
        <w:rPr>
          <w:spacing w:val="-9"/>
        </w:rPr>
        <w:t xml:space="preserve"> </w:t>
      </w:r>
      <w:r>
        <w:t>times</w:t>
      </w:r>
      <w:r>
        <w:rPr>
          <w:spacing w:val="-9"/>
        </w:rPr>
        <w:t xml:space="preserve"> </w:t>
      </w:r>
      <w:r>
        <w:t>must be added together in this instance and should encompass suppliers' manufacturing time, inbound transport lead time, book-in delay, stores handling delay, release to prod</w:t>
      </w:r>
      <w:r>
        <w:t>uction delay, any delay whilst the product is in production, and the reverse flow time when the material becomes out of stock. The concepts through value stream mapping and process mining have revealed that the manual maps don't capture variability</w:t>
      </w:r>
      <w:r>
        <w:rPr>
          <w:spacing w:val="-7"/>
        </w:rPr>
        <w:t xml:space="preserve"> </w:t>
      </w:r>
      <w:r>
        <w:t>and</w:t>
      </w:r>
      <w:r>
        <w:rPr>
          <w:spacing w:val="-7"/>
        </w:rPr>
        <w:t xml:space="preserve"> </w:t>
      </w:r>
      <w:r>
        <w:t>the</w:t>
      </w:r>
      <w:r>
        <w:rPr>
          <w:spacing w:val="-7"/>
        </w:rPr>
        <w:t xml:space="preserve"> </w:t>
      </w:r>
      <w:r>
        <w:t>hidden</w:t>
      </w:r>
      <w:r>
        <w:rPr>
          <w:spacing w:val="-7"/>
        </w:rPr>
        <w:t xml:space="preserve"> </w:t>
      </w:r>
      <w:r>
        <w:t>waiting</w:t>
      </w:r>
      <w:r>
        <w:rPr>
          <w:spacing w:val="-7"/>
        </w:rPr>
        <w:t xml:space="preserve"> </w:t>
      </w:r>
      <w:r>
        <w:t>time,</w:t>
      </w:r>
      <w:r>
        <w:rPr>
          <w:spacing w:val="-7"/>
        </w:rPr>
        <w:t xml:space="preserve"> </w:t>
      </w:r>
      <w:r>
        <w:t>and</w:t>
      </w:r>
      <w:r>
        <w:rPr>
          <w:spacing w:val="-7"/>
        </w:rPr>
        <w:t xml:space="preserve"> </w:t>
      </w:r>
      <w:r>
        <w:t>the</w:t>
      </w:r>
      <w:r>
        <w:rPr>
          <w:spacing w:val="-7"/>
        </w:rPr>
        <w:t xml:space="preserve"> </w:t>
      </w:r>
      <w:r>
        <w:t>S&amp;OP</w:t>
      </w:r>
      <w:r>
        <w:rPr>
          <w:spacing w:val="-7"/>
        </w:rPr>
        <w:t xml:space="preserve"> </w:t>
      </w:r>
      <w:r>
        <w:t>studies</w:t>
      </w:r>
      <w:r>
        <w:rPr>
          <w:spacing w:val="-7"/>
        </w:rPr>
        <w:t xml:space="preserve"> </w:t>
      </w:r>
      <w:r>
        <w:t>have</w:t>
      </w:r>
      <w:r>
        <w:rPr>
          <w:spacing w:val="-7"/>
        </w:rPr>
        <w:t xml:space="preserve"> </w:t>
      </w:r>
      <w:r>
        <w:t>demonstrated</w:t>
      </w:r>
      <w:r>
        <w:rPr>
          <w:spacing w:val="-7"/>
        </w:rPr>
        <w:t xml:space="preserve"> </w:t>
      </w:r>
      <w:r>
        <w:t>that the failures of internal coordination are as significant as suppliers' failures (</w:t>
      </w:r>
      <w:proofErr w:type="spellStart"/>
      <w:r>
        <w:t>Teriete</w:t>
      </w:r>
      <w:proofErr w:type="spellEnd"/>
      <w:r>
        <w:t xml:space="preserve"> </w:t>
      </w:r>
      <w:r>
        <w:rPr>
          <w:rFonts w:ascii="Arial"/>
          <w:i/>
        </w:rPr>
        <w:t xml:space="preserve">et al., </w:t>
      </w:r>
      <w:r>
        <w:t xml:space="preserve">2026; </w:t>
      </w:r>
      <w:proofErr w:type="spellStart"/>
      <w:r>
        <w:t>Kreuter</w:t>
      </w:r>
      <w:proofErr w:type="spellEnd"/>
      <w:r>
        <w:t xml:space="preserve"> </w:t>
      </w:r>
      <w:r>
        <w:rPr>
          <w:rFonts w:ascii="Arial"/>
          <w:i/>
        </w:rPr>
        <w:t xml:space="preserve">et al., </w:t>
      </w:r>
      <w:r>
        <w:t xml:space="preserve">2022). It will continue to tweak orders until someone in the supply chain, such as </w:t>
      </w:r>
      <w:proofErr w:type="spellStart"/>
      <w:r>
        <w:t>Brocksweir</w:t>
      </w:r>
      <w:proofErr w:type="spellEnd"/>
      <w:r>
        <w:t>, can measure the whole chain.</w:t>
      </w:r>
    </w:p>
    <w:p w14:paraId="54DEE4C5" w14:textId="77777777" w:rsidR="00122CE8" w:rsidRDefault="00122CE8">
      <w:pPr>
        <w:pStyle w:val="BodyText"/>
        <w:spacing w:before="1"/>
        <w:ind w:left="0" w:right="0"/>
        <w:jc w:val="left"/>
      </w:pPr>
    </w:p>
    <w:p w14:paraId="05FB38F4" w14:textId="77777777" w:rsidR="00122CE8" w:rsidRDefault="00AC01CC">
      <w:pPr>
        <w:pStyle w:val="Heading2"/>
        <w:numPr>
          <w:ilvl w:val="1"/>
          <w:numId w:val="4"/>
        </w:numPr>
        <w:tabs>
          <w:tab w:val="left" w:pos="487"/>
        </w:tabs>
        <w:ind w:left="487" w:hanging="464"/>
      </w:pPr>
      <w:bookmarkStart w:id="12" w:name="_bookmark12"/>
      <w:bookmarkEnd w:id="12"/>
      <w:r>
        <w:t>Evaluate</w:t>
      </w:r>
      <w:r>
        <w:rPr>
          <w:spacing w:val="-10"/>
        </w:rPr>
        <w:t xml:space="preserve"> </w:t>
      </w:r>
      <w:r>
        <w:t>the</w:t>
      </w:r>
      <w:r>
        <w:rPr>
          <w:spacing w:val="-10"/>
        </w:rPr>
        <w:t xml:space="preserve"> </w:t>
      </w:r>
      <w:r>
        <w:t>measures</w:t>
      </w:r>
      <w:r>
        <w:rPr>
          <w:spacing w:val="-10"/>
        </w:rPr>
        <w:t xml:space="preserve"> </w:t>
      </w:r>
      <w:proofErr w:type="spellStart"/>
      <w:r>
        <w:t>Brocksweir</w:t>
      </w:r>
      <w:proofErr w:type="spellEnd"/>
      <w:r>
        <w:rPr>
          <w:spacing w:val="-10"/>
        </w:rPr>
        <w:t xml:space="preserve"> </w:t>
      </w:r>
      <w:r>
        <w:t>should</w:t>
      </w:r>
      <w:r>
        <w:rPr>
          <w:spacing w:val="-10"/>
        </w:rPr>
        <w:t xml:space="preserve"> </w:t>
      </w:r>
      <w:r>
        <w:rPr>
          <w:spacing w:val="-4"/>
        </w:rPr>
        <w:t>take</w:t>
      </w:r>
    </w:p>
    <w:p w14:paraId="11C4A4E3" w14:textId="77777777" w:rsidR="00122CE8" w:rsidRDefault="00122CE8">
      <w:pPr>
        <w:pStyle w:val="BodyText"/>
        <w:spacing w:before="85"/>
        <w:ind w:left="0" w:right="0"/>
        <w:jc w:val="left"/>
        <w:rPr>
          <w:rFonts w:ascii="Arial"/>
          <w:b/>
          <w:sz w:val="28"/>
        </w:rPr>
      </w:pPr>
    </w:p>
    <w:p w14:paraId="3FF64D71" w14:textId="77777777" w:rsidR="00122CE8" w:rsidRDefault="00AC01CC">
      <w:pPr>
        <w:pStyle w:val="BodyText"/>
        <w:spacing w:line="360" w:lineRule="auto"/>
      </w:pPr>
      <w:r>
        <w:t>To achieve this, an end-to-end lead-time map for sand, resin and other important inpu</w:t>
      </w:r>
      <w:r>
        <w:t>ts</w:t>
      </w:r>
      <w:r>
        <w:rPr>
          <w:spacing w:val="-7"/>
        </w:rPr>
        <w:t xml:space="preserve"> </w:t>
      </w:r>
      <w:r>
        <w:t>is</w:t>
      </w:r>
      <w:r>
        <w:rPr>
          <w:spacing w:val="-7"/>
        </w:rPr>
        <w:t xml:space="preserve"> </w:t>
      </w:r>
      <w:r>
        <w:t>required.</w:t>
      </w:r>
      <w:r>
        <w:rPr>
          <w:spacing w:val="-7"/>
        </w:rPr>
        <w:t xml:space="preserve"> </w:t>
      </w:r>
      <w:r>
        <w:t>A</w:t>
      </w:r>
      <w:r>
        <w:rPr>
          <w:spacing w:val="-7"/>
        </w:rPr>
        <w:t xml:space="preserve"> </w:t>
      </w:r>
      <w:r>
        <w:t>conventional</w:t>
      </w:r>
      <w:r>
        <w:rPr>
          <w:spacing w:val="-7"/>
        </w:rPr>
        <w:t xml:space="preserve"> </w:t>
      </w:r>
      <w:r>
        <w:t>value-stream</w:t>
      </w:r>
      <w:r>
        <w:rPr>
          <w:spacing w:val="-7"/>
        </w:rPr>
        <w:t xml:space="preserve"> </w:t>
      </w:r>
      <w:r>
        <w:t>map</w:t>
      </w:r>
      <w:r>
        <w:rPr>
          <w:spacing w:val="-7"/>
        </w:rPr>
        <w:t xml:space="preserve"> </w:t>
      </w:r>
      <w:r>
        <w:t>is</w:t>
      </w:r>
      <w:r>
        <w:rPr>
          <w:spacing w:val="-7"/>
        </w:rPr>
        <w:t xml:space="preserve"> </w:t>
      </w:r>
      <w:r>
        <w:t>a</w:t>
      </w:r>
      <w:r>
        <w:rPr>
          <w:spacing w:val="-7"/>
        </w:rPr>
        <w:t xml:space="preserve"> </w:t>
      </w:r>
      <w:r>
        <w:t>good</w:t>
      </w:r>
      <w:r>
        <w:rPr>
          <w:spacing w:val="-7"/>
        </w:rPr>
        <w:t xml:space="preserve"> </w:t>
      </w:r>
      <w:r>
        <w:t>first</w:t>
      </w:r>
      <w:r>
        <w:rPr>
          <w:spacing w:val="-7"/>
        </w:rPr>
        <w:t xml:space="preserve"> </w:t>
      </w:r>
      <w:r>
        <w:t>step</w:t>
      </w:r>
      <w:r>
        <w:rPr>
          <w:spacing w:val="-7"/>
        </w:rPr>
        <w:t xml:space="preserve"> </w:t>
      </w:r>
      <w:r>
        <w:t>as</w:t>
      </w:r>
      <w:r>
        <w:rPr>
          <w:spacing w:val="-7"/>
        </w:rPr>
        <w:t xml:space="preserve"> </w:t>
      </w:r>
      <w:r>
        <w:t>it</w:t>
      </w:r>
      <w:r>
        <w:rPr>
          <w:spacing w:val="-7"/>
        </w:rPr>
        <w:t xml:space="preserve"> </w:t>
      </w:r>
      <w:r>
        <w:t>will</w:t>
      </w:r>
      <w:r>
        <w:rPr>
          <w:spacing w:val="-7"/>
        </w:rPr>
        <w:t xml:space="preserve"> </w:t>
      </w:r>
      <w:r>
        <w:t>make the company think about every touch point for the material and information from the supplier to the company's goods, in foundry preparation, use in production and, if appl</w:t>
      </w:r>
      <w:r>
        <w:t>icable, backflow. However, the literature cautions that static mapping alone is limited, as it only provides a snapshot in time and is unable to capture the time scale (</w:t>
      </w:r>
      <w:proofErr w:type="spellStart"/>
      <w:r>
        <w:t>Teriete</w:t>
      </w:r>
      <w:proofErr w:type="spellEnd"/>
      <w:r>
        <w:t xml:space="preserve"> et al., 2026). Therefore, </w:t>
      </w:r>
      <w:proofErr w:type="spellStart"/>
      <w:r>
        <w:t>Brocksweir</w:t>
      </w:r>
      <w:proofErr w:type="spellEnd"/>
      <w:r>
        <w:t xml:space="preserve"> should not use mapping as the last line of</w:t>
      </w:r>
      <w:r>
        <w:t xml:space="preserve"> visibility, but the first.</w:t>
      </w:r>
    </w:p>
    <w:p w14:paraId="6705ABA2" w14:textId="77777777" w:rsidR="00122CE8" w:rsidRDefault="00122CE8">
      <w:pPr>
        <w:pStyle w:val="BodyText"/>
        <w:spacing w:line="360" w:lineRule="auto"/>
        <w:sectPr w:rsidR="00122CE8">
          <w:pgSz w:w="11910" w:h="16840"/>
          <w:pgMar w:top="1360" w:right="1275" w:bottom="1500" w:left="1417" w:header="0" w:footer="1308" w:gutter="0"/>
          <w:cols w:space="720"/>
        </w:sectPr>
      </w:pPr>
    </w:p>
    <w:p w14:paraId="5F965FE8" w14:textId="77777777" w:rsidR="00122CE8" w:rsidRDefault="00AC01CC">
      <w:pPr>
        <w:pStyle w:val="BodyText"/>
        <w:ind w:right="0"/>
        <w:jc w:val="left"/>
        <w:rPr>
          <w:sz w:val="20"/>
        </w:rPr>
      </w:pPr>
      <w:r>
        <w:rPr>
          <w:noProof/>
          <w:sz w:val="20"/>
        </w:rPr>
        <w:lastRenderedPageBreak/>
        <w:drawing>
          <wp:inline distT="0" distB="0" distL="0" distR="0" wp14:anchorId="058DD98E" wp14:editId="2DDFC666">
            <wp:extent cx="5741351" cy="2894076"/>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5741351" cy="2894076"/>
                    </a:xfrm>
                    <a:prstGeom prst="rect">
                      <a:avLst/>
                    </a:prstGeom>
                  </pic:spPr>
                </pic:pic>
              </a:graphicData>
            </a:graphic>
          </wp:inline>
        </w:drawing>
      </w:r>
    </w:p>
    <w:p w14:paraId="26EA435D" w14:textId="77777777" w:rsidR="00122CE8" w:rsidRDefault="00122CE8">
      <w:pPr>
        <w:pStyle w:val="BodyText"/>
        <w:spacing w:before="91"/>
        <w:ind w:left="0" w:right="0"/>
        <w:jc w:val="left"/>
      </w:pPr>
    </w:p>
    <w:p w14:paraId="042718D6" w14:textId="77777777" w:rsidR="00122CE8" w:rsidRDefault="00AC01CC">
      <w:pPr>
        <w:pStyle w:val="BodyText"/>
        <w:ind w:left="549" w:right="687"/>
        <w:jc w:val="center"/>
      </w:pPr>
      <w:r>
        <w:t>Figure</w:t>
      </w:r>
      <w:r>
        <w:rPr>
          <w:spacing w:val="-2"/>
        </w:rPr>
        <w:t xml:space="preserve"> </w:t>
      </w:r>
      <w:r>
        <w:t>1:</w:t>
      </w:r>
      <w:r>
        <w:rPr>
          <w:spacing w:val="-3"/>
        </w:rPr>
        <w:t xml:space="preserve"> </w:t>
      </w:r>
      <w:proofErr w:type="spellStart"/>
      <w:r>
        <w:t>Brocksweir</w:t>
      </w:r>
      <w:proofErr w:type="spellEnd"/>
      <w:r>
        <w:rPr>
          <w:spacing w:val="-2"/>
        </w:rPr>
        <w:t xml:space="preserve"> </w:t>
      </w:r>
      <w:r>
        <w:t>lead-time</w:t>
      </w:r>
      <w:r>
        <w:rPr>
          <w:spacing w:val="-1"/>
        </w:rPr>
        <w:t xml:space="preserve"> </w:t>
      </w:r>
      <w:r>
        <w:rPr>
          <w:spacing w:val="-5"/>
        </w:rPr>
        <w:t>map</w:t>
      </w:r>
    </w:p>
    <w:p w14:paraId="6AF0793F" w14:textId="77777777" w:rsidR="00122CE8" w:rsidRDefault="00122CE8">
      <w:pPr>
        <w:pStyle w:val="BodyText"/>
        <w:spacing w:before="105"/>
        <w:ind w:left="0" w:right="0"/>
        <w:jc w:val="left"/>
      </w:pPr>
    </w:p>
    <w:p w14:paraId="266845DF" w14:textId="77777777" w:rsidR="00122CE8" w:rsidRDefault="00AC01CC">
      <w:pPr>
        <w:pStyle w:val="BodyText"/>
        <w:spacing w:before="1" w:line="360" w:lineRule="auto"/>
      </w:pPr>
      <w:r>
        <w:t xml:space="preserve">The second is time-stamped data capture at the material/batch level. From product- traceability research, it can be concluded that if </w:t>
      </w:r>
      <w:proofErr w:type="spellStart"/>
      <w:r>
        <w:t>organisations</w:t>
      </w:r>
      <w:proofErr w:type="spellEnd"/>
      <w:r>
        <w:t xml:space="preserve"> establish identifiable records between their receipts, storage status, movement through processes and decisi</w:t>
      </w:r>
      <w:r>
        <w:t>ons of usage, visibility improves (</w:t>
      </w:r>
      <w:proofErr w:type="spellStart"/>
      <w:r>
        <w:t>Schuitemaker</w:t>
      </w:r>
      <w:proofErr w:type="spellEnd"/>
      <w:r>
        <w:t xml:space="preserve"> and Xu, 2020). In the case of </w:t>
      </w:r>
      <w:proofErr w:type="spellStart"/>
      <w:r>
        <w:t>Brocksweir</w:t>
      </w:r>
      <w:proofErr w:type="spellEnd"/>
      <w:r>
        <w:t>, that equates to structured date of receipt, batch number, shelf-life date, location,</w:t>
      </w:r>
      <w:r>
        <w:rPr>
          <w:spacing w:val="-6"/>
        </w:rPr>
        <w:t xml:space="preserve"> </w:t>
      </w:r>
      <w:r>
        <w:t>date</w:t>
      </w:r>
      <w:r>
        <w:rPr>
          <w:spacing w:val="-6"/>
        </w:rPr>
        <w:t xml:space="preserve"> </w:t>
      </w:r>
      <w:r>
        <w:t>off</w:t>
      </w:r>
      <w:r>
        <w:rPr>
          <w:spacing w:val="-6"/>
        </w:rPr>
        <w:t xml:space="preserve"> </w:t>
      </w:r>
      <w:r>
        <w:t>the</w:t>
      </w:r>
      <w:r>
        <w:rPr>
          <w:spacing w:val="-6"/>
        </w:rPr>
        <w:t xml:space="preserve"> </w:t>
      </w:r>
      <w:r>
        <w:t>shelves</w:t>
      </w:r>
      <w:r>
        <w:rPr>
          <w:spacing w:val="-6"/>
        </w:rPr>
        <w:t xml:space="preserve"> </w:t>
      </w:r>
      <w:r>
        <w:t>and</w:t>
      </w:r>
      <w:r>
        <w:rPr>
          <w:spacing w:val="-6"/>
        </w:rPr>
        <w:t xml:space="preserve"> </w:t>
      </w:r>
      <w:r>
        <w:t>the</w:t>
      </w:r>
      <w:r>
        <w:rPr>
          <w:spacing w:val="-6"/>
        </w:rPr>
        <w:t xml:space="preserve"> </w:t>
      </w:r>
      <w:r>
        <w:t>reason</w:t>
      </w:r>
      <w:r>
        <w:rPr>
          <w:spacing w:val="-6"/>
        </w:rPr>
        <w:t xml:space="preserve"> </w:t>
      </w:r>
      <w:r>
        <w:t>for</w:t>
      </w:r>
      <w:r>
        <w:rPr>
          <w:spacing w:val="-6"/>
        </w:rPr>
        <w:t xml:space="preserve"> </w:t>
      </w:r>
      <w:r>
        <w:t>the</w:t>
      </w:r>
      <w:r>
        <w:rPr>
          <w:spacing w:val="-6"/>
        </w:rPr>
        <w:t xml:space="preserve"> </w:t>
      </w:r>
      <w:r>
        <w:t>delay.</w:t>
      </w:r>
      <w:r>
        <w:rPr>
          <w:spacing w:val="-6"/>
        </w:rPr>
        <w:t xml:space="preserve"> </w:t>
      </w:r>
      <w:r>
        <w:t>This</w:t>
      </w:r>
      <w:r>
        <w:rPr>
          <w:spacing w:val="-6"/>
        </w:rPr>
        <w:t xml:space="preserve"> </w:t>
      </w:r>
      <w:r>
        <w:t>is</w:t>
      </w:r>
      <w:r>
        <w:rPr>
          <w:spacing w:val="-6"/>
        </w:rPr>
        <w:t xml:space="preserve"> </w:t>
      </w:r>
      <w:r>
        <w:t>particularly</w:t>
      </w:r>
      <w:r>
        <w:rPr>
          <w:spacing w:val="-6"/>
        </w:rPr>
        <w:t xml:space="preserve"> </w:t>
      </w:r>
      <w:r>
        <w:t xml:space="preserve">relevant </w:t>
      </w:r>
      <w:r>
        <w:t>to</w:t>
      </w:r>
      <w:r>
        <w:rPr>
          <w:spacing w:val="-8"/>
        </w:rPr>
        <w:t xml:space="preserve"> </w:t>
      </w:r>
      <w:r>
        <w:t>resin,</w:t>
      </w:r>
      <w:r>
        <w:rPr>
          <w:spacing w:val="-8"/>
        </w:rPr>
        <w:t xml:space="preserve"> </w:t>
      </w:r>
      <w:r>
        <w:t>as</w:t>
      </w:r>
      <w:r>
        <w:rPr>
          <w:spacing w:val="-8"/>
        </w:rPr>
        <w:t xml:space="preserve"> </w:t>
      </w:r>
      <w:r>
        <w:t>batch-level</w:t>
      </w:r>
      <w:r>
        <w:rPr>
          <w:spacing w:val="-8"/>
        </w:rPr>
        <w:t xml:space="preserve"> </w:t>
      </w:r>
      <w:r>
        <w:t>ageing</w:t>
      </w:r>
      <w:r>
        <w:rPr>
          <w:spacing w:val="-8"/>
        </w:rPr>
        <w:t xml:space="preserve"> </w:t>
      </w:r>
      <w:r>
        <w:t>information</w:t>
      </w:r>
      <w:r>
        <w:rPr>
          <w:spacing w:val="-8"/>
        </w:rPr>
        <w:t xml:space="preserve"> </w:t>
      </w:r>
      <w:r>
        <w:t>will</w:t>
      </w:r>
      <w:r>
        <w:rPr>
          <w:spacing w:val="-8"/>
        </w:rPr>
        <w:t xml:space="preserve"> </w:t>
      </w:r>
      <w:r>
        <w:t>form</w:t>
      </w:r>
      <w:r>
        <w:rPr>
          <w:spacing w:val="-8"/>
        </w:rPr>
        <w:t xml:space="preserve"> </w:t>
      </w:r>
      <w:r>
        <w:t>the</w:t>
      </w:r>
      <w:r>
        <w:rPr>
          <w:spacing w:val="-8"/>
        </w:rPr>
        <w:t xml:space="preserve"> </w:t>
      </w:r>
      <w:r>
        <w:t>link</w:t>
      </w:r>
      <w:r>
        <w:rPr>
          <w:spacing w:val="-8"/>
        </w:rPr>
        <w:t xml:space="preserve"> </w:t>
      </w:r>
      <w:r>
        <w:t>between</w:t>
      </w:r>
      <w:r>
        <w:rPr>
          <w:spacing w:val="-8"/>
        </w:rPr>
        <w:t xml:space="preserve"> </w:t>
      </w:r>
      <w:r>
        <w:t>Inventory</w:t>
      </w:r>
      <w:r>
        <w:rPr>
          <w:spacing w:val="-8"/>
        </w:rPr>
        <w:t xml:space="preserve"> </w:t>
      </w:r>
      <w:r>
        <w:t xml:space="preserve">Control and Obsolescence Prevention. It is essential to make FEFO more than just an </w:t>
      </w:r>
      <w:r>
        <w:rPr>
          <w:spacing w:val="-2"/>
        </w:rPr>
        <w:t>aspiration.</w:t>
      </w:r>
    </w:p>
    <w:p w14:paraId="094D49B7" w14:textId="77777777" w:rsidR="00122CE8" w:rsidRDefault="00AC01CC">
      <w:pPr>
        <w:pStyle w:val="BodyText"/>
        <w:spacing w:before="239" w:line="360" w:lineRule="auto"/>
      </w:pPr>
      <w:r>
        <w:t>Third,</w:t>
      </w:r>
      <w:r>
        <w:rPr>
          <w:spacing w:val="-13"/>
        </w:rPr>
        <w:t xml:space="preserve"> </w:t>
      </w:r>
      <w:proofErr w:type="spellStart"/>
      <w:r>
        <w:t>Brocksweir's</w:t>
      </w:r>
      <w:proofErr w:type="spellEnd"/>
      <w:r>
        <w:rPr>
          <w:spacing w:val="-13"/>
        </w:rPr>
        <w:t xml:space="preserve"> </w:t>
      </w:r>
      <w:r>
        <w:t>governance</w:t>
      </w:r>
      <w:r>
        <w:rPr>
          <w:spacing w:val="-13"/>
        </w:rPr>
        <w:t xml:space="preserve"> </w:t>
      </w:r>
      <w:r>
        <w:t>of</w:t>
      </w:r>
      <w:r>
        <w:rPr>
          <w:spacing w:val="-13"/>
        </w:rPr>
        <w:t xml:space="preserve"> </w:t>
      </w:r>
      <w:r>
        <w:t>the</w:t>
      </w:r>
      <w:r>
        <w:rPr>
          <w:spacing w:val="-13"/>
        </w:rPr>
        <w:t xml:space="preserve"> </w:t>
      </w:r>
      <w:r>
        <w:t>data</w:t>
      </w:r>
      <w:r>
        <w:rPr>
          <w:spacing w:val="-13"/>
        </w:rPr>
        <w:t xml:space="preserve"> </w:t>
      </w:r>
      <w:r>
        <w:t>supplier-facing</w:t>
      </w:r>
      <w:r>
        <w:rPr>
          <w:spacing w:val="-13"/>
        </w:rPr>
        <w:t xml:space="preserve"> </w:t>
      </w:r>
      <w:r>
        <w:t>and</w:t>
      </w:r>
      <w:r>
        <w:rPr>
          <w:spacing w:val="-13"/>
        </w:rPr>
        <w:t xml:space="preserve"> </w:t>
      </w:r>
      <w:r>
        <w:t>cross-functional</w:t>
      </w:r>
      <w:r>
        <w:rPr>
          <w:spacing w:val="-13"/>
        </w:rPr>
        <w:t xml:space="preserve"> </w:t>
      </w:r>
      <w:r>
        <w:t>needs to</w:t>
      </w:r>
      <w:r>
        <w:rPr>
          <w:spacing w:val="-15"/>
        </w:rPr>
        <w:t xml:space="preserve"> </w:t>
      </w:r>
      <w:r>
        <w:t>be</w:t>
      </w:r>
      <w:r>
        <w:rPr>
          <w:spacing w:val="-15"/>
        </w:rPr>
        <w:t xml:space="preserve"> </w:t>
      </w:r>
      <w:r>
        <w:t>in</w:t>
      </w:r>
      <w:r>
        <w:rPr>
          <w:spacing w:val="-15"/>
        </w:rPr>
        <w:t xml:space="preserve"> </w:t>
      </w:r>
      <w:r>
        <w:t>place.</w:t>
      </w:r>
      <w:r>
        <w:rPr>
          <w:spacing w:val="-15"/>
        </w:rPr>
        <w:t xml:space="preserve"> </w:t>
      </w:r>
      <w:r>
        <w:t>Visibilities</w:t>
      </w:r>
      <w:r>
        <w:rPr>
          <w:spacing w:val="-15"/>
        </w:rPr>
        <w:t xml:space="preserve"> </w:t>
      </w:r>
      <w:r>
        <w:t>of</w:t>
      </w:r>
      <w:r>
        <w:rPr>
          <w:spacing w:val="-15"/>
        </w:rPr>
        <w:t xml:space="preserve"> </w:t>
      </w:r>
      <w:r>
        <w:t>lead-time</w:t>
      </w:r>
      <w:r>
        <w:rPr>
          <w:spacing w:val="-15"/>
        </w:rPr>
        <w:t xml:space="preserve"> </w:t>
      </w:r>
      <w:r>
        <w:t>should</w:t>
      </w:r>
      <w:r>
        <w:rPr>
          <w:spacing w:val="-15"/>
        </w:rPr>
        <w:t xml:space="preserve"> </w:t>
      </w:r>
      <w:r>
        <w:t>be</w:t>
      </w:r>
      <w:r>
        <w:rPr>
          <w:spacing w:val="-15"/>
        </w:rPr>
        <w:t xml:space="preserve"> </w:t>
      </w:r>
      <w:r>
        <w:t>broken</w:t>
      </w:r>
      <w:r>
        <w:rPr>
          <w:spacing w:val="-15"/>
        </w:rPr>
        <w:t xml:space="preserve"> </w:t>
      </w:r>
      <w:r>
        <w:t>up</w:t>
      </w:r>
      <w:r>
        <w:rPr>
          <w:spacing w:val="-15"/>
        </w:rPr>
        <w:t xml:space="preserve"> </w:t>
      </w:r>
      <w:r>
        <w:t>by</w:t>
      </w:r>
      <w:r>
        <w:rPr>
          <w:spacing w:val="-15"/>
        </w:rPr>
        <w:t xml:space="preserve"> </w:t>
      </w:r>
      <w:r>
        <w:t>material</w:t>
      </w:r>
      <w:r>
        <w:rPr>
          <w:spacing w:val="-15"/>
        </w:rPr>
        <w:t xml:space="preserve"> </w:t>
      </w:r>
      <w:r>
        <w:t>class.</w:t>
      </w:r>
      <w:r>
        <w:rPr>
          <w:spacing w:val="-15"/>
        </w:rPr>
        <w:t xml:space="preserve"> </w:t>
      </w:r>
      <w:r>
        <w:t>Extensive delivery service ranges can be justified for sand, but close service levels need to be set</w:t>
      </w:r>
      <w:r>
        <w:rPr>
          <w:spacing w:val="-10"/>
        </w:rPr>
        <w:t xml:space="preserve"> </w:t>
      </w:r>
      <w:r>
        <w:t>for</w:t>
      </w:r>
      <w:r>
        <w:rPr>
          <w:spacing w:val="-10"/>
        </w:rPr>
        <w:t xml:space="preserve"> </w:t>
      </w:r>
      <w:r>
        <w:t>resin,</w:t>
      </w:r>
      <w:r>
        <w:rPr>
          <w:spacing w:val="-10"/>
        </w:rPr>
        <w:t xml:space="preserve"> </w:t>
      </w:r>
      <w:r>
        <w:t>since</w:t>
      </w:r>
      <w:r>
        <w:rPr>
          <w:spacing w:val="-9"/>
        </w:rPr>
        <w:t xml:space="preserve"> </w:t>
      </w:r>
      <w:r>
        <w:t>delay</w:t>
      </w:r>
      <w:r>
        <w:rPr>
          <w:spacing w:val="-10"/>
        </w:rPr>
        <w:t xml:space="preserve"> </w:t>
      </w:r>
      <w:r>
        <w:t>can</w:t>
      </w:r>
      <w:r>
        <w:rPr>
          <w:spacing w:val="-9"/>
        </w:rPr>
        <w:t xml:space="preserve"> </w:t>
      </w:r>
      <w:r>
        <w:t>erode</w:t>
      </w:r>
      <w:r>
        <w:rPr>
          <w:spacing w:val="-9"/>
        </w:rPr>
        <w:t xml:space="preserve"> </w:t>
      </w:r>
      <w:r>
        <w:t>service</w:t>
      </w:r>
      <w:r>
        <w:rPr>
          <w:spacing w:val="-9"/>
        </w:rPr>
        <w:t xml:space="preserve"> </w:t>
      </w:r>
      <w:r>
        <w:t>time.</w:t>
      </w:r>
      <w:r>
        <w:rPr>
          <w:spacing w:val="-10"/>
        </w:rPr>
        <w:t xml:space="preserve"> </w:t>
      </w:r>
      <w:r>
        <w:t>According</w:t>
      </w:r>
      <w:r>
        <w:rPr>
          <w:spacing w:val="-9"/>
        </w:rPr>
        <w:t xml:space="preserve"> </w:t>
      </w:r>
      <w:r>
        <w:t>to</w:t>
      </w:r>
      <w:r>
        <w:rPr>
          <w:spacing w:val="-9"/>
        </w:rPr>
        <w:t xml:space="preserve"> </w:t>
      </w:r>
      <w:r>
        <w:t>the</w:t>
      </w:r>
      <w:r>
        <w:rPr>
          <w:spacing w:val="-9"/>
        </w:rPr>
        <w:t xml:space="preserve"> </w:t>
      </w:r>
      <w:r>
        <w:t>VMI</w:t>
      </w:r>
      <w:r>
        <w:rPr>
          <w:spacing w:val="-10"/>
        </w:rPr>
        <w:t xml:space="preserve"> </w:t>
      </w:r>
      <w:r>
        <w:t>literature,</w:t>
      </w:r>
      <w:r>
        <w:rPr>
          <w:spacing w:val="-10"/>
        </w:rPr>
        <w:t xml:space="preserve"> </w:t>
      </w:r>
      <w:r>
        <w:t>close collaboration</w:t>
      </w:r>
      <w:r>
        <w:rPr>
          <w:spacing w:val="-10"/>
        </w:rPr>
        <w:t xml:space="preserve"> </w:t>
      </w:r>
      <w:r>
        <w:t>with</w:t>
      </w:r>
      <w:r>
        <w:rPr>
          <w:spacing w:val="-10"/>
        </w:rPr>
        <w:t xml:space="preserve"> </w:t>
      </w:r>
      <w:r>
        <w:t>suppliers</w:t>
      </w:r>
      <w:r>
        <w:rPr>
          <w:spacing w:val="-10"/>
        </w:rPr>
        <w:t xml:space="preserve"> </w:t>
      </w:r>
      <w:r>
        <w:t>can</w:t>
      </w:r>
      <w:r>
        <w:rPr>
          <w:spacing w:val="-10"/>
        </w:rPr>
        <w:t xml:space="preserve"> </w:t>
      </w:r>
      <w:r>
        <w:t>provide</w:t>
      </w:r>
      <w:r>
        <w:rPr>
          <w:spacing w:val="-10"/>
        </w:rPr>
        <w:t xml:space="preserve"> </w:t>
      </w:r>
      <w:r>
        <w:t>an</w:t>
      </w:r>
      <w:r>
        <w:rPr>
          <w:spacing w:val="-10"/>
        </w:rPr>
        <w:t xml:space="preserve"> </w:t>
      </w:r>
      <w:r>
        <w:t>additional</w:t>
      </w:r>
      <w:r>
        <w:rPr>
          <w:spacing w:val="-10"/>
        </w:rPr>
        <w:t xml:space="preserve"> </w:t>
      </w:r>
      <w:r>
        <w:t>boost</w:t>
      </w:r>
      <w:r>
        <w:rPr>
          <w:spacing w:val="-10"/>
        </w:rPr>
        <w:t xml:space="preserve"> </w:t>
      </w:r>
      <w:r>
        <w:t>of</w:t>
      </w:r>
      <w:r>
        <w:rPr>
          <w:spacing w:val="-10"/>
        </w:rPr>
        <w:t xml:space="preserve"> </w:t>
      </w:r>
      <w:r>
        <w:t>align</w:t>
      </w:r>
      <w:r>
        <w:t>ment,</w:t>
      </w:r>
      <w:r>
        <w:rPr>
          <w:spacing w:val="-10"/>
        </w:rPr>
        <w:t xml:space="preserve"> </w:t>
      </w:r>
      <w:r>
        <w:t>provided</w:t>
      </w:r>
      <w:r>
        <w:rPr>
          <w:spacing w:val="-10"/>
        </w:rPr>
        <w:t xml:space="preserve"> </w:t>
      </w:r>
      <w:r>
        <w:t xml:space="preserve">the information basis is reliable and can be shared with suppliers (Salas-Navarro </w:t>
      </w:r>
      <w:r>
        <w:rPr>
          <w:rFonts w:ascii="Arial"/>
          <w:i/>
        </w:rPr>
        <w:t xml:space="preserve">et al., </w:t>
      </w:r>
      <w:r>
        <w:t>2026). S&amp;OP research also found that for uncertain conditions, the need to forecast both</w:t>
      </w:r>
      <w:r>
        <w:rPr>
          <w:spacing w:val="-15"/>
        </w:rPr>
        <w:t xml:space="preserve"> </w:t>
      </w:r>
      <w:r>
        <w:t>products</w:t>
      </w:r>
      <w:r>
        <w:rPr>
          <w:spacing w:val="-15"/>
        </w:rPr>
        <w:t xml:space="preserve"> </w:t>
      </w:r>
      <w:r>
        <w:t>and</w:t>
      </w:r>
      <w:r>
        <w:rPr>
          <w:spacing w:val="-15"/>
        </w:rPr>
        <w:t xml:space="preserve"> </w:t>
      </w:r>
      <w:r>
        <w:t>forecasts</w:t>
      </w:r>
      <w:r>
        <w:rPr>
          <w:spacing w:val="-15"/>
        </w:rPr>
        <w:t xml:space="preserve"> </w:t>
      </w:r>
      <w:r>
        <w:t>frequently</w:t>
      </w:r>
      <w:r>
        <w:rPr>
          <w:spacing w:val="-15"/>
        </w:rPr>
        <w:t xml:space="preserve"> </w:t>
      </w:r>
      <w:r>
        <w:t>requires</w:t>
      </w:r>
      <w:r>
        <w:rPr>
          <w:spacing w:val="-15"/>
        </w:rPr>
        <w:t xml:space="preserve"> </w:t>
      </w:r>
      <w:r>
        <w:t>a</w:t>
      </w:r>
      <w:r>
        <w:rPr>
          <w:spacing w:val="-15"/>
        </w:rPr>
        <w:t xml:space="preserve"> </w:t>
      </w:r>
      <w:r>
        <w:t>more</w:t>
      </w:r>
      <w:r>
        <w:rPr>
          <w:spacing w:val="-15"/>
        </w:rPr>
        <w:t xml:space="preserve"> </w:t>
      </w:r>
      <w:r>
        <w:t>frequent</w:t>
      </w:r>
      <w:r>
        <w:rPr>
          <w:spacing w:val="-15"/>
        </w:rPr>
        <w:t xml:space="preserve"> </w:t>
      </w:r>
      <w:r>
        <w:t>pla</w:t>
      </w:r>
      <w:r>
        <w:t>nning</w:t>
      </w:r>
      <w:r>
        <w:rPr>
          <w:spacing w:val="-15"/>
        </w:rPr>
        <w:t xml:space="preserve"> </w:t>
      </w:r>
      <w:r>
        <w:t>cycle</w:t>
      </w:r>
      <w:r>
        <w:rPr>
          <w:spacing w:val="-15"/>
        </w:rPr>
        <w:t xml:space="preserve"> </w:t>
      </w:r>
      <w:r>
        <w:t>as</w:t>
      </w:r>
      <w:r>
        <w:rPr>
          <w:spacing w:val="-15"/>
        </w:rPr>
        <w:t xml:space="preserve"> </w:t>
      </w:r>
      <w:r>
        <w:t>well as a shorter-horizon risk review closer to actual execution (</w:t>
      </w:r>
      <w:proofErr w:type="spellStart"/>
      <w:r>
        <w:t>Kalla</w:t>
      </w:r>
      <w:proofErr w:type="spellEnd"/>
      <w:r>
        <w:t xml:space="preserve">, </w:t>
      </w:r>
      <w:proofErr w:type="spellStart"/>
      <w:r>
        <w:t>Scavarda</w:t>
      </w:r>
      <w:proofErr w:type="spellEnd"/>
      <w:r>
        <w:t xml:space="preserve"> and </w:t>
      </w:r>
      <w:proofErr w:type="spellStart"/>
      <w:r>
        <w:t>Hellingrath</w:t>
      </w:r>
      <w:proofErr w:type="spellEnd"/>
      <w:r>
        <w:t>,</w:t>
      </w:r>
      <w:r>
        <w:rPr>
          <w:spacing w:val="34"/>
        </w:rPr>
        <w:t xml:space="preserve"> </w:t>
      </w:r>
      <w:r>
        <w:t>2025).</w:t>
      </w:r>
      <w:r>
        <w:rPr>
          <w:spacing w:val="37"/>
        </w:rPr>
        <w:t xml:space="preserve"> </w:t>
      </w:r>
      <w:r>
        <w:t>That</w:t>
      </w:r>
      <w:r>
        <w:rPr>
          <w:spacing w:val="37"/>
        </w:rPr>
        <w:t xml:space="preserve"> </w:t>
      </w:r>
      <w:r>
        <w:t>translates</w:t>
      </w:r>
      <w:r>
        <w:rPr>
          <w:spacing w:val="36"/>
        </w:rPr>
        <w:t xml:space="preserve"> </w:t>
      </w:r>
      <w:r>
        <w:t>for</w:t>
      </w:r>
      <w:r>
        <w:rPr>
          <w:spacing w:val="37"/>
        </w:rPr>
        <w:t xml:space="preserve"> </w:t>
      </w:r>
      <w:proofErr w:type="spellStart"/>
      <w:r>
        <w:t>Brocksweir</w:t>
      </w:r>
      <w:proofErr w:type="spellEnd"/>
      <w:r>
        <w:rPr>
          <w:spacing w:val="37"/>
        </w:rPr>
        <w:t xml:space="preserve"> </w:t>
      </w:r>
      <w:r>
        <w:t>into</w:t>
      </w:r>
      <w:r>
        <w:rPr>
          <w:spacing w:val="36"/>
        </w:rPr>
        <w:t xml:space="preserve"> </w:t>
      </w:r>
      <w:r>
        <w:t>a</w:t>
      </w:r>
      <w:r>
        <w:rPr>
          <w:spacing w:val="37"/>
        </w:rPr>
        <w:t xml:space="preserve"> </w:t>
      </w:r>
      <w:r>
        <w:t>cross-functional</w:t>
      </w:r>
      <w:r>
        <w:rPr>
          <w:spacing w:val="37"/>
        </w:rPr>
        <w:t xml:space="preserve"> </w:t>
      </w:r>
      <w:r>
        <w:t>review</w:t>
      </w:r>
      <w:r>
        <w:rPr>
          <w:spacing w:val="37"/>
        </w:rPr>
        <w:t xml:space="preserve"> </w:t>
      </w:r>
      <w:r>
        <w:rPr>
          <w:spacing w:val="-5"/>
        </w:rPr>
        <w:t>of</w:t>
      </w:r>
    </w:p>
    <w:p w14:paraId="7511B2D1" w14:textId="77777777" w:rsidR="00122CE8" w:rsidRDefault="00122CE8">
      <w:pPr>
        <w:pStyle w:val="BodyText"/>
        <w:spacing w:line="360" w:lineRule="auto"/>
        <w:sectPr w:rsidR="00122CE8">
          <w:pgSz w:w="11910" w:h="16840"/>
          <w:pgMar w:top="1420" w:right="1275" w:bottom="1500" w:left="1417" w:header="0" w:footer="1308" w:gutter="0"/>
          <w:cols w:space="720"/>
        </w:sectPr>
      </w:pPr>
    </w:p>
    <w:p w14:paraId="4305E4C0" w14:textId="77777777" w:rsidR="00122CE8" w:rsidRDefault="00AC01CC">
      <w:pPr>
        <w:pStyle w:val="BodyText"/>
        <w:spacing w:before="82" w:line="360" w:lineRule="auto"/>
      </w:pPr>
      <w:r>
        <w:lastRenderedPageBreak/>
        <w:t>stock, lead time and ageing exposure every month, with exception escalation when deliveries are late or if there are material changes to the production schedules.</w:t>
      </w:r>
    </w:p>
    <w:p w14:paraId="54257815" w14:textId="77777777" w:rsidR="00122CE8" w:rsidRDefault="00AC01CC">
      <w:pPr>
        <w:pStyle w:val="BodyText"/>
        <w:spacing w:before="237" w:line="360" w:lineRule="auto"/>
      </w:pPr>
      <w:r>
        <w:t xml:space="preserve">The ultimate one is ownership. Transparency and mapping are low if no one takes action based </w:t>
      </w:r>
      <w:r>
        <w:t xml:space="preserve">on the signals (Schafer, 2023; </w:t>
      </w:r>
      <w:proofErr w:type="spellStart"/>
      <w:r>
        <w:t>Kreuter</w:t>
      </w:r>
      <w:proofErr w:type="spellEnd"/>
      <w:r>
        <w:t xml:space="preserve"> </w:t>
      </w:r>
      <w:r>
        <w:rPr>
          <w:rFonts w:ascii="Arial" w:hAnsi="Arial"/>
          <w:i/>
        </w:rPr>
        <w:t xml:space="preserve">et al., </w:t>
      </w:r>
      <w:r>
        <w:t>2022). Ownership of supplier metrics should be in purchasing. Store data capture accuracy should be in the</w:t>
      </w:r>
      <w:r>
        <w:rPr>
          <w:spacing w:val="-12"/>
        </w:rPr>
        <w:t xml:space="preserve"> </w:t>
      </w:r>
      <w:r>
        <w:t>stores.</w:t>
      </w:r>
      <w:r>
        <w:rPr>
          <w:spacing w:val="-12"/>
        </w:rPr>
        <w:t xml:space="preserve"> </w:t>
      </w:r>
      <w:r>
        <w:t>Discipline</w:t>
      </w:r>
      <w:r>
        <w:rPr>
          <w:spacing w:val="-12"/>
        </w:rPr>
        <w:t xml:space="preserve"> </w:t>
      </w:r>
      <w:r>
        <w:t>in</w:t>
      </w:r>
      <w:r>
        <w:rPr>
          <w:spacing w:val="-12"/>
        </w:rPr>
        <w:t xml:space="preserve"> </w:t>
      </w:r>
      <w:r>
        <w:t>consumption</w:t>
      </w:r>
      <w:r>
        <w:rPr>
          <w:spacing w:val="-12"/>
        </w:rPr>
        <w:t xml:space="preserve"> </w:t>
      </w:r>
      <w:r>
        <w:t>should</w:t>
      </w:r>
      <w:r>
        <w:rPr>
          <w:spacing w:val="-12"/>
        </w:rPr>
        <w:t xml:space="preserve"> </w:t>
      </w:r>
      <w:r>
        <w:t>be</w:t>
      </w:r>
      <w:r>
        <w:rPr>
          <w:spacing w:val="-12"/>
        </w:rPr>
        <w:t xml:space="preserve"> </w:t>
      </w:r>
      <w:r>
        <w:t>in</w:t>
      </w:r>
      <w:r>
        <w:rPr>
          <w:spacing w:val="-12"/>
        </w:rPr>
        <w:t xml:space="preserve"> </w:t>
      </w:r>
      <w:r>
        <w:t>foundry</w:t>
      </w:r>
      <w:r>
        <w:rPr>
          <w:spacing w:val="-12"/>
        </w:rPr>
        <w:t xml:space="preserve"> </w:t>
      </w:r>
      <w:r>
        <w:t>operations,</w:t>
      </w:r>
      <w:r>
        <w:rPr>
          <w:spacing w:val="-12"/>
        </w:rPr>
        <w:t xml:space="preserve"> </w:t>
      </w:r>
      <w:r>
        <w:t>and</w:t>
      </w:r>
      <w:r>
        <w:rPr>
          <w:spacing w:val="-12"/>
        </w:rPr>
        <w:t xml:space="preserve"> </w:t>
      </w:r>
      <w:r>
        <w:t>challenging the slow-moving age</w:t>
      </w:r>
      <w:r>
        <w:t>ing stock costs should be in finance. Here, people-process-IT dominates</w:t>
      </w:r>
      <w:r>
        <w:rPr>
          <w:spacing w:val="-10"/>
        </w:rPr>
        <w:t xml:space="preserve"> </w:t>
      </w:r>
      <w:r>
        <w:t>over</w:t>
      </w:r>
      <w:r>
        <w:rPr>
          <w:spacing w:val="-10"/>
        </w:rPr>
        <w:t xml:space="preserve"> </w:t>
      </w:r>
      <w:r>
        <w:t>software</w:t>
      </w:r>
      <w:r>
        <w:rPr>
          <w:spacing w:val="-10"/>
        </w:rPr>
        <w:t xml:space="preserve"> </w:t>
      </w:r>
      <w:r>
        <w:t>alone</w:t>
      </w:r>
      <w:r>
        <w:rPr>
          <w:spacing w:val="-10"/>
        </w:rPr>
        <w:t xml:space="preserve"> </w:t>
      </w:r>
      <w:r>
        <w:t>–</w:t>
      </w:r>
      <w:r>
        <w:rPr>
          <w:spacing w:val="-10"/>
        </w:rPr>
        <w:t xml:space="preserve"> </w:t>
      </w:r>
      <w:r>
        <w:t>a</w:t>
      </w:r>
      <w:r>
        <w:rPr>
          <w:spacing w:val="-10"/>
        </w:rPr>
        <w:t xml:space="preserve"> </w:t>
      </w:r>
      <w:r>
        <w:t>matrix</w:t>
      </w:r>
      <w:r>
        <w:rPr>
          <w:spacing w:val="-10"/>
        </w:rPr>
        <w:t xml:space="preserve"> </w:t>
      </w:r>
      <w:r>
        <w:t>is</w:t>
      </w:r>
      <w:r>
        <w:rPr>
          <w:spacing w:val="-10"/>
        </w:rPr>
        <w:t xml:space="preserve"> </w:t>
      </w:r>
      <w:r>
        <w:t>turned</w:t>
      </w:r>
      <w:r>
        <w:rPr>
          <w:spacing w:val="-10"/>
        </w:rPr>
        <w:t xml:space="preserve"> </w:t>
      </w:r>
      <w:r>
        <w:t>into</w:t>
      </w:r>
      <w:r>
        <w:rPr>
          <w:spacing w:val="-10"/>
        </w:rPr>
        <w:t xml:space="preserve"> </w:t>
      </w:r>
      <w:r>
        <w:t>a</w:t>
      </w:r>
      <w:r>
        <w:rPr>
          <w:spacing w:val="-10"/>
        </w:rPr>
        <w:t xml:space="preserve"> </w:t>
      </w:r>
      <w:r>
        <w:t>dashboard</w:t>
      </w:r>
      <w:r>
        <w:rPr>
          <w:spacing w:val="-10"/>
        </w:rPr>
        <w:t xml:space="preserve"> </w:t>
      </w:r>
      <w:r>
        <w:t>of</w:t>
      </w:r>
      <w:r>
        <w:rPr>
          <w:spacing w:val="-10"/>
        </w:rPr>
        <w:t xml:space="preserve"> </w:t>
      </w:r>
      <w:r>
        <w:t>ownership</w:t>
      </w:r>
      <w:r>
        <w:rPr>
          <w:spacing w:val="-10"/>
        </w:rPr>
        <w:t xml:space="preserve"> </w:t>
      </w:r>
      <w:r>
        <w:t>and cadence, as seen in Table 3.</w:t>
      </w:r>
    </w:p>
    <w:p w14:paraId="3C7CB1C5" w14:textId="77777777" w:rsidR="00122CE8" w:rsidRDefault="00AC01CC">
      <w:pPr>
        <w:pStyle w:val="BodyText"/>
        <w:spacing w:before="242"/>
        <w:ind w:right="0"/>
      </w:pPr>
      <w:r>
        <w:t>Table</w:t>
      </w:r>
      <w:r>
        <w:rPr>
          <w:spacing w:val="-3"/>
        </w:rPr>
        <w:t xml:space="preserve"> </w:t>
      </w:r>
      <w:r>
        <w:t>3:</w:t>
      </w:r>
      <w:r>
        <w:rPr>
          <w:spacing w:val="-3"/>
        </w:rPr>
        <w:t xml:space="preserve"> </w:t>
      </w:r>
      <w:r>
        <w:t>Lead-time</w:t>
      </w:r>
      <w:r>
        <w:rPr>
          <w:spacing w:val="-2"/>
        </w:rPr>
        <w:t xml:space="preserve"> </w:t>
      </w:r>
      <w:r>
        <w:t>dashboard</w:t>
      </w:r>
      <w:r>
        <w:rPr>
          <w:spacing w:val="-2"/>
        </w:rPr>
        <w:t xml:space="preserve"> </w:t>
      </w:r>
      <w:r>
        <w:t>for</w:t>
      </w:r>
      <w:r>
        <w:rPr>
          <w:spacing w:val="-2"/>
        </w:rPr>
        <w:t xml:space="preserve"> </w:t>
      </w:r>
      <w:proofErr w:type="spellStart"/>
      <w:r>
        <w:rPr>
          <w:spacing w:val="-2"/>
        </w:rPr>
        <w:t>Brocksweir</w:t>
      </w:r>
      <w:proofErr w:type="spellEnd"/>
    </w:p>
    <w:p w14:paraId="16BC9AE0" w14:textId="77777777" w:rsidR="00122CE8" w:rsidRDefault="00122CE8">
      <w:pPr>
        <w:pStyle w:val="BodyText"/>
        <w:sectPr w:rsidR="00122CE8">
          <w:pgSz w:w="11910" w:h="16840"/>
          <w:pgMar w:top="1340" w:right="1275" w:bottom="1500" w:left="1417" w:header="0" w:footer="1308" w:gutter="0"/>
          <w:cols w:space="720"/>
        </w:sectPr>
      </w:pPr>
    </w:p>
    <w:p w14:paraId="5C8E41B7" w14:textId="77777777" w:rsidR="00122CE8" w:rsidRDefault="00AC01CC">
      <w:pPr>
        <w:pStyle w:val="BodyText"/>
        <w:ind w:left="156" w:right="0"/>
        <w:jc w:val="left"/>
        <w:rPr>
          <w:sz w:val="20"/>
        </w:rPr>
      </w:pPr>
      <w:r>
        <w:rPr>
          <w:noProof/>
          <w:sz w:val="20"/>
        </w:rPr>
        <w:lastRenderedPageBreak/>
        <w:drawing>
          <wp:inline distT="0" distB="0" distL="0" distR="0" wp14:anchorId="7CCAF82A" wp14:editId="119F5D8B">
            <wp:extent cx="5671105" cy="7585709"/>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5671105" cy="7585709"/>
                    </a:xfrm>
                    <a:prstGeom prst="rect">
                      <a:avLst/>
                    </a:prstGeom>
                  </pic:spPr>
                </pic:pic>
              </a:graphicData>
            </a:graphic>
          </wp:inline>
        </w:drawing>
      </w:r>
    </w:p>
    <w:p w14:paraId="587BE81D" w14:textId="77777777" w:rsidR="00122CE8" w:rsidRDefault="00122CE8">
      <w:pPr>
        <w:pStyle w:val="BodyText"/>
        <w:jc w:val="left"/>
        <w:rPr>
          <w:sz w:val="20"/>
        </w:rPr>
        <w:sectPr w:rsidR="00122CE8">
          <w:pgSz w:w="11910" w:h="16840"/>
          <w:pgMar w:top="1480" w:right="1275" w:bottom="1500" w:left="1417" w:header="0" w:footer="1308" w:gutter="0"/>
          <w:cols w:space="720"/>
        </w:sectPr>
      </w:pPr>
    </w:p>
    <w:p w14:paraId="24848A30" w14:textId="77777777" w:rsidR="00122CE8" w:rsidRDefault="00AC01CC">
      <w:pPr>
        <w:pStyle w:val="Heading2"/>
        <w:numPr>
          <w:ilvl w:val="1"/>
          <w:numId w:val="4"/>
        </w:numPr>
        <w:tabs>
          <w:tab w:val="left" w:pos="487"/>
        </w:tabs>
        <w:spacing w:before="63"/>
        <w:ind w:left="487" w:hanging="464"/>
        <w:jc w:val="both"/>
      </w:pPr>
      <w:bookmarkStart w:id="13" w:name="_bookmark13"/>
      <w:bookmarkEnd w:id="13"/>
      <w:r>
        <w:lastRenderedPageBreak/>
        <w:t>Recommended</w:t>
      </w:r>
      <w:r>
        <w:rPr>
          <w:spacing w:val="-17"/>
        </w:rPr>
        <w:t xml:space="preserve"> </w:t>
      </w:r>
      <w:r>
        <w:t>governance</w:t>
      </w:r>
      <w:r>
        <w:rPr>
          <w:spacing w:val="-16"/>
        </w:rPr>
        <w:t xml:space="preserve"> </w:t>
      </w:r>
      <w:r>
        <w:rPr>
          <w:spacing w:val="-2"/>
        </w:rPr>
        <w:t>model</w:t>
      </w:r>
    </w:p>
    <w:p w14:paraId="0BB60B43" w14:textId="77777777" w:rsidR="00122CE8" w:rsidRDefault="00122CE8">
      <w:pPr>
        <w:pStyle w:val="BodyText"/>
        <w:spacing w:before="79"/>
        <w:ind w:left="0" w:right="0"/>
        <w:jc w:val="left"/>
        <w:rPr>
          <w:rFonts w:ascii="Arial"/>
          <w:b/>
          <w:sz w:val="28"/>
        </w:rPr>
      </w:pPr>
    </w:p>
    <w:p w14:paraId="61DAC92D" w14:textId="77777777" w:rsidR="00122CE8" w:rsidRDefault="00AC01CC">
      <w:pPr>
        <w:pStyle w:val="ListParagraph"/>
        <w:numPr>
          <w:ilvl w:val="0"/>
          <w:numId w:val="1"/>
        </w:numPr>
        <w:tabs>
          <w:tab w:val="left" w:pos="291"/>
        </w:tabs>
        <w:spacing w:before="1" w:line="360" w:lineRule="auto"/>
        <w:ind w:right="160" w:firstLine="0"/>
        <w:jc w:val="both"/>
        <w:rPr>
          <w:sz w:val="24"/>
        </w:rPr>
      </w:pPr>
      <w:r>
        <w:rPr>
          <w:sz w:val="24"/>
        </w:rPr>
        <w:t>First, create a baseline lead-time map of all of the critical material flows, as well as supplier lead, stores lead, production lead, and reverse-flow lead. That is, measure lead time, rather than guess (</w:t>
      </w:r>
      <w:proofErr w:type="spellStart"/>
      <w:r>
        <w:rPr>
          <w:sz w:val="24"/>
        </w:rPr>
        <w:t>Teri</w:t>
      </w:r>
      <w:r>
        <w:rPr>
          <w:sz w:val="24"/>
        </w:rPr>
        <w:t>ete</w:t>
      </w:r>
      <w:proofErr w:type="spellEnd"/>
      <w:r>
        <w:rPr>
          <w:sz w:val="24"/>
        </w:rPr>
        <w:t xml:space="preserve"> </w:t>
      </w:r>
      <w:r>
        <w:rPr>
          <w:rFonts w:ascii="Arial"/>
          <w:i/>
          <w:sz w:val="24"/>
        </w:rPr>
        <w:t xml:space="preserve">et al., </w:t>
      </w:r>
      <w:r>
        <w:rPr>
          <w:sz w:val="24"/>
        </w:rPr>
        <w:t>2026 and Schafer, 2023).</w:t>
      </w:r>
    </w:p>
    <w:p w14:paraId="2164BA43" w14:textId="77777777" w:rsidR="00122CE8" w:rsidRDefault="00AC01CC">
      <w:pPr>
        <w:pStyle w:val="ListParagraph"/>
        <w:numPr>
          <w:ilvl w:val="0"/>
          <w:numId w:val="1"/>
        </w:numPr>
        <w:tabs>
          <w:tab w:val="left" w:pos="295"/>
        </w:tabs>
        <w:spacing w:before="236" w:line="360" w:lineRule="auto"/>
        <w:ind w:right="160" w:firstLine="0"/>
        <w:jc w:val="both"/>
        <w:rPr>
          <w:sz w:val="24"/>
        </w:rPr>
      </w:pPr>
      <w:r>
        <w:rPr>
          <w:sz w:val="24"/>
        </w:rPr>
        <w:t>Specify Responsibility for Data Capturing, Supplier Communication and Exception Escalation as responsibility without visibility will not lead to change of decisions (</w:t>
      </w:r>
      <w:proofErr w:type="spellStart"/>
      <w:r>
        <w:rPr>
          <w:sz w:val="24"/>
        </w:rPr>
        <w:t>Schuitemaker</w:t>
      </w:r>
      <w:proofErr w:type="spellEnd"/>
      <w:r>
        <w:rPr>
          <w:sz w:val="24"/>
        </w:rPr>
        <w:t xml:space="preserve"> and Xu, 2020; </w:t>
      </w:r>
      <w:proofErr w:type="spellStart"/>
      <w:r>
        <w:rPr>
          <w:sz w:val="24"/>
        </w:rPr>
        <w:t>Kreuter</w:t>
      </w:r>
      <w:proofErr w:type="spellEnd"/>
      <w:r>
        <w:rPr>
          <w:sz w:val="24"/>
        </w:rPr>
        <w:t xml:space="preserve"> </w:t>
      </w:r>
      <w:r>
        <w:rPr>
          <w:rFonts w:ascii="Arial"/>
          <w:i/>
          <w:sz w:val="24"/>
        </w:rPr>
        <w:t xml:space="preserve">et al., </w:t>
      </w:r>
      <w:r>
        <w:rPr>
          <w:sz w:val="24"/>
        </w:rPr>
        <w:t>2022).</w:t>
      </w:r>
    </w:p>
    <w:p w14:paraId="304A59EF" w14:textId="77777777" w:rsidR="00122CE8" w:rsidRDefault="00AC01CC">
      <w:pPr>
        <w:pStyle w:val="ListParagraph"/>
        <w:numPr>
          <w:ilvl w:val="0"/>
          <w:numId w:val="1"/>
        </w:numPr>
        <w:tabs>
          <w:tab w:val="left" w:pos="292"/>
        </w:tabs>
        <w:spacing w:before="241" w:line="360" w:lineRule="auto"/>
        <w:ind w:right="160" w:firstLine="0"/>
        <w:jc w:val="both"/>
        <w:rPr>
          <w:sz w:val="24"/>
        </w:rPr>
      </w:pPr>
      <w:r>
        <w:rPr>
          <w:sz w:val="24"/>
        </w:rPr>
        <w:t>Mon</w:t>
      </w:r>
      <w:r>
        <w:rPr>
          <w:sz w:val="24"/>
        </w:rPr>
        <w:t>itor lead-time, ageing/expiry risk KPIs monthly in a purchasing-stores-foundry- finance forum, with interim escalation when a risk tolerance level exceeds defined limits (</w:t>
      </w:r>
      <w:proofErr w:type="spellStart"/>
      <w:r>
        <w:rPr>
          <w:sz w:val="24"/>
        </w:rPr>
        <w:t>Kalla</w:t>
      </w:r>
      <w:proofErr w:type="spellEnd"/>
      <w:r>
        <w:rPr>
          <w:sz w:val="24"/>
        </w:rPr>
        <w:t xml:space="preserve">, </w:t>
      </w:r>
      <w:proofErr w:type="spellStart"/>
      <w:r>
        <w:rPr>
          <w:sz w:val="24"/>
        </w:rPr>
        <w:t>Scavarda</w:t>
      </w:r>
      <w:proofErr w:type="spellEnd"/>
      <w:r>
        <w:rPr>
          <w:sz w:val="24"/>
        </w:rPr>
        <w:t xml:space="preserve"> and </w:t>
      </w:r>
      <w:proofErr w:type="spellStart"/>
      <w:r>
        <w:rPr>
          <w:sz w:val="24"/>
        </w:rPr>
        <w:t>Hellingrath</w:t>
      </w:r>
      <w:proofErr w:type="spellEnd"/>
      <w:r>
        <w:rPr>
          <w:sz w:val="24"/>
        </w:rPr>
        <w:t xml:space="preserve">, 2025; </w:t>
      </w:r>
      <w:proofErr w:type="spellStart"/>
      <w:r>
        <w:rPr>
          <w:sz w:val="24"/>
        </w:rPr>
        <w:t>Kreuter</w:t>
      </w:r>
      <w:proofErr w:type="spellEnd"/>
      <w:r>
        <w:rPr>
          <w:sz w:val="24"/>
        </w:rPr>
        <w:t xml:space="preserve"> </w:t>
      </w:r>
      <w:r>
        <w:rPr>
          <w:rFonts w:ascii="Arial"/>
          <w:i/>
          <w:sz w:val="24"/>
        </w:rPr>
        <w:t xml:space="preserve">et al., </w:t>
      </w:r>
      <w:r>
        <w:rPr>
          <w:sz w:val="24"/>
        </w:rPr>
        <w:t>2022).</w:t>
      </w:r>
    </w:p>
    <w:p w14:paraId="2F68E524" w14:textId="77777777" w:rsidR="00122CE8" w:rsidRDefault="00AC01CC">
      <w:pPr>
        <w:pStyle w:val="ListParagraph"/>
        <w:numPr>
          <w:ilvl w:val="0"/>
          <w:numId w:val="1"/>
        </w:numPr>
        <w:tabs>
          <w:tab w:val="left" w:pos="311"/>
        </w:tabs>
        <w:spacing w:before="242" w:line="360" w:lineRule="auto"/>
        <w:ind w:right="160" w:firstLine="0"/>
        <w:jc w:val="both"/>
        <w:rPr>
          <w:sz w:val="24"/>
        </w:rPr>
      </w:pPr>
      <w:r>
        <w:rPr>
          <w:sz w:val="24"/>
        </w:rPr>
        <w:t xml:space="preserve">Based on measured changes in </w:t>
      </w:r>
      <w:proofErr w:type="spellStart"/>
      <w:r>
        <w:rPr>
          <w:sz w:val="24"/>
        </w:rPr>
        <w:t>leadtime</w:t>
      </w:r>
      <w:proofErr w:type="spellEnd"/>
      <w:r>
        <w:rPr>
          <w:sz w:val="24"/>
        </w:rPr>
        <w:t>, update reorder points, adjust levels of safety</w:t>
      </w:r>
      <w:r>
        <w:rPr>
          <w:spacing w:val="-17"/>
          <w:sz w:val="24"/>
        </w:rPr>
        <w:t xml:space="preserve"> </w:t>
      </w:r>
      <w:r>
        <w:rPr>
          <w:sz w:val="24"/>
        </w:rPr>
        <w:t>stock,</w:t>
      </w:r>
      <w:r>
        <w:rPr>
          <w:spacing w:val="-17"/>
          <w:sz w:val="24"/>
        </w:rPr>
        <w:t xml:space="preserve"> </w:t>
      </w:r>
      <w:r>
        <w:rPr>
          <w:sz w:val="24"/>
        </w:rPr>
        <w:t>change</w:t>
      </w:r>
      <w:r>
        <w:rPr>
          <w:spacing w:val="-16"/>
          <w:sz w:val="24"/>
        </w:rPr>
        <w:t xml:space="preserve"> </w:t>
      </w:r>
      <w:r>
        <w:rPr>
          <w:sz w:val="24"/>
        </w:rPr>
        <w:t>supplier</w:t>
      </w:r>
      <w:r>
        <w:rPr>
          <w:spacing w:val="-17"/>
          <w:sz w:val="24"/>
        </w:rPr>
        <w:t xml:space="preserve"> </w:t>
      </w:r>
      <w:r>
        <w:rPr>
          <w:sz w:val="24"/>
        </w:rPr>
        <w:t>conditions,</w:t>
      </w:r>
      <w:r>
        <w:rPr>
          <w:spacing w:val="-17"/>
          <w:sz w:val="24"/>
        </w:rPr>
        <w:t xml:space="preserve"> </w:t>
      </w:r>
      <w:r>
        <w:rPr>
          <w:sz w:val="24"/>
        </w:rPr>
        <w:t>and,</w:t>
      </w:r>
      <w:r>
        <w:rPr>
          <w:spacing w:val="-17"/>
          <w:sz w:val="24"/>
        </w:rPr>
        <w:t xml:space="preserve"> </w:t>
      </w:r>
      <w:r>
        <w:rPr>
          <w:sz w:val="24"/>
        </w:rPr>
        <w:t>when</w:t>
      </w:r>
      <w:r>
        <w:rPr>
          <w:spacing w:val="-16"/>
          <w:sz w:val="24"/>
        </w:rPr>
        <w:t xml:space="preserve"> </w:t>
      </w:r>
      <w:r>
        <w:rPr>
          <w:sz w:val="24"/>
        </w:rPr>
        <w:t>necessary</w:t>
      </w:r>
      <w:r>
        <w:rPr>
          <w:spacing w:val="-17"/>
          <w:sz w:val="24"/>
        </w:rPr>
        <w:t xml:space="preserve"> </w:t>
      </w:r>
      <w:r>
        <w:rPr>
          <w:sz w:val="24"/>
        </w:rPr>
        <w:t>due</w:t>
      </w:r>
      <w:r>
        <w:rPr>
          <w:spacing w:val="-17"/>
          <w:sz w:val="24"/>
        </w:rPr>
        <w:t xml:space="preserve"> </w:t>
      </w:r>
      <w:r>
        <w:rPr>
          <w:sz w:val="24"/>
        </w:rPr>
        <w:t>to</w:t>
      </w:r>
      <w:r>
        <w:rPr>
          <w:spacing w:val="-16"/>
          <w:sz w:val="24"/>
        </w:rPr>
        <w:t xml:space="preserve"> </w:t>
      </w:r>
      <w:r>
        <w:rPr>
          <w:sz w:val="24"/>
        </w:rPr>
        <w:t>the</w:t>
      </w:r>
      <w:r>
        <w:rPr>
          <w:spacing w:val="-17"/>
          <w:sz w:val="24"/>
        </w:rPr>
        <w:t xml:space="preserve"> </w:t>
      </w:r>
      <w:r>
        <w:rPr>
          <w:sz w:val="24"/>
        </w:rPr>
        <w:t>consumption of</w:t>
      </w:r>
      <w:r>
        <w:rPr>
          <w:spacing w:val="-4"/>
          <w:sz w:val="24"/>
        </w:rPr>
        <w:t xml:space="preserve"> </w:t>
      </w:r>
      <w:r>
        <w:rPr>
          <w:sz w:val="24"/>
        </w:rPr>
        <w:t>the</w:t>
      </w:r>
      <w:r>
        <w:rPr>
          <w:spacing w:val="-4"/>
          <w:sz w:val="24"/>
        </w:rPr>
        <w:t xml:space="preserve"> </w:t>
      </w:r>
      <w:r>
        <w:rPr>
          <w:sz w:val="24"/>
        </w:rPr>
        <w:t>resin</w:t>
      </w:r>
      <w:r>
        <w:rPr>
          <w:spacing w:val="-4"/>
          <w:sz w:val="24"/>
        </w:rPr>
        <w:t xml:space="preserve"> </w:t>
      </w:r>
      <w:r>
        <w:rPr>
          <w:sz w:val="24"/>
        </w:rPr>
        <w:t>life,</w:t>
      </w:r>
      <w:r>
        <w:rPr>
          <w:spacing w:val="-4"/>
          <w:sz w:val="24"/>
        </w:rPr>
        <w:t xml:space="preserve"> </w:t>
      </w:r>
      <w:r>
        <w:rPr>
          <w:sz w:val="24"/>
        </w:rPr>
        <w:t>redesignation</w:t>
      </w:r>
      <w:r>
        <w:rPr>
          <w:spacing w:val="-4"/>
          <w:sz w:val="24"/>
        </w:rPr>
        <w:t xml:space="preserve"> </w:t>
      </w:r>
      <w:r>
        <w:rPr>
          <w:sz w:val="24"/>
        </w:rPr>
        <w:t>of</w:t>
      </w:r>
      <w:r>
        <w:rPr>
          <w:spacing w:val="-4"/>
          <w:sz w:val="24"/>
        </w:rPr>
        <w:t xml:space="preserve"> </w:t>
      </w:r>
      <w:r>
        <w:rPr>
          <w:sz w:val="24"/>
        </w:rPr>
        <w:t>smaller</w:t>
      </w:r>
      <w:r>
        <w:rPr>
          <w:spacing w:val="-4"/>
          <w:sz w:val="24"/>
        </w:rPr>
        <w:t xml:space="preserve"> </w:t>
      </w:r>
      <w:r>
        <w:rPr>
          <w:sz w:val="24"/>
        </w:rPr>
        <w:t>orders</w:t>
      </w:r>
      <w:r>
        <w:rPr>
          <w:spacing w:val="-4"/>
          <w:sz w:val="24"/>
        </w:rPr>
        <w:t xml:space="preserve"> </w:t>
      </w:r>
      <w:r>
        <w:rPr>
          <w:sz w:val="24"/>
        </w:rPr>
        <w:t>and/or</w:t>
      </w:r>
      <w:r>
        <w:rPr>
          <w:spacing w:val="-4"/>
          <w:sz w:val="24"/>
        </w:rPr>
        <w:t xml:space="preserve"> </w:t>
      </w:r>
      <w:r>
        <w:rPr>
          <w:sz w:val="24"/>
        </w:rPr>
        <w:t>a</w:t>
      </w:r>
      <w:r>
        <w:rPr>
          <w:spacing w:val="-4"/>
          <w:sz w:val="24"/>
        </w:rPr>
        <w:t xml:space="preserve"> </w:t>
      </w:r>
      <w:r>
        <w:rPr>
          <w:sz w:val="24"/>
        </w:rPr>
        <w:t>new</w:t>
      </w:r>
      <w:r>
        <w:rPr>
          <w:spacing w:val="-4"/>
          <w:sz w:val="24"/>
        </w:rPr>
        <w:t xml:space="preserve"> </w:t>
      </w:r>
      <w:r>
        <w:rPr>
          <w:sz w:val="24"/>
        </w:rPr>
        <w:t>supplier</w:t>
      </w:r>
      <w:r>
        <w:rPr>
          <w:spacing w:val="-4"/>
          <w:sz w:val="24"/>
        </w:rPr>
        <w:t xml:space="preserve"> </w:t>
      </w:r>
      <w:r>
        <w:rPr>
          <w:sz w:val="24"/>
        </w:rPr>
        <w:t xml:space="preserve">(Salas-Navarro </w:t>
      </w:r>
      <w:r>
        <w:rPr>
          <w:rFonts w:ascii="Arial"/>
          <w:i/>
          <w:sz w:val="24"/>
        </w:rPr>
        <w:t>et a</w:t>
      </w:r>
      <w:r>
        <w:rPr>
          <w:rFonts w:ascii="Arial"/>
          <w:i/>
          <w:sz w:val="24"/>
        </w:rPr>
        <w:t xml:space="preserve">l., </w:t>
      </w:r>
      <w:r>
        <w:rPr>
          <w:sz w:val="24"/>
        </w:rPr>
        <w:t xml:space="preserve">2026; </w:t>
      </w:r>
      <w:proofErr w:type="spellStart"/>
      <w:r>
        <w:rPr>
          <w:sz w:val="24"/>
        </w:rPr>
        <w:t>Schuitemaker</w:t>
      </w:r>
      <w:proofErr w:type="spellEnd"/>
      <w:r>
        <w:rPr>
          <w:sz w:val="24"/>
        </w:rPr>
        <w:t xml:space="preserve"> and Xu, 2020).</w:t>
      </w:r>
    </w:p>
    <w:p w14:paraId="662B5C36" w14:textId="77777777" w:rsidR="00122CE8" w:rsidRDefault="00122CE8">
      <w:pPr>
        <w:pStyle w:val="ListParagraph"/>
        <w:spacing w:line="360" w:lineRule="auto"/>
        <w:jc w:val="both"/>
        <w:rPr>
          <w:sz w:val="24"/>
        </w:rPr>
        <w:sectPr w:rsidR="00122CE8">
          <w:pgSz w:w="11910" w:h="16840"/>
          <w:pgMar w:top="1360" w:right="1275" w:bottom="1500" w:left="1417" w:header="0" w:footer="1308" w:gutter="0"/>
          <w:cols w:space="720"/>
        </w:sectPr>
      </w:pPr>
    </w:p>
    <w:p w14:paraId="287D5E0F" w14:textId="77777777" w:rsidR="00122CE8" w:rsidRDefault="00AC01CC">
      <w:pPr>
        <w:pStyle w:val="Heading1"/>
        <w:numPr>
          <w:ilvl w:val="0"/>
          <w:numId w:val="4"/>
        </w:numPr>
        <w:tabs>
          <w:tab w:val="left" w:pos="378"/>
        </w:tabs>
        <w:ind w:hanging="355"/>
      </w:pPr>
      <w:bookmarkStart w:id="14" w:name="_bookmark14"/>
      <w:bookmarkEnd w:id="14"/>
      <w:r>
        <w:lastRenderedPageBreak/>
        <w:t>Integrated</w:t>
      </w:r>
      <w:r>
        <w:rPr>
          <w:spacing w:val="-16"/>
        </w:rPr>
        <w:t xml:space="preserve"> </w:t>
      </w:r>
      <w:r>
        <w:t>Recommendations</w:t>
      </w:r>
      <w:r>
        <w:rPr>
          <w:spacing w:val="-14"/>
        </w:rPr>
        <w:t xml:space="preserve"> </w:t>
      </w:r>
      <w:r>
        <w:t>and</w:t>
      </w:r>
      <w:r>
        <w:rPr>
          <w:spacing w:val="-13"/>
        </w:rPr>
        <w:t xml:space="preserve"> </w:t>
      </w:r>
      <w:r>
        <w:rPr>
          <w:spacing w:val="-2"/>
        </w:rPr>
        <w:t>Conclusion</w:t>
      </w:r>
    </w:p>
    <w:p w14:paraId="6C8E2224" w14:textId="77777777" w:rsidR="00122CE8" w:rsidRDefault="00122CE8">
      <w:pPr>
        <w:pStyle w:val="BodyText"/>
        <w:spacing w:before="54"/>
        <w:ind w:left="0" w:right="0"/>
        <w:jc w:val="left"/>
        <w:rPr>
          <w:rFonts w:ascii="Arial"/>
          <w:b/>
          <w:sz w:val="32"/>
        </w:rPr>
      </w:pPr>
    </w:p>
    <w:p w14:paraId="23C09DDD" w14:textId="77777777" w:rsidR="00122CE8" w:rsidRDefault="00AC01CC">
      <w:pPr>
        <w:pStyle w:val="BodyText"/>
        <w:spacing w:line="360" w:lineRule="auto"/>
      </w:pPr>
      <w:r>
        <w:t>The</w:t>
      </w:r>
      <w:r>
        <w:rPr>
          <w:spacing w:val="-8"/>
        </w:rPr>
        <w:t xml:space="preserve"> </w:t>
      </w:r>
      <w:r>
        <w:t>questions</w:t>
      </w:r>
      <w:r>
        <w:rPr>
          <w:spacing w:val="-8"/>
        </w:rPr>
        <w:t xml:space="preserve"> </w:t>
      </w:r>
      <w:r>
        <w:t>are</w:t>
      </w:r>
      <w:r>
        <w:rPr>
          <w:spacing w:val="-8"/>
        </w:rPr>
        <w:t xml:space="preserve"> </w:t>
      </w:r>
      <w:r>
        <w:t>singular,</w:t>
      </w:r>
      <w:r>
        <w:rPr>
          <w:spacing w:val="-8"/>
        </w:rPr>
        <w:t xml:space="preserve"> </w:t>
      </w:r>
      <w:r>
        <w:t>weak</w:t>
      </w:r>
      <w:r>
        <w:rPr>
          <w:spacing w:val="-8"/>
        </w:rPr>
        <w:t xml:space="preserve"> </w:t>
      </w:r>
      <w:r>
        <w:t>inventory</w:t>
      </w:r>
      <w:r>
        <w:rPr>
          <w:spacing w:val="-8"/>
        </w:rPr>
        <w:t xml:space="preserve"> </w:t>
      </w:r>
      <w:r>
        <w:t>classification</w:t>
      </w:r>
      <w:r>
        <w:rPr>
          <w:spacing w:val="-8"/>
        </w:rPr>
        <w:t xml:space="preserve"> </w:t>
      </w:r>
      <w:r>
        <w:t>encouraged</w:t>
      </w:r>
      <w:r>
        <w:rPr>
          <w:spacing w:val="-8"/>
        </w:rPr>
        <w:t xml:space="preserve"> </w:t>
      </w:r>
      <w:r>
        <w:t>the</w:t>
      </w:r>
      <w:r>
        <w:rPr>
          <w:spacing w:val="-8"/>
        </w:rPr>
        <w:t xml:space="preserve"> </w:t>
      </w:r>
      <w:r>
        <w:t>bulk</w:t>
      </w:r>
      <w:r>
        <w:rPr>
          <w:spacing w:val="-8"/>
        </w:rPr>
        <w:t xml:space="preserve"> </w:t>
      </w:r>
      <w:r>
        <w:t xml:space="preserve">buying, resin ageing and late intervention of </w:t>
      </w:r>
      <w:proofErr w:type="spellStart"/>
      <w:r>
        <w:t>Brocksweir's</w:t>
      </w:r>
      <w:proofErr w:type="spellEnd"/>
      <w:r>
        <w:t xml:space="preserve"> problem. The control architecture, therefore, must be re-designed for a sustainable response, </w:t>
      </w:r>
      <w:proofErr w:type="spellStart"/>
      <w:r>
        <w:t>optimising</w:t>
      </w:r>
      <w:proofErr w:type="spellEnd"/>
      <w:r>
        <w:t xml:space="preserve"> just one single rule is not enough (</w:t>
      </w:r>
      <w:proofErr w:type="spellStart"/>
      <w:r>
        <w:t>Asghari</w:t>
      </w:r>
      <w:proofErr w:type="spellEnd"/>
      <w:r>
        <w:t xml:space="preserve"> </w:t>
      </w:r>
      <w:r>
        <w:rPr>
          <w:rFonts w:ascii="Arial"/>
          <w:i/>
        </w:rPr>
        <w:t xml:space="preserve">et al., </w:t>
      </w:r>
      <w:r>
        <w:t>2026; Department for Environment, Food &amp;</w:t>
      </w:r>
      <w:r>
        <w:t xml:space="preserve"> Rural Affairs, 2011; </w:t>
      </w:r>
      <w:proofErr w:type="spellStart"/>
      <w:r>
        <w:t>Kalla</w:t>
      </w:r>
      <w:proofErr w:type="spellEnd"/>
      <w:r>
        <w:t xml:space="preserve">, </w:t>
      </w:r>
      <w:proofErr w:type="spellStart"/>
      <w:r>
        <w:t>Scavarda</w:t>
      </w:r>
      <w:proofErr w:type="spellEnd"/>
      <w:r>
        <w:t xml:space="preserve"> and </w:t>
      </w:r>
      <w:proofErr w:type="spellStart"/>
      <w:r>
        <w:t>Hellingrath</w:t>
      </w:r>
      <w:proofErr w:type="spellEnd"/>
      <w:r>
        <w:t>, 2025).</w:t>
      </w:r>
    </w:p>
    <w:p w14:paraId="2F74F895" w14:textId="77777777" w:rsidR="00122CE8" w:rsidRDefault="00AC01CC">
      <w:pPr>
        <w:pStyle w:val="BodyText"/>
        <w:spacing w:before="239" w:line="360" w:lineRule="auto"/>
      </w:pPr>
      <w:r>
        <w:t xml:space="preserve">The containment redesign governance sequence. Immediate term next steps for </w:t>
      </w:r>
      <w:proofErr w:type="spellStart"/>
      <w:r>
        <w:t>Brocksweir</w:t>
      </w:r>
      <w:proofErr w:type="spellEnd"/>
      <w:r>
        <w:rPr>
          <w:spacing w:val="-8"/>
        </w:rPr>
        <w:t xml:space="preserve"> </w:t>
      </w:r>
      <w:r>
        <w:t>involve</w:t>
      </w:r>
      <w:r>
        <w:rPr>
          <w:spacing w:val="-8"/>
        </w:rPr>
        <w:t xml:space="preserve"> </w:t>
      </w:r>
      <w:r>
        <w:t>stock</w:t>
      </w:r>
      <w:r>
        <w:rPr>
          <w:spacing w:val="-8"/>
        </w:rPr>
        <w:t xml:space="preserve"> </w:t>
      </w:r>
      <w:r>
        <w:t>audit,</w:t>
      </w:r>
      <w:r>
        <w:rPr>
          <w:spacing w:val="-8"/>
        </w:rPr>
        <w:t xml:space="preserve"> </w:t>
      </w:r>
      <w:r>
        <w:t>stock</w:t>
      </w:r>
      <w:r>
        <w:rPr>
          <w:spacing w:val="-8"/>
        </w:rPr>
        <w:t xml:space="preserve"> </w:t>
      </w:r>
      <w:r>
        <w:t>segregation</w:t>
      </w:r>
      <w:r>
        <w:rPr>
          <w:spacing w:val="-8"/>
        </w:rPr>
        <w:t xml:space="preserve"> </w:t>
      </w:r>
      <w:r>
        <w:t>of</w:t>
      </w:r>
      <w:r>
        <w:rPr>
          <w:spacing w:val="-8"/>
        </w:rPr>
        <w:t xml:space="preserve"> </w:t>
      </w:r>
      <w:r>
        <w:t>obsolete</w:t>
      </w:r>
      <w:r>
        <w:rPr>
          <w:spacing w:val="-8"/>
        </w:rPr>
        <w:t xml:space="preserve"> </w:t>
      </w:r>
      <w:r>
        <w:t>resin,</w:t>
      </w:r>
      <w:r>
        <w:rPr>
          <w:spacing w:val="-8"/>
        </w:rPr>
        <w:t xml:space="preserve"> </w:t>
      </w:r>
      <w:r>
        <w:t>implementation</w:t>
      </w:r>
      <w:r>
        <w:rPr>
          <w:spacing w:val="-8"/>
        </w:rPr>
        <w:t xml:space="preserve"> </w:t>
      </w:r>
      <w:r>
        <w:t xml:space="preserve">of FEFO for live resin and set-up </w:t>
      </w:r>
      <w:r>
        <w:t>of supplier dialogue about the possible routes for returns/resin treatment (Environment Agency, 2020; Environment Agency, 2024). In the medium term, it should selectively divide sand and resin into different control classes and use the dynamic min-max rule</w:t>
      </w:r>
      <w:r>
        <w:t xml:space="preserve">, reorder rule instead of </w:t>
      </w:r>
      <w:proofErr w:type="gramStart"/>
      <w:r>
        <w:t>Sand and Resin blind</w:t>
      </w:r>
      <w:proofErr w:type="gramEnd"/>
      <w:r>
        <w:t xml:space="preserve"> purchases, and install batch-level data capture, which is related to receipts, ageing, issue, and expiry risk (</w:t>
      </w:r>
      <w:proofErr w:type="spellStart"/>
      <w:r>
        <w:t>Soylu</w:t>
      </w:r>
      <w:proofErr w:type="spellEnd"/>
      <w:r>
        <w:t xml:space="preserve"> and Akyol, 2014; </w:t>
      </w:r>
      <w:proofErr w:type="spellStart"/>
      <w:r>
        <w:t>Schuitemaker</w:t>
      </w:r>
      <w:proofErr w:type="spellEnd"/>
      <w:r>
        <w:t xml:space="preserve"> and Xu, 2020). In the longer-term, the company should </w:t>
      </w:r>
      <w:proofErr w:type="spellStart"/>
      <w:r>
        <w:t>formalis</w:t>
      </w:r>
      <w:r>
        <w:t>e</w:t>
      </w:r>
      <w:proofErr w:type="spellEnd"/>
      <w:r>
        <w:t xml:space="preserve"> a monthly cross-functional stock, lead</w:t>
      </w:r>
      <w:r>
        <w:rPr>
          <w:spacing w:val="-17"/>
        </w:rPr>
        <w:t xml:space="preserve"> </w:t>
      </w:r>
      <w:r>
        <w:t>time</w:t>
      </w:r>
      <w:r>
        <w:rPr>
          <w:spacing w:val="-17"/>
        </w:rPr>
        <w:t xml:space="preserve"> </w:t>
      </w:r>
      <w:r>
        <w:t>and</w:t>
      </w:r>
      <w:r>
        <w:rPr>
          <w:spacing w:val="-16"/>
        </w:rPr>
        <w:t xml:space="preserve"> </w:t>
      </w:r>
      <w:r>
        <w:t>ageing</w:t>
      </w:r>
      <w:r>
        <w:rPr>
          <w:spacing w:val="-17"/>
        </w:rPr>
        <w:t xml:space="preserve"> </w:t>
      </w:r>
      <w:r>
        <w:t>exposure</w:t>
      </w:r>
      <w:r>
        <w:rPr>
          <w:spacing w:val="-17"/>
        </w:rPr>
        <w:t xml:space="preserve"> </w:t>
      </w:r>
      <w:r>
        <w:t>review</w:t>
      </w:r>
      <w:r>
        <w:rPr>
          <w:spacing w:val="-17"/>
        </w:rPr>
        <w:t xml:space="preserve"> </w:t>
      </w:r>
      <w:r>
        <w:t>with</w:t>
      </w:r>
      <w:r>
        <w:rPr>
          <w:spacing w:val="-16"/>
        </w:rPr>
        <w:t xml:space="preserve"> </w:t>
      </w:r>
      <w:r>
        <w:t>greater</w:t>
      </w:r>
      <w:r>
        <w:rPr>
          <w:spacing w:val="-17"/>
        </w:rPr>
        <w:t xml:space="preserve"> </w:t>
      </w:r>
      <w:r>
        <w:t>supplier</w:t>
      </w:r>
      <w:r>
        <w:rPr>
          <w:spacing w:val="-17"/>
        </w:rPr>
        <w:t xml:space="preserve"> </w:t>
      </w:r>
      <w:r>
        <w:t>expectations</w:t>
      </w:r>
      <w:r>
        <w:rPr>
          <w:spacing w:val="-16"/>
        </w:rPr>
        <w:t xml:space="preserve"> </w:t>
      </w:r>
      <w:r>
        <w:t>and</w:t>
      </w:r>
      <w:r>
        <w:rPr>
          <w:spacing w:val="-17"/>
        </w:rPr>
        <w:t xml:space="preserve"> </w:t>
      </w:r>
      <w:r>
        <w:t>exposure escalation</w:t>
      </w:r>
      <w:r>
        <w:rPr>
          <w:spacing w:val="-8"/>
        </w:rPr>
        <w:t xml:space="preserve"> </w:t>
      </w:r>
      <w:r>
        <w:t>when</w:t>
      </w:r>
      <w:r>
        <w:rPr>
          <w:spacing w:val="-8"/>
        </w:rPr>
        <w:t xml:space="preserve"> </w:t>
      </w:r>
      <w:r>
        <w:t>there</w:t>
      </w:r>
      <w:r>
        <w:rPr>
          <w:spacing w:val="-8"/>
        </w:rPr>
        <w:t xml:space="preserve"> </w:t>
      </w:r>
      <w:r>
        <w:t>is</w:t>
      </w:r>
      <w:r>
        <w:rPr>
          <w:spacing w:val="-8"/>
        </w:rPr>
        <w:t xml:space="preserve"> </w:t>
      </w:r>
      <w:r>
        <w:t>a</w:t>
      </w:r>
      <w:r>
        <w:rPr>
          <w:spacing w:val="-8"/>
        </w:rPr>
        <w:t xml:space="preserve"> </w:t>
      </w:r>
      <w:r>
        <w:t>short</w:t>
      </w:r>
      <w:r>
        <w:rPr>
          <w:spacing w:val="-8"/>
        </w:rPr>
        <w:t xml:space="preserve"> </w:t>
      </w:r>
      <w:r>
        <w:t>shelf</w:t>
      </w:r>
      <w:r>
        <w:rPr>
          <w:spacing w:val="-8"/>
        </w:rPr>
        <w:t xml:space="preserve"> </w:t>
      </w:r>
      <w:r>
        <w:t>life</w:t>
      </w:r>
      <w:r>
        <w:rPr>
          <w:spacing w:val="-8"/>
        </w:rPr>
        <w:t xml:space="preserve"> </w:t>
      </w:r>
      <w:r>
        <w:t>or</w:t>
      </w:r>
      <w:r>
        <w:rPr>
          <w:spacing w:val="-8"/>
        </w:rPr>
        <w:t xml:space="preserve"> </w:t>
      </w:r>
      <w:r>
        <w:t>delay</w:t>
      </w:r>
      <w:r>
        <w:rPr>
          <w:spacing w:val="-8"/>
        </w:rPr>
        <w:t xml:space="preserve"> </w:t>
      </w:r>
      <w:r>
        <w:t>(Salas-Navarro</w:t>
      </w:r>
      <w:r>
        <w:rPr>
          <w:spacing w:val="-8"/>
        </w:rPr>
        <w:t xml:space="preserve"> </w:t>
      </w:r>
      <w:r>
        <w:rPr>
          <w:rFonts w:ascii="Arial"/>
          <w:i/>
        </w:rPr>
        <w:t>et</w:t>
      </w:r>
      <w:r>
        <w:rPr>
          <w:rFonts w:ascii="Arial"/>
          <w:i/>
          <w:spacing w:val="-8"/>
        </w:rPr>
        <w:t xml:space="preserve"> </w:t>
      </w:r>
      <w:r>
        <w:rPr>
          <w:rFonts w:ascii="Arial"/>
          <w:i/>
        </w:rPr>
        <w:t>al.,</w:t>
      </w:r>
      <w:r>
        <w:rPr>
          <w:rFonts w:ascii="Arial"/>
          <w:i/>
          <w:spacing w:val="-8"/>
        </w:rPr>
        <w:t xml:space="preserve"> </w:t>
      </w:r>
      <w:r>
        <w:t>2026;</w:t>
      </w:r>
      <w:r>
        <w:rPr>
          <w:spacing w:val="-8"/>
        </w:rPr>
        <w:t xml:space="preserve"> </w:t>
      </w:r>
      <w:proofErr w:type="spellStart"/>
      <w:r>
        <w:t>Kreuter</w:t>
      </w:r>
      <w:proofErr w:type="spellEnd"/>
      <w:r>
        <w:t xml:space="preserve"> </w:t>
      </w:r>
      <w:r>
        <w:rPr>
          <w:rFonts w:ascii="Arial"/>
          <w:i/>
        </w:rPr>
        <w:t xml:space="preserve">et al., </w:t>
      </w:r>
      <w:r>
        <w:t>2022).</w:t>
      </w:r>
    </w:p>
    <w:p w14:paraId="3571490A" w14:textId="77777777" w:rsidR="00122CE8" w:rsidRDefault="00AC01CC">
      <w:pPr>
        <w:pStyle w:val="BodyText"/>
        <w:spacing w:before="240" w:line="360" w:lineRule="auto"/>
      </w:pPr>
      <w:r>
        <w:t>The</w:t>
      </w:r>
      <w:r>
        <w:rPr>
          <w:spacing w:val="-12"/>
        </w:rPr>
        <w:t xml:space="preserve"> </w:t>
      </w:r>
      <w:r>
        <w:t>best</w:t>
      </w:r>
      <w:r>
        <w:rPr>
          <w:spacing w:val="-12"/>
        </w:rPr>
        <w:t xml:space="preserve"> </w:t>
      </w:r>
      <w:r>
        <w:t>response</w:t>
      </w:r>
      <w:r>
        <w:rPr>
          <w:spacing w:val="-12"/>
        </w:rPr>
        <w:t xml:space="preserve"> </w:t>
      </w:r>
      <w:r>
        <w:t>to</w:t>
      </w:r>
      <w:r>
        <w:rPr>
          <w:spacing w:val="-12"/>
        </w:rPr>
        <w:t xml:space="preserve"> </w:t>
      </w:r>
      <w:r>
        <w:t>this</w:t>
      </w:r>
      <w:r>
        <w:rPr>
          <w:spacing w:val="-12"/>
        </w:rPr>
        <w:t xml:space="preserve"> </w:t>
      </w:r>
      <w:r>
        <w:t>is</w:t>
      </w:r>
      <w:r>
        <w:rPr>
          <w:spacing w:val="-12"/>
        </w:rPr>
        <w:t xml:space="preserve"> </w:t>
      </w:r>
      <w:r>
        <w:t>therefore</w:t>
      </w:r>
      <w:r>
        <w:rPr>
          <w:spacing w:val="-12"/>
        </w:rPr>
        <w:t xml:space="preserve"> </w:t>
      </w:r>
      <w:r>
        <w:t>a</w:t>
      </w:r>
      <w:r>
        <w:rPr>
          <w:spacing w:val="-12"/>
        </w:rPr>
        <w:t xml:space="preserve"> </w:t>
      </w:r>
      <w:r>
        <w:t>blended</w:t>
      </w:r>
      <w:r>
        <w:rPr>
          <w:spacing w:val="-12"/>
        </w:rPr>
        <w:t xml:space="preserve"> </w:t>
      </w:r>
      <w:r>
        <w:t>operating</w:t>
      </w:r>
      <w:r>
        <w:rPr>
          <w:spacing w:val="-12"/>
        </w:rPr>
        <w:t xml:space="preserve"> </w:t>
      </w:r>
      <w:r>
        <w:t>model</w:t>
      </w:r>
      <w:r>
        <w:rPr>
          <w:spacing w:val="-12"/>
        </w:rPr>
        <w:t xml:space="preserve"> </w:t>
      </w:r>
      <w:r>
        <w:t>that</w:t>
      </w:r>
      <w:r>
        <w:rPr>
          <w:spacing w:val="-12"/>
        </w:rPr>
        <w:t xml:space="preserve"> </w:t>
      </w:r>
      <w:r>
        <w:t>combines</w:t>
      </w:r>
      <w:r>
        <w:rPr>
          <w:spacing w:val="-12"/>
        </w:rPr>
        <w:t xml:space="preserve"> </w:t>
      </w:r>
      <w:r>
        <w:t xml:space="preserve">stable sand under economic control, hazardous resin under conservative control, obsolete material through a lawful decision hierarchy, and that focuses the lead-time information on triggers for a change of </w:t>
      </w:r>
      <w:proofErr w:type="spellStart"/>
      <w:r>
        <w:t>behaviour</w:t>
      </w:r>
      <w:proofErr w:type="spellEnd"/>
      <w:r>
        <w:t xml:space="preserve"> before waste occurs at </w:t>
      </w:r>
      <w:proofErr w:type="spellStart"/>
      <w:r>
        <w:t>Brocksweir</w:t>
      </w:r>
      <w:proofErr w:type="spellEnd"/>
      <w:r>
        <w:t>. That's commercially viable, more sustainable and the best way to prevent them from happening again.</w:t>
      </w:r>
    </w:p>
    <w:p w14:paraId="560BE776" w14:textId="77777777" w:rsidR="00122CE8" w:rsidRDefault="00122CE8">
      <w:pPr>
        <w:pStyle w:val="BodyText"/>
        <w:spacing w:line="360" w:lineRule="auto"/>
        <w:sectPr w:rsidR="00122CE8">
          <w:pgSz w:w="11910" w:h="16840"/>
          <w:pgMar w:top="1360" w:right="1275" w:bottom="1500" w:left="1417" w:header="0" w:footer="1308" w:gutter="0"/>
          <w:cols w:space="720"/>
        </w:sectPr>
      </w:pPr>
    </w:p>
    <w:p w14:paraId="21BB8A1D" w14:textId="77777777" w:rsidR="00122CE8" w:rsidRDefault="00AC01CC">
      <w:pPr>
        <w:pStyle w:val="Heading1"/>
      </w:pPr>
      <w:bookmarkStart w:id="15" w:name="_bookmark15"/>
      <w:bookmarkEnd w:id="15"/>
      <w:r>
        <w:rPr>
          <w:spacing w:val="-2"/>
        </w:rPr>
        <w:lastRenderedPageBreak/>
        <w:t>References</w:t>
      </w:r>
    </w:p>
    <w:p w14:paraId="32AE31C2" w14:textId="77777777" w:rsidR="00122CE8" w:rsidRDefault="00122CE8">
      <w:pPr>
        <w:pStyle w:val="BodyText"/>
        <w:spacing w:before="54"/>
        <w:ind w:left="0" w:right="0"/>
        <w:jc w:val="left"/>
        <w:rPr>
          <w:rFonts w:ascii="Arial"/>
          <w:b/>
          <w:sz w:val="32"/>
        </w:rPr>
      </w:pPr>
    </w:p>
    <w:p w14:paraId="5FB7B44B" w14:textId="77777777" w:rsidR="00122CE8" w:rsidRDefault="00AC01CC">
      <w:pPr>
        <w:pStyle w:val="BodyText"/>
        <w:spacing w:line="360" w:lineRule="auto"/>
      </w:pPr>
      <w:proofErr w:type="spellStart"/>
      <w:r>
        <w:t>Asghari</w:t>
      </w:r>
      <w:proofErr w:type="spellEnd"/>
      <w:r>
        <w:t xml:space="preserve">, M., Jaber, M.Y., </w:t>
      </w:r>
      <w:proofErr w:type="spellStart"/>
      <w:r>
        <w:t>Afshari</w:t>
      </w:r>
      <w:proofErr w:type="spellEnd"/>
      <w:r>
        <w:t>, H. and Searcy, C. (2026) 'Deteriorating invent</w:t>
      </w:r>
      <w:r>
        <w:t xml:space="preserve">ory models: a comprehensive review', </w:t>
      </w:r>
      <w:r>
        <w:rPr>
          <w:rFonts w:ascii="Arial"/>
          <w:i/>
        </w:rPr>
        <w:t>Computers &amp; Industrial Engineering</w:t>
      </w:r>
      <w:r>
        <w:t xml:space="preserve">. </w:t>
      </w:r>
      <w:proofErr w:type="gramStart"/>
      <w:r>
        <w:rPr>
          <w:spacing w:val="-2"/>
        </w:rPr>
        <w:t>doi:10.1016/j.cie</w:t>
      </w:r>
      <w:proofErr w:type="gramEnd"/>
      <w:r>
        <w:rPr>
          <w:spacing w:val="-2"/>
        </w:rPr>
        <w:t>.2026.111993.</w:t>
      </w:r>
    </w:p>
    <w:p w14:paraId="258C92C4" w14:textId="77777777" w:rsidR="00122CE8" w:rsidRDefault="00AC01CC">
      <w:pPr>
        <w:pStyle w:val="BodyText"/>
        <w:spacing w:before="241" w:line="360" w:lineRule="auto"/>
      </w:pPr>
      <w:proofErr w:type="spellStart"/>
      <w:r>
        <w:t>Boxma</w:t>
      </w:r>
      <w:proofErr w:type="spellEnd"/>
      <w:r>
        <w:t>,</w:t>
      </w:r>
      <w:r>
        <w:rPr>
          <w:spacing w:val="-11"/>
        </w:rPr>
        <w:t xml:space="preserve"> </w:t>
      </w:r>
      <w:r>
        <w:t>O.,</w:t>
      </w:r>
      <w:r>
        <w:rPr>
          <w:spacing w:val="-11"/>
        </w:rPr>
        <w:t xml:space="preserve"> </w:t>
      </w:r>
      <w:r>
        <w:t>Perry,</w:t>
      </w:r>
      <w:r>
        <w:rPr>
          <w:spacing w:val="-11"/>
        </w:rPr>
        <w:t xml:space="preserve"> </w:t>
      </w:r>
      <w:r>
        <w:t>D.</w:t>
      </w:r>
      <w:r>
        <w:rPr>
          <w:spacing w:val="-11"/>
        </w:rPr>
        <w:t xml:space="preserve"> </w:t>
      </w:r>
      <w:r>
        <w:t>and</w:t>
      </w:r>
      <w:r>
        <w:rPr>
          <w:spacing w:val="-11"/>
        </w:rPr>
        <w:t xml:space="preserve"> </w:t>
      </w:r>
      <w:proofErr w:type="spellStart"/>
      <w:r>
        <w:t>Stadje</w:t>
      </w:r>
      <w:proofErr w:type="spellEnd"/>
      <w:r>
        <w:t>,</w:t>
      </w:r>
      <w:r>
        <w:rPr>
          <w:spacing w:val="-11"/>
        </w:rPr>
        <w:t xml:space="preserve"> </w:t>
      </w:r>
      <w:r>
        <w:t>W.</w:t>
      </w:r>
      <w:r>
        <w:rPr>
          <w:spacing w:val="-11"/>
        </w:rPr>
        <w:t xml:space="preserve"> </w:t>
      </w:r>
      <w:r>
        <w:t>(2024)</w:t>
      </w:r>
      <w:r>
        <w:rPr>
          <w:spacing w:val="-11"/>
        </w:rPr>
        <w:t xml:space="preserve"> </w:t>
      </w:r>
      <w:r>
        <w:t>'Perishable</w:t>
      </w:r>
      <w:r>
        <w:rPr>
          <w:spacing w:val="-11"/>
        </w:rPr>
        <w:t xml:space="preserve"> </w:t>
      </w:r>
      <w:r>
        <w:t>inventories</w:t>
      </w:r>
      <w:r>
        <w:rPr>
          <w:spacing w:val="-11"/>
        </w:rPr>
        <w:t xml:space="preserve"> </w:t>
      </w:r>
      <w:r>
        <w:t>with</w:t>
      </w:r>
      <w:r>
        <w:rPr>
          <w:spacing w:val="-11"/>
        </w:rPr>
        <w:t xml:space="preserve"> </w:t>
      </w:r>
      <w:r>
        <w:t>random</w:t>
      </w:r>
      <w:r>
        <w:rPr>
          <w:spacing w:val="-11"/>
        </w:rPr>
        <w:t xml:space="preserve"> </w:t>
      </w:r>
      <w:r>
        <w:t xml:space="preserve">input: a unifying survey with extensions', </w:t>
      </w:r>
      <w:r>
        <w:rPr>
          <w:rFonts w:ascii="Arial"/>
          <w:i/>
        </w:rPr>
        <w:t>Annals of Operations Research</w:t>
      </w:r>
      <w:r>
        <w:t>.</w:t>
      </w:r>
      <w:r>
        <w:t xml:space="preserve"> </w:t>
      </w:r>
      <w:r>
        <w:rPr>
          <w:spacing w:val="-2"/>
        </w:rPr>
        <w:t>doi:10.1007/s10479-023-05317-2.</w:t>
      </w:r>
    </w:p>
    <w:p w14:paraId="1CE723CD" w14:textId="77777777" w:rsidR="00122CE8" w:rsidRDefault="00AC01CC">
      <w:pPr>
        <w:pStyle w:val="BodyText"/>
        <w:spacing w:before="237" w:line="360" w:lineRule="auto"/>
        <w:ind w:right="162"/>
        <w:jc w:val="left"/>
      </w:pPr>
      <w:r>
        <w:t xml:space="preserve">Brandon-Jones, A., Slack, N. and Burgess, N. (2024) </w:t>
      </w:r>
      <w:r>
        <w:rPr>
          <w:rFonts w:ascii="Arial"/>
          <w:i/>
        </w:rPr>
        <w:t>Operations Management</w:t>
      </w:r>
      <w:r>
        <w:t xml:space="preserve">. 10th </w:t>
      </w:r>
      <w:proofErr w:type="spellStart"/>
      <w:r>
        <w:t>edn</w:t>
      </w:r>
      <w:proofErr w:type="spellEnd"/>
      <w:r>
        <w:t>. Pearson. Available at: https://</w:t>
      </w:r>
      <w:hyperlink r:id="rId12">
        <w:r>
          <w:t>www.pearson.com/en-gb/subject-catalog/p/Slack-</w:t>
        </w:r>
      </w:hyperlink>
      <w:r>
        <w:t xml:space="preserve"> </w:t>
      </w:r>
      <w:r>
        <w:rPr>
          <w:spacing w:val="-2"/>
        </w:rPr>
        <w:t xml:space="preserve">Slack-Operations-Management-10th-edition-10th- </w:t>
      </w:r>
      <w:r>
        <w:t>Edition/P200000005430/9781292473635 (Accessed: 4 May 2026).</w:t>
      </w:r>
    </w:p>
    <w:p w14:paraId="6A552498" w14:textId="77777777" w:rsidR="00122CE8" w:rsidRDefault="00AC01CC">
      <w:pPr>
        <w:pStyle w:val="BodyText"/>
        <w:spacing w:before="240" w:line="360" w:lineRule="auto"/>
      </w:pPr>
      <w:proofErr w:type="spellStart"/>
      <w:r>
        <w:t>Cioli</w:t>
      </w:r>
      <w:proofErr w:type="spellEnd"/>
      <w:r>
        <w:t>,</w:t>
      </w:r>
      <w:r>
        <w:rPr>
          <w:spacing w:val="-17"/>
        </w:rPr>
        <w:t xml:space="preserve"> </w:t>
      </w:r>
      <w:r>
        <w:t>F.,</w:t>
      </w:r>
      <w:r>
        <w:rPr>
          <w:spacing w:val="-17"/>
        </w:rPr>
        <w:t xml:space="preserve"> </w:t>
      </w:r>
      <w:r>
        <w:t>Abba,</w:t>
      </w:r>
      <w:r>
        <w:rPr>
          <w:spacing w:val="-16"/>
        </w:rPr>
        <w:t xml:space="preserve"> </w:t>
      </w:r>
      <w:r>
        <w:t>A.,</w:t>
      </w:r>
      <w:r>
        <w:rPr>
          <w:spacing w:val="-17"/>
        </w:rPr>
        <w:t xml:space="preserve"> </w:t>
      </w:r>
      <w:r>
        <w:t>Alias,</w:t>
      </w:r>
      <w:r>
        <w:rPr>
          <w:spacing w:val="-17"/>
        </w:rPr>
        <w:t xml:space="preserve"> </w:t>
      </w:r>
      <w:r>
        <w:t>C.</w:t>
      </w:r>
      <w:r>
        <w:rPr>
          <w:spacing w:val="-17"/>
        </w:rPr>
        <w:t xml:space="preserve"> </w:t>
      </w:r>
      <w:r>
        <w:t>and</w:t>
      </w:r>
      <w:r>
        <w:rPr>
          <w:spacing w:val="-16"/>
        </w:rPr>
        <w:t xml:space="preserve"> </w:t>
      </w:r>
      <w:r>
        <w:t>Sorlini,</w:t>
      </w:r>
      <w:r>
        <w:rPr>
          <w:spacing w:val="-17"/>
        </w:rPr>
        <w:t xml:space="preserve"> </w:t>
      </w:r>
      <w:r>
        <w:t>S.</w:t>
      </w:r>
      <w:r>
        <w:rPr>
          <w:spacing w:val="-17"/>
        </w:rPr>
        <w:t xml:space="preserve"> </w:t>
      </w:r>
      <w:r>
        <w:t>(2022)</w:t>
      </w:r>
      <w:r>
        <w:rPr>
          <w:spacing w:val="-16"/>
        </w:rPr>
        <w:t xml:space="preserve"> </w:t>
      </w:r>
      <w:r>
        <w:t>'Reuse</w:t>
      </w:r>
      <w:r>
        <w:rPr>
          <w:spacing w:val="-17"/>
        </w:rPr>
        <w:t xml:space="preserve"> </w:t>
      </w:r>
      <w:r>
        <w:t>or</w:t>
      </w:r>
      <w:r>
        <w:rPr>
          <w:spacing w:val="-17"/>
        </w:rPr>
        <w:t xml:space="preserve"> </w:t>
      </w:r>
      <w:r>
        <w:t>Disposal</w:t>
      </w:r>
      <w:r>
        <w:rPr>
          <w:spacing w:val="-16"/>
        </w:rPr>
        <w:t xml:space="preserve"> </w:t>
      </w:r>
      <w:r>
        <w:t>of</w:t>
      </w:r>
      <w:r>
        <w:rPr>
          <w:spacing w:val="-17"/>
        </w:rPr>
        <w:t xml:space="preserve"> </w:t>
      </w:r>
      <w:r>
        <w:t>Waste</w:t>
      </w:r>
      <w:r>
        <w:rPr>
          <w:spacing w:val="-17"/>
        </w:rPr>
        <w:t xml:space="preserve"> </w:t>
      </w:r>
      <w:r>
        <w:t xml:space="preserve">Foundry Sand: An Insight into Environmental Aspects', </w:t>
      </w:r>
      <w:r>
        <w:rPr>
          <w:rFonts w:ascii="Arial"/>
          <w:i/>
        </w:rPr>
        <w:t>Applied Sciences</w:t>
      </w:r>
      <w:r>
        <w:t xml:space="preserve">. </w:t>
      </w:r>
      <w:r>
        <w:rPr>
          <w:spacing w:val="-2"/>
        </w:rPr>
        <w:t>doi:10.3390/app12136420.</w:t>
      </w:r>
    </w:p>
    <w:p w14:paraId="5F69D31A" w14:textId="77777777" w:rsidR="00122CE8" w:rsidRDefault="00AC01CC">
      <w:pPr>
        <w:tabs>
          <w:tab w:val="left" w:pos="1342"/>
          <w:tab w:val="left" w:pos="3022"/>
          <w:tab w:val="left" w:pos="3915"/>
          <w:tab w:val="left" w:pos="5728"/>
          <w:tab w:val="left" w:pos="7115"/>
          <w:tab w:val="left" w:pos="8782"/>
        </w:tabs>
        <w:spacing w:before="241" w:line="360" w:lineRule="auto"/>
        <w:ind w:left="23" w:right="160"/>
        <w:rPr>
          <w:sz w:val="24"/>
        </w:rPr>
      </w:pPr>
      <w:r>
        <w:rPr>
          <w:sz w:val="24"/>
        </w:rPr>
        <w:t xml:space="preserve">Department for Environment, Food &amp; Rural Affairs (2011) </w:t>
      </w:r>
      <w:r>
        <w:rPr>
          <w:rFonts w:ascii="Arial"/>
          <w:i/>
          <w:sz w:val="24"/>
        </w:rPr>
        <w:t xml:space="preserve">Guidance on applying the </w:t>
      </w:r>
      <w:r>
        <w:rPr>
          <w:rFonts w:ascii="Arial"/>
          <w:i/>
          <w:spacing w:val="-2"/>
          <w:sz w:val="24"/>
        </w:rPr>
        <w:t>waste</w:t>
      </w:r>
      <w:r>
        <w:rPr>
          <w:rFonts w:ascii="Arial"/>
          <w:i/>
          <w:sz w:val="24"/>
        </w:rPr>
        <w:tab/>
      </w:r>
      <w:r>
        <w:rPr>
          <w:rFonts w:ascii="Arial"/>
          <w:i/>
          <w:spacing w:val="-2"/>
          <w:sz w:val="24"/>
        </w:rPr>
        <w:t>hierarchy</w:t>
      </w:r>
      <w:r>
        <w:rPr>
          <w:rFonts w:ascii="Arial"/>
          <w:i/>
          <w:sz w:val="24"/>
        </w:rPr>
        <w:tab/>
      </w:r>
      <w:r>
        <w:rPr>
          <w:rFonts w:ascii="Arial"/>
          <w:i/>
          <w:spacing w:val="-6"/>
          <w:sz w:val="24"/>
        </w:rPr>
        <w:t>to</w:t>
      </w:r>
      <w:r>
        <w:rPr>
          <w:rFonts w:ascii="Arial"/>
          <w:i/>
          <w:sz w:val="24"/>
        </w:rPr>
        <w:tab/>
      </w:r>
      <w:r>
        <w:rPr>
          <w:rFonts w:ascii="Arial"/>
          <w:i/>
          <w:spacing w:val="-2"/>
          <w:sz w:val="24"/>
        </w:rPr>
        <w:t>hazardous</w:t>
      </w:r>
      <w:r>
        <w:rPr>
          <w:rFonts w:ascii="Arial"/>
          <w:i/>
          <w:sz w:val="24"/>
        </w:rPr>
        <w:tab/>
      </w:r>
      <w:r>
        <w:rPr>
          <w:rFonts w:ascii="Arial"/>
          <w:i/>
          <w:spacing w:val="-2"/>
          <w:sz w:val="24"/>
        </w:rPr>
        <w:t>waste</w:t>
      </w:r>
      <w:r>
        <w:rPr>
          <w:spacing w:val="-2"/>
          <w:sz w:val="24"/>
        </w:rPr>
        <w:t>.</w:t>
      </w:r>
      <w:r>
        <w:rPr>
          <w:sz w:val="24"/>
        </w:rPr>
        <w:tab/>
      </w:r>
      <w:r>
        <w:rPr>
          <w:spacing w:val="-2"/>
          <w:sz w:val="24"/>
        </w:rPr>
        <w:t>Available</w:t>
      </w:r>
      <w:r>
        <w:rPr>
          <w:sz w:val="24"/>
        </w:rPr>
        <w:tab/>
      </w:r>
      <w:r>
        <w:rPr>
          <w:spacing w:val="-4"/>
          <w:sz w:val="24"/>
        </w:rPr>
        <w:t xml:space="preserve">at: </w:t>
      </w:r>
      <w:r>
        <w:rPr>
          <w:spacing w:val="-2"/>
          <w:sz w:val="24"/>
        </w:rPr>
        <w:t>https://</w:t>
      </w:r>
      <w:hyperlink r:id="rId13">
        <w:r>
          <w:rPr>
            <w:spacing w:val="-2"/>
            <w:sz w:val="24"/>
          </w:rPr>
          <w:t>www.gov.uk/government/pu</w:t>
        </w:r>
        <w:r>
          <w:rPr>
            <w:spacing w:val="-2"/>
            <w:sz w:val="24"/>
          </w:rPr>
          <w:t>blications/guidance-on-applying-the-waste-</w:t>
        </w:r>
      </w:hyperlink>
      <w:r>
        <w:rPr>
          <w:spacing w:val="-2"/>
          <w:sz w:val="24"/>
        </w:rPr>
        <w:t xml:space="preserve"> </w:t>
      </w:r>
      <w:r>
        <w:rPr>
          <w:sz w:val="24"/>
        </w:rPr>
        <w:t>hierarchy-to-hazardous-waste (Accessed: 4 May 2026).</w:t>
      </w:r>
    </w:p>
    <w:p w14:paraId="79D47E42" w14:textId="77777777" w:rsidR="00122CE8" w:rsidRDefault="00AC01CC">
      <w:pPr>
        <w:spacing w:before="240" w:line="360" w:lineRule="auto"/>
        <w:ind w:left="23" w:right="162"/>
        <w:rPr>
          <w:sz w:val="24"/>
        </w:rPr>
      </w:pPr>
      <w:r>
        <w:rPr>
          <w:sz w:val="24"/>
        </w:rPr>
        <w:t>Environment</w:t>
      </w:r>
      <w:r>
        <w:rPr>
          <w:spacing w:val="40"/>
          <w:sz w:val="24"/>
        </w:rPr>
        <w:t xml:space="preserve"> </w:t>
      </w:r>
      <w:r>
        <w:rPr>
          <w:sz w:val="24"/>
        </w:rPr>
        <w:t>Agency</w:t>
      </w:r>
      <w:r>
        <w:rPr>
          <w:spacing w:val="40"/>
          <w:sz w:val="24"/>
        </w:rPr>
        <w:t xml:space="preserve"> </w:t>
      </w:r>
      <w:r>
        <w:rPr>
          <w:sz w:val="24"/>
        </w:rPr>
        <w:t>(2020)</w:t>
      </w:r>
      <w:r>
        <w:rPr>
          <w:spacing w:val="40"/>
          <w:sz w:val="24"/>
        </w:rPr>
        <w:t xml:space="preserve"> </w:t>
      </w:r>
      <w:r>
        <w:rPr>
          <w:rFonts w:ascii="Arial"/>
          <w:i/>
          <w:sz w:val="24"/>
        </w:rPr>
        <w:t>Chemical</w:t>
      </w:r>
      <w:r>
        <w:rPr>
          <w:rFonts w:ascii="Arial"/>
          <w:i/>
          <w:spacing w:val="40"/>
          <w:sz w:val="24"/>
        </w:rPr>
        <w:t xml:space="preserve"> </w:t>
      </w:r>
      <w:r>
        <w:rPr>
          <w:rFonts w:ascii="Arial"/>
          <w:i/>
          <w:sz w:val="24"/>
        </w:rPr>
        <w:t>waste:</w:t>
      </w:r>
      <w:r>
        <w:rPr>
          <w:rFonts w:ascii="Arial"/>
          <w:i/>
          <w:spacing w:val="40"/>
          <w:sz w:val="24"/>
        </w:rPr>
        <w:t xml:space="preserve"> </w:t>
      </w:r>
      <w:r>
        <w:rPr>
          <w:rFonts w:ascii="Arial"/>
          <w:i/>
          <w:sz w:val="24"/>
        </w:rPr>
        <w:t>appropriate</w:t>
      </w:r>
      <w:r>
        <w:rPr>
          <w:rFonts w:ascii="Arial"/>
          <w:i/>
          <w:spacing w:val="40"/>
          <w:sz w:val="24"/>
        </w:rPr>
        <w:t xml:space="preserve"> </w:t>
      </w:r>
      <w:r>
        <w:rPr>
          <w:rFonts w:ascii="Arial"/>
          <w:i/>
          <w:sz w:val="24"/>
        </w:rPr>
        <w:t>measures</w:t>
      </w:r>
      <w:r>
        <w:rPr>
          <w:rFonts w:ascii="Arial"/>
          <w:i/>
          <w:spacing w:val="40"/>
          <w:sz w:val="24"/>
        </w:rPr>
        <w:t xml:space="preserve"> </w:t>
      </w:r>
      <w:r>
        <w:rPr>
          <w:rFonts w:ascii="Arial"/>
          <w:i/>
          <w:sz w:val="24"/>
        </w:rPr>
        <w:t>for</w:t>
      </w:r>
      <w:r>
        <w:rPr>
          <w:rFonts w:ascii="Arial"/>
          <w:i/>
          <w:spacing w:val="40"/>
          <w:sz w:val="24"/>
        </w:rPr>
        <w:t xml:space="preserve"> </w:t>
      </w:r>
      <w:r>
        <w:rPr>
          <w:rFonts w:ascii="Arial"/>
          <w:i/>
          <w:sz w:val="24"/>
        </w:rPr>
        <w:t>permitted facilities</w:t>
      </w:r>
      <w:r>
        <w:rPr>
          <w:rFonts w:ascii="Arial"/>
          <w:i/>
          <w:spacing w:val="80"/>
          <w:sz w:val="24"/>
        </w:rPr>
        <w:t xml:space="preserve"> </w:t>
      </w:r>
      <w:r>
        <w:rPr>
          <w:rFonts w:ascii="Arial"/>
          <w:i/>
          <w:sz w:val="24"/>
        </w:rPr>
        <w:t>-</w:t>
      </w:r>
      <w:r>
        <w:rPr>
          <w:rFonts w:ascii="Arial"/>
          <w:i/>
          <w:spacing w:val="80"/>
          <w:sz w:val="24"/>
        </w:rPr>
        <w:t xml:space="preserve"> </w:t>
      </w:r>
      <w:r>
        <w:rPr>
          <w:rFonts w:ascii="Arial"/>
          <w:i/>
          <w:sz w:val="24"/>
        </w:rPr>
        <w:t>4.</w:t>
      </w:r>
      <w:r>
        <w:rPr>
          <w:rFonts w:ascii="Arial"/>
          <w:i/>
          <w:spacing w:val="80"/>
          <w:sz w:val="24"/>
        </w:rPr>
        <w:t xml:space="preserve"> </w:t>
      </w:r>
      <w:r>
        <w:rPr>
          <w:rFonts w:ascii="Arial"/>
          <w:i/>
          <w:sz w:val="24"/>
        </w:rPr>
        <w:t>Waste</w:t>
      </w:r>
      <w:r>
        <w:rPr>
          <w:rFonts w:ascii="Arial"/>
          <w:i/>
          <w:spacing w:val="80"/>
          <w:sz w:val="24"/>
        </w:rPr>
        <w:t xml:space="preserve"> </w:t>
      </w:r>
      <w:r>
        <w:rPr>
          <w:rFonts w:ascii="Arial"/>
          <w:i/>
          <w:sz w:val="24"/>
        </w:rPr>
        <w:t>storage,</w:t>
      </w:r>
      <w:r>
        <w:rPr>
          <w:rFonts w:ascii="Arial"/>
          <w:i/>
          <w:spacing w:val="80"/>
          <w:sz w:val="24"/>
        </w:rPr>
        <w:t xml:space="preserve"> </w:t>
      </w:r>
      <w:r>
        <w:rPr>
          <w:rFonts w:ascii="Arial"/>
          <w:i/>
          <w:sz w:val="24"/>
        </w:rPr>
        <w:t>segregation</w:t>
      </w:r>
      <w:r>
        <w:rPr>
          <w:rFonts w:ascii="Arial"/>
          <w:i/>
          <w:spacing w:val="80"/>
          <w:sz w:val="24"/>
        </w:rPr>
        <w:t xml:space="preserve"> </w:t>
      </w:r>
      <w:r>
        <w:rPr>
          <w:rFonts w:ascii="Arial"/>
          <w:i/>
          <w:sz w:val="24"/>
        </w:rPr>
        <w:t>and</w:t>
      </w:r>
      <w:r>
        <w:rPr>
          <w:rFonts w:ascii="Arial"/>
          <w:i/>
          <w:spacing w:val="80"/>
          <w:sz w:val="24"/>
        </w:rPr>
        <w:t xml:space="preserve"> </w:t>
      </w:r>
      <w:r>
        <w:rPr>
          <w:rFonts w:ascii="Arial"/>
          <w:i/>
          <w:sz w:val="24"/>
        </w:rPr>
        <w:t>handling</w:t>
      </w:r>
      <w:r>
        <w:rPr>
          <w:rFonts w:ascii="Arial"/>
          <w:i/>
          <w:spacing w:val="80"/>
          <w:sz w:val="24"/>
        </w:rPr>
        <w:t xml:space="preserve"> </w:t>
      </w:r>
      <w:r>
        <w:rPr>
          <w:rFonts w:ascii="Arial"/>
          <w:i/>
          <w:sz w:val="24"/>
        </w:rPr>
        <w:t>appropriate</w:t>
      </w:r>
      <w:r>
        <w:rPr>
          <w:rFonts w:ascii="Arial"/>
          <w:i/>
          <w:spacing w:val="80"/>
          <w:sz w:val="24"/>
        </w:rPr>
        <w:t xml:space="preserve"> </w:t>
      </w:r>
      <w:r>
        <w:rPr>
          <w:rFonts w:ascii="Arial"/>
          <w:i/>
          <w:sz w:val="24"/>
        </w:rPr>
        <w:t>measures</w:t>
      </w:r>
      <w:r>
        <w:rPr>
          <w:sz w:val="24"/>
        </w:rPr>
        <w:t>. Available</w:t>
      </w:r>
      <w:r>
        <w:rPr>
          <w:spacing w:val="-13"/>
          <w:sz w:val="24"/>
        </w:rPr>
        <w:t xml:space="preserve"> </w:t>
      </w:r>
      <w:r>
        <w:rPr>
          <w:sz w:val="24"/>
        </w:rPr>
        <w:t>at:</w:t>
      </w:r>
      <w:r>
        <w:rPr>
          <w:spacing w:val="-13"/>
          <w:sz w:val="24"/>
        </w:rPr>
        <w:t xml:space="preserve"> </w:t>
      </w:r>
      <w:r>
        <w:rPr>
          <w:sz w:val="24"/>
        </w:rPr>
        <w:t>https://</w:t>
      </w:r>
      <w:hyperlink r:id="rId14">
        <w:r>
          <w:rPr>
            <w:sz w:val="24"/>
          </w:rPr>
          <w:t>www.gov.uk/guidance/chemical-waste-appropriate-measures-for-</w:t>
        </w:r>
      </w:hyperlink>
      <w:r>
        <w:rPr>
          <w:sz w:val="24"/>
        </w:rPr>
        <w:t xml:space="preserve"> </w:t>
      </w:r>
      <w:r>
        <w:rPr>
          <w:spacing w:val="-2"/>
          <w:sz w:val="24"/>
        </w:rPr>
        <w:t>permitted-facilities/4-waste-storage-segregation-and-handling-appropriate-me</w:t>
      </w:r>
      <w:r>
        <w:rPr>
          <w:spacing w:val="-2"/>
          <w:sz w:val="24"/>
        </w:rPr>
        <w:t xml:space="preserve">asures </w:t>
      </w:r>
      <w:r>
        <w:rPr>
          <w:sz w:val="24"/>
        </w:rPr>
        <w:t>(Accessed: 4 May 2026).</w:t>
      </w:r>
    </w:p>
    <w:p w14:paraId="67FCA6CE" w14:textId="77777777" w:rsidR="00122CE8" w:rsidRDefault="00AC01CC">
      <w:pPr>
        <w:pStyle w:val="BodyText"/>
        <w:spacing w:before="239" w:line="360" w:lineRule="auto"/>
        <w:ind w:right="161"/>
      </w:pPr>
      <w:r>
        <w:t xml:space="preserve">Environment Agency (2024) </w:t>
      </w:r>
      <w:r>
        <w:rPr>
          <w:rFonts w:ascii="Arial"/>
          <w:i/>
        </w:rPr>
        <w:t>Check if your material is waste</w:t>
      </w:r>
      <w:r>
        <w:t>. Available at: https://</w:t>
      </w:r>
      <w:hyperlink r:id="rId15">
        <w:r>
          <w:t>www.gov.uk/guidance/check-if-your-material-is-waste</w:t>
        </w:r>
      </w:hyperlink>
      <w:r>
        <w:t xml:space="preserve"> (Accessed: 4 M</w:t>
      </w:r>
      <w:r>
        <w:t xml:space="preserve">ay </w:t>
      </w:r>
      <w:r>
        <w:rPr>
          <w:spacing w:val="-2"/>
        </w:rPr>
        <w:t>2026).</w:t>
      </w:r>
    </w:p>
    <w:p w14:paraId="62981E5A" w14:textId="77777777" w:rsidR="00122CE8" w:rsidRDefault="00AC01CC">
      <w:pPr>
        <w:pStyle w:val="BodyText"/>
        <w:spacing w:before="242" w:line="360" w:lineRule="auto"/>
        <w:ind w:right="161"/>
        <w:jc w:val="left"/>
      </w:pPr>
      <w:r>
        <w:t>Health</w:t>
      </w:r>
      <w:r>
        <w:rPr>
          <w:spacing w:val="80"/>
        </w:rPr>
        <w:t xml:space="preserve"> </w:t>
      </w:r>
      <w:r>
        <w:t>and</w:t>
      </w:r>
      <w:r>
        <w:rPr>
          <w:spacing w:val="80"/>
        </w:rPr>
        <w:t xml:space="preserve"> </w:t>
      </w:r>
      <w:r>
        <w:t>Safety</w:t>
      </w:r>
      <w:r>
        <w:rPr>
          <w:spacing w:val="80"/>
        </w:rPr>
        <w:t xml:space="preserve"> </w:t>
      </w:r>
      <w:r>
        <w:t>Executive</w:t>
      </w:r>
      <w:r>
        <w:rPr>
          <w:spacing w:val="80"/>
        </w:rPr>
        <w:t xml:space="preserve"> </w:t>
      </w:r>
      <w:r>
        <w:t>(2023)</w:t>
      </w:r>
      <w:r>
        <w:rPr>
          <w:spacing w:val="80"/>
        </w:rPr>
        <w:t xml:space="preserve"> </w:t>
      </w:r>
      <w:r>
        <w:rPr>
          <w:rFonts w:ascii="Arial"/>
          <w:i/>
        </w:rPr>
        <w:t>Chemical</w:t>
      </w:r>
      <w:r>
        <w:rPr>
          <w:rFonts w:ascii="Arial"/>
          <w:i/>
          <w:spacing w:val="80"/>
        </w:rPr>
        <w:t xml:space="preserve"> </w:t>
      </w:r>
      <w:r>
        <w:rPr>
          <w:rFonts w:ascii="Arial"/>
          <w:i/>
        </w:rPr>
        <w:t>waste</w:t>
      </w:r>
      <w:r>
        <w:rPr>
          <w:rFonts w:ascii="Arial"/>
          <w:i/>
          <w:spacing w:val="80"/>
        </w:rPr>
        <w:t xml:space="preserve"> </w:t>
      </w:r>
      <w:r>
        <w:rPr>
          <w:rFonts w:ascii="Arial"/>
          <w:i/>
        </w:rPr>
        <w:t>treatment</w:t>
      </w:r>
      <w:r>
        <w:t>.</w:t>
      </w:r>
      <w:r>
        <w:rPr>
          <w:spacing w:val="80"/>
        </w:rPr>
        <w:t xml:space="preserve"> </w:t>
      </w:r>
      <w:r>
        <w:t>Available</w:t>
      </w:r>
      <w:r>
        <w:rPr>
          <w:spacing w:val="80"/>
        </w:rPr>
        <w:t xml:space="preserve"> </w:t>
      </w:r>
      <w:r>
        <w:t>at:</w:t>
      </w:r>
      <w:r>
        <w:rPr>
          <w:spacing w:val="40"/>
        </w:rPr>
        <w:t xml:space="preserve"> </w:t>
      </w:r>
      <w:r>
        <w:t>https://</w:t>
      </w:r>
      <w:hyperlink r:id="rId16">
        <w:r>
          <w:t>www.hse.gov.uk/chemicals/chemical-waste.htm</w:t>
        </w:r>
      </w:hyperlink>
      <w:r>
        <w:t xml:space="preserve"> (Accessed: 4 May 2026).</w:t>
      </w:r>
    </w:p>
    <w:p w14:paraId="00D143A8" w14:textId="77777777" w:rsidR="00122CE8" w:rsidRDefault="00122CE8">
      <w:pPr>
        <w:pStyle w:val="BodyText"/>
        <w:spacing w:line="360" w:lineRule="auto"/>
        <w:jc w:val="left"/>
        <w:sectPr w:rsidR="00122CE8">
          <w:pgSz w:w="11910" w:h="16840"/>
          <w:pgMar w:top="1360" w:right="1275" w:bottom="1500" w:left="1417" w:header="0" w:footer="1308" w:gutter="0"/>
          <w:cols w:space="720"/>
        </w:sectPr>
      </w:pPr>
    </w:p>
    <w:p w14:paraId="771D3927" w14:textId="77777777" w:rsidR="00122CE8" w:rsidRDefault="00AC01CC">
      <w:pPr>
        <w:pStyle w:val="BodyText"/>
        <w:spacing w:before="82" w:line="360" w:lineRule="auto"/>
      </w:pPr>
      <w:proofErr w:type="spellStart"/>
      <w:r>
        <w:lastRenderedPageBreak/>
        <w:t>Holtzer</w:t>
      </w:r>
      <w:proofErr w:type="spellEnd"/>
      <w:r>
        <w:t xml:space="preserve">, M., </w:t>
      </w:r>
      <w:proofErr w:type="spellStart"/>
      <w:r>
        <w:t>Danko</w:t>
      </w:r>
      <w:proofErr w:type="spellEnd"/>
      <w:r>
        <w:t xml:space="preserve">, R., </w:t>
      </w:r>
      <w:proofErr w:type="spellStart"/>
      <w:r>
        <w:t>Kmita</w:t>
      </w:r>
      <w:proofErr w:type="spellEnd"/>
      <w:r>
        <w:t xml:space="preserve">, A., </w:t>
      </w:r>
      <w:proofErr w:type="spellStart"/>
      <w:r>
        <w:t>Drozyński</w:t>
      </w:r>
      <w:proofErr w:type="spellEnd"/>
      <w:r>
        <w:t xml:space="preserve">, D., </w:t>
      </w:r>
      <w:proofErr w:type="spellStart"/>
      <w:r>
        <w:t>Kubecki</w:t>
      </w:r>
      <w:proofErr w:type="spellEnd"/>
      <w:r>
        <w:t xml:space="preserve">, M., </w:t>
      </w:r>
      <w:proofErr w:type="spellStart"/>
      <w:r>
        <w:t>Skrzynski</w:t>
      </w:r>
      <w:proofErr w:type="spellEnd"/>
      <w:r>
        <w:t xml:space="preserve">, M. and </w:t>
      </w:r>
      <w:proofErr w:type="spellStart"/>
      <w:r>
        <w:t>Roczniak</w:t>
      </w:r>
      <w:proofErr w:type="spellEnd"/>
      <w:r>
        <w:t>,</w:t>
      </w:r>
      <w:r>
        <w:rPr>
          <w:spacing w:val="-14"/>
        </w:rPr>
        <w:t xml:space="preserve"> </w:t>
      </w:r>
      <w:r>
        <w:t>A.</w:t>
      </w:r>
      <w:r>
        <w:rPr>
          <w:spacing w:val="-14"/>
        </w:rPr>
        <w:t xml:space="preserve"> </w:t>
      </w:r>
      <w:r>
        <w:t>(2020)</w:t>
      </w:r>
      <w:r>
        <w:rPr>
          <w:spacing w:val="-14"/>
        </w:rPr>
        <w:t xml:space="preserve"> </w:t>
      </w:r>
      <w:r>
        <w:t>'Environmental</w:t>
      </w:r>
      <w:r>
        <w:rPr>
          <w:spacing w:val="-14"/>
        </w:rPr>
        <w:t xml:space="preserve"> </w:t>
      </w:r>
      <w:r>
        <w:t>Impact</w:t>
      </w:r>
      <w:r>
        <w:rPr>
          <w:spacing w:val="-14"/>
        </w:rPr>
        <w:t xml:space="preserve"> </w:t>
      </w:r>
      <w:r>
        <w:t>of</w:t>
      </w:r>
      <w:r>
        <w:rPr>
          <w:spacing w:val="-14"/>
        </w:rPr>
        <w:t xml:space="preserve"> </w:t>
      </w:r>
      <w:r>
        <w:t>the</w:t>
      </w:r>
      <w:r>
        <w:rPr>
          <w:spacing w:val="-14"/>
        </w:rPr>
        <w:t xml:space="preserve"> </w:t>
      </w:r>
      <w:r>
        <w:t>Reclaimed</w:t>
      </w:r>
      <w:r>
        <w:rPr>
          <w:spacing w:val="-14"/>
        </w:rPr>
        <w:t xml:space="preserve"> </w:t>
      </w:r>
      <w:r>
        <w:t>Sand</w:t>
      </w:r>
      <w:r>
        <w:rPr>
          <w:spacing w:val="-14"/>
        </w:rPr>
        <w:t xml:space="preserve"> </w:t>
      </w:r>
      <w:r>
        <w:t>Addition</w:t>
      </w:r>
      <w:r>
        <w:rPr>
          <w:spacing w:val="-14"/>
        </w:rPr>
        <w:t xml:space="preserve"> </w:t>
      </w:r>
      <w:r>
        <w:t>to</w:t>
      </w:r>
      <w:r>
        <w:rPr>
          <w:spacing w:val="-14"/>
        </w:rPr>
        <w:t xml:space="preserve"> </w:t>
      </w:r>
      <w:r>
        <w:t xml:space="preserve">Molding Sand with Furan and Phenol-Formaldehyde Resin-A Comparison', </w:t>
      </w:r>
      <w:r>
        <w:rPr>
          <w:rFonts w:ascii="Arial" w:hAnsi="Arial"/>
          <w:i/>
        </w:rPr>
        <w:t>Materials</w:t>
      </w:r>
      <w:r>
        <w:t xml:space="preserve">. </w:t>
      </w:r>
      <w:r>
        <w:rPr>
          <w:spacing w:val="-2"/>
        </w:rPr>
        <w:t>doi:10.3390/ma13194395.</w:t>
      </w:r>
    </w:p>
    <w:p w14:paraId="3726850E" w14:textId="77777777" w:rsidR="00122CE8" w:rsidRDefault="00AC01CC">
      <w:pPr>
        <w:pStyle w:val="BodyText"/>
        <w:spacing w:before="240" w:line="360" w:lineRule="auto"/>
        <w:ind w:right="162"/>
      </w:pPr>
      <w:proofErr w:type="spellStart"/>
      <w:r>
        <w:t>Kalla</w:t>
      </w:r>
      <w:proofErr w:type="spellEnd"/>
      <w:r>
        <w:t xml:space="preserve">, C., </w:t>
      </w:r>
      <w:proofErr w:type="spellStart"/>
      <w:r>
        <w:t>Scavarda</w:t>
      </w:r>
      <w:proofErr w:type="spellEnd"/>
      <w:r>
        <w:t xml:space="preserve">, L.F. and </w:t>
      </w:r>
      <w:proofErr w:type="spellStart"/>
      <w:r>
        <w:t>Hellingrath</w:t>
      </w:r>
      <w:proofErr w:type="spellEnd"/>
      <w:r>
        <w:t xml:space="preserve">, B. (2025) 'Integrating supply chain risk management activities into sales and operations planning', </w:t>
      </w:r>
      <w:r>
        <w:rPr>
          <w:rFonts w:ascii="Arial"/>
          <w:i/>
        </w:rPr>
        <w:t>Review of</w:t>
      </w:r>
      <w:r>
        <w:rPr>
          <w:rFonts w:ascii="Arial"/>
          <w:i/>
        </w:rPr>
        <w:t xml:space="preserve"> Managerial Science</w:t>
      </w:r>
      <w:r>
        <w:t>. doi:10.1007/s11846-024-00756-y.</w:t>
      </w:r>
    </w:p>
    <w:p w14:paraId="5BCB4114" w14:textId="77777777" w:rsidR="00122CE8" w:rsidRDefault="00AC01CC">
      <w:pPr>
        <w:pStyle w:val="BodyText"/>
        <w:spacing w:before="241" w:line="360" w:lineRule="auto"/>
      </w:pPr>
      <w:proofErr w:type="spellStart"/>
      <w:r>
        <w:t>Kreuter</w:t>
      </w:r>
      <w:proofErr w:type="spellEnd"/>
      <w:r>
        <w:t xml:space="preserve">, T., </w:t>
      </w:r>
      <w:proofErr w:type="spellStart"/>
      <w:r>
        <w:t>Scavarda</w:t>
      </w:r>
      <w:proofErr w:type="spellEnd"/>
      <w:r>
        <w:t xml:space="preserve">, L.F., </w:t>
      </w:r>
      <w:proofErr w:type="spellStart"/>
      <w:r>
        <w:t>Thome</w:t>
      </w:r>
      <w:proofErr w:type="spellEnd"/>
      <w:r>
        <w:t xml:space="preserve">, A.M.T., </w:t>
      </w:r>
      <w:proofErr w:type="spellStart"/>
      <w:r>
        <w:t>Hellingrath</w:t>
      </w:r>
      <w:proofErr w:type="spellEnd"/>
      <w:r>
        <w:t xml:space="preserve">, B. and </w:t>
      </w:r>
      <w:proofErr w:type="spellStart"/>
      <w:r>
        <w:t>Seeling</w:t>
      </w:r>
      <w:proofErr w:type="spellEnd"/>
      <w:r>
        <w:t xml:space="preserve">, M.X. (2022) 'Empirical and theoretical perspectives in sales and operations planning', </w:t>
      </w:r>
      <w:r>
        <w:rPr>
          <w:rFonts w:ascii="Arial"/>
          <w:i/>
        </w:rPr>
        <w:t>Review of Managerial Science</w:t>
      </w:r>
      <w:r>
        <w:t>. doi:10.1007/s</w:t>
      </w:r>
      <w:r>
        <w:t>11846-021-00455-y.</w:t>
      </w:r>
    </w:p>
    <w:p w14:paraId="1F8C71B0" w14:textId="77777777" w:rsidR="00122CE8" w:rsidRDefault="00AC01CC">
      <w:pPr>
        <w:pStyle w:val="BodyText"/>
        <w:spacing w:before="237"/>
        <w:ind w:right="0"/>
      </w:pPr>
      <w:r>
        <w:t>Salas-Navarro,</w:t>
      </w:r>
      <w:r>
        <w:rPr>
          <w:spacing w:val="10"/>
        </w:rPr>
        <w:t xml:space="preserve"> </w:t>
      </w:r>
      <w:r>
        <w:t>K.,</w:t>
      </w:r>
      <w:r>
        <w:rPr>
          <w:spacing w:val="12"/>
        </w:rPr>
        <w:t xml:space="preserve"> </w:t>
      </w:r>
      <w:proofErr w:type="spellStart"/>
      <w:r>
        <w:t>Rojano</w:t>
      </w:r>
      <w:proofErr w:type="spellEnd"/>
      <w:r>
        <w:t>-Flores,</w:t>
      </w:r>
      <w:r>
        <w:rPr>
          <w:spacing w:val="13"/>
        </w:rPr>
        <w:t xml:space="preserve"> </w:t>
      </w:r>
      <w:r>
        <w:t>M.,</w:t>
      </w:r>
      <w:r>
        <w:rPr>
          <w:spacing w:val="12"/>
        </w:rPr>
        <w:t xml:space="preserve"> </w:t>
      </w:r>
      <w:r>
        <w:t>Salcedo-Villanueva,</w:t>
      </w:r>
      <w:r>
        <w:rPr>
          <w:spacing w:val="13"/>
        </w:rPr>
        <w:t xml:space="preserve"> </w:t>
      </w:r>
      <w:r>
        <w:t>V.</w:t>
      </w:r>
      <w:r>
        <w:rPr>
          <w:spacing w:val="12"/>
        </w:rPr>
        <w:t xml:space="preserve"> </w:t>
      </w:r>
      <w:r>
        <w:t>and</w:t>
      </w:r>
      <w:r>
        <w:rPr>
          <w:spacing w:val="13"/>
        </w:rPr>
        <w:t xml:space="preserve"> </w:t>
      </w:r>
      <w:r>
        <w:t>Cardenas-</w:t>
      </w:r>
      <w:r>
        <w:rPr>
          <w:spacing w:val="-2"/>
        </w:rPr>
        <w:t>Barron,</w:t>
      </w:r>
    </w:p>
    <w:p w14:paraId="69F2231C" w14:textId="77777777" w:rsidR="00122CE8" w:rsidRDefault="00AC01CC">
      <w:pPr>
        <w:pStyle w:val="BodyText"/>
        <w:spacing w:before="141" w:line="360" w:lineRule="auto"/>
        <w:ind w:right="0"/>
        <w:jc w:val="left"/>
      </w:pPr>
      <w:r>
        <w:t xml:space="preserve">L.E. (2026) 'An analytical review of vendor-managed inventory models in sustainable supply chains', </w:t>
      </w:r>
      <w:r>
        <w:rPr>
          <w:rFonts w:ascii="Arial"/>
          <w:i/>
        </w:rPr>
        <w:t>Supply Chain Analytics</w:t>
      </w:r>
      <w:r>
        <w:t xml:space="preserve">. </w:t>
      </w:r>
      <w:proofErr w:type="gramStart"/>
      <w:r>
        <w:t>doi:10.1016/j.sca</w:t>
      </w:r>
      <w:proofErr w:type="gramEnd"/>
      <w:r>
        <w:t>.2025.100189.</w:t>
      </w:r>
    </w:p>
    <w:p w14:paraId="0939CF87" w14:textId="77777777" w:rsidR="00122CE8" w:rsidRDefault="00AC01CC">
      <w:pPr>
        <w:pStyle w:val="BodyText"/>
        <w:spacing w:before="238" w:line="360" w:lineRule="auto"/>
      </w:pPr>
      <w:r>
        <w:t>Schafer,</w:t>
      </w:r>
      <w:r>
        <w:rPr>
          <w:spacing w:val="-9"/>
        </w:rPr>
        <w:t xml:space="preserve"> </w:t>
      </w:r>
      <w:r>
        <w:t>N.</w:t>
      </w:r>
      <w:r>
        <w:rPr>
          <w:spacing w:val="-9"/>
        </w:rPr>
        <w:t xml:space="preserve"> </w:t>
      </w:r>
      <w:r>
        <w:t>(2023)</w:t>
      </w:r>
      <w:r>
        <w:rPr>
          <w:spacing w:val="-9"/>
        </w:rPr>
        <w:t xml:space="preserve"> </w:t>
      </w:r>
      <w:r>
        <w:t>'Making</w:t>
      </w:r>
      <w:r>
        <w:rPr>
          <w:spacing w:val="-9"/>
        </w:rPr>
        <w:t xml:space="preserve"> </w:t>
      </w:r>
      <w:r>
        <w:t>transparency</w:t>
      </w:r>
      <w:r>
        <w:rPr>
          <w:spacing w:val="-9"/>
        </w:rPr>
        <w:t xml:space="preserve"> </w:t>
      </w:r>
      <w:r>
        <w:t>transparent:</w:t>
      </w:r>
      <w:r>
        <w:rPr>
          <w:spacing w:val="-9"/>
        </w:rPr>
        <w:t xml:space="preserve"> </w:t>
      </w:r>
      <w:r>
        <w:t>a</w:t>
      </w:r>
      <w:r>
        <w:rPr>
          <w:spacing w:val="-9"/>
        </w:rPr>
        <w:t xml:space="preserve"> </w:t>
      </w:r>
      <w:r>
        <w:t>systematic</w:t>
      </w:r>
      <w:r>
        <w:rPr>
          <w:spacing w:val="-9"/>
        </w:rPr>
        <w:t xml:space="preserve"> </w:t>
      </w:r>
      <w:r>
        <w:t>literature</w:t>
      </w:r>
      <w:r>
        <w:rPr>
          <w:spacing w:val="-9"/>
        </w:rPr>
        <w:t xml:space="preserve"> </w:t>
      </w:r>
      <w:r>
        <w:t>review</w:t>
      </w:r>
      <w:r>
        <w:rPr>
          <w:spacing w:val="-9"/>
        </w:rPr>
        <w:t xml:space="preserve"> </w:t>
      </w:r>
      <w:r>
        <w:t xml:space="preserve">to define and frame supply chain transparency in the context of sustainability', </w:t>
      </w:r>
      <w:r>
        <w:rPr>
          <w:rFonts w:ascii="Arial"/>
          <w:i/>
        </w:rPr>
        <w:t>Management Review Quarterly</w:t>
      </w:r>
      <w:r>
        <w:t>. doi:10.1007/s11301-021-00252-7.</w:t>
      </w:r>
    </w:p>
    <w:p w14:paraId="09DB262B" w14:textId="77777777" w:rsidR="00122CE8" w:rsidRDefault="00AC01CC">
      <w:pPr>
        <w:pStyle w:val="BodyText"/>
        <w:spacing w:before="241" w:line="360" w:lineRule="auto"/>
      </w:pPr>
      <w:proofErr w:type="spellStart"/>
      <w:r>
        <w:t>Schuitemaker</w:t>
      </w:r>
      <w:proofErr w:type="spellEnd"/>
      <w:r>
        <w:t>,</w:t>
      </w:r>
      <w:r>
        <w:rPr>
          <w:spacing w:val="-9"/>
        </w:rPr>
        <w:t xml:space="preserve"> </w:t>
      </w:r>
      <w:r>
        <w:t>R.</w:t>
      </w:r>
      <w:r>
        <w:rPr>
          <w:spacing w:val="-9"/>
        </w:rPr>
        <w:t xml:space="preserve"> </w:t>
      </w:r>
      <w:r>
        <w:t>and</w:t>
      </w:r>
      <w:r>
        <w:rPr>
          <w:spacing w:val="-9"/>
        </w:rPr>
        <w:t xml:space="preserve"> </w:t>
      </w:r>
      <w:r>
        <w:t>Xu,</w:t>
      </w:r>
      <w:r>
        <w:rPr>
          <w:spacing w:val="-9"/>
        </w:rPr>
        <w:t xml:space="preserve"> </w:t>
      </w:r>
      <w:r>
        <w:t>X.</w:t>
      </w:r>
      <w:r>
        <w:rPr>
          <w:spacing w:val="-9"/>
        </w:rPr>
        <w:t xml:space="preserve"> </w:t>
      </w:r>
      <w:r>
        <w:t>(2020)</w:t>
      </w:r>
      <w:r>
        <w:rPr>
          <w:spacing w:val="-9"/>
        </w:rPr>
        <w:t xml:space="preserve"> </w:t>
      </w:r>
      <w:r>
        <w:t>'Product</w:t>
      </w:r>
      <w:r>
        <w:rPr>
          <w:spacing w:val="-9"/>
        </w:rPr>
        <w:t xml:space="preserve"> </w:t>
      </w:r>
      <w:r>
        <w:t>traceability</w:t>
      </w:r>
      <w:r>
        <w:rPr>
          <w:spacing w:val="-9"/>
        </w:rPr>
        <w:t xml:space="preserve"> </w:t>
      </w:r>
      <w:r>
        <w:t>in</w:t>
      </w:r>
      <w:r>
        <w:rPr>
          <w:spacing w:val="-9"/>
        </w:rPr>
        <w:t xml:space="preserve"> </w:t>
      </w:r>
      <w:r>
        <w:t>manufacturing:</w:t>
      </w:r>
      <w:r>
        <w:rPr>
          <w:spacing w:val="-9"/>
        </w:rPr>
        <w:t xml:space="preserve"> </w:t>
      </w:r>
      <w:r>
        <w:t>A</w:t>
      </w:r>
      <w:r>
        <w:rPr>
          <w:spacing w:val="-9"/>
        </w:rPr>
        <w:t xml:space="preserve"> </w:t>
      </w:r>
      <w:r>
        <w:t xml:space="preserve">technical review', </w:t>
      </w:r>
      <w:r>
        <w:rPr>
          <w:rFonts w:ascii="Arial"/>
          <w:i/>
        </w:rPr>
        <w:t>Procedia CIRP</w:t>
      </w:r>
      <w:r>
        <w:t xml:space="preserve">. </w:t>
      </w:r>
      <w:proofErr w:type="gramStart"/>
      <w:r>
        <w:t>doi:10.1016/j.procir</w:t>
      </w:r>
      <w:proofErr w:type="gramEnd"/>
      <w:r>
        <w:t>.2020.04.078.</w:t>
      </w:r>
    </w:p>
    <w:p w14:paraId="3753F4F9" w14:textId="77777777" w:rsidR="00122CE8" w:rsidRDefault="00AC01CC">
      <w:pPr>
        <w:spacing w:before="238" w:line="362" w:lineRule="auto"/>
        <w:ind w:left="23" w:right="161"/>
        <w:jc w:val="both"/>
        <w:rPr>
          <w:sz w:val="24"/>
        </w:rPr>
      </w:pPr>
      <w:proofErr w:type="spellStart"/>
      <w:r>
        <w:rPr>
          <w:sz w:val="24"/>
        </w:rPr>
        <w:t>Soylu</w:t>
      </w:r>
      <w:proofErr w:type="spellEnd"/>
      <w:r>
        <w:rPr>
          <w:sz w:val="24"/>
        </w:rPr>
        <w:t>, B. and Akyol, B. (2014) '</w:t>
      </w:r>
      <w:proofErr w:type="gramStart"/>
      <w:r>
        <w:rPr>
          <w:sz w:val="24"/>
        </w:rPr>
        <w:t>Multi-criteria inventory</w:t>
      </w:r>
      <w:proofErr w:type="gramEnd"/>
      <w:r>
        <w:rPr>
          <w:sz w:val="24"/>
        </w:rPr>
        <w:t xml:space="preserve"> classification with reference items', </w:t>
      </w:r>
      <w:r>
        <w:rPr>
          <w:rFonts w:ascii="Arial"/>
          <w:i/>
          <w:sz w:val="24"/>
        </w:rPr>
        <w:t>Computers &amp; Industrial Engineering</w:t>
      </w:r>
      <w:r>
        <w:rPr>
          <w:sz w:val="24"/>
        </w:rPr>
        <w:t xml:space="preserve">. </w:t>
      </w:r>
      <w:proofErr w:type="gramStart"/>
      <w:r>
        <w:rPr>
          <w:sz w:val="24"/>
        </w:rPr>
        <w:t>doi:10.1016/j.cie</w:t>
      </w:r>
      <w:proofErr w:type="gramEnd"/>
      <w:r>
        <w:rPr>
          <w:sz w:val="24"/>
        </w:rPr>
        <w:t>.2013.12.011.</w:t>
      </w:r>
    </w:p>
    <w:p w14:paraId="2AE9B486" w14:textId="77777777" w:rsidR="00122CE8" w:rsidRDefault="00AC01CC">
      <w:pPr>
        <w:pStyle w:val="BodyText"/>
        <w:spacing w:before="237" w:line="360" w:lineRule="auto"/>
      </w:pPr>
      <w:proofErr w:type="spellStart"/>
      <w:r>
        <w:t>Teriete</w:t>
      </w:r>
      <w:proofErr w:type="spellEnd"/>
      <w:r>
        <w:t xml:space="preserve">, T., </w:t>
      </w:r>
      <w:proofErr w:type="spellStart"/>
      <w:r>
        <w:t>Erlach</w:t>
      </w:r>
      <w:proofErr w:type="spellEnd"/>
      <w:r>
        <w:t xml:space="preserve">, K., </w:t>
      </w:r>
      <w:proofErr w:type="spellStart"/>
      <w:r>
        <w:t>Bauernhansl</w:t>
      </w:r>
      <w:proofErr w:type="spellEnd"/>
      <w:r>
        <w:t>, T. and van der Aalst, W.M.P. (2026) 'Combining value str</w:t>
      </w:r>
      <w:r>
        <w:t xml:space="preserve">eam mapping and process mining in production: a systematic literature review', </w:t>
      </w:r>
      <w:r>
        <w:rPr>
          <w:rFonts w:ascii="Arial"/>
          <w:i/>
        </w:rPr>
        <w:t>Discover Applied Sciences</w:t>
      </w:r>
      <w:r>
        <w:t>. doi:10.1007/s42452-026-08446-y.</w:t>
      </w:r>
    </w:p>
    <w:sectPr w:rsidR="00122CE8">
      <w:pgSz w:w="11910" w:h="16840"/>
      <w:pgMar w:top="1340" w:right="1275" w:bottom="1500" w:left="1417" w:header="0" w:footer="1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83C71" w14:textId="77777777" w:rsidR="00AC01CC" w:rsidRDefault="00AC01CC">
      <w:r>
        <w:separator/>
      </w:r>
    </w:p>
  </w:endnote>
  <w:endnote w:type="continuationSeparator" w:id="0">
    <w:p w14:paraId="648F39FB" w14:textId="77777777" w:rsidR="00AC01CC" w:rsidRDefault="00AC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AAFAA" w14:textId="77777777" w:rsidR="00122CE8" w:rsidRDefault="00AC01CC">
    <w:pPr>
      <w:pStyle w:val="BodyText"/>
      <w:spacing w:line="14" w:lineRule="auto"/>
      <w:ind w:left="0" w:right="0"/>
      <w:jc w:val="left"/>
      <w:rPr>
        <w:sz w:val="20"/>
      </w:rPr>
    </w:pPr>
    <w:r>
      <w:rPr>
        <w:noProof/>
        <w:sz w:val="20"/>
      </w:rPr>
      <mc:AlternateContent>
        <mc:Choice Requires="wps">
          <w:drawing>
            <wp:anchor distT="0" distB="0" distL="0" distR="0" simplePos="0" relativeHeight="487203328" behindDoc="1" locked="0" layoutInCell="1" allowOverlap="1" wp14:anchorId="6483BFA0" wp14:editId="2D5B3BC3">
              <wp:simplePos x="0" y="0"/>
              <wp:positionH relativeFrom="page">
                <wp:posOffset>3682695</wp:posOffset>
              </wp:positionH>
              <wp:positionV relativeFrom="page">
                <wp:posOffset>9721808</wp:posOffset>
              </wp:positionV>
              <wp:extent cx="19494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96215"/>
                      </a:xfrm>
                      <a:prstGeom prst="rect">
                        <a:avLst/>
                      </a:prstGeom>
                    </wps:spPr>
                    <wps:txbx>
                      <w:txbxContent>
                        <w:p w14:paraId="20106B21" w14:textId="77777777" w:rsidR="00122CE8" w:rsidRDefault="00AC01CC">
                          <w:pPr>
                            <w:pStyle w:val="BodyText"/>
                            <w:spacing w:before="12"/>
                            <w:ind w:left="20" w:right="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483BFA0" id="_x0000_t202" coordsize="21600,21600" o:spt="202" path="m,l,21600r21600,l21600,xe">
              <v:stroke joinstyle="miter"/>
              <v:path gradientshapeok="t" o:connecttype="rect"/>
            </v:shapetype>
            <v:shape id="Textbox 1" o:spid="_x0000_s1026" type="#_x0000_t202" style="position:absolute;margin-left:290pt;margin-top:765.5pt;width:15.35pt;height:15.45pt;z-index:-16113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" filled="f" stroked="f">
              <v:textbox inset="0,0,0,0">
                <w:txbxContent>
                  <w:p w14:paraId="20106B21" w14:textId="77777777" w:rsidR="00122CE8" w:rsidRDefault="00AC01CC">
                    <w:pPr>
                      <w:pStyle w:val="BodyText"/>
                      <w:spacing w:before="12"/>
                      <w:ind w:left="20" w:right="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EB2A6" w14:textId="77777777" w:rsidR="00AC01CC" w:rsidRDefault="00AC01CC">
      <w:r>
        <w:separator/>
      </w:r>
    </w:p>
  </w:footnote>
  <w:footnote w:type="continuationSeparator" w:id="0">
    <w:p w14:paraId="77249648" w14:textId="77777777" w:rsidR="00AC01CC" w:rsidRDefault="00AC01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12F45"/>
    <w:multiLevelType w:val="hybridMultilevel"/>
    <w:tmpl w:val="71C2A60A"/>
    <w:lvl w:ilvl="0" w:tplc="8174DF68">
      <w:start w:val="1"/>
      <w:numFmt w:val="decimal"/>
      <w:lvlText w:val="%1."/>
      <w:lvlJc w:val="left"/>
      <w:pPr>
        <w:ind w:left="23" w:hanging="328"/>
        <w:jc w:val="left"/>
      </w:pPr>
      <w:rPr>
        <w:rFonts w:ascii="Arial MT" w:eastAsia="Arial MT" w:hAnsi="Arial MT" w:cs="Arial MT" w:hint="default"/>
        <w:b w:val="0"/>
        <w:bCs w:val="0"/>
        <w:i w:val="0"/>
        <w:iCs w:val="0"/>
        <w:spacing w:val="0"/>
        <w:w w:val="100"/>
        <w:sz w:val="24"/>
        <w:szCs w:val="24"/>
        <w:lang w:val="en-US" w:eastAsia="en-US" w:bidi="ar-SA"/>
      </w:rPr>
    </w:lvl>
    <w:lvl w:ilvl="1" w:tplc="2F6459E0">
      <w:numFmt w:val="bullet"/>
      <w:lvlText w:val="•"/>
      <w:lvlJc w:val="left"/>
      <w:pPr>
        <w:ind w:left="939" w:hanging="328"/>
      </w:pPr>
      <w:rPr>
        <w:rFonts w:hint="default"/>
        <w:lang w:val="en-US" w:eastAsia="en-US" w:bidi="ar-SA"/>
      </w:rPr>
    </w:lvl>
    <w:lvl w:ilvl="2" w:tplc="3DB2538E">
      <w:numFmt w:val="bullet"/>
      <w:lvlText w:val="•"/>
      <w:lvlJc w:val="left"/>
      <w:pPr>
        <w:ind w:left="1858" w:hanging="328"/>
      </w:pPr>
      <w:rPr>
        <w:rFonts w:hint="default"/>
        <w:lang w:val="en-US" w:eastAsia="en-US" w:bidi="ar-SA"/>
      </w:rPr>
    </w:lvl>
    <w:lvl w:ilvl="3" w:tplc="D9AE6B02">
      <w:numFmt w:val="bullet"/>
      <w:lvlText w:val="•"/>
      <w:lvlJc w:val="left"/>
      <w:pPr>
        <w:ind w:left="2777" w:hanging="328"/>
      </w:pPr>
      <w:rPr>
        <w:rFonts w:hint="default"/>
        <w:lang w:val="en-US" w:eastAsia="en-US" w:bidi="ar-SA"/>
      </w:rPr>
    </w:lvl>
    <w:lvl w:ilvl="4" w:tplc="A1FAA2AC">
      <w:numFmt w:val="bullet"/>
      <w:lvlText w:val="•"/>
      <w:lvlJc w:val="left"/>
      <w:pPr>
        <w:ind w:left="3696" w:hanging="328"/>
      </w:pPr>
      <w:rPr>
        <w:rFonts w:hint="default"/>
        <w:lang w:val="en-US" w:eastAsia="en-US" w:bidi="ar-SA"/>
      </w:rPr>
    </w:lvl>
    <w:lvl w:ilvl="5" w:tplc="100ACF82">
      <w:numFmt w:val="bullet"/>
      <w:lvlText w:val="•"/>
      <w:lvlJc w:val="left"/>
      <w:pPr>
        <w:ind w:left="4616" w:hanging="328"/>
      </w:pPr>
      <w:rPr>
        <w:rFonts w:hint="default"/>
        <w:lang w:val="en-US" w:eastAsia="en-US" w:bidi="ar-SA"/>
      </w:rPr>
    </w:lvl>
    <w:lvl w:ilvl="6" w:tplc="69541200">
      <w:numFmt w:val="bullet"/>
      <w:lvlText w:val="•"/>
      <w:lvlJc w:val="left"/>
      <w:pPr>
        <w:ind w:left="5535" w:hanging="328"/>
      </w:pPr>
      <w:rPr>
        <w:rFonts w:hint="default"/>
        <w:lang w:val="en-US" w:eastAsia="en-US" w:bidi="ar-SA"/>
      </w:rPr>
    </w:lvl>
    <w:lvl w:ilvl="7" w:tplc="0FE4090C">
      <w:numFmt w:val="bullet"/>
      <w:lvlText w:val="•"/>
      <w:lvlJc w:val="left"/>
      <w:pPr>
        <w:ind w:left="6454" w:hanging="328"/>
      </w:pPr>
      <w:rPr>
        <w:rFonts w:hint="default"/>
        <w:lang w:val="en-US" w:eastAsia="en-US" w:bidi="ar-SA"/>
      </w:rPr>
    </w:lvl>
    <w:lvl w:ilvl="8" w:tplc="4D6EC2F2">
      <w:numFmt w:val="bullet"/>
      <w:lvlText w:val="•"/>
      <w:lvlJc w:val="left"/>
      <w:pPr>
        <w:ind w:left="7373" w:hanging="328"/>
      </w:pPr>
      <w:rPr>
        <w:rFonts w:hint="default"/>
        <w:lang w:val="en-US" w:eastAsia="en-US" w:bidi="ar-SA"/>
      </w:rPr>
    </w:lvl>
  </w:abstractNum>
  <w:abstractNum w:abstractNumId="1" w15:restartNumberingAfterBreak="0">
    <w:nsid w:val="304A3259"/>
    <w:multiLevelType w:val="hybridMultilevel"/>
    <w:tmpl w:val="9250A098"/>
    <w:lvl w:ilvl="0" w:tplc="502E6C1E">
      <w:start w:val="1"/>
      <w:numFmt w:val="decimal"/>
      <w:lvlText w:val="%1."/>
      <w:lvlJc w:val="left"/>
      <w:pPr>
        <w:ind w:left="23" w:hanging="262"/>
        <w:jc w:val="left"/>
      </w:pPr>
      <w:rPr>
        <w:rFonts w:ascii="Arial MT" w:eastAsia="Arial MT" w:hAnsi="Arial MT" w:cs="Arial MT" w:hint="default"/>
        <w:b w:val="0"/>
        <w:bCs w:val="0"/>
        <w:i w:val="0"/>
        <w:iCs w:val="0"/>
        <w:spacing w:val="0"/>
        <w:w w:val="100"/>
        <w:sz w:val="24"/>
        <w:szCs w:val="24"/>
        <w:lang w:val="en-US" w:eastAsia="en-US" w:bidi="ar-SA"/>
      </w:rPr>
    </w:lvl>
    <w:lvl w:ilvl="1" w:tplc="4A5058F8">
      <w:numFmt w:val="bullet"/>
      <w:lvlText w:val="•"/>
      <w:lvlJc w:val="left"/>
      <w:pPr>
        <w:ind w:left="939" w:hanging="262"/>
      </w:pPr>
      <w:rPr>
        <w:rFonts w:hint="default"/>
        <w:lang w:val="en-US" w:eastAsia="en-US" w:bidi="ar-SA"/>
      </w:rPr>
    </w:lvl>
    <w:lvl w:ilvl="2" w:tplc="7F3E1290">
      <w:numFmt w:val="bullet"/>
      <w:lvlText w:val="•"/>
      <w:lvlJc w:val="left"/>
      <w:pPr>
        <w:ind w:left="1858" w:hanging="262"/>
      </w:pPr>
      <w:rPr>
        <w:rFonts w:hint="default"/>
        <w:lang w:val="en-US" w:eastAsia="en-US" w:bidi="ar-SA"/>
      </w:rPr>
    </w:lvl>
    <w:lvl w:ilvl="3" w:tplc="6EB239AA">
      <w:numFmt w:val="bullet"/>
      <w:lvlText w:val="•"/>
      <w:lvlJc w:val="left"/>
      <w:pPr>
        <w:ind w:left="2777" w:hanging="262"/>
      </w:pPr>
      <w:rPr>
        <w:rFonts w:hint="default"/>
        <w:lang w:val="en-US" w:eastAsia="en-US" w:bidi="ar-SA"/>
      </w:rPr>
    </w:lvl>
    <w:lvl w:ilvl="4" w:tplc="996416EC">
      <w:numFmt w:val="bullet"/>
      <w:lvlText w:val="•"/>
      <w:lvlJc w:val="left"/>
      <w:pPr>
        <w:ind w:left="3696" w:hanging="262"/>
      </w:pPr>
      <w:rPr>
        <w:rFonts w:hint="default"/>
        <w:lang w:val="en-US" w:eastAsia="en-US" w:bidi="ar-SA"/>
      </w:rPr>
    </w:lvl>
    <w:lvl w:ilvl="5" w:tplc="B6D0FE84">
      <w:numFmt w:val="bullet"/>
      <w:lvlText w:val="•"/>
      <w:lvlJc w:val="left"/>
      <w:pPr>
        <w:ind w:left="4616" w:hanging="262"/>
      </w:pPr>
      <w:rPr>
        <w:rFonts w:hint="default"/>
        <w:lang w:val="en-US" w:eastAsia="en-US" w:bidi="ar-SA"/>
      </w:rPr>
    </w:lvl>
    <w:lvl w:ilvl="6" w:tplc="C096DFDC">
      <w:numFmt w:val="bullet"/>
      <w:lvlText w:val="•"/>
      <w:lvlJc w:val="left"/>
      <w:pPr>
        <w:ind w:left="5535" w:hanging="262"/>
      </w:pPr>
      <w:rPr>
        <w:rFonts w:hint="default"/>
        <w:lang w:val="en-US" w:eastAsia="en-US" w:bidi="ar-SA"/>
      </w:rPr>
    </w:lvl>
    <w:lvl w:ilvl="7" w:tplc="A3B24C3C">
      <w:numFmt w:val="bullet"/>
      <w:lvlText w:val="•"/>
      <w:lvlJc w:val="left"/>
      <w:pPr>
        <w:ind w:left="6454" w:hanging="262"/>
      </w:pPr>
      <w:rPr>
        <w:rFonts w:hint="default"/>
        <w:lang w:val="en-US" w:eastAsia="en-US" w:bidi="ar-SA"/>
      </w:rPr>
    </w:lvl>
    <w:lvl w:ilvl="8" w:tplc="2B70CDA4">
      <w:numFmt w:val="bullet"/>
      <w:lvlText w:val="•"/>
      <w:lvlJc w:val="left"/>
      <w:pPr>
        <w:ind w:left="7373" w:hanging="262"/>
      </w:pPr>
      <w:rPr>
        <w:rFonts w:hint="default"/>
        <w:lang w:val="en-US" w:eastAsia="en-US" w:bidi="ar-SA"/>
      </w:rPr>
    </w:lvl>
  </w:abstractNum>
  <w:abstractNum w:abstractNumId="2" w15:restartNumberingAfterBreak="0">
    <w:nsid w:val="618E62DA"/>
    <w:multiLevelType w:val="multilevel"/>
    <w:tmpl w:val="2646B13A"/>
    <w:lvl w:ilvl="0">
      <w:start w:val="1"/>
      <w:numFmt w:val="decimal"/>
      <w:lvlText w:val="%1."/>
      <w:lvlJc w:val="left"/>
      <w:pPr>
        <w:ind w:left="378" w:hanging="356"/>
        <w:jc w:val="left"/>
      </w:pPr>
      <w:rPr>
        <w:rFonts w:ascii="Arial" w:eastAsia="Arial" w:hAnsi="Arial" w:cs="Arial" w:hint="default"/>
        <w:b/>
        <w:bCs/>
        <w:i w:val="0"/>
        <w:iCs w:val="0"/>
        <w:spacing w:val="-1"/>
        <w:w w:val="100"/>
        <w:sz w:val="32"/>
        <w:szCs w:val="32"/>
        <w:lang w:val="en-US" w:eastAsia="en-US" w:bidi="ar-SA"/>
      </w:rPr>
    </w:lvl>
    <w:lvl w:ilvl="1">
      <w:start w:val="1"/>
      <w:numFmt w:val="decimal"/>
      <w:lvlText w:val="%1.%2"/>
      <w:lvlJc w:val="left"/>
      <w:pPr>
        <w:ind w:left="490" w:hanging="468"/>
        <w:jc w:val="left"/>
      </w:pPr>
      <w:rPr>
        <w:rFonts w:ascii="Arial" w:eastAsia="Arial" w:hAnsi="Arial" w:cs="Arial" w:hint="default"/>
        <w:b/>
        <w:bCs/>
        <w:i w:val="0"/>
        <w:iCs w:val="0"/>
        <w:spacing w:val="0"/>
        <w:w w:val="99"/>
        <w:sz w:val="28"/>
        <w:szCs w:val="28"/>
        <w:lang w:val="en-US" w:eastAsia="en-US" w:bidi="ar-SA"/>
      </w:rPr>
    </w:lvl>
    <w:lvl w:ilvl="2">
      <w:numFmt w:val="bullet"/>
      <w:lvlText w:val="•"/>
      <w:lvlJc w:val="left"/>
      <w:pPr>
        <w:ind w:left="1468" w:hanging="468"/>
      </w:pPr>
      <w:rPr>
        <w:rFonts w:hint="default"/>
        <w:lang w:val="en-US" w:eastAsia="en-US" w:bidi="ar-SA"/>
      </w:rPr>
    </w:lvl>
    <w:lvl w:ilvl="3">
      <w:numFmt w:val="bullet"/>
      <w:lvlText w:val="•"/>
      <w:lvlJc w:val="left"/>
      <w:pPr>
        <w:ind w:left="2436" w:hanging="468"/>
      </w:pPr>
      <w:rPr>
        <w:rFonts w:hint="default"/>
        <w:lang w:val="en-US" w:eastAsia="en-US" w:bidi="ar-SA"/>
      </w:rPr>
    </w:lvl>
    <w:lvl w:ilvl="4">
      <w:numFmt w:val="bullet"/>
      <w:lvlText w:val="•"/>
      <w:lvlJc w:val="left"/>
      <w:pPr>
        <w:ind w:left="3404" w:hanging="468"/>
      </w:pPr>
      <w:rPr>
        <w:rFonts w:hint="default"/>
        <w:lang w:val="en-US" w:eastAsia="en-US" w:bidi="ar-SA"/>
      </w:rPr>
    </w:lvl>
    <w:lvl w:ilvl="5">
      <w:numFmt w:val="bullet"/>
      <w:lvlText w:val="•"/>
      <w:lvlJc w:val="left"/>
      <w:pPr>
        <w:ind w:left="4372" w:hanging="468"/>
      </w:pPr>
      <w:rPr>
        <w:rFonts w:hint="default"/>
        <w:lang w:val="en-US" w:eastAsia="en-US" w:bidi="ar-SA"/>
      </w:rPr>
    </w:lvl>
    <w:lvl w:ilvl="6">
      <w:numFmt w:val="bullet"/>
      <w:lvlText w:val="•"/>
      <w:lvlJc w:val="left"/>
      <w:pPr>
        <w:ind w:left="5340" w:hanging="468"/>
      </w:pPr>
      <w:rPr>
        <w:rFonts w:hint="default"/>
        <w:lang w:val="en-US" w:eastAsia="en-US" w:bidi="ar-SA"/>
      </w:rPr>
    </w:lvl>
    <w:lvl w:ilvl="7">
      <w:numFmt w:val="bullet"/>
      <w:lvlText w:val="•"/>
      <w:lvlJc w:val="left"/>
      <w:pPr>
        <w:ind w:left="6308" w:hanging="468"/>
      </w:pPr>
      <w:rPr>
        <w:rFonts w:hint="default"/>
        <w:lang w:val="en-US" w:eastAsia="en-US" w:bidi="ar-SA"/>
      </w:rPr>
    </w:lvl>
    <w:lvl w:ilvl="8">
      <w:numFmt w:val="bullet"/>
      <w:lvlText w:val="•"/>
      <w:lvlJc w:val="left"/>
      <w:pPr>
        <w:ind w:left="7276" w:hanging="468"/>
      </w:pPr>
      <w:rPr>
        <w:rFonts w:hint="default"/>
        <w:lang w:val="en-US" w:eastAsia="en-US" w:bidi="ar-SA"/>
      </w:rPr>
    </w:lvl>
  </w:abstractNum>
  <w:abstractNum w:abstractNumId="3" w15:restartNumberingAfterBreak="0">
    <w:nsid w:val="734D15F2"/>
    <w:multiLevelType w:val="multilevel"/>
    <w:tmpl w:val="261EBC4E"/>
    <w:lvl w:ilvl="0">
      <w:start w:val="1"/>
      <w:numFmt w:val="decimal"/>
      <w:lvlText w:val="%1."/>
      <w:lvlJc w:val="left"/>
      <w:pPr>
        <w:ind w:left="257" w:hanging="235"/>
        <w:jc w:val="left"/>
      </w:pPr>
      <w:rPr>
        <w:rFonts w:ascii="Cambria" w:eastAsia="Cambria" w:hAnsi="Cambria" w:cs="Cambria" w:hint="default"/>
        <w:b w:val="0"/>
        <w:bCs w:val="0"/>
        <w:i w:val="0"/>
        <w:iCs w:val="0"/>
        <w:spacing w:val="-1"/>
        <w:w w:val="100"/>
        <w:sz w:val="24"/>
        <w:szCs w:val="24"/>
        <w:lang w:val="en-US" w:eastAsia="en-US" w:bidi="ar-SA"/>
      </w:rPr>
    </w:lvl>
    <w:lvl w:ilvl="1">
      <w:start w:val="1"/>
      <w:numFmt w:val="decimal"/>
      <w:lvlText w:val="%1.%2"/>
      <w:lvlJc w:val="left"/>
      <w:pPr>
        <w:ind w:left="600" w:hanging="338"/>
        <w:jc w:val="left"/>
      </w:pPr>
      <w:rPr>
        <w:rFonts w:ascii="Cambria" w:eastAsia="Cambria" w:hAnsi="Cambria" w:cs="Cambria" w:hint="default"/>
        <w:b w:val="0"/>
        <w:bCs w:val="0"/>
        <w:i w:val="0"/>
        <w:iCs w:val="0"/>
        <w:spacing w:val="-1"/>
        <w:w w:val="100"/>
        <w:sz w:val="22"/>
        <w:szCs w:val="22"/>
        <w:lang w:val="en-US" w:eastAsia="en-US" w:bidi="ar-SA"/>
      </w:rPr>
    </w:lvl>
    <w:lvl w:ilvl="2">
      <w:numFmt w:val="bullet"/>
      <w:lvlText w:val="•"/>
      <w:lvlJc w:val="left"/>
      <w:pPr>
        <w:ind w:left="1556" w:hanging="338"/>
      </w:pPr>
      <w:rPr>
        <w:rFonts w:hint="default"/>
        <w:lang w:val="en-US" w:eastAsia="en-US" w:bidi="ar-SA"/>
      </w:rPr>
    </w:lvl>
    <w:lvl w:ilvl="3">
      <w:numFmt w:val="bullet"/>
      <w:lvlText w:val="•"/>
      <w:lvlJc w:val="left"/>
      <w:pPr>
        <w:ind w:left="2513" w:hanging="338"/>
      </w:pPr>
      <w:rPr>
        <w:rFonts w:hint="default"/>
        <w:lang w:val="en-US" w:eastAsia="en-US" w:bidi="ar-SA"/>
      </w:rPr>
    </w:lvl>
    <w:lvl w:ilvl="4">
      <w:numFmt w:val="bullet"/>
      <w:lvlText w:val="•"/>
      <w:lvlJc w:val="left"/>
      <w:pPr>
        <w:ind w:left="3470" w:hanging="338"/>
      </w:pPr>
      <w:rPr>
        <w:rFonts w:hint="default"/>
        <w:lang w:val="en-US" w:eastAsia="en-US" w:bidi="ar-SA"/>
      </w:rPr>
    </w:lvl>
    <w:lvl w:ilvl="5">
      <w:numFmt w:val="bullet"/>
      <w:lvlText w:val="•"/>
      <w:lvlJc w:val="left"/>
      <w:pPr>
        <w:ind w:left="4427" w:hanging="338"/>
      </w:pPr>
      <w:rPr>
        <w:rFonts w:hint="default"/>
        <w:lang w:val="en-US" w:eastAsia="en-US" w:bidi="ar-SA"/>
      </w:rPr>
    </w:lvl>
    <w:lvl w:ilvl="6">
      <w:numFmt w:val="bullet"/>
      <w:lvlText w:val="•"/>
      <w:lvlJc w:val="left"/>
      <w:pPr>
        <w:ind w:left="5384" w:hanging="338"/>
      </w:pPr>
      <w:rPr>
        <w:rFonts w:hint="default"/>
        <w:lang w:val="en-US" w:eastAsia="en-US" w:bidi="ar-SA"/>
      </w:rPr>
    </w:lvl>
    <w:lvl w:ilvl="7">
      <w:numFmt w:val="bullet"/>
      <w:lvlText w:val="•"/>
      <w:lvlJc w:val="left"/>
      <w:pPr>
        <w:ind w:left="6341" w:hanging="338"/>
      </w:pPr>
      <w:rPr>
        <w:rFonts w:hint="default"/>
        <w:lang w:val="en-US" w:eastAsia="en-US" w:bidi="ar-SA"/>
      </w:rPr>
    </w:lvl>
    <w:lvl w:ilvl="8">
      <w:numFmt w:val="bullet"/>
      <w:lvlText w:val="•"/>
      <w:lvlJc w:val="left"/>
      <w:pPr>
        <w:ind w:left="7298" w:hanging="338"/>
      </w:pPr>
      <w:rPr>
        <w:rFonts w:hint="default"/>
        <w:lang w:val="en-US" w:eastAsia="en-US" w:bidi="ar-SA"/>
      </w:rPr>
    </w:lvl>
  </w:abstractNum>
  <w:abstractNum w:abstractNumId="4" w15:restartNumberingAfterBreak="0">
    <w:nsid w:val="7D66052F"/>
    <w:multiLevelType w:val="hybridMultilevel"/>
    <w:tmpl w:val="1E889B4A"/>
    <w:lvl w:ilvl="0" w:tplc="EBE68EC2">
      <w:start w:val="1"/>
      <w:numFmt w:val="decimal"/>
      <w:lvlText w:val="%1."/>
      <w:lvlJc w:val="left"/>
      <w:pPr>
        <w:ind w:left="23" w:hanging="270"/>
        <w:jc w:val="left"/>
      </w:pPr>
      <w:rPr>
        <w:rFonts w:ascii="Arial MT" w:eastAsia="Arial MT" w:hAnsi="Arial MT" w:cs="Arial MT" w:hint="default"/>
        <w:b w:val="0"/>
        <w:bCs w:val="0"/>
        <w:i w:val="0"/>
        <w:iCs w:val="0"/>
        <w:spacing w:val="0"/>
        <w:w w:val="100"/>
        <w:sz w:val="24"/>
        <w:szCs w:val="24"/>
        <w:lang w:val="en-US" w:eastAsia="en-US" w:bidi="ar-SA"/>
      </w:rPr>
    </w:lvl>
    <w:lvl w:ilvl="1" w:tplc="29C27DEA">
      <w:numFmt w:val="bullet"/>
      <w:lvlText w:val="•"/>
      <w:lvlJc w:val="left"/>
      <w:pPr>
        <w:ind w:left="939" w:hanging="270"/>
      </w:pPr>
      <w:rPr>
        <w:rFonts w:hint="default"/>
        <w:lang w:val="en-US" w:eastAsia="en-US" w:bidi="ar-SA"/>
      </w:rPr>
    </w:lvl>
    <w:lvl w:ilvl="2" w:tplc="DA822664">
      <w:numFmt w:val="bullet"/>
      <w:lvlText w:val="•"/>
      <w:lvlJc w:val="left"/>
      <w:pPr>
        <w:ind w:left="1858" w:hanging="270"/>
      </w:pPr>
      <w:rPr>
        <w:rFonts w:hint="default"/>
        <w:lang w:val="en-US" w:eastAsia="en-US" w:bidi="ar-SA"/>
      </w:rPr>
    </w:lvl>
    <w:lvl w:ilvl="3" w:tplc="43C2C830">
      <w:numFmt w:val="bullet"/>
      <w:lvlText w:val="•"/>
      <w:lvlJc w:val="left"/>
      <w:pPr>
        <w:ind w:left="2777" w:hanging="270"/>
      </w:pPr>
      <w:rPr>
        <w:rFonts w:hint="default"/>
        <w:lang w:val="en-US" w:eastAsia="en-US" w:bidi="ar-SA"/>
      </w:rPr>
    </w:lvl>
    <w:lvl w:ilvl="4" w:tplc="881AE76E">
      <w:numFmt w:val="bullet"/>
      <w:lvlText w:val="•"/>
      <w:lvlJc w:val="left"/>
      <w:pPr>
        <w:ind w:left="3696" w:hanging="270"/>
      </w:pPr>
      <w:rPr>
        <w:rFonts w:hint="default"/>
        <w:lang w:val="en-US" w:eastAsia="en-US" w:bidi="ar-SA"/>
      </w:rPr>
    </w:lvl>
    <w:lvl w:ilvl="5" w:tplc="EE14369E">
      <w:numFmt w:val="bullet"/>
      <w:lvlText w:val="•"/>
      <w:lvlJc w:val="left"/>
      <w:pPr>
        <w:ind w:left="4616" w:hanging="270"/>
      </w:pPr>
      <w:rPr>
        <w:rFonts w:hint="default"/>
        <w:lang w:val="en-US" w:eastAsia="en-US" w:bidi="ar-SA"/>
      </w:rPr>
    </w:lvl>
    <w:lvl w:ilvl="6" w:tplc="C73E3750">
      <w:numFmt w:val="bullet"/>
      <w:lvlText w:val="•"/>
      <w:lvlJc w:val="left"/>
      <w:pPr>
        <w:ind w:left="5535" w:hanging="270"/>
      </w:pPr>
      <w:rPr>
        <w:rFonts w:hint="default"/>
        <w:lang w:val="en-US" w:eastAsia="en-US" w:bidi="ar-SA"/>
      </w:rPr>
    </w:lvl>
    <w:lvl w:ilvl="7" w:tplc="3FD2C8B6">
      <w:numFmt w:val="bullet"/>
      <w:lvlText w:val="•"/>
      <w:lvlJc w:val="left"/>
      <w:pPr>
        <w:ind w:left="6454" w:hanging="270"/>
      </w:pPr>
      <w:rPr>
        <w:rFonts w:hint="default"/>
        <w:lang w:val="en-US" w:eastAsia="en-US" w:bidi="ar-SA"/>
      </w:rPr>
    </w:lvl>
    <w:lvl w:ilvl="8" w:tplc="8D3CAE4E">
      <w:numFmt w:val="bullet"/>
      <w:lvlText w:val="•"/>
      <w:lvlJc w:val="left"/>
      <w:pPr>
        <w:ind w:left="7373" w:hanging="270"/>
      </w:pPr>
      <w:rPr>
        <w:rFonts w:hint="default"/>
        <w:lang w:val="en-US" w:eastAsia="en-US" w:bidi="ar-SA"/>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22CE8"/>
    <w:rsid w:val="00122CE8"/>
    <w:rsid w:val="00AC01CC"/>
    <w:rsid w:val="00D30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DF5B0"/>
  <w15:docId w15:val="{F68A3F0E-D989-428E-9B1B-9CBDE60B5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64"/>
      <w:ind w:left="23"/>
      <w:outlineLvl w:val="0"/>
    </w:pPr>
    <w:rPr>
      <w:rFonts w:ascii="Arial" w:eastAsia="Arial" w:hAnsi="Arial" w:cs="Arial"/>
      <w:b/>
      <w:bCs/>
      <w:sz w:val="32"/>
      <w:szCs w:val="32"/>
    </w:rPr>
  </w:style>
  <w:style w:type="paragraph" w:styleId="Heading2">
    <w:name w:val="heading 2"/>
    <w:basedOn w:val="Normal"/>
    <w:uiPriority w:val="9"/>
    <w:unhideWhenUsed/>
    <w:qFormat/>
    <w:pPr>
      <w:ind w:left="487" w:hanging="464"/>
      <w:outlineLvl w:val="1"/>
    </w:pPr>
    <w:rPr>
      <w:rFonts w:ascii="Arial" w:eastAsia="Arial" w:hAnsi="Arial" w:cs="Arial"/>
      <w:b/>
      <w:bCs/>
      <w:sz w:val="28"/>
      <w:szCs w:val="28"/>
    </w:rPr>
  </w:style>
  <w:style w:type="paragraph" w:styleId="Heading3">
    <w:name w:val="heading 3"/>
    <w:basedOn w:val="Normal"/>
    <w:uiPriority w:val="9"/>
    <w:unhideWhenUsed/>
    <w:qFormat/>
    <w:pPr>
      <w:ind w:left="549" w:right="687"/>
      <w:jc w:val="center"/>
      <w:outlineLvl w:val="2"/>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2"/>
      <w:ind w:left="256" w:hanging="233"/>
    </w:pPr>
    <w:rPr>
      <w:rFonts w:ascii="Cambria" w:eastAsia="Cambria" w:hAnsi="Cambria" w:cs="Cambria"/>
      <w:sz w:val="24"/>
      <w:szCs w:val="24"/>
    </w:rPr>
  </w:style>
  <w:style w:type="paragraph" w:styleId="TOC2">
    <w:name w:val="toc 2"/>
    <w:basedOn w:val="Normal"/>
    <w:uiPriority w:val="1"/>
    <w:qFormat/>
    <w:pPr>
      <w:spacing w:before="121"/>
      <w:ind w:left="598" w:hanging="335"/>
    </w:pPr>
    <w:rPr>
      <w:rFonts w:ascii="Cambria" w:eastAsia="Cambria" w:hAnsi="Cambria" w:cs="Cambria"/>
    </w:rPr>
  </w:style>
  <w:style w:type="paragraph" w:styleId="BodyText">
    <w:name w:val="Body Text"/>
    <w:basedOn w:val="Normal"/>
    <w:uiPriority w:val="1"/>
    <w:qFormat/>
    <w:pPr>
      <w:ind w:left="23" w:right="160"/>
      <w:jc w:val="both"/>
    </w:pPr>
    <w:rPr>
      <w:sz w:val="24"/>
      <w:szCs w:val="24"/>
    </w:rPr>
  </w:style>
  <w:style w:type="paragraph" w:styleId="ListParagraph">
    <w:name w:val="List Paragraph"/>
    <w:basedOn w:val="Normal"/>
    <w:uiPriority w:val="1"/>
    <w:qFormat/>
    <w:pPr>
      <w:ind w:left="23"/>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gov.uk/government/publications/guidance-on-applying-the-wast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pearson.com/en-gb/subject-catalog/p/Slac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hse.gov.uk/chemicals/chemical-wast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www.gov.uk/guidance/check-if-your-material-is-waste"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gov.uk/guidance/chemical-waste-appropriate-measures-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3752</Words>
  <Characters>21393</Characters>
  <Application>Microsoft Office Word</Application>
  <DocSecurity>0</DocSecurity>
  <Lines>178</Lines>
  <Paragraphs>50</Paragraphs>
  <ScaleCrop>false</ScaleCrop>
  <Company/>
  <LinksUpToDate>false</LinksUpToDate>
  <CharactersWithSpaces>25095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Jahid Ahmed</cp:lastModifiedBy>
  <cp:revision>2</cp:revision>
  <dcterms:created xsi:type="dcterms:W3CDTF">2026-05-06T21:09:00Z</dcterms:created>
  <dcterms:modified xsi:type="dcterms:W3CDTF">2026-05-06T21:11:00Z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2026-05-06T00:00:00Z</vt:filetime>
  </property>
  <property fmtid="{D5CDD505-2E9C-101B-9397-08002B2CF9AE}" pid="3" name="LastSaved">
    <vt:filetime>2026-05-06T00:00:00Z</vt:filetime>
  </property>
  <property fmtid="{D5CDD505-2E9C-101B-9397-08002B2CF9AE}" pid="4" name="Producer">
    <vt:lpwstr>macOS Version 15.7.3 (Build 24G419) Quartz PDFContext</vt:lpwstr>
  </property>
</Properties>
</file>