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68572288"/>
        <w:docPartObj>
          <w:docPartGallery w:val="Cover Pages"/>
          <w:docPartUnique/>
        </w:docPartObj>
      </w:sdtPr>
      <w:sdtContent>
        <w:p w14:paraId="5809ED07" w14:textId="4958CF1F" w:rsidR="0024438E" w:rsidRDefault="0024438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FD711AB" wp14:editId="48CD84B8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3F7D6FA0" w14:textId="22E7AFBB" w:rsidR="0024438E" w:rsidRDefault="0024438E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Jamie Parry</w:t>
                                      </w:r>
                                    </w:p>
                                  </w:sdtContent>
                                </w:sdt>
                                <w:p w14:paraId="4A30264A" w14:textId="6BFC50B2" w:rsidR="0024438E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4352F5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24438E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4352F5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2736C6CB" w14:textId="0CB23603" w:rsidR="0024438E" w:rsidRDefault="00457AD5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Social inclusion, victimisation and welfare.</w:t>
                                      </w:r>
                                      <w:r w:rsidR="004352F5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 xml:space="preserve">  Assignment 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FD711AB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3F7D6FA0" w14:textId="22E7AFBB" w:rsidR="0024438E" w:rsidRDefault="0024438E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Jamie Parry</w:t>
                                </w:r>
                              </w:p>
                            </w:sdtContent>
                          </w:sdt>
                          <w:p w14:paraId="4A30264A" w14:textId="6BFC50B2" w:rsidR="0024438E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4352F5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24438E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4352F5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2736C6CB" w14:textId="0CB23603" w:rsidR="0024438E" w:rsidRDefault="00457AD5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Social inclusion, victimisation and welfare.</w:t>
                                </w:r>
                                <w:r w:rsidR="004352F5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 xml:space="preserve">  Assignment 1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703709F" w14:textId="0F695825" w:rsidR="0024438E" w:rsidRDefault="0024438E">
          <w:r>
            <w:br w:type="page"/>
          </w:r>
        </w:p>
      </w:sdtContent>
    </w:sdt>
    <w:p w14:paraId="499FEDD0" w14:textId="6D1A1F1F" w:rsidR="00206315" w:rsidRPr="00687F2D" w:rsidRDefault="00206315" w:rsidP="00687F2D">
      <w:pPr>
        <w:jc w:val="center"/>
        <w:rPr>
          <w:rFonts w:eastAsiaTheme="majorEastAsia" w:cstheme="minorHAnsi"/>
          <w:sz w:val="24"/>
          <w:szCs w:val="24"/>
        </w:rPr>
      </w:pPr>
      <w:r w:rsidRPr="00687F2D">
        <w:rPr>
          <w:rFonts w:eastAsiaTheme="majorEastAsia" w:cstheme="minorHAnsi"/>
          <w:sz w:val="24"/>
          <w:szCs w:val="24"/>
        </w:rPr>
        <w:lastRenderedPageBreak/>
        <w:t>Evaluate key entitlements as outlined in the Code of Practice for Victims of Crime.</w:t>
      </w:r>
    </w:p>
    <w:p w14:paraId="5222DA2E" w14:textId="77777777" w:rsidR="00284CAB" w:rsidRDefault="00284CAB"/>
    <w:p w14:paraId="20E9C04F" w14:textId="33252E8A" w:rsidR="00687F2D" w:rsidRPr="00F70FE6" w:rsidRDefault="003B0FC7">
      <w:pPr>
        <w:rPr>
          <w:rFonts w:cstheme="minorHAnsi"/>
        </w:rPr>
      </w:pPr>
      <w:r w:rsidRPr="00F70FE6">
        <w:rPr>
          <w:rFonts w:cstheme="minorHAnsi"/>
        </w:rPr>
        <w:t xml:space="preserve">Established </w:t>
      </w:r>
      <w:r w:rsidR="004E2C76">
        <w:rPr>
          <w:rFonts w:cstheme="minorHAnsi"/>
        </w:rPr>
        <w:t>in</w:t>
      </w:r>
      <w:r w:rsidRPr="00F70FE6">
        <w:rPr>
          <w:rFonts w:cstheme="minorHAnsi"/>
        </w:rPr>
        <w:t xml:space="preserve"> the Domestic Violence, Crime and Victims Act 2004</w:t>
      </w:r>
      <w:r w:rsidR="00331EF1" w:rsidRPr="00F70FE6">
        <w:rPr>
          <w:rFonts w:cstheme="minorHAnsi"/>
        </w:rPr>
        <w:t xml:space="preserve">, the victims’ code of practise is </w:t>
      </w:r>
      <w:r w:rsidR="00FE1843" w:rsidRPr="00F70FE6">
        <w:rPr>
          <w:rFonts w:cstheme="minorHAnsi"/>
        </w:rPr>
        <w:t xml:space="preserve">a statutory code </w:t>
      </w:r>
      <w:r w:rsidR="004E2C76">
        <w:rPr>
          <w:rFonts w:cstheme="minorHAnsi"/>
        </w:rPr>
        <w:t>stating</w:t>
      </w:r>
      <w:r w:rsidR="004E5D95" w:rsidRPr="00F70FE6">
        <w:rPr>
          <w:rFonts w:cstheme="minorHAnsi"/>
        </w:rPr>
        <w:t xml:space="preserve"> the rights of </w:t>
      </w:r>
      <w:r w:rsidR="00212584" w:rsidRPr="00F70FE6">
        <w:rPr>
          <w:rFonts w:cstheme="minorHAnsi"/>
        </w:rPr>
        <w:t>the</w:t>
      </w:r>
      <w:r w:rsidR="004E5D95" w:rsidRPr="00F70FE6">
        <w:rPr>
          <w:rFonts w:cstheme="minorHAnsi"/>
        </w:rPr>
        <w:t xml:space="preserve"> victim, of which </w:t>
      </w:r>
      <w:r w:rsidR="000A1479">
        <w:rPr>
          <w:rFonts w:cstheme="minorHAnsi"/>
        </w:rPr>
        <w:t xml:space="preserve">was first introduced </w:t>
      </w:r>
      <w:r w:rsidR="004E5D95" w:rsidRPr="00F70FE6">
        <w:rPr>
          <w:rFonts w:cstheme="minorHAnsi"/>
        </w:rPr>
        <w:t>in 2006</w:t>
      </w:r>
      <w:r w:rsidR="00175D0B" w:rsidRPr="00F70FE6">
        <w:rPr>
          <w:rFonts w:cstheme="minorHAnsi"/>
        </w:rPr>
        <w:t xml:space="preserve"> </w:t>
      </w:r>
      <w:r w:rsidR="00212584" w:rsidRPr="00F70FE6">
        <w:rPr>
          <w:rFonts w:cstheme="minorHAnsi"/>
        </w:rPr>
        <w:t>applying to all criminal justice systems</w:t>
      </w:r>
      <w:r w:rsidR="00CE1736" w:rsidRPr="00F70FE6">
        <w:rPr>
          <w:rFonts w:cstheme="minorHAnsi"/>
        </w:rPr>
        <w:t xml:space="preserve"> (Victim</w:t>
      </w:r>
      <w:r w:rsidR="00DF78EA">
        <w:rPr>
          <w:rFonts w:cstheme="minorHAnsi"/>
        </w:rPr>
        <w:t xml:space="preserve"> </w:t>
      </w:r>
      <w:r w:rsidR="00CE1736" w:rsidRPr="00F70FE6">
        <w:rPr>
          <w:rFonts w:cstheme="minorHAnsi"/>
        </w:rPr>
        <w:t>support, 2023)</w:t>
      </w:r>
      <w:r w:rsidR="00212584" w:rsidRPr="00F70FE6">
        <w:rPr>
          <w:rFonts w:cstheme="minorHAnsi"/>
        </w:rPr>
        <w:t>.</w:t>
      </w:r>
      <w:r w:rsidR="00172264" w:rsidRPr="00F70FE6">
        <w:rPr>
          <w:rFonts w:cstheme="minorHAnsi"/>
        </w:rPr>
        <w:t xml:space="preserve">  </w:t>
      </w:r>
      <w:r w:rsidR="00146150" w:rsidRPr="00F70FE6">
        <w:rPr>
          <w:rFonts w:cstheme="minorHAnsi"/>
        </w:rPr>
        <w:t xml:space="preserve">It originated as </w:t>
      </w:r>
      <w:r w:rsidR="00320906" w:rsidRPr="00F70FE6">
        <w:rPr>
          <w:rFonts w:cstheme="minorHAnsi"/>
        </w:rPr>
        <w:t xml:space="preserve">The </w:t>
      </w:r>
      <w:r w:rsidR="00C32014" w:rsidRPr="00F70FE6">
        <w:rPr>
          <w:rFonts w:cstheme="minorHAnsi"/>
        </w:rPr>
        <w:t>Secretary</w:t>
      </w:r>
      <w:r w:rsidR="00320906" w:rsidRPr="00F70FE6">
        <w:rPr>
          <w:rFonts w:cstheme="minorHAnsi"/>
        </w:rPr>
        <w:t xml:space="preserve"> </w:t>
      </w:r>
      <w:r w:rsidR="00C32014" w:rsidRPr="00F70FE6">
        <w:rPr>
          <w:rFonts w:cstheme="minorHAnsi"/>
        </w:rPr>
        <w:t xml:space="preserve">of State for Justice </w:t>
      </w:r>
      <w:r w:rsidR="00146150" w:rsidRPr="00F70FE6">
        <w:rPr>
          <w:rFonts w:cstheme="minorHAnsi"/>
        </w:rPr>
        <w:t>exercised</w:t>
      </w:r>
      <w:r w:rsidR="00C32014" w:rsidRPr="00F70FE6">
        <w:rPr>
          <w:rFonts w:cstheme="minorHAnsi"/>
        </w:rPr>
        <w:t xml:space="preserve"> the powers</w:t>
      </w:r>
      <w:r w:rsidR="00146150" w:rsidRPr="00F70FE6">
        <w:rPr>
          <w:rFonts w:cstheme="minorHAnsi"/>
        </w:rPr>
        <w:t xml:space="preserve"> conferred by </w:t>
      </w:r>
      <w:r w:rsidR="000B2186">
        <w:rPr>
          <w:rFonts w:cstheme="minorHAnsi"/>
        </w:rPr>
        <w:t>S</w:t>
      </w:r>
      <w:r w:rsidR="00146150" w:rsidRPr="00F70FE6">
        <w:rPr>
          <w:rFonts w:cstheme="minorHAnsi"/>
        </w:rPr>
        <w:t xml:space="preserve">ections </w:t>
      </w:r>
      <w:r w:rsidR="00C351B6" w:rsidRPr="00F70FE6">
        <w:rPr>
          <w:rFonts w:cstheme="minorHAnsi"/>
        </w:rPr>
        <w:t xml:space="preserve">33 of the </w:t>
      </w:r>
      <w:r w:rsidR="000B2186">
        <w:rPr>
          <w:rFonts w:cstheme="minorHAnsi"/>
        </w:rPr>
        <w:t>A</w:t>
      </w:r>
      <w:r w:rsidR="00C351B6" w:rsidRPr="00F70FE6">
        <w:rPr>
          <w:rFonts w:cstheme="minorHAnsi"/>
        </w:rPr>
        <w:t xml:space="preserve">ct to </w:t>
      </w:r>
      <w:r w:rsidR="00F73C3D" w:rsidRPr="00F70FE6">
        <w:rPr>
          <w:rFonts w:cstheme="minorHAnsi"/>
        </w:rPr>
        <w:t>introduce</w:t>
      </w:r>
      <w:r w:rsidR="00C351B6" w:rsidRPr="00F70FE6">
        <w:rPr>
          <w:rFonts w:cstheme="minorHAnsi"/>
        </w:rPr>
        <w:t xml:space="preserve"> </w:t>
      </w:r>
      <w:r w:rsidR="00F73C3D" w:rsidRPr="00F70FE6">
        <w:rPr>
          <w:rFonts w:cstheme="minorHAnsi"/>
        </w:rPr>
        <w:t xml:space="preserve">the rights given to victims of crime.  </w:t>
      </w:r>
      <w:r w:rsidR="00170099" w:rsidRPr="00F70FE6">
        <w:rPr>
          <w:rFonts w:cstheme="minorHAnsi"/>
        </w:rPr>
        <w:t xml:space="preserve">The code was recently revised before parliament </w:t>
      </w:r>
      <w:r w:rsidR="00022BB5" w:rsidRPr="00F70FE6">
        <w:rPr>
          <w:rFonts w:cstheme="minorHAnsi"/>
        </w:rPr>
        <w:t>in 2020</w:t>
      </w:r>
      <w:r w:rsidR="00A06E80">
        <w:rPr>
          <w:rFonts w:cstheme="minorHAnsi"/>
        </w:rPr>
        <w:t xml:space="preserve"> (Domestic Violence</w:t>
      </w:r>
      <w:r w:rsidR="00516155">
        <w:rPr>
          <w:rFonts w:cstheme="minorHAnsi"/>
        </w:rPr>
        <w:t xml:space="preserve">, Crime and Victims Act 2004 Victims </w:t>
      </w:r>
      <w:r w:rsidR="00365375">
        <w:rPr>
          <w:rFonts w:cstheme="minorHAnsi"/>
        </w:rPr>
        <w:t>Code of Practise) Order 2020)</w:t>
      </w:r>
      <w:r w:rsidR="000B6435">
        <w:rPr>
          <w:rFonts w:cstheme="minorHAnsi"/>
        </w:rPr>
        <w:t xml:space="preserve">. </w:t>
      </w:r>
      <w:r w:rsidR="00465005" w:rsidRPr="00F70FE6">
        <w:rPr>
          <w:rFonts w:cstheme="minorHAnsi"/>
        </w:rPr>
        <w:t>Th</w:t>
      </w:r>
      <w:r w:rsidR="00D019F4" w:rsidRPr="00F70FE6">
        <w:rPr>
          <w:rFonts w:cstheme="minorHAnsi"/>
        </w:rPr>
        <w:t xml:space="preserve">e purpose of the victims code is to focus on the rights of the victim following a crime, and </w:t>
      </w:r>
      <w:r w:rsidR="002C0928" w:rsidRPr="00F70FE6">
        <w:rPr>
          <w:rFonts w:cstheme="minorHAnsi"/>
        </w:rPr>
        <w:t>highlights</w:t>
      </w:r>
      <w:r w:rsidR="00D019F4" w:rsidRPr="00F70FE6">
        <w:rPr>
          <w:rFonts w:cstheme="minorHAnsi"/>
        </w:rPr>
        <w:t xml:space="preserve"> </w:t>
      </w:r>
      <w:r w:rsidR="00652EE4" w:rsidRPr="00F70FE6">
        <w:rPr>
          <w:rFonts w:cstheme="minorHAnsi"/>
        </w:rPr>
        <w:t xml:space="preserve">the </w:t>
      </w:r>
      <w:r w:rsidR="00837F68">
        <w:rPr>
          <w:rFonts w:cstheme="minorHAnsi"/>
        </w:rPr>
        <w:t xml:space="preserve">bare </w:t>
      </w:r>
      <w:r w:rsidR="00652EE4" w:rsidRPr="00F70FE6">
        <w:rPr>
          <w:rFonts w:cstheme="minorHAnsi"/>
        </w:rPr>
        <w:t xml:space="preserve">minimum standard that organisation must </w:t>
      </w:r>
      <w:r w:rsidR="00692F5E">
        <w:rPr>
          <w:rFonts w:cstheme="minorHAnsi"/>
        </w:rPr>
        <w:t>show</w:t>
      </w:r>
      <w:r w:rsidR="00652EE4" w:rsidRPr="00F70FE6">
        <w:rPr>
          <w:rFonts w:cstheme="minorHAnsi"/>
        </w:rPr>
        <w:t xml:space="preserve"> to victim</w:t>
      </w:r>
      <w:r w:rsidR="002C0928" w:rsidRPr="00F70FE6">
        <w:rPr>
          <w:rFonts w:cstheme="minorHAnsi"/>
        </w:rPr>
        <w:t>s</w:t>
      </w:r>
      <w:r w:rsidR="00232D89" w:rsidRPr="00F70FE6">
        <w:rPr>
          <w:rFonts w:cstheme="minorHAnsi"/>
        </w:rPr>
        <w:t xml:space="preserve">.  </w:t>
      </w:r>
      <w:r w:rsidR="007272AA" w:rsidRPr="00F70FE6">
        <w:rPr>
          <w:rFonts w:cstheme="minorHAnsi"/>
        </w:rPr>
        <w:t xml:space="preserve">Under the code, a person is defined as a victim if they </w:t>
      </w:r>
      <w:r w:rsidR="006E12E1" w:rsidRPr="00F70FE6">
        <w:rPr>
          <w:rFonts w:cstheme="minorHAnsi"/>
        </w:rPr>
        <w:t>have suffered any physical, mental or e</w:t>
      </w:r>
      <w:r w:rsidR="00E83E6B" w:rsidRPr="00F70FE6">
        <w:rPr>
          <w:rFonts w:cstheme="minorHAnsi"/>
        </w:rPr>
        <w:t>motional harm or economic loss as a result of a criminal offence.</w:t>
      </w:r>
      <w:r w:rsidR="00CA3BA0" w:rsidRPr="00F70FE6">
        <w:rPr>
          <w:rFonts w:cstheme="minorHAnsi"/>
        </w:rPr>
        <w:t xml:space="preserve">  The code also recognises </w:t>
      </w:r>
      <w:r w:rsidR="00676406" w:rsidRPr="00F70FE6">
        <w:rPr>
          <w:rFonts w:cstheme="minorHAnsi"/>
        </w:rPr>
        <w:t xml:space="preserve">a </w:t>
      </w:r>
      <w:r w:rsidR="00135C69" w:rsidRPr="00F70FE6">
        <w:rPr>
          <w:rFonts w:cstheme="minorHAnsi"/>
        </w:rPr>
        <w:t>close relative of a person whose death was directly caused</w:t>
      </w:r>
      <w:r w:rsidR="00542B54" w:rsidRPr="00F70FE6">
        <w:rPr>
          <w:rFonts w:cstheme="minorHAnsi"/>
        </w:rPr>
        <w:t xml:space="preserve"> by a criminal offence as a victim</w:t>
      </w:r>
      <w:r w:rsidR="002C0928" w:rsidRPr="00F70FE6">
        <w:rPr>
          <w:rFonts w:cstheme="minorHAnsi"/>
        </w:rPr>
        <w:t xml:space="preserve"> (Ministry of Justice, 2021).</w:t>
      </w:r>
      <w:r w:rsidR="00FD02B2" w:rsidRPr="00F70FE6">
        <w:rPr>
          <w:rFonts w:cstheme="minorHAnsi"/>
        </w:rPr>
        <w:t xml:space="preserve">  The code is </w:t>
      </w:r>
      <w:r w:rsidR="00413F01" w:rsidRPr="00F70FE6">
        <w:rPr>
          <w:rFonts w:cstheme="minorHAnsi"/>
        </w:rPr>
        <w:t>made up of 12 rights.</w:t>
      </w:r>
    </w:p>
    <w:p w14:paraId="617D85C0" w14:textId="72243FAF" w:rsidR="00487019" w:rsidRDefault="00280636">
      <w:r>
        <w:t xml:space="preserve">The eleventh right of the code states that victims </w:t>
      </w:r>
      <w:r w:rsidR="009C4196">
        <w:t xml:space="preserve">must be provided with information about the offender following </w:t>
      </w:r>
      <w:r w:rsidR="00775329">
        <w:t>a conviction.</w:t>
      </w:r>
      <w:r w:rsidR="0060221D">
        <w:t xml:space="preserve">  </w:t>
      </w:r>
      <w:r w:rsidR="00DF67F4">
        <w:t xml:space="preserve">This means that they hold the right to any information regarding the </w:t>
      </w:r>
      <w:r w:rsidR="002879AA">
        <w:t xml:space="preserve">progress of the investigation within specified time scales, </w:t>
      </w:r>
      <w:r w:rsidR="00CC26CF">
        <w:t>such information includes that involving any arrests or court cases (</w:t>
      </w:r>
      <w:r w:rsidR="00EE6F8D">
        <w:t>Gooch and Williams, 2015).</w:t>
      </w:r>
      <w:r w:rsidR="00B01948">
        <w:t xml:space="preserve">  </w:t>
      </w:r>
      <w:r w:rsidR="00DA203B">
        <w:t xml:space="preserve">If and when the offender </w:t>
      </w:r>
      <w:r w:rsidR="00166766">
        <w:t>is in</w:t>
      </w:r>
      <w:r w:rsidR="00DA203B">
        <w:t xml:space="preserve"> </w:t>
      </w:r>
      <w:r w:rsidR="00DE4E90">
        <w:t>consideration of parole or release is also information that should be disclosed.</w:t>
      </w:r>
      <w:r w:rsidR="00934521">
        <w:t xml:space="preserve">  </w:t>
      </w:r>
      <w:r w:rsidR="004502D6">
        <w:t xml:space="preserve">When the </w:t>
      </w:r>
      <w:r w:rsidR="00851326">
        <w:t xml:space="preserve">courts are imposing a sentence, they must </w:t>
      </w:r>
      <w:r w:rsidR="00EA7B10">
        <w:t xml:space="preserve">consider the victims personal statement alongside any other supporting evidence.  </w:t>
      </w:r>
      <w:r w:rsidR="00121CA1">
        <w:t xml:space="preserve">The statement, in writing consists of </w:t>
      </w:r>
      <w:r w:rsidR="00CC6581">
        <w:t xml:space="preserve">the </w:t>
      </w:r>
      <w:r w:rsidR="007F53E7">
        <w:t>victim’s</w:t>
      </w:r>
      <w:r w:rsidR="00CC6581">
        <w:t xml:space="preserve"> documentation of any physical, emotional</w:t>
      </w:r>
      <w:r w:rsidR="00C444BC">
        <w:t>, psychological and financial impact of the crime</w:t>
      </w:r>
      <w:r w:rsidR="007F53E7">
        <w:t xml:space="preserve">.  </w:t>
      </w:r>
      <w:r w:rsidR="00777CF5">
        <w:t xml:space="preserve">Made up of two stages, the first is composed </w:t>
      </w:r>
      <w:r w:rsidR="008E671F">
        <w:t>when the victim makes a statement to the police as a witness statement</w:t>
      </w:r>
      <w:r w:rsidR="00F24475">
        <w:t xml:space="preserve">, and </w:t>
      </w:r>
      <w:r w:rsidR="00E86447">
        <w:t xml:space="preserve">is concerned with </w:t>
      </w:r>
      <w:r w:rsidR="00AD3DA8">
        <w:t>bail, compensation, problems of vulnerability and the</w:t>
      </w:r>
      <w:r w:rsidR="00AB0F42">
        <w:t xml:space="preserve">ir willingness to take part in restorative justice.  The second stage </w:t>
      </w:r>
      <w:r w:rsidR="00E02687">
        <w:t>regards any long-term effects brought about by the crime</w:t>
      </w:r>
      <w:r w:rsidR="00E747DE">
        <w:t xml:space="preserve"> (Wolhutor, 2012).</w:t>
      </w:r>
      <w:r w:rsidR="00DB6A78">
        <w:t xml:space="preserve">  The benefits of </w:t>
      </w:r>
      <w:r w:rsidR="00E5169B">
        <w:t>victim’s</w:t>
      </w:r>
      <w:r w:rsidR="003C06AB">
        <w:t xml:space="preserve"> </w:t>
      </w:r>
      <w:r w:rsidR="0072199F">
        <w:t xml:space="preserve">personal statements include that </w:t>
      </w:r>
      <w:r w:rsidR="00E5169B">
        <w:t>it</w:t>
      </w:r>
      <w:r w:rsidR="0072199F">
        <w:t xml:space="preserve"> provides </w:t>
      </w:r>
      <w:r w:rsidR="002B4ED7">
        <w:t xml:space="preserve">the opportunity for victims to </w:t>
      </w:r>
      <w:r w:rsidR="003C06AB">
        <w:t xml:space="preserve">send a message to the </w:t>
      </w:r>
      <w:r w:rsidR="00613E06">
        <w:t>courts, and</w:t>
      </w:r>
      <w:r w:rsidR="00F84CBB">
        <w:t xml:space="preserve"> that </w:t>
      </w:r>
      <w:r w:rsidR="00F430DB">
        <w:t xml:space="preserve">victims who submit statements are often </w:t>
      </w:r>
      <w:r w:rsidR="005A7BF6">
        <w:t xml:space="preserve">more likely to be </w:t>
      </w:r>
      <w:r w:rsidR="00A11B6A">
        <w:t>satisfied</w:t>
      </w:r>
      <w:r w:rsidR="005A7BF6">
        <w:t xml:space="preserve"> with the sentencing process than those who do not</w:t>
      </w:r>
      <w:r w:rsidR="00DD25A3">
        <w:t xml:space="preserve"> (Roberts and Manikis, 2011).</w:t>
      </w:r>
      <w:r w:rsidR="00CA6E12">
        <w:t xml:space="preserve">  As for judges, </w:t>
      </w:r>
      <w:r w:rsidR="007172C8">
        <w:t xml:space="preserve">many find statements useful for </w:t>
      </w:r>
      <w:r w:rsidR="00B37E8C">
        <w:t>sentencing</w:t>
      </w:r>
      <w:r w:rsidR="00E80B58">
        <w:t xml:space="preserve"> when</w:t>
      </w:r>
      <w:r w:rsidR="00B37E8C">
        <w:t xml:space="preserve"> considering the seriousness of the offence or </w:t>
      </w:r>
      <w:r w:rsidR="002D0352">
        <w:t>identifying compensation for the victim.</w:t>
      </w:r>
      <w:r w:rsidR="003E62AF">
        <w:t xml:space="preserve">  However, </w:t>
      </w:r>
      <w:r w:rsidR="00F70060">
        <w:t>Witness and Victim Experience Survey</w:t>
      </w:r>
      <w:r w:rsidR="00C1255B">
        <w:t xml:space="preserve"> data states that </w:t>
      </w:r>
      <w:r w:rsidR="000142D1">
        <w:t>fewer</w:t>
      </w:r>
      <w:r w:rsidR="00C1255B">
        <w:t xml:space="preserve"> than </w:t>
      </w:r>
      <w:r w:rsidR="000142D1">
        <w:t xml:space="preserve">50 percent </w:t>
      </w:r>
      <w:r w:rsidR="00C1255B">
        <w:t xml:space="preserve"> of victims </w:t>
      </w:r>
      <w:r w:rsidR="00534445">
        <w:t>asked, recalled</w:t>
      </w:r>
      <w:r w:rsidR="00217325">
        <w:t xml:space="preserve"> </w:t>
      </w:r>
      <w:r w:rsidR="000142D1">
        <w:t xml:space="preserve">having </w:t>
      </w:r>
      <w:r w:rsidR="00217325">
        <w:t xml:space="preserve">the opportunity to make a statement.  </w:t>
      </w:r>
      <w:r w:rsidR="002077AE">
        <w:t xml:space="preserve">Of those who had </w:t>
      </w:r>
      <w:r w:rsidR="00347F32">
        <w:t xml:space="preserve">submitted a statement, only half again felt that their statement had been fully </w:t>
      </w:r>
      <w:r w:rsidR="00FF2184">
        <w:t xml:space="preserve">taken into consideration </w:t>
      </w:r>
      <w:r w:rsidR="00A14CE4">
        <w:t>(Roberts and Manikis, 2011).</w:t>
      </w:r>
      <w:r w:rsidR="0038217F">
        <w:t xml:space="preserve">  Under this right, victims of crime are eligible for the victim contact scheme, </w:t>
      </w:r>
      <w:r w:rsidR="002835EB">
        <w:t xml:space="preserve">where the offender committed a sexual or </w:t>
      </w:r>
      <w:r w:rsidR="00460662">
        <w:t xml:space="preserve">violent crime and is facing a minimum of 12 months in prison, </w:t>
      </w:r>
      <w:r w:rsidR="0038217F">
        <w:t xml:space="preserve">providing the offender is above the age of </w:t>
      </w:r>
      <w:r w:rsidR="00F26B52">
        <w:t>18</w:t>
      </w:r>
      <w:r w:rsidR="00460662">
        <w:t xml:space="preserve"> (</w:t>
      </w:r>
      <w:r w:rsidR="003B2271">
        <w:t>Ministry of Justice,</w:t>
      </w:r>
      <w:r w:rsidR="00832609">
        <w:t xml:space="preserve"> 2020)</w:t>
      </w:r>
      <w:r w:rsidR="0099774C">
        <w:t>.</w:t>
      </w:r>
      <w:r w:rsidR="000A1638">
        <w:t xml:space="preserve">  The code emphasises that police forces </w:t>
      </w:r>
      <w:r w:rsidR="002A5A14">
        <w:t xml:space="preserve">must </w:t>
      </w:r>
      <w:r w:rsidR="00704226">
        <w:t>disclose</w:t>
      </w:r>
      <w:r w:rsidR="003B4378">
        <w:t xml:space="preserve"> any information to</w:t>
      </w:r>
      <w:r w:rsidR="002A5A14">
        <w:t xml:space="preserve"> the victim </w:t>
      </w:r>
      <w:r w:rsidR="003B4378">
        <w:t xml:space="preserve">on a monthly basis </w:t>
      </w:r>
      <w:r w:rsidR="002A5A14">
        <w:t>until the closure of the investigation</w:t>
      </w:r>
      <w:r w:rsidR="006A0DB3">
        <w:t xml:space="preserve">, key events in the case should be </w:t>
      </w:r>
      <w:r w:rsidR="003A1C3A">
        <w:t>communicated one working day for vulnerable and intimidated victims and f</w:t>
      </w:r>
      <w:r w:rsidR="00A80DF6">
        <w:t>i</w:t>
      </w:r>
      <w:r w:rsidR="003A1C3A">
        <w:t>ve working days for other victims</w:t>
      </w:r>
      <w:r w:rsidR="00A80DF6">
        <w:t xml:space="preserve"> (</w:t>
      </w:r>
      <w:r w:rsidR="00486879">
        <w:t>Criminal</w:t>
      </w:r>
      <w:r w:rsidR="000F27F9">
        <w:t xml:space="preserve"> Justice Joint Inspection, 2009).</w:t>
      </w:r>
      <w:r w:rsidR="001D6690">
        <w:t xml:space="preserve">  </w:t>
      </w:r>
      <w:r w:rsidR="006210BE">
        <w:t>The MORI</w:t>
      </w:r>
      <w:r w:rsidR="00674299">
        <w:t xml:space="preserve"> study conducted in 2004 </w:t>
      </w:r>
      <w:r w:rsidR="00C57090">
        <w:t xml:space="preserve">highlighted that victims were generally satisfied </w:t>
      </w:r>
      <w:r w:rsidR="00E7594C">
        <w:t>with their officer and the support provided</w:t>
      </w:r>
      <w:r w:rsidR="006D4742">
        <w:t>, however, f</w:t>
      </w:r>
      <w:r w:rsidR="009B5A4E">
        <w:t>urther investigation found that</w:t>
      </w:r>
      <w:r w:rsidR="006D4742">
        <w:t xml:space="preserve"> 53 percent of people had </w:t>
      </w:r>
      <w:r w:rsidR="005F5348">
        <w:t xml:space="preserve">received information </w:t>
      </w:r>
      <w:r w:rsidR="000A5B46">
        <w:t xml:space="preserve">within two months of the offender being sentenced.  </w:t>
      </w:r>
      <w:r w:rsidR="004B338E">
        <w:t xml:space="preserve">A period of time considered to be too long for half of those surveyed.  </w:t>
      </w:r>
      <w:r w:rsidR="00CE7170">
        <w:t xml:space="preserve">44 percent were satisfied and only 2 percent believed that </w:t>
      </w:r>
      <w:r w:rsidR="009C5483">
        <w:t>it was not long enough.</w:t>
      </w:r>
      <w:r w:rsidR="008C2F5C">
        <w:t xml:space="preserve">  </w:t>
      </w:r>
      <w:r w:rsidR="007E715F">
        <w:t xml:space="preserve">The study also showed that </w:t>
      </w:r>
      <w:r w:rsidR="000B687F">
        <w:t xml:space="preserve">victims were pleased with the methods of communication used by their officers </w:t>
      </w:r>
      <w:r w:rsidR="00CF3CBA">
        <w:t xml:space="preserve">and </w:t>
      </w:r>
      <w:r w:rsidR="00F1392F">
        <w:t>believed they were easily contacted (</w:t>
      </w:r>
      <w:r w:rsidR="00051886">
        <w:t>Goodman, 2006).</w:t>
      </w:r>
      <w:r w:rsidR="006A57D1">
        <w:t xml:space="preserve">  </w:t>
      </w:r>
      <w:r w:rsidR="00443905">
        <w:t xml:space="preserve">There are a range of benefits </w:t>
      </w:r>
      <w:r w:rsidR="00D2742B">
        <w:t xml:space="preserve">to the victim contact scheme.  Firstly, </w:t>
      </w:r>
      <w:r w:rsidR="00F3327E">
        <w:t xml:space="preserve">closure for the victims.  </w:t>
      </w:r>
      <w:r w:rsidR="004512AD">
        <w:t xml:space="preserve">When the victim is updated on the </w:t>
      </w:r>
      <w:r w:rsidR="001B5D38">
        <w:t>offender’s</w:t>
      </w:r>
      <w:r w:rsidR="004512AD">
        <w:t xml:space="preserve"> sentence</w:t>
      </w:r>
      <w:r w:rsidR="001B5D38">
        <w:t>, they are more likely to feel as if justice has been served</w:t>
      </w:r>
      <w:r w:rsidR="002809A3">
        <w:t xml:space="preserve">, in oppose to </w:t>
      </w:r>
      <w:r w:rsidR="002809A3">
        <w:lastRenderedPageBreak/>
        <w:t>being kept in the dark</w:t>
      </w:r>
      <w:r w:rsidR="001B5D38">
        <w:t xml:space="preserve">.  In turn, they may feel less vulnerable of </w:t>
      </w:r>
      <w:r w:rsidR="002809A3">
        <w:t>being a repeat victim and therefore safer</w:t>
      </w:r>
      <w:r w:rsidR="00A0720A">
        <w:t xml:space="preserve">, knowing that the offender has or is facing the punishments for </w:t>
      </w:r>
      <w:r w:rsidR="00AB1C89">
        <w:t>committing the crime</w:t>
      </w:r>
      <w:r w:rsidR="002809A3">
        <w:t>.</w:t>
      </w:r>
      <w:r w:rsidR="00865CD1">
        <w:t xml:space="preserve">  It </w:t>
      </w:r>
      <w:r w:rsidR="003F6DA9">
        <w:t xml:space="preserve">also </w:t>
      </w:r>
      <w:r w:rsidR="00865CD1">
        <w:t xml:space="preserve">allows for the </w:t>
      </w:r>
      <w:r w:rsidR="00110F55">
        <w:t>victim’s</w:t>
      </w:r>
      <w:r w:rsidR="00865CD1">
        <w:t xml:space="preserve"> </w:t>
      </w:r>
      <w:r w:rsidR="00F1551E">
        <w:t xml:space="preserve">views to be considered </w:t>
      </w:r>
      <w:r w:rsidR="00110F55">
        <w:t xml:space="preserve">when the conditions are being set for the </w:t>
      </w:r>
      <w:r w:rsidR="009064B6">
        <w:t>offender’s release on licence such as exclusion zones, to prevent offenders from entering areas where the victim lives or works, in order to protect them.</w:t>
      </w:r>
      <w:r w:rsidR="00C22E02">
        <w:t xml:space="preserve">  However, there may be instances where the victim would prefer not </w:t>
      </w:r>
      <w:r w:rsidR="00452996">
        <w:t>to talk about the offender, although they can opt out of the scheme.</w:t>
      </w:r>
      <w:r w:rsidR="00510C2A">
        <w:t xml:space="preserve">  </w:t>
      </w:r>
      <w:r w:rsidR="0070320A">
        <w:t xml:space="preserve">The United Nations argue that </w:t>
      </w:r>
      <w:r w:rsidR="00C95213">
        <w:t xml:space="preserve">the non-disclosure of information such as the </w:t>
      </w:r>
      <w:r w:rsidR="00A24572">
        <w:t>trial date is a lack of respect and recognition, as it can make it difficult for the victim to attend the trial</w:t>
      </w:r>
      <w:r w:rsidR="00070651">
        <w:t xml:space="preserve"> (</w:t>
      </w:r>
      <w:r w:rsidR="00784947">
        <w:t>United Nations Office on Drugs and Crime, 2019)</w:t>
      </w:r>
      <w:r w:rsidR="00E060B5">
        <w:t>, although the rights protect this from occurring.</w:t>
      </w:r>
    </w:p>
    <w:p w14:paraId="37A356EB" w14:textId="2A4DC871" w:rsidR="00694977" w:rsidRPr="0078695F" w:rsidRDefault="001520EF" w:rsidP="0078695F">
      <w:r>
        <w:t xml:space="preserve">Another right set </w:t>
      </w:r>
      <w:r w:rsidR="000618A3">
        <w:t xml:space="preserve">out in the code is the right to be </w:t>
      </w:r>
      <w:r w:rsidR="001A47C5">
        <w:t>given</w:t>
      </w:r>
      <w:r w:rsidR="000618A3">
        <w:t xml:space="preserve"> information when reporting the crime,</w:t>
      </w:r>
      <w:r w:rsidR="00CC0AB2">
        <w:t xml:space="preserve"> </w:t>
      </w:r>
      <w:r w:rsidR="00887CA2">
        <w:t>when reporting a crime or making an allegation</w:t>
      </w:r>
      <w:r w:rsidR="009A0876">
        <w:t xml:space="preserve">, the victim is entitled to </w:t>
      </w:r>
      <w:r w:rsidR="00F873C3">
        <w:t xml:space="preserve">a written confirmation, which includes </w:t>
      </w:r>
      <w:r w:rsidR="00FC140A">
        <w:t xml:space="preserve">the basic details of the crime, the crime reference number and </w:t>
      </w:r>
      <w:r w:rsidR="007520AE">
        <w:t>contact details for the police officer responsible for their case.</w:t>
      </w:r>
      <w:r w:rsidR="00A05AB8">
        <w:t xml:space="preserve"> </w:t>
      </w:r>
      <w:r w:rsidR="00A47D3B">
        <w:t xml:space="preserve">  Overall, this information is </w:t>
      </w:r>
      <w:r w:rsidR="00095359">
        <w:t xml:space="preserve">useful for victims who </w:t>
      </w:r>
      <w:r w:rsidR="004F1BDB">
        <w:t xml:space="preserve">would like to keep in touch with the officer in order to </w:t>
      </w:r>
      <w:r w:rsidR="00ED1D5A">
        <w:t>assist them in seeking justice.</w:t>
      </w:r>
      <w:r w:rsidR="006B5356">
        <w:t xml:space="preserve">  The risk </w:t>
      </w:r>
      <w:r w:rsidR="006338B9">
        <w:t xml:space="preserve">of harm that could be brought about from the confirmation is considered by the police </w:t>
      </w:r>
      <w:r w:rsidR="004A6D3F">
        <w:t>i</w:t>
      </w:r>
      <w:r w:rsidR="006338B9">
        <w:t xml:space="preserve">n order to </w:t>
      </w:r>
      <w:r w:rsidR="000F08F1">
        <w:t xml:space="preserve">prioritise the </w:t>
      </w:r>
      <w:r w:rsidR="005D04F0">
        <w:t>victim’s</w:t>
      </w:r>
      <w:r w:rsidR="000F08F1">
        <w:t xml:space="preserve"> safety, they do this by </w:t>
      </w:r>
      <w:r w:rsidR="00EE2559">
        <w:t>providing the confirmation in a way that will not put the victims safety at risk.</w:t>
      </w:r>
      <w:r w:rsidR="006958BA">
        <w:t xml:space="preserve">  </w:t>
      </w:r>
      <w:r w:rsidR="0067429C">
        <w:t xml:space="preserve">Victims are also entitled to further information regarding </w:t>
      </w:r>
      <w:r w:rsidR="008C1316">
        <w:t>the criminal justice system, and assistance in</w:t>
      </w:r>
      <w:r w:rsidR="00D45CED">
        <w:t xml:space="preserve"> seeking advice and support, such as </w:t>
      </w:r>
      <w:r w:rsidR="003F2ADA">
        <w:t xml:space="preserve">that for compensation or medical support.  </w:t>
      </w:r>
      <w:r w:rsidR="001474DD">
        <w:t xml:space="preserve">This helps victims feel supported during </w:t>
      </w:r>
      <w:r w:rsidR="00C96DD8">
        <w:t xml:space="preserve">the process of reporting a crime and </w:t>
      </w:r>
      <w:r w:rsidR="00CC2BEE">
        <w:t>others may become more likely to report crimes after seeing the support and services available</w:t>
      </w:r>
      <w:r w:rsidR="00756425">
        <w:t xml:space="preserve">, as it is common for </w:t>
      </w:r>
      <w:r w:rsidR="008C3F35">
        <w:t xml:space="preserve">victims of sexual assault to not report the crime as </w:t>
      </w:r>
      <w:r w:rsidR="00C72D13">
        <w:t>they feel that the police would blame them or be insensitive (</w:t>
      </w:r>
      <w:r w:rsidR="00084E94">
        <w:t>Jones et al, 2002).</w:t>
      </w:r>
      <w:r w:rsidR="00634CC8">
        <w:t xml:space="preserve">  </w:t>
      </w:r>
      <w:r w:rsidR="00436B76">
        <w:t xml:space="preserve">Information regarding accommodation should be available </w:t>
      </w:r>
      <w:r w:rsidR="00B42D24">
        <w:t xml:space="preserve">and is very helpful for victims for crimes such </w:t>
      </w:r>
      <w:r w:rsidR="000B75FC">
        <w:t xml:space="preserve">as domestic abuse.  Many organisations that seek to </w:t>
      </w:r>
      <w:r w:rsidR="00414EB0">
        <w:t xml:space="preserve">provide advise and support on how to </w:t>
      </w:r>
      <w:r w:rsidR="00176427">
        <w:t>access a safe place to stay</w:t>
      </w:r>
      <w:r w:rsidR="00414EB0">
        <w:t xml:space="preserve"> should be </w:t>
      </w:r>
      <w:r w:rsidR="00F2427D">
        <w:t>made aware of by the police.</w:t>
      </w:r>
      <w:r w:rsidR="00BB5936">
        <w:t xml:space="preserve">  </w:t>
      </w:r>
      <w:r w:rsidR="001E281C">
        <w:t xml:space="preserve">Information </w:t>
      </w:r>
      <w:r w:rsidR="00C4589A">
        <w:t>about suppo</w:t>
      </w:r>
      <w:r w:rsidR="00604F29">
        <w:t>rt is vital for some victims of serious crime and can help them move forward from their traumatic experiences.</w:t>
      </w:r>
      <w:r w:rsidR="00510C2A">
        <w:t xml:space="preserve">  </w:t>
      </w:r>
      <w:r w:rsidR="00604F29">
        <w:t xml:space="preserve">The code </w:t>
      </w:r>
      <w:r w:rsidR="005F32ED">
        <w:t xml:space="preserve">recognises </w:t>
      </w:r>
      <w:r w:rsidR="00DE6A84">
        <w:t xml:space="preserve">victims of honour based </w:t>
      </w:r>
      <w:r w:rsidR="005D04F0">
        <w:t>violence,</w:t>
      </w:r>
      <w:r w:rsidR="00DE6A84">
        <w:t xml:space="preserve"> forced marriage and female genital mutilation</w:t>
      </w:r>
      <w:r w:rsidR="005E695A">
        <w:t xml:space="preserve"> as priority groups, meaning that victims of such crimes are </w:t>
      </w:r>
      <w:r w:rsidR="00D150FC">
        <w:t>provided with the appropriate support</w:t>
      </w:r>
      <w:r w:rsidR="001357E2">
        <w:t xml:space="preserve">.  The code recommends that these victims get </w:t>
      </w:r>
      <w:r w:rsidR="005A5F0A">
        <w:t>enhanced support (</w:t>
      </w:r>
      <w:r w:rsidR="00C524C4">
        <w:t xml:space="preserve">Gill, Cox and Weir, 2018). </w:t>
      </w:r>
      <w:r w:rsidR="00DE6A84">
        <w:t xml:space="preserve"> </w:t>
      </w:r>
      <w:r w:rsidR="001F5873">
        <w:t xml:space="preserve">Under this right, the victim </w:t>
      </w:r>
      <w:r w:rsidR="004B4F99">
        <w:t xml:space="preserve">should also receive information on restorative justice.  </w:t>
      </w:r>
      <w:r w:rsidR="00C86736">
        <w:t>Restorative justice</w:t>
      </w:r>
      <w:r w:rsidR="00286254">
        <w:t xml:space="preserve"> is an approach to criminal justice that focuses on </w:t>
      </w:r>
      <w:r w:rsidR="00936725">
        <w:t xml:space="preserve">restoring the victim and the community </w:t>
      </w:r>
      <w:r w:rsidR="00246DB4">
        <w:t xml:space="preserve">in oppose to punishing the offender.  </w:t>
      </w:r>
      <w:r w:rsidR="00ED4D16">
        <w:t xml:space="preserve">The </w:t>
      </w:r>
      <w:r w:rsidR="005E7FBB">
        <w:t>Restorative</w:t>
      </w:r>
      <w:r w:rsidR="00ED4D16">
        <w:t xml:space="preserve"> </w:t>
      </w:r>
      <w:r w:rsidR="005E7FBB">
        <w:t xml:space="preserve">Justice Consortium </w:t>
      </w:r>
      <w:r w:rsidR="0026779A">
        <w:t xml:space="preserve">defines it as working to </w:t>
      </w:r>
      <w:r w:rsidR="00477911">
        <w:t xml:space="preserve">resolve conflict and repair harm, it aims for the offenders to </w:t>
      </w:r>
      <w:r w:rsidR="004B5B62">
        <w:t>acknowledge their wrong doings and provide them with the chance to make reparation</w:t>
      </w:r>
      <w:r w:rsidR="005A3A7F">
        <w:t>, while allowing victims t</w:t>
      </w:r>
      <w:r w:rsidR="00045A43">
        <w:t>he chance to have their harm or loss acknowledged (</w:t>
      </w:r>
      <w:r w:rsidR="00F80632">
        <w:t>Liebmann</w:t>
      </w:r>
      <w:r w:rsidR="002240B3">
        <w:t xml:space="preserve">, 2007).  As for victims, </w:t>
      </w:r>
      <w:r w:rsidR="001E4D63">
        <w:t xml:space="preserve">restorative justice often has large impact.  </w:t>
      </w:r>
      <w:r w:rsidR="006052F2">
        <w:t xml:space="preserve">It has been shown to </w:t>
      </w:r>
      <w:r w:rsidR="00D778FF">
        <w:t>prevent</w:t>
      </w:r>
      <w:r w:rsidR="006052F2">
        <w:t xml:space="preserve"> reoffendin</w:t>
      </w:r>
      <w:r w:rsidR="002C68F8">
        <w:t xml:space="preserve">g and </w:t>
      </w:r>
      <w:r w:rsidR="006C6714">
        <w:t xml:space="preserve">leave more victims </w:t>
      </w:r>
      <w:r w:rsidR="002C68F8">
        <w:t>satisf</w:t>
      </w:r>
      <w:r w:rsidR="006C6714">
        <w:t>ied</w:t>
      </w:r>
      <w:r w:rsidR="002C68F8">
        <w:t xml:space="preserve"> with the </w:t>
      </w:r>
      <w:r w:rsidR="006C6714">
        <w:t xml:space="preserve">work of the </w:t>
      </w:r>
      <w:r w:rsidR="002C68F8">
        <w:t>criminal justice system.</w:t>
      </w:r>
      <w:r w:rsidR="006668E4">
        <w:t xml:space="preserve">  Those who have taken </w:t>
      </w:r>
      <w:r w:rsidR="007911FA">
        <w:t xml:space="preserve">advantage of </w:t>
      </w:r>
      <w:r w:rsidR="006668E4">
        <w:t xml:space="preserve">restorative justice </w:t>
      </w:r>
      <w:r w:rsidR="007911FA">
        <w:t xml:space="preserve">also </w:t>
      </w:r>
      <w:r w:rsidR="0063591C">
        <w:t xml:space="preserve">have been found </w:t>
      </w:r>
      <w:r w:rsidR="001E0FD4">
        <w:t>to show</w:t>
      </w:r>
      <w:r w:rsidR="0063591C">
        <w:t xml:space="preserve"> less </w:t>
      </w:r>
      <w:r w:rsidR="001E0FD4">
        <w:t>post-traumatic</w:t>
      </w:r>
      <w:r w:rsidR="0063591C">
        <w:t xml:space="preserve"> stress than</w:t>
      </w:r>
      <w:r w:rsidR="001E0FD4">
        <w:t xml:space="preserve"> those who have not.</w:t>
      </w:r>
      <w:r w:rsidR="0065440D">
        <w:t xml:space="preserve">  </w:t>
      </w:r>
      <w:r w:rsidR="00B90658">
        <w:t xml:space="preserve">The Campbell Systematic Review of restorative justice </w:t>
      </w:r>
      <w:r w:rsidR="00957281">
        <w:t xml:space="preserve">found that </w:t>
      </w:r>
      <w:r w:rsidR="00BF27A5">
        <w:t xml:space="preserve">victims who have used face to face restorative justice conferencing </w:t>
      </w:r>
      <w:r w:rsidR="00757D40">
        <w:t>were significantly more satisfied than those who used the traditional criminal justice process alone</w:t>
      </w:r>
      <w:r w:rsidR="008369D4">
        <w:t xml:space="preserve">.  A potential cause of this is that </w:t>
      </w:r>
      <w:r w:rsidR="00E44789">
        <w:t xml:space="preserve">apologies were more important to the victims than </w:t>
      </w:r>
      <w:r w:rsidR="003B0439">
        <w:t xml:space="preserve">the </w:t>
      </w:r>
      <w:r w:rsidR="00EE2978">
        <w:t>offender’s</w:t>
      </w:r>
      <w:r w:rsidR="003B0439">
        <w:t xml:space="preserve"> punishment</w:t>
      </w:r>
      <w:r w:rsidR="007B2E84">
        <w:t xml:space="preserve"> (College of Policing, 2022).</w:t>
      </w:r>
      <w:r w:rsidR="00EC3AFC">
        <w:t xml:space="preserve">  </w:t>
      </w:r>
      <w:r w:rsidR="005E3489">
        <w:t>In addition to this</w:t>
      </w:r>
      <w:r w:rsidR="00A64EC8">
        <w:t xml:space="preserve">, </w:t>
      </w:r>
      <w:r w:rsidR="00154C86">
        <w:t>restorative</w:t>
      </w:r>
      <w:r w:rsidR="00A64EC8">
        <w:t xml:space="preserve"> justice highlights the importance</w:t>
      </w:r>
      <w:r w:rsidR="00034B9D">
        <w:t xml:space="preserve"> of increasing the role of victims</w:t>
      </w:r>
      <w:r w:rsidR="006D28F8">
        <w:t xml:space="preserve"> as it holds offenders </w:t>
      </w:r>
      <w:r w:rsidR="00087D77">
        <w:t xml:space="preserve">directly accountable to the </w:t>
      </w:r>
      <w:r w:rsidR="00AD1DEC">
        <w:t xml:space="preserve">people that </w:t>
      </w:r>
      <w:r w:rsidR="00087D77">
        <w:t>they have committed crimes against</w:t>
      </w:r>
      <w:r w:rsidR="00E2457A">
        <w:t xml:space="preserve">.  The material and </w:t>
      </w:r>
      <w:r w:rsidR="00AD1DEC">
        <w:t xml:space="preserve">emotional impacts of the crime are emphasised and allows for negotiation and problem solving </w:t>
      </w:r>
      <w:r w:rsidR="00B620EE">
        <w:t xml:space="preserve">which can result in greater community safety, </w:t>
      </w:r>
      <w:r w:rsidR="008F1520">
        <w:t>conflict resolution and closure (</w:t>
      </w:r>
      <w:r w:rsidR="00D71A72">
        <w:t>Umbreit, 2002).</w:t>
      </w:r>
      <w:r w:rsidR="00AD1DEC">
        <w:t xml:space="preserve"> </w:t>
      </w:r>
      <w:r w:rsidR="00A64EC8">
        <w:t xml:space="preserve"> </w:t>
      </w:r>
      <w:r w:rsidR="00C764F2">
        <w:t xml:space="preserve"> </w:t>
      </w:r>
      <w:r w:rsidR="007D0492">
        <w:t xml:space="preserve">Victims are given the choice to participate in restorative justice, meaning that if </w:t>
      </w:r>
      <w:r w:rsidR="007D0492">
        <w:lastRenderedPageBreak/>
        <w:t>they do not wish</w:t>
      </w:r>
      <w:r w:rsidR="00472946">
        <w:t xml:space="preserve"> too, then they can choose to decline, which works </w:t>
      </w:r>
      <w:r w:rsidR="00D83DC6">
        <w:t xml:space="preserve">to the best interests of the </w:t>
      </w:r>
      <w:r w:rsidR="00E97FE1">
        <w:t>victim</w:t>
      </w:r>
      <w:r w:rsidR="00D83DC6">
        <w:t>.</w:t>
      </w:r>
    </w:p>
    <w:p w14:paraId="3096FCBC" w14:textId="796098FE" w:rsidR="006E6F5B" w:rsidRDefault="00EA65B9">
      <w:r>
        <w:t>The final right under the code</w:t>
      </w:r>
      <w:r w:rsidR="00EC3D72">
        <w:t xml:space="preserve"> is the right to make a complaint </w:t>
      </w:r>
      <w:r w:rsidR="008A1639">
        <w:t xml:space="preserve">regarding the failure of the rights being met.  </w:t>
      </w:r>
      <w:r w:rsidR="00BC1DDA">
        <w:t xml:space="preserve">If a victim holds the belief that </w:t>
      </w:r>
      <w:r w:rsidR="00EF40E0">
        <w:t xml:space="preserve">their rights have not been met, they </w:t>
      </w:r>
      <w:r w:rsidR="007353DF">
        <w:t xml:space="preserve">should be able </w:t>
      </w:r>
      <w:r w:rsidR="00EF40E0">
        <w:t xml:space="preserve">to make a complaint </w:t>
      </w:r>
      <w:r w:rsidR="001E4EBD">
        <w:t>to the service provider</w:t>
      </w:r>
      <w:r w:rsidR="00B16367">
        <w:t xml:space="preserve">, or </w:t>
      </w:r>
      <w:r w:rsidR="001005EF">
        <w:t xml:space="preserve">a member of parliament if they are taking </w:t>
      </w:r>
      <w:r w:rsidR="00201970">
        <w:t>too</w:t>
      </w:r>
      <w:r w:rsidR="001005EF">
        <w:t xml:space="preserve"> long </w:t>
      </w:r>
      <w:r w:rsidR="00E23667">
        <w:t>to respond or leave the victim dissatisfied.</w:t>
      </w:r>
      <w:r w:rsidR="00C97659">
        <w:t xml:space="preserve">  This is important for victims as it </w:t>
      </w:r>
      <w:r w:rsidR="00491B19">
        <w:t xml:space="preserve">helps ensure that their rights as a victim of crime are fulfilled.  </w:t>
      </w:r>
      <w:r w:rsidR="00D705C9">
        <w:t>Also,</w:t>
      </w:r>
      <w:r w:rsidR="00F07DE6">
        <w:t xml:space="preserve"> as part of this</w:t>
      </w:r>
      <w:r w:rsidR="00D705C9">
        <w:t>, victims obtain the right to review.  This scheme</w:t>
      </w:r>
      <w:r w:rsidR="00806184">
        <w:t xml:space="preserve"> allows victims to review </w:t>
      </w:r>
      <w:r w:rsidR="00B76588">
        <w:t xml:space="preserve">Crown Prosecution Services decisions </w:t>
      </w:r>
      <w:r w:rsidR="000E723B">
        <w:t xml:space="preserve">and gives them </w:t>
      </w:r>
      <w:r w:rsidR="00E46817">
        <w:t xml:space="preserve">greater influence on the offender’s outcome.  The </w:t>
      </w:r>
      <w:r w:rsidR="00E95EBD">
        <w:t>possible outcomes of this include a new decision where the earlier decision is turned in the best interest of the offender, o</w:t>
      </w:r>
      <w:r w:rsidR="00CD28FB">
        <w:t xml:space="preserve">r the previous decision </w:t>
      </w:r>
      <w:r w:rsidR="009E184D">
        <w:t>will be upheld, with an explanation to the victim explaining the reasoning</w:t>
      </w:r>
      <w:r w:rsidR="00E26F68">
        <w:t xml:space="preserve"> in order to keep them satisfied</w:t>
      </w:r>
      <w:r w:rsidR="005655B5">
        <w:t xml:space="preserve"> (CPS, 2021).</w:t>
      </w:r>
      <w:r w:rsidR="00E93420">
        <w:t xml:space="preserve"> </w:t>
      </w:r>
      <w:r w:rsidR="00517CB5">
        <w:t xml:space="preserve">However, </w:t>
      </w:r>
      <w:r w:rsidR="00F85102">
        <w:t xml:space="preserve">there have been concerns with the </w:t>
      </w:r>
      <w:r w:rsidR="00C17C20">
        <w:t>low number of complaints actually being made</w:t>
      </w:r>
      <w:r w:rsidR="004046D2">
        <w:t xml:space="preserve">, </w:t>
      </w:r>
      <w:r w:rsidR="00377925">
        <w:t xml:space="preserve">which could </w:t>
      </w:r>
      <w:r w:rsidR="004046D2">
        <w:t xml:space="preserve">suggesting that </w:t>
      </w:r>
      <w:r w:rsidR="00377925">
        <w:t xml:space="preserve">victims aren’t fully understanding the rights they are entitles to </w:t>
      </w:r>
      <w:r w:rsidR="006F4A80">
        <w:t>and are potentially missing out.  In 2007</w:t>
      </w:r>
      <w:r w:rsidR="00F403E0">
        <w:t>, annual reports showed that only three complaints were made to the ombudsman</w:t>
      </w:r>
      <w:r w:rsidR="002F639E">
        <w:t xml:space="preserve">, and only 2 in the following year, although this could be highlighting </w:t>
      </w:r>
      <w:r w:rsidR="00A7096C">
        <w:t>victims satisfaction and the need not to complain (</w:t>
      </w:r>
      <w:r w:rsidR="00BC48E2">
        <w:t>Manikis, 2011).</w:t>
      </w:r>
      <w:r w:rsidR="00377925">
        <w:t xml:space="preserve"> </w:t>
      </w:r>
      <w:r w:rsidR="00E93420">
        <w:t xml:space="preserve"> </w:t>
      </w:r>
      <w:r w:rsidR="00706C81">
        <w:t xml:space="preserve">This right can also contribute to equality </w:t>
      </w:r>
      <w:r w:rsidR="00C27B3B">
        <w:t xml:space="preserve">amongst the victims of crime.  </w:t>
      </w:r>
      <w:r w:rsidR="00197281">
        <w:t xml:space="preserve">This is because those who feel they have been treated </w:t>
      </w:r>
      <w:r w:rsidR="004305CE">
        <w:t xml:space="preserve">worse than others can complain and then receive the </w:t>
      </w:r>
      <w:r w:rsidR="000D4934">
        <w:t>appropriate</w:t>
      </w:r>
      <w:r w:rsidR="004305CE">
        <w:t xml:space="preserve"> support where necessary.  </w:t>
      </w:r>
      <w:r w:rsidR="000D4934">
        <w:t xml:space="preserve">As for </w:t>
      </w:r>
      <w:r w:rsidR="008C3309">
        <w:t xml:space="preserve">victims of hate crimes, the code means that </w:t>
      </w:r>
      <w:r w:rsidR="007D37CB">
        <w:t xml:space="preserve">services must believe the client without questioning the validity and </w:t>
      </w:r>
      <w:r w:rsidR="009934FE">
        <w:t>they can not blame the client for what they have experienced</w:t>
      </w:r>
      <w:r w:rsidR="00972996">
        <w:t xml:space="preserve"> (</w:t>
      </w:r>
      <w:r w:rsidR="00446A6F">
        <w:t>Chahal, 2017).</w:t>
      </w:r>
      <w:r w:rsidR="00267C7D">
        <w:t xml:space="preserve">  In cases where</w:t>
      </w:r>
      <w:r w:rsidR="009E1C40">
        <w:t xml:space="preserve"> the services have failed to recognise this, complaints are important to ensure the appropriate support is provided</w:t>
      </w:r>
      <w:r w:rsidR="00E93F55">
        <w:t>, which can in turn prevent future hate crime if offenders are punished accordingly.</w:t>
      </w:r>
      <w:r w:rsidR="00A90C80">
        <w:t xml:space="preserve">  </w:t>
      </w:r>
      <w:r w:rsidR="00DC47DD">
        <w:t>In addition to</w:t>
      </w:r>
      <w:r w:rsidR="002F1943">
        <w:t xml:space="preserve"> this</w:t>
      </w:r>
      <w:r w:rsidR="00B65648">
        <w:t xml:space="preserve">, it is argued that </w:t>
      </w:r>
      <w:r w:rsidR="00A72537">
        <w:t>victims’</w:t>
      </w:r>
      <w:r w:rsidR="00405E2B">
        <w:t xml:space="preserve"> rights are only meaningful if they confer entitlement as well as obligations on people</w:t>
      </w:r>
      <w:r w:rsidR="0075085D">
        <w:t xml:space="preserve">, or they will fail to empower victims </w:t>
      </w:r>
      <w:r w:rsidR="000F61A6">
        <w:t xml:space="preserve">and that legal protection is necessary in order to defend victim rights </w:t>
      </w:r>
      <w:r w:rsidR="00A72537">
        <w:t xml:space="preserve">(Wemmers, 2012).  Therefore, the right to complain about the rights provides the necessary protection of a </w:t>
      </w:r>
      <w:r w:rsidR="009D002A">
        <w:t>victim’s</w:t>
      </w:r>
      <w:r w:rsidR="00A72537">
        <w:t xml:space="preserve"> rights when reporting a crime.</w:t>
      </w:r>
      <w:r w:rsidR="009D002A">
        <w:t xml:space="preserve">  </w:t>
      </w:r>
      <w:r w:rsidR="001A0FB5">
        <w:t xml:space="preserve">Finally, </w:t>
      </w:r>
      <w:r w:rsidR="0008348F">
        <w:t xml:space="preserve">the insurance </w:t>
      </w:r>
      <w:r w:rsidR="00017BA7">
        <w:t xml:space="preserve">this right provides </w:t>
      </w:r>
      <w:r w:rsidR="00D7487D">
        <w:t>will affect</w:t>
      </w:r>
      <w:r w:rsidR="00017BA7">
        <w:t xml:space="preserve"> how </w:t>
      </w:r>
      <w:r w:rsidR="00D7487D">
        <w:t>many crimes are reported, victims who believe th</w:t>
      </w:r>
      <w:r w:rsidR="00633B12">
        <w:t xml:space="preserve">at their rights will not be satisfied could be less likely than those who </w:t>
      </w:r>
      <w:r w:rsidR="00E133A1">
        <w:t>are confident in the services to respect their rights</w:t>
      </w:r>
      <w:r w:rsidR="00AF4BBA">
        <w:t xml:space="preserve">, and this right provides that reassurance. </w:t>
      </w:r>
      <w:r w:rsidR="00E133A1">
        <w:t xml:space="preserve"> </w:t>
      </w:r>
      <w:r w:rsidR="00751073">
        <w:t xml:space="preserve">Victims who file such complaints </w:t>
      </w:r>
      <w:r w:rsidR="00AF4BBA">
        <w:t>are going to be</w:t>
      </w:r>
      <w:r w:rsidR="009065A6">
        <w:t xml:space="preserve"> subject to a complex legal system</w:t>
      </w:r>
      <w:r w:rsidR="008E1469">
        <w:t xml:space="preserve">, where their mental and physical health may be harmed, therefore </w:t>
      </w:r>
      <w:r w:rsidR="009F55CF">
        <w:t xml:space="preserve">the rights are in place to protect such people and ensure they are </w:t>
      </w:r>
      <w:r w:rsidR="00415FD5">
        <w:t>dealt with accordingly (Herman, 2003).</w:t>
      </w:r>
      <w:r w:rsidR="00877D69">
        <w:t xml:space="preserve">  Overall, the code of practise for victims provides an a</w:t>
      </w:r>
      <w:r w:rsidR="00B65D39">
        <w:t xml:space="preserve">dequate level of protection for victims </w:t>
      </w:r>
      <w:r w:rsidR="007C5654">
        <w:t>as it puts more focus on their experiences and helps look at the crime from their perspective.</w:t>
      </w:r>
    </w:p>
    <w:p w14:paraId="68B9D66A" w14:textId="77777777" w:rsidR="007427BD" w:rsidRDefault="007427BD"/>
    <w:p w14:paraId="52AF3398" w14:textId="31A9A969" w:rsidR="007427BD" w:rsidRDefault="007427BD">
      <w:r>
        <w:t>References:</w:t>
      </w:r>
    </w:p>
    <w:p w14:paraId="4651BCD7" w14:textId="77777777" w:rsidR="007427BD" w:rsidRPr="00084186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</w:p>
    <w:p w14:paraId="48C66177" w14:textId="18112E73" w:rsidR="007427BD" w:rsidRDefault="007427BD" w:rsidP="007427B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084186">
        <w:rPr>
          <w:rFonts w:eastAsia="Times New Roman" w:cstheme="minorHAnsi"/>
          <w:sz w:val="24"/>
          <w:szCs w:val="24"/>
          <w:lang w:eastAsia="en-GB"/>
        </w:rPr>
        <w:t xml:space="preserve">CHAHAL,K. (2017)  </w:t>
      </w:r>
      <w:r w:rsidRPr="00084186">
        <w:rPr>
          <w:rFonts w:eastAsia="Times New Roman" w:cstheme="minorHAnsi"/>
          <w:i/>
          <w:iCs/>
          <w:sz w:val="24"/>
          <w:szCs w:val="24"/>
          <w:lang w:eastAsia="en-GB"/>
        </w:rPr>
        <w:t>Supporting Victims of Hate Crime: A Practitioner Guide</w:t>
      </w:r>
      <w:r w:rsidRPr="00084186">
        <w:rPr>
          <w:rFonts w:eastAsia="Times New Roman" w:cstheme="minorHAnsi"/>
          <w:sz w:val="24"/>
          <w:szCs w:val="24"/>
          <w:lang w:eastAsia="en-GB"/>
        </w:rPr>
        <w:t>. Bristol University Press, Bristol.</w:t>
      </w:r>
    </w:p>
    <w:p w14:paraId="68046609" w14:textId="77777777" w:rsidR="007427BD" w:rsidRPr="00084186" w:rsidRDefault="007427BD" w:rsidP="007427BD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14:paraId="7D95F881" w14:textId="53E1CAA9" w:rsidR="007427BD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084186">
        <w:rPr>
          <w:rFonts w:asciiTheme="minorHAnsi" w:hAnsiTheme="minorHAnsi" w:cstheme="minorHAnsi"/>
          <w:color w:val="000000"/>
        </w:rPr>
        <w:t xml:space="preserve">College of Policing. (2022)  ‌Restorative justice Evidence briefing. Available at: </w:t>
      </w:r>
      <w:hyperlink r:id="rId4" w:history="1">
        <w:r w:rsidRPr="00084186">
          <w:rPr>
            <w:rStyle w:val="Hyperlink"/>
            <w:rFonts w:asciiTheme="minorHAnsi" w:hAnsiTheme="minorHAnsi" w:cstheme="minorHAnsi"/>
          </w:rPr>
          <w:t>https://assets.college.police.uk/s3fs-public/2022-01/Restorative-justice-evidence-briefing.pdf</w:t>
        </w:r>
      </w:hyperlink>
      <w:r w:rsidRPr="00084186">
        <w:rPr>
          <w:rFonts w:asciiTheme="minorHAnsi" w:hAnsiTheme="minorHAnsi" w:cstheme="minorHAnsi"/>
          <w:color w:val="000000"/>
        </w:rPr>
        <w:t>. (Accessed 26</w:t>
      </w:r>
      <w:r w:rsidRPr="00084186">
        <w:rPr>
          <w:rFonts w:asciiTheme="minorHAnsi" w:hAnsiTheme="minorHAnsi" w:cstheme="minorHAnsi"/>
          <w:color w:val="000000"/>
          <w:vertAlign w:val="superscript"/>
        </w:rPr>
        <w:t>th</w:t>
      </w:r>
      <w:r w:rsidRPr="00084186">
        <w:rPr>
          <w:rFonts w:asciiTheme="minorHAnsi" w:hAnsiTheme="minorHAnsi" w:cstheme="minorHAnsi"/>
          <w:color w:val="000000"/>
        </w:rPr>
        <w:t xml:space="preserve"> February 2023)</w:t>
      </w:r>
    </w:p>
    <w:p w14:paraId="10AFF3C9" w14:textId="77777777" w:rsidR="007427BD" w:rsidRPr="00084186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</w:p>
    <w:p w14:paraId="7D6B6ABD" w14:textId="7CC30D70" w:rsidR="007427BD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084186">
        <w:rPr>
          <w:rFonts w:asciiTheme="minorHAnsi" w:hAnsiTheme="minorHAnsi" w:cstheme="minorHAnsi"/>
          <w:color w:val="000000"/>
        </w:rPr>
        <w:lastRenderedPageBreak/>
        <w:t>C</w:t>
      </w:r>
      <w:r w:rsidR="007D0D62">
        <w:rPr>
          <w:rFonts w:asciiTheme="minorHAnsi" w:hAnsiTheme="minorHAnsi" w:cstheme="minorHAnsi"/>
          <w:color w:val="000000"/>
        </w:rPr>
        <w:t>rown Prosecution Service</w:t>
      </w:r>
      <w:r w:rsidRPr="00084186">
        <w:rPr>
          <w:rFonts w:asciiTheme="minorHAnsi" w:hAnsiTheme="minorHAnsi" w:cstheme="minorHAnsi"/>
          <w:color w:val="000000"/>
        </w:rPr>
        <w:t>. (2016) </w:t>
      </w:r>
      <w:r w:rsidRPr="00084186">
        <w:rPr>
          <w:rFonts w:asciiTheme="minorHAnsi" w:hAnsiTheme="minorHAnsi" w:cstheme="minorHAnsi"/>
          <w:i/>
          <w:iCs/>
          <w:color w:val="000000"/>
        </w:rPr>
        <w:t>Victims’ Right to Review Scheme | The Crown Prosecution Service</w:t>
      </w:r>
      <w:r w:rsidRPr="00084186">
        <w:rPr>
          <w:rFonts w:asciiTheme="minorHAnsi" w:hAnsiTheme="minorHAnsi" w:cstheme="minorHAnsi"/>
          <w:color w:val="000000"/>
        </w:rPr>
        <w:t xml:space="preserve">. (online) Available at: </w:t>
      </w:r>
      <w:hyperlink r:id="rId5" w:history="1">
        <w:r w:rsidRPr="00084186">
          <w:rPr>
            <w:rStyle w:val="Hyperlink"/>
            <w:rFonts w:asciiTheme="minorHAnsi" w:hAnsiTheme="minorHAnsi" w:cstheme="minorHAnsi"/>
          </w:rPr>
          <w:t>https://www.cps.gov.uk/legal-guidance/victims-right-review-scheme</w:t>
        </w:r>
      </w:hyperlink>
      <w:r w:rsidRPr="00084186">
        <w:rPr>
          <w:rFonts w:asciiTheme="minorHAnsi" w:hAnsiTheme="minorHAnsi" w:cstheme="minorHAnsi"/>
          <w:color w:val="000000"/>
        </w:rPr>
        <w:t>. (Accessed 27</w:t>
      </w:r>
      <w:r w:rsidRPr="00084186">
        <w:rPr>
          <w:rFonts w:asciiTheme="minorHAnsi" w:hAnsiTheme="minorHAnsi" w:cstheme="minorHAnsi"/>
          <w:color w:val="000000"/>
          <w:vertAlign w:val="superscript"/>
        </w:rPr>
        <w:t>th</w:t>
      </w:r>
      <w:r w:rsidRPr="00084186">
        <w:rPr>
          <w:rFonts w:asciiTheme="minorHAnsi" w:hAnsiTheme="minorHAnsi" w:cstheme="minorHAnsi"/>
          <w:color w:val="000000"/>
        </w:rPr>
        <w:t xml:space="preserve"> February 2023).</w:t>
      </w:r>
    </w:p>
    <w:p w14:paraId="233305A1" w14:textId="77777777" w:rsidR="007427BD" w:rsidRPr="00084186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</w:p>
    <w:p w14:paraId="1CEADADC" w14:textId="18289F1F" w:rsidR="007427BD" w:rsidRPr="00084186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084186">
        <w:rPr>
          <w:rFonts w:asciiTheme="minorHAnsi" w:hAnsiTheme="minorHAnsi" w:cstheme="minorHAnsi"/>
          <w:color w:val="000000"/>
        </w:rPr>
        <w:t>‌Criminal Justice Joint Inspection. (2009</w:t>
      </w:r>
      <w:r w:rsidRPr="00084186">
        <w:rPr>
          <w:rFonts w:asciiTheme="minorHAnsi" w:hAnsiTheme="minorHAnsi" w:cstheme="minorHAnsi"/>
          <w:i/>
          <w:iCs/>
          <w:color w:val="000000"/>
        </w:rPr>
        <w:t>) INSPECTING FOR IMPROVEMENT REPORT OF A JOINT THEMATIC REVIEW OF VICTIM AND WITNESS EXPERIENCES IN THE CRIMINAL JUSTICE SYSTEM.</w:t>
      </w:r>
      <w:r w:rsidRPr="00084186">
        <w:rPr>
          <w:rFonts w:asciiTheme="minorHAnsi" w:hAnsiTheme="minorHAnsi" w:cstheme="minorHAnsi"/>
          <w:color w:val="000000"/>
        </w:rPr>
        <w:t xml:space="preserve"> Available at: </w:t>
      </w:r>
      <w:hyperlink r:id="rId6" w:history="1">
        <w:r w:rsidRPr="00084186">
          <w:rPr>
            <w:rStyle w:val="Hyperlink"/>
            <w:rFonts w:asciiTheme="minorHAnsi" w:hAnsiTheme="minorHAnsi" w:cstheme="minorHAnsi"/>
          </w:rPr>
          <w:t>https://www.justiceinspectorates.gov.uk/hmicfrs/media/joint-inspection-victims-and-witnesses-20090429.pdf</w:t>
        </w:r>
      </w:hyperlink>
      <w:r w:rsidRPr="00084186">
        <w:rPr>
          <w:rFonts w:asciiTheme="minorHAnsi" w:hAnsiTheme="minorHAnsi" w:cstheme="minorHAnsi"/>
          <w:color w:val="000000"/>
        </w:rPr>
        <w:t xml:space="preserve">  (Accessed 23 Feb. 2023).</w:t>
      </w:r>
    </w:p>
    <w:p w14:paraId="78DAE9AF" w14:textId="1B7FFFCE" w:rsidR="007427BD" w:rsidRPr="00084186" w:rsidRDefault="007427BD" w:rsidP="007427BD">
      <w:pPr>
        <w:pStyle w:val="NormalWeb"/>
        <w:rPr>
          <w:rFonts w:asciiTheme="minorHAnsi" w:hAnsiTheme="minorHAnsi" w:cstheme="minorHAnsi"/>
          <w:color w:val="222222"/>
          <w:shd w:val="clear" w:color="auto" w:fill="FFFFFF"/>
        </w:rPr>
      </w:pPr>
      <w:r w:rsidRPr="00084186">
        <w:rPr>
          <w:rFonts w:asciiTheme="minorHAnsi" w:hAnsiTheme="minorHAnsi" w:cstheme="minorHAnsi"/>
          <w:color w:val="000000"/>
        </w:rPr>
        <w:t>‌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Gill, A.K., Cox, P. and Weir, R. (2018) Shaping Priority Services for UK Victims of Honour‐Based Violence/Abuse, Forced Marriage, and Female Genital Mutilation. </w:t>
      </w:r>
      <w:r w:rsidRPr="00084186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The Howard Journal of Crime and Justice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, </w:t>
      </w:r>
      <w:r w:rsidRPr="00084186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57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(4), pp.576-595.</w:t>
      </w:r>
    </w:p>
    <w:p w14:paraId="0143CE85" w14:textId="188552C3" w:rsidR="007427BD" w:rsidRPr="00084186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084186">
        <w:rPr>
          <w:rFonts w:asciiTheme="minorHAnsi" w:hAnsiTheme="minorHAnsi" w:cstheme="minorHAnsi"/>
          <w:color w:val="000000"/>
        </w:rPr>
        <w:t>Gooch, G. and Williams, M (2015) </w:t>
      </w:r>
      <w:r w:rsidRPr="00084186">
        <w:rPr>
          <w:rFonts w:asciiTheme="minorHAnsi" w:hAnsiTheme="minorHAnsi" w:cstheme="minorHAnsi"/>
          <w:i/>
          <w:iCs/>
          <w:color w:val="000000"/>
        </w:rPr>
        <w:t xml:space="preserve">A dictionary of law enforcement </w:t>
      </w:r>
      <w:r w:rsidRPr="00084186">
        <w:rPr>
          <w:rFonts w:asciiTheme="minorHAnsi" w:hAnsiTheme="minorHAnsi" w:cstheme="minorHAnsi"/>
          <w:color w:val="000000"/>
        </w:rPr>
        <w:t>(2</w:t>
      </w:r>
      <w:r w:rsidRPr="00084186">
        <w:rPr>
          <w:rFonts w:asciiTheme="minorHAnsi" w:hAnsiTheme="minorHAnsi" w:cstheme="minorHAnsi"/>
          <w:color w:val="000000"/>
          <w:vertAlign w:val="superscript"/>
        </w:rPr>
        <w:t>nd</w:t>
      </w:r>
      <w:r w:rsidRPr="00084186">
        <w:rPr>
          <w:rFonts w:asciiTheme="minorHAnsi" w:hAnsiTheme="minorHAnsi" w:cstheme="minorHAnsi"/>
          <w:color w:val="000000"/>
        </w:rPr>
        <w:t xml:space="preserve"> ed). New York: Oxford University Press.</w:t>
      </w:r>
    </w:p>
    <w:p w14:paraId="2156862E" w14:textId="4DC4BCE9" w:rsidR="007427BD" w:rsidRPr="00084186" w:rsidRDefault="007427BD" w:rsidP="007427BD">
      <w:pPr>
        <w:pStyle w:val="NormalWeb"/>
        <w:rPr>
          <w:rFonts w:asciiTheme="minorHAnsi" w:hAnsiTheme="minorHAnsi" w:cstheme="minorHAnsi"/>
          <w:color w:val="000000"/>
        </w:rPr>
      </w:pPr>
      <w:r w:rsidRPr="00084186">
        <w:rPr>
          <w:rFonts w:asciiTheme="minorHAnsi" w:hAnsiTheme="minorHAnsi" w:cstheme="minorHAnsi"/>
          <w:color w:val="000000"/>
        </w:rPr>
        <w:t>‌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Goodman, H. (2006) Good practice in victim contact work by the probation service. </w:t>
      </w:r>
      <w:r w:rsidRPr="00084186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Practice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, </w:t>
      </w:r>
      <w:r w:rsidRPr="00084186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18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(1), pp.59-69.</w:t>
      </w:r>
    </w:p>
    <w:p w14:paraId="0F665F98" w14:textId="0F9007B8" w:rsidR="007427BD" w:rsidRPr="00084186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084186">
        <w:rPr>
          <w:rFonts w:asciiTheme="minorHAnsi" w:hAnsiTheme="minorHAnsi" w:cstheme="minorHAnsi"/>
          <w:color w:val="222222"/>
          <w:shd w:val="clear" w:color="auto" w:fill="FFFFFF"/>
        </w:rPr>
        <w:t>Herman, J.L. (2003) The mental health of crime victims: Impact of legal intervention. </w:t>
      </w:r>
      <w:r w:rsidRPr="00084186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Journal of traumatic stress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, </w:t>
      </w:r>
      <w:r w:rsidRPr="00084186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16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, pp.159-166.</w:t>
      </w:r>
    </w:p>
    <w:p w14:paraId="656DF0C4" w14:textId="1C1F8D9A" w:rsidR="007427BD" w:rsidRPr="00084186" w:rsidRDefault="007427BD" w:rsidP="007427BD">
      <w:pPr>
        <w:pStyle w:val="NormalWeb"/>
        <w:rPr>
          <w:rFonts w:asciiTheme="minorHAnsi" w:hAnsiTheme="minorHAnsi" w:cstheme="minorHAnsi"/>
          <w:color w:val="222222"/>
          <w:shd w:val="clear" w:color="auto" w:fill="FFFFFF"/>
        </w:rPr>
      </w:pPr>
      <w:r w:rsidRPr="00084186">
        <w:rPr>
          <w:rFonts w:asciiTheme="minorHAnsi" w:hAnsiTheme="minorHAnsi" w:cstheme="minorHAnsi"/>
          <w:color w:val="222222"/>
          <w:shd w:val="clear" w:color="auto" w:fill="FFFFFF"/>
        </w:rPr>
        <w:t>Jones, J.S., Alexander, C., Wynn, B.N., Rossman, L. and Dunnuck, C. (2009)</w:t>
      </w:r>
      <w:r w:rsidR="003861AD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Why women don't report sexual assault to the police: The influence of psychosocial variables and traumatic injury. </w:t>
      </w:r>
      <w:r w:rsidRPr="00084186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The Journal of emergency medicine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, </w:t>
      </w:r>
      <w:r w:rsidRPr="00084186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36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(4), pp.417-424.</w:t>
      </w:r>
    </w:p>
    <w:p w14:paraId="45BA8DA5" w14:textId="6234BC10" w:rsidR="007427BD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084186">
        <w:rPr>
          <w:rFonts w:asciiTheme="minorHAnsi" w:hAnsiTheme="minorHAnsi" w:cstheme="minorHAnsi"/>
          <w:color w:val="000000"/>
        </w:rPr>
        <w:t>Liebmann, M. (2007) </w:t>
      </w:r>
      <w:r w:rsidRPr="00084186">
        <w:rPr>
          <w:rFonts w:asciiTheme="minorHAnsi" w:hAnsiTheme="minorHAnsi" w:cstheme="minorHAnsi"/>
          <w:i/>
          <w:iCs/>
          <w:color w:val="000000"/>
        </w:rPr>
        <w:t>Restorative justice: how it works</w:t>
      </w:r>
      <w:r w:rsidRPr="00084186">
        <w:rPr>
          <w:rFonts w:asciiTheme="minorHAnsi" w:hAnsiTheme="minorHAnsi" w:cstheme="minorHAnsi"/>
          <w:color w:val="000000"/>
        </w:rPr>
        <w:t>. London; Philadelphia: Jessica Kingsley Publishers.</w:t>
      </w:r>
    </w:p>
    <w:p w14:paraId="79B83179" w14:textId="77777777" w:rsidR="007427BD" w:rsidRPr="00084186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</w:p>
    <w:p w14:paraId="20D8CD75" w14:textId="018813FB" w:rsidR="007427BD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084186">
        <w:rPr>
          <w:rFonts w:asciiTheme="minorHAnsi" w:hAnsiTheme="minorHAnsi" w:cstheme="minorHAnsi"/>
          <w:color w:val="000000"/>
        </w:rPr>
        <w:t>Manikis, M. (2011) Navigating through an obstacle course: The complaints mechanism for victims of crime in England and Wales. </w:t>
      </w:r>
      <w:r w:rsidRPr="00084186">
        <w:rPr>
          <w:rFonts w:asciiTheme="minorHAnsi" w:hAnsiTheme="minorHAnsi" w:cstheme="minorHAnsi"/>
          <w:i/>
          <w:iCs/>
          <w:color w:val="000000"/>
        </w:rPr>
        <w:t>Criminology &amp; Criminal Justice</w:t>
      </w:r>
      <w:r w:rsidRPr="00084186">
        <w:rPr>
          <w:rFonts w:asciiTheme="minorHAnsi" w:hAnsiTheme="minorHAnsi" w:cstheme="minorHAnsi"/>
          <w:color w:val="000000"/>
        </w:rPr>
        <w:t>, 12(2), pp.149–173. doi:https://doi.org/10.1177/1748895811424765. (Accessed 27</w:t>
      </w:r>
      <w:r w:rsidRPr="00084186">
        <w:rPr>
          <w:rFonts w:asciiTheme="minorHAnsi" w:hAnsiTheme="minorHAnsi" w:cstheme="minorHAnsi"/>
          <w:color w:val="000000"/>
          <w:vertAlign w:val="superscript"/>
        </w:rPr>
        <w:t>th</w:t>
      </w:r>
      <w:r w:rsidRPr="00084186">
        <w:rPr>
          <w:rFonts w:asciiTheme="minorHAnsi" w:hAnsiTheme="minorHAnsi" w:cstheme="minorHAnsi"/>
          <w:color w:val="000000"/>
        </w:rPr>
        <w:t xml:space="preserve"> February 2023).</w:t>
      </w:r>
    </w:p>
    <w:p w14:paraId="31E641E2" w14:textId="77777777" w:rsidR="007427BD" w:rsidRPr="00084186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</w:p>
    <w:p w14:paraId="384EC52A" w14:textId="5C733F27" w:rsidR="007427BD" w:rsidRPr="00084186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084186">
        <w:rPr>
          <w:rFonts w:asciiTheme="minorHAnsi" w:hAnsiTheme="minorHAnsi" w:cstheme="minorHAnsi"/>
          <w:color w:val="000000"/>
        </w:rPr>
        <w:t>‌Ministry of Justice (2021) </w:t>
      </w:r>
      <w:r w:rsidRPr="00084186">
        <w:rPr>
          <w:rFonts w:asciiTheme="minorHAnsi" w:hAnsiTheme="minorHAnsi" w:cstheme="minorHAnsi"/>
          <w:i/>
          <w:iCs/>
          <w:color w:val="000000"/>
        </w:rPr>
        <w:t>Code of Practice for Victims of Crime in England and Wales (Victim’s Code)</w:t>
      </w:r>
      <w:r w:rsidRPr="00084186">
        <w:rPr>
          <w:rFonts w:asciiTheme="minorHAnsi" w:hAnsiTheme="minorHAnsi" w:cstheme="minorHAnsi"/>
          <w:color w:val="000000"/>
        </w:rPr>
        <w:t xml:space="preserve">. [online] GOV.UK. Available at: </w:t>
      </w:r>
      <w:hyperlink r:id="rId7" w:history="1">
        <w:r w:rsidRPr="00084186">
          <w:rPr>
            <w:rStyle w:val="Hyperlink"/>
            <w:rFonts w:asciiTheme="minorHAnsi" w:hAnsiTheme="minorHAnsi" w:cstheme="minorHAnsi"/>
          </w:rPr>
          <w:t>https://www.gov.uk/government/publications/the-code-of-practice-for-victims-of-crime/code-of-practice-for-victims-of-crime-in-england-and-wales-victims-code</w:t>
        </w:r>
      </w:hyperlink>
      <w:r w:rsidRPr="00084186">
        <w:rPr>
          <w:rFonts w:asciiTheme="minorHAnsi" w:hAnsiTheme="minorHAnsi" w:cstheme="minorHAnsi"/>
          <w:color w:val="000000"/>
        </w:rPr>
        <w:t>. (Accessed 24</w:t>
      </w:r>
      <w:r w:rsidRPr="00084186">
        <w:rPr>
          <w:rFonts w:asciiTheme="minorHAnsi" w:hAnsiTheme="minorHAnsi" w:cstheme="minorHAnsi"/>
          <w:color w:val="000000"/>
          <w:vertAlign w:val="superscript"/>
        </w:rPr>
        <w:t>th</w:t>
      </w:r>
      <w:r w:rsidRPr="00084186">
        <w:rPr>
          <w:rFonts w:asciiTheme="minorHAnsi" w:hAnsiTheme="minorHAnsi" w:cstheme="minorHAnsi"/>
          <w:color w:val="000000"/>
        </w:rPr>
        <w:t xml:space="preserve"> February 2023).</w:t>
      </w:r>
    </w:p>
    <w:p w14:paraId="40EEB6EC" w14:textId="3FBB7A64" w:rsidR="007427BD" w:rsidRPr="00084186" w:rsidRDefault="007427BD" w:rsidP="007427BD">
      <w:pPr>
        <w:pStyle w:val="NormalWeb"/>
        <w:rPr>
          <w:rFonts w:asciiTheme="minorHAnsi" w:hAnsiTheme="minorHAnsi" w:cstheme="minorHAnsi"/>
          <w:i/>
          <w:iCs/>
          <w:color w:val="000000"/>
        </w:rPr>
      </w:pPr>
      <w:r w:rsidRPr="00084186">
        <w:rPr>
          <w:rFonts w:asciiTheme="minorHAnsi" w:hAnsiTheme="minorHAnsi" w:cstheme="minorHAnsi"/>
          <w:color w:val="222222"/>
          <w:shd w:val="clear" w:color="auto" w:fill="FFFFFF"/>
        </w:rPr>
        <w:t>Ministry of Justice. (2020)</w:t>
      </w:r>
      <w:r w:rsidR="003861AD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Pr="00084186">
        <w:rPr>
          <w:rFonts w:asciiTheme="minorHAnsi" w:hAnsiTheme="minorHAnsi" w:cstheme="minorHAnsi"/>
          <w:i/>
          <w:iCs/>
        </w:rPr>
        <w:t xml:space="preserve">Victims of crime: Understanding the support you can </w:t>
      </w:r>
      <w:r w:rsidR="00877D69" w:rsidRPr="00084186">
        <w:rPr>
          <w:rFonts w:asciiTheme="minorHAnsi" w:hAnsiTheme="minorHAnsi" w:cstheme="minorHAnsi"/>
          <w:i/>
          <w:iCs/>
        </w:rPr>
        <w:t>expect.</w:t>
      </w:r>
    </w:p>
    <w:p w14:paraId="20EC4D55" w14:textId="165328D8" w:rsidR="007427BD" w:rsidRPr="00084186" w:rsidRDefault="007427BD" w:rsidP="007427BD">
      <w:pPr>
        <w:pStyle w:val="NormalWeb"/>
        <w:rPr>
          <w:rFonts w:asciiTheme="minorHAnsi" w:hAnsiTheme="minorHAnsi" w:cstheme="minorHAnsi"/>
          <w:color w:val="222222"/>
          <w:shd w:val="clear" w:color="auto" w:fill="FFFFFF"/>
        </w:rPr>
      </w:pPr>
      <w:r w:rsidRPr="00084186">
        <w:rPr>
          <w:rFonts w:asciiTheme="minorHAnsi" w:hAnsiTheme="minorHAnsi" w:cstheme="minorHAnsi"/>
          <w:color w:val="000000"/>
        </w:rPr>
        <w:lastRenderedPageBreak/>
        <w:t>‌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Roberts, J.V. and Manikis, M.(2011). Victim personal statements: A review of empirical research. </w:t>
      </w:r>
      <w:r w:rsidRPr="00084186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Victim Personal Statements at Sentencing: A Review of the Empirical Research (London: Office of the Commissioner for Victims and Witnesses of England and Wales, 2011)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.</w:t>
      </w:r>
    </w:p>
    <w:p w14:paraId="0CB554F3" w14:textId="42C9E9E7" w:rsidR="003861AD" w:rsidRDefault="003861AD" w:rsidP="007427BD">
      <w:pPr>
        <w:pStyle w:val="NormalWeb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The </w:t>
      </w:r>
      <w:r w:rsidR="00E5169B">
        <w:rPr>
          <w:rFonts w:asciiTheme="minorHAnsi" w:hAnsiTheme="minorHAnsi" w:cstheme="minorHAnsi"/>
          <w:color w:val="000000"/>
        </w:rPr>
        <w:t>Domestic</w:t>
      </w:r>
      <w:r>
        <w:rPr>
          <w:rFonts w:asciiTheme="minorHAnsi" w:hAnsiTheme="minorHAnsi" w:cstheme="minorHAnsi"/>
          <w:color w:val="000000"/>
        </w:rPr>
        <w:t xml:space="preserve"> Violence, Crime and Victims Act (Victim</w:t>
      </w:r>
      <w:r w:rsidR="00A46A10">
        <w:rPr>
          <w:rFonts w:asciiTheme="minorHAnsi" w:hAnsiTheme="minorHAnsi" w:cstheme="minorHAnsi"/>
          <w:color w:val="000000"/>
        </w:rPr>
        <w:t>’s Code of Practise) Order 2020 2004 s33(6)(e.g. b)</w:t>
      </w:r>
    </w:p>
    <w:p w14:paraId="7FFCC451" w14:textId="5914C423" w:rsidR="007427BD" w:rsidRPr="00084186" w:rsidRDefault="007427BD" w:rsidP="007427BD">
      <w:pPr>
        <w:pStyle w:val="NormalWeb"/>
        <w:rPr>
          <w:rFonts w:asciiTheme="minorHAnsi" w:hAnsiTheme="minorHAnsi" w:cstheme="minorHAnsi"/>
          <w:color w:val="000000"/>
        </w:rPr>
      </w:pPr>
      <w:r w:rsidRPr="00084186">
        <w:rPr>
          <w:rFonts w:asciiTheme="minorHAnsi" w:hAnsiTheme="minorHAnsi" w:cstheme="minorHAnsi"/>
          <w:color w:val="222222"/>
          <w:shd w:val="clear" w:color="auto" w:fill="FFFFFF"/>
        </w:rPr>
        <w:t>Umbreit, M.S (2002). </w:t>
      </w:r>
      <w:r w:rsidRPr="00084186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The handbook of victim offender mediation: An essential guide to practice and research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. John Wiley &amp; Sons.</w:t>
      </w:r>
    </w:p>
    <w:p w14:paraId="1F04492B" w14:textId="77777777" w:rsidR="007427BD" w:rsidRPr="00084186" w:rsidRDefault="007427BD" w:rsidP="007427BD">
      <w:pPr>
        <w:pStyle w:val="NormalWeb"/>
        <w:rPr>
          <w:rFonts w:asciiTheme="minorHAnsi" w:hAnsiTheme="minorHAnsi" w:cstheme="minorHAnsi"/>
          <w:color w:val="666666"/>
        </w:rPr>
      </w:pPr>
      <w:r w:rsidRPr="00084186">
        <w:rPr>
          <w:rFonts w:asciiTheme="minorHAnsi" w:hAnsiTheme="minorHAnsi" w:cstheme="minorHAnsi"/>
          <w:color w:val="000000"/>
        </w:rPr>
        <w:t>United Nations Office on Drugs and Crime. (2019). </w:t>
      </w:r>
      <w:r w:rsidRPr="00084186">
        <w:rPr>
          <w:rFonts w:asciiTheme="minorHAnsi" w:hAnsiTheme="minorHAnsi" w:cstheme="minorHAnsi"/>
          <w:i/>
          <w:iCs/>
          <w:color w:val="000000"/>
        </w:rPr>
        <w:t>Crime Prevention &amp; Criminal Justice Module 11 Key Issues: 3. The right of victims to an adequate response to their needs</w:t>
      </w:r>
      <w:r w:rsidRPr="00084186">
        <w:rPr>
          <w:rFonts w:asciiTheme="minorHAnsi" w:hAnsiTheme="minorHAnsi" w:cstheme="minorHAnsi"/>
          <w:color w:val="000000"/>
        </w:rPr>
        <w:t xml:space="preserve">. [online] www.unodc.org. Available at: </w:t>
      </w:r>
      <w:hyperlink r:id="rId8" w:history="1">
        <w:r w:rsidRPr="00084186">
          <w:rPr>
            <w:rStyle w:val="Hyperlink"/>
            <w:rFonts w:asciiTheme="minorHAnsi" w:hAnsiTheme="minorHAnsi" w:cstheme="minorHAnsi"/>
          </w:rPr>
          <w:t>https://www.unodc.org/e4j/zh/crime-prevention-criminal-justice/module-11/key-issues/3--the-right-of-victims-to-an-adequate-response-to-their-needs.html</w:t>
        </w:r>
      </w:hyperlink>
      <w:r w:rsidRPr="00084186">
        <w:rPr>
          <w:rFonts w:asciiTheme="minorHAnsi" w:hAnsiTheme="minorHAnsi" w:cstheme="minorHAnsi"/>
          <w:color w:val="000000"/>
        </w:rPr>
        <w:t>. (Accessed 28</w:t>
      </w:r>
      <w:r w:rsidRPr="00084186">
        <w:rPr>
          <w:rFonts w:asciiTheme="minorHAnsi" w:hAnsiTheme="minorHAnsi" w:cstheme="minorHAnsi"/>
          <w:color w:val="000000"/>
          <w:vertAlign w:val="superscript"/>
        </w:rPr>
        <w:t>th</w:t>
      </w:r>
      <w:r w:rsidRPr="00084186">
        <w:rPr>
          <w:rFonts w:asciiTheme="minorHAnsi" w:hAnsiTheme="minorHAnsi" w:cstheme="minorHAnsi"/>
          <w:color w:val="000000"/>
        </w:rPr>
        <w:t xml:space="preserve"> February 2023).</w:t>
      </w:r>
    </w:p>
    <w:p w14:paraId="0277C646" w14:textId="71558EA6" w:rsidR="007427BD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084186">
        <w:rPr>
          <w:rFonts w:asciiTheme="minorHAnsi" w:hAnsiTheme="minorHAnsi" w:cstheme="minorHAnsi"/>
          <w:color w:val="000000"/>
        </w:rPr>
        <w:t>Victim Support (2021) </w:t>
      </w:r>
      <w:r w:rsidRPr="00084186">
        <w:rPr>
          <w:rFonts w:asciiTheme="minorHAnsi" w:hAnsiTheme="minorHAnsi" w:cstheme="minorHAnsi"/>
          <w:i/>
          <w:iCs/>
          <w:color w:val="000000"/>
        </w:rPr>
        <w:t>Victims’ Code</w:t>
      </w:r>
      <w:r w:rsidRPr="00084186">
        <w:rPr>
          <w:rFonts w:asciiTheme="minorHAnsi" w:hAnsiTheme="minorHAnsi" w:cstheme="minorHAnsi"/>
          <w:color w:val="000000"/>
        </w:rPr>
        <w:t xml:space="preserve">. (online) Victim Support. Available at: </w:t>
      </w:r>
      <w:hyperlink r:id="rId9" w:history="1">
        <w:r w:rsidRPr="00084186">
          <w:rPr>
            <w:rStyle w:val="Hyperlink"/>
            <w:rFonts w:asciiTheme="minorHAnsi" w:hAnsiTheme="minorHAnsi" w:cstheme="minorHAnsi"/>
          </w:rPr>
          <w:t>https://www.victimsupport.org.uk/help-and-support/your-rights/victims-code/</w:t>
        </w:r>
      </w:hyperlink>
      <w:r w:rsidRPr="00084186">
        <w:rPr>
          <w:rFonts w:asciiTheme="minorHAnsi" w:hAnsiTheme="minorHAnsi" w:cstheme="minorHAnsi"/>
          <w:color w:val="000000"/>
        </w:rPr>
        <w:t>. (Accessed 24</w:t>
      </w:r>
      <w:r w:rsidRPr="00084186">
        <w:rPr>
          <w:rFonts w:asciiTheme="minorHAnsi" w:hAnsiTheme="minorHAnsi" w:cstheme="minorHAnsi"/>
          <w:color w:val="000000"/>
          <w:vertAlign w:val="superscript"/>
        </w:rPr>
        <w:t>th</w:t>
      </w:r>
      <w:r w:rsidRPr="00084186">
        <w:rPr>
          <w:rFonts w:asciiTheme="minorHAnsi" w:hAnsiTheme="minorHAnsi" w:cstheme="minorHAnsi"/>
          <w:color w:val="000000"/>
        </w:rPr>
        <w:t xml:space="preserve"> February 2023).</w:t>
      </w:r>
    </w:p>
    <w:p w14:paraId="25E24643" w14:textId="77777777" w:rsidR="00877D69" w:rsidRPr="00084186" w:rsidRDefault="00877D69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</w:p>
    <w:p w14:paraId="47FE2221" w14:textId="02080C13" w:rsidR="007427BD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222222"/>
          <w:shd w:val="clear" w:color="auto" w:fill="FFFFFF"/>
        </w:rPr>
      </w:pPr>
      <w:r w:rsidRPr="00084186">
        <w:rPr>
          <w:rFonts w:asciiTheme="minorHAnsi" w:hAnsiTheme="minorHAnsi" w:cstheme="minorHAnsi"/>
          <w:color w:val="222222"/>
          <w:shd w:val="clear" w:color="auto" w:fill="FFFFFF"/>
        </w:rPr>
        <w:t xml:space="preserve">Wemmers, J.A. (2012) </w:t>
      </w:r>
      <w:r w:rsidR="00E5169B" w:rsidRPr="00084186">
        <w:rPr>
          <w:rFonts w:asciiTheme="minorHAnsi" w:hAnsiTheme="minorHAnsi" w:cstheme="minorHAnsi"/>
          <w:color w:val="222222"/>
          <w:shd w:val="clear" w:color="auto" w:fill="FFFFFF"/>
        </w:rPr>
        <w:t>Victims’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 xml:space="preserve"> Rights are Human Rights: The importance of recognizing victims as persons. </w:t>
      </w:r>
      <w:r w:rsidRPr="00084186">
        <w:rPr>
          <w:rFonts w:asciiTheme="minorHAnsi" w:hAnsiTheme="minorHAnsi" w:cstheme="minorHAnsi"/>
          <w:i/>
          <w:iCs/>
          <w:color w:val="222222"/>
          <w:shd w:val="clear" w:color="auto" w:fill="FFFFFF"/>
        </w:rPr>
        <w:t>Temida, June</w:t>
      </w:r>
      <w:r w:rsidRPr="00084186">
        <w:rPr>
          <w:rFonts w:asciiTheme="minorHAnsi" w:hAnsiTheme="minorHAnsi" w:cstheme="minorHAnsi"/>
          <w:color w:val="222222"/>
          <w:shd w:val="clear" w:color="auto" w:fill="FFFFFF"/>
        </w:rPr>
        <w:t>.</w:t>
      </w:r>
    </w:p>
    <w:p w14:paraId="5B40A6A9" w14:textId="77777777" w:rsidR="00877D69" w:rsidRPr="00084186" w:rsidRDefault="00877D69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</w:p>
    <w:p w14:paraId="7B701664" w14:textId="2DE8F933" w:rsidR="007427BD" w:rsidRPr="00084186" w:rsidRDefault="007427BD" w:rsidP="007427BD">
      <w:pPr>
        <w:pStyle w:val="NormalWeb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084186">
        <w:rPr>
          <w:rFonts w:asciiTheme="minorHAnsi" w:hAnsiTheme="minorHAnsi" w:cstheme="minorHAnsi"/>
          <w:color w:val="000000"/>
        </w:rPr>
        <w:t>Wolhuter, L.W. (2012) Enforceable rights for victims of crime in England and Wales. </w:t>
      </w:r>
      <w:r w:rsidRPr="00084186">
        <w:rPr>
          <w:rFonts w:asciiTheme="minorHAnsi" w:hAnsiTheme="minorHAnsi" w:cstheme="minorHAnsi"/>
          <w:i/>
          <w:iCs/>
          <w:color w:val="000000"/>
        </w:rPr>
        <w:t>core.ac.uk</w:t>
      </w:r>
      <w:r w:rsidRPr="00084186">
        <w:rPr>
          <w:rFonts w:asciiTheme="minorHAnsi" w:hAnsiTheme="minorHAnsi" w:cstheme="minorHAnsi"/>
          <w:color w:val="000000"/>
        </w:rPr>
        <w:t xml:space="preserve">. [online] Available at: </w:t>
      </w:r>
      <w:hyperlink r:id="rId10" w:history="1">
        <w:r w:rsidRPr="00084186">
          <w:rPr>
            <w:rStyle w:val="Hyperlink"/>
            <w:rFonts w:asciiTheme="minorHAnsi" w:hAnsiTheme="minorHAnsi" w:cstheme="minorHAnsi"/>
          </w:rPr>
          <w:t>https://core.ac.uk/display/58916168?source=1&amp;algorithmId=15&amp;similarToDoc=230570196&amp;similarToDocKey=CORE&amp;recSetID=d7919488-4c12-4315-82b4-8095569899a6&amp;position=3&amp;recommendation_type=same_repo&amp;otherRecs=475138775</w:t>
        </w:r>
      </w:hyperlink>
      <w:r w:rsidRPr="00084186">
        <w:rPr>
          <w:rFonts w:asciiTheme="minorHAnsi" w:hAnsiTheme="minorHAnsi" w:cstheme="minorHAnsi"/>
          <w:color w:val="000000"/>
        </w:rPr>
        <w:t xml:space="preserve">  (Accessed 23 Feb. 2023).</w:t>
      </w:r>
    </w:p>
    <w:p w14:paraId="05A85585" w14:textId="77777777" w:rsidR="007427BD" w:rsidRDefault="007427BD"/>
    <w:sectPr w:rsidR="007427BD" w:rsidSect="0024438E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187"/>
    <w:rsid w:val="000142D1"/>
    <w:rsid w:val="00017BA7"/>
    <w:rsid w:val="00022BB5"/>
    <w:rsid w:val="00034B9D"/>
    <w:rsid w:val="00045A43"/>
    <w:rsid w:val="00051886"/>
    <w:rsid w:val="000618A3"/>
    <w:rsid w:val="00070651"/>
    <w:rsid w:val="0008348F"/>
    <w:rsid w:val="00084E94"/>
    <w:rsid w:val="00087D77"/>
    <w:rsid w:val="00095359"/>
    <w:rsid w:val="000A1479"/>
    <w:rsid w:val="000A1638"/>
    <w:rsid w:val="000A5B46"/>
    <w:rsid w:val="000B2186"/>
    <w:rsid w:val="000B6435"/>
    <w:rsid w:val="000B687F"/>
    <w:rsid w:val="000B75FC"/>
    <w:rsid w:val="000D4934"/>
    <w:rsid w:val="000E723B"/>
    <w:rsid w:val="000F08F1"/>
    <w:rsid w:val="000F27F9"/>
    <w:rsid w:val="000F61A6"/>
    <w:rsid w:val="001005EF"/>
    <w:rsid w:val="00110F55"/>
    <w:rsid w:val="00121CA1"/>
    <w:rsid w:val="0013132A"/>
    <w:rsid w:val="001357E2"/>
    <w:rsid w:val="00135C69"/>
    <w:rsid w:val="00146150"/>
    <w:rsid w:val="001474DD"/>
    <w:rsid w:val="001520EF"/>
    <w:rsid w:val="00154C86"/>
    <w:rsid w:val="00166766"/>
    <w:rsid w:val="00170099"/>
    <w:rsid w:val="00172264"/>
    <w:rsid w:val="00175D0B"/>
    <w:rsid w:val="00176427"/>
    <w:rsid w:val="00197281"/>
    <w:rsid w:val="001A0FB5"/>
    <w:rsid w:val="001A47C5"/>
    <w:rsid w:val="001B5D38"/>
    <w:rsid w:val="001D6690"/>
    <w:rsid w:val="001E0FD4"/>
    <w:rsid w:val="001E281C"/>
    <w:rsid w:val="001E4D63"/>
    <w:rsid w:val="001E4EBD"/>
    <w:rsid w:val="001F5873"/>
    <w:rsid w:val="00201970"/>
    <w:rsid w:val="00206315"/>
    <w:rsid w:val="002077AE"/>
    <w:rsid w:val="00212584"/>
    <w:rsid w:val="002141C0"/>
    <w:rsid w:val="00217325"/>
    <w:rsid w:val="002240B3"/>
    <w:rsid w:val="00232D89"/>
    <w:rsid w:val="00234D2C"/>
    <w:rsid w:val="0024438E"/>
    <w:rsid w:val="00246DB4"/>
    <w:rsid w:val="0026779A"/>
    <w:rsid w:val="00267C7D"/>
    <w:rsid w:val="00280636"/>
    <w:rsid w:val="002809A3"/>
    <w:rsid w:val="002835EB"/>
    <w:rsid w:val="00284CAB"/>
    <w:rsid w:val="00286254"/>
    <w:rsid w:val="002879AA"/>
    <w:rsid w:val="002A5A14"/>
    <w:rsid w:val="002B4ED7"/>
    <w:rsid w:val="002C0928"/>
    <w:rsid w:val="002C68F8"/>
    <w:rsid w:val="002D0352"/>
    <w:rsid w:val="002F1943"/>
    <w:rsid w:val="002F639E"/>
    <w:rsid w:val="00320906"/>
    <w:rsid w:val="00331EF1"/>
    <w:rsid w:val="00347F32"/>
    <w:rsid w:val="00365375"/>
    <w:rsid w:val="00377925"/>
    <w:rsid w:val="0038217F"/>
    <w:rsid w:val="003861AD"/>
    <w:rsid w:val="003A1C3A"/>
    <w:rsid w:val="003B0439"/>
    <w:rsid w:val="003B0FC7"/>
    <w:rsid w:val="003B2271"/>
    <w:rsid w:val="003B4378"/>
    <w:rsid w:val="003B7495"/>
    <w:rsid w:val="003C06AB"/>
    <w:rsid w:val="003C5253"/>
    <w:rsid w:val="003E62AF"/>
    <w:rsid w:val="003F2ADA"/>
    <w:rsid w:val="003F6DA9"/>
    <w:rsid w:val="004046D2"/>
    <w:rsid w:val="00405E2B"/>
    <w:rsid w:val="00413F01"/>
    <w:rsid w:val="00414EB0"/>
    <w:rsid w:val="00415FD5"/>
    <w:rsid w:val="004305CE"/>
    <w:rsid w:val="004352F5"/>
    <w:rsid w:val="00436B76"/>
    <w:rsid w:val="00443905"/>
    <w:rsid w:val="00446A6F"/>
    <w:rsid w:val="004502D6"/>
    <w:rsid w:val="004512AD"/>
    <w:rsid w:val="00452996"/>
    <w:rsid w:val="00457AD5"/>
    <w:rsid w:val="00460662"/>
    <w:rsid w:val="00465005"/>
    <w:rsid w:val="00472946"/>
    <w:rsid w:val="00477911"/>
    <w:rsid w:val="00486879"/>
    <w:rsid w:val="00487019"/>
    <w:rsid w:val="00491B19"/>
    <w:rsid w:val="004A6D3F"/>
    <w:rsid w:val="004B338E"/>
    <w:rsid w:val="004B4F99"/>
    <w:rsid w:val="004B5B62"/>
    <w:rsid w:val="004E2C76"/>
    <w:rsid w:val="004E5D95"/>
    <w:rsid w:val="004F1BDB"/>
    <w:rsid w:val="00510C2A"/>
    <w:rsid w:val="00516155"/>
    <w:rsid w:val="00517CB5"/>
    <w:rsid w:val="00534445"/>
    <w:rsid w:val="00537EA0"/>
    <w:rsid w:val="00542B54"/>
    <w:rsid w:val="005655B5"/>
    <w:rsid w:val="00580DD8"/>
    <w:rsid w:val="005A3A7F"/>
    <w:rsid w:val="005A5F0A"/>
    <w:rsid w:val="005A7BF6"/>
    <w:rsid w:val="005D04F0"/>
    <w:rsid w:val="005E3489"/>
    <w:rsid w:val="005E5E89"/>
    <w:rsid w:val="005E695A"/>
    <w:rsid w:val="005E7FBB"/>
    <w:rsid w:val="005F32ED"/>
    <w:rsid w:val="005F5348"/>
    <w:rsid w:val="0060221D"/>
    <w:rsid w:val="00604F29"/>
    <w:rsid w:val="006052F2"/>
    <w:rsid w:val="00613E06"/>
    <w:rsid w:val="006210BE"/>
    <w:rsid w:val="006338B9"/>
    <w:rsid w:val="00633B12"/>
    <w:rsid w:val="00634CC8"/>
    <w:rsid w:val="0063591C"/>
    <w:rsid w:val="00652EE4"/>
    <w:rsid w:val="0065440D"/>
    <w:rsid w:val="006668E4"/>
    <w:rsid w:val="00674299"/>
    <w:rsid w:val="0067429C"/>
    <w:rsid w:val="00676406"/>
    <w:rsid w:val="00687F2D"/>
    <w:rsid w:val="00692F5E"/>
    <w:rsid w:val="00694977"/>
    <w:rsid w:val="006958BA"/>
    <w:rsid w:val="006A0DB3"/>
    <w:rsid w:val="006A4187"/>
    <w:rsid w:val="006A57D1"/>
    <w:rsid w:val="006B5356"/>
    <w:rsid w:val="006C6714"/>
    <w:rsid w:val="006D28F8"/>
    <w:rsid w:val="006D4742"/>
    <w:rsid w:val="006E12E1"/>
    <w:rsid w:val="006E6F5B"/>
    <w:rsid w:val="006F4A80"/>
    <w:rsid w:val="00702BF7"/>
    <w:rsid w:val="0070320A"/>
    <w:rsid w:val="00704226"/>
    <w:rsid w:val="00706C81"/>
    <w:rsid w:val="007172C8"/>
    <w:rsid w:val="0072199F"/>
    <w:rsid w:val="007272AA"/>
    <w:rsid w:val="007353DF"/>
    <w:rsid w:val="00741F4D"/>
    <w:rsid w:val="007427BD"/>
    <w:rsid w:val="0075085D"/>
    <w:rsid w:val="00751073"/>
    <w:rsid w:val="007520AE"/>
    <w:rsid w:val="00756425"/>
    <w:rsid w:val="00757D40"/>
    <w:rsid w:val="00775329"/>
    <w:rsid w:val="00777CF5"/>
    <w:rsid w:val="00784947"/>
    <w:rsid w:val="0078695F"/>
    <w:rsid w:val="007911FA"/>
    <w:rsid w:val="007B2E84"/>
    <w:rsid w:val="007C5654"/>
    <w:rsid w:val="007D0492"/>
    <w:rsid w:val="007D0D62"/>
    <w:rsid w:val="007D37CB"/>
    <w:rsid w:val="007E18D6"/>
    <w:rsid w:val="007E715F"/>
    <w:rsid w:val="007F53E7"/>
    <w:rsid w:val="00806184"/>
    <w:rsid w:val="00832609"/>
    <w:rsid w:val="008369D4"/>
    <w:rsid w:val="00837F68"/>
    <w:rsid w:val="00851326"/>
    <w:rsid w:val="00865CD1"/>
    <w:rsid w:val="00877D69"/>
    <w:rsid w:val="00887CA2"/>
    <w:rsid w:val="008A1639"/>
    <w:rsid w:val="008C1316"/>
    <w:rsid w:val="008C2F5C"/>
    <w:rsid w:val="008C3309"/>
    <w:rsid w:val="008C3F35"/>
    <w:rsid w:val="008D0258"/>
    <w:rsid w:val="008E1469"/>
    <w:rsid w:val="008E671F"/>
    <w:rsid w:val="008F1520"/>
    <w:rsid w:val="009064B6"/>
    <w:rsid w:val="009065A6"/>
    <w:rsid w:val="00916517"/>
    <w:rsid w:val="0093267B"/>
    <w:rsid w:val="00934521"/>
    <w:rsid w:val="00936725"/>
    <w:rsid w:val="00957281"/>
    <w:rsid w:val="0097261F"/>
    <w:rsid w:val="00972996"/>
    <w:rsid w:val="009934FE"/>
    <w:rsid w:val="0099774C"/>
    <w:rsid w:val="009A0876"/>
    <w:rsid w:val="009B5A4E"/>
    <w:rsid w:val="009C4196"/>
    <w:rsid w:val="009C5483"/>
    <w:rsid w:val="009D002A"/>
    <w:rsid w:val="009E184D"/>
    <w:rsid w:val="009E1C40"/>
    <w:rsid w:val="009F55CF"/>
    <w:rsid w:val="00A05AB8"/>
    <w:rsid w:val="00A06E80"/>
    <w:rsid w:val="00A0720A"/>
    <w:rsid w:val="00A11B6A"/>
    <w:rsid w:val="00A14CE4"/>
    <w:rsid w:val="00A23166"/>
    <w:rsid w:val="00A24572"/>
    <w:rsid w:val="00A31E4C"/>
    <w:rsid w:val="00A46A10"/>
    <w:rsid w:val="00A47D3B"/>
    <w:rsid w:val="00A64EC8"/>
    <w:rsid w:val="00A7096C"/>
    <w:rsid w:val="00A72537"/>
    <w:rsid w:val="00A80DF6"/>
    <w:rsid w:val="00A90C80"/>
    <w:rsid w:val="00AB0F42"/>
    <w:rsid w:val="00AB1C89"/>
    <w:rsid w:val="00AB6C73"/>
    <w:rsid w:val="00AC7D88"/>
    <w:rsid w:val="00AD1DEC"/>
    <w:rsid w:val="00AD3DA8"/>
    <w:rsid w:val="00AF4BBA"/>
    <w:rsid w:val="00B01948"/>
    <w:rsid w:val="00B16367"/>
    <w:rsid w:val="00B37E8C"/>
    <w:rsid w:val="00B42D24"/>
    <w:rsid w:val="00B620EE"/>
    <w:rsid w:val="00B65648"/>
    <w:rsid w:val="00B65D39"/>
    <w:rsid w:val="00B76588"/>
    <w:rsid w:val="00B90658"/>
    <w:rsid w:val="00BA00BF"/>
    <w:rsid w:val="00BB5936"/>
    <w:rsid w:val="00BC1DDA"/>
    <w:rsid w:val="00BC48E2"/>
    <w:rsid w:val="00BF27A5"/>
    <w:rsid w:val="00BF2B16"/>
    <w:rsid w:val="00C1255B"/>
    <w:rsid w:val="00C17C20"/>
    <w:rsid w:val="00C22E02"/>
    <w:rsid w:val="00C26CC9"/>
    <w:rsid w:val="00C27B3B"/>
    <w:rsid w:val="00C32014"/>
    <w:rsid w:val="00C351B6"/>
    <w:rsid w:val="00C444BC"/>
    <w:rsid w:val="00C4589A"/>
    <w:rsid w:val="00C524C4"/>
    <w:rsid w:val="00C57090"/>
    <w:rsid w:val="00C72D13"/>
    <w:rsid w:val="00C764F2"/>
    <w:rsid w:val="00C86736"/>
    <w:rsid w:val="00C95213"/>
    <w:rsid w:val="00C96DD8"/>
    <w:rsid w:val="00C97659"/>
    <w:rsid w:val="00CA3BA0"/>
    <w:rsid w:val="00CA6E12"/>
    <w:rsid w:val="00CC0AB2"/>
    <w:rsid w:val="00CC26CF"/>
    <w:rsid w:val="00CC2BEE"/>
    <w:rsid w:val="00CC6581"/>
    <w:rsid w:val="00CD28FB"/>
    <w:rsid w:val="00CE1736"/>
    <w:rsid w:val="00CE7170"/>
    <w:rsid w:val="00CF2F86"/>
    <w:rsid w:val="00CF3CBA"/>
    <w:rsid w:val="00D019F4"/>
    <w:rsid w:val="00D150FC"/>
    <w:rsid w:val="00D2742B"/>
    <w:rsid w:val="00D45CED"/>
    <w:rsid w:val="00D705C9"/>
    <w:rsid w:val="00D71A72"/>
    <w:rsid w:val="00D7487D"/>
    <w:rsid w:val="00D778FF"/>
    <w:rsid w:val="00D83DC6"/>
    <w:rsid w:val="00DA203B"/>
    <w:rsid w:val="00DB6A78"/>
    <w:rsid w:val="00DC47DD"/>
    <w:rsid w:val="00DD25A3"/>
    <w:rsid w:val="00DE4E90"/>
    <w:rsid w:val="00DE6A84"/>
    <w:rsid w:val="00DF67F4"/>
    <w:rsid w:val="00DF78EA"/>
    <w:rsid w:val="00E02687"/>
    <w:rsid w:val="00E060B5"/>
    <w:rsid w:val="00E133A1"/>
    <w:rsid w:val="00E23667"/>
    <w:rsid w:val="00E2457A"/>
    <w:rsid w:val="00E26F68"/>
    <w:rsid w:val="00E3162A"/>
    <w:rsid w:val="00E44789"/>
    <w:rsid w:val="00E46817"/>
    <w:rsid w:val="00E5169B"/>
    <w:rsid w:val="00E747DE"/>
    <w:rsid w:val="00E7594C"/>
    <w:rsid w:val="00E80B58"/>
    <w:rsid w:val="00E83E6B"/>
    <w:rsid w:val="00E86447"/>
    <w:rsid w:val="00E93420"/>
    <w:rsid w:val="00E93F55"/>
    <w:rsid w:val="00E95EBD"/>
    <w:rsid w:val="00E97FE1"/>
    <w:rsid w:val="00EA65B9"/>
    <w:rsid w:val="00EA750F"/>
    <w:rsid w:val="00EA7B10"/>
    <w:rsid w:val="00EC131E"/>
    <w:rsid w:val="00EC3AFC"/>
    <w:rsid w:val="00EC3D72"/>
    <w:rsid w:val="00ED1D5A"/>
    <w:rsid w:val="00ED4D16"/>
    <w:rsid w:val="00EE2559"/>
    <w:rsid w:val="00EE2978"/>
    <w:rsid w:val="00EE6F8D"/>
    <w:rsid w:val="00EF40E0"/>
    <w:rsid w:val="00F07DE6"/>
    <w:rsid w:val="00F1392F"/>
    <w:rsid w:val="00F1551E"/>
    <w:rsid w:val="00F2427D"/>
    <w:rsid w:val="00F24475"/>
    <w:rsid w:val="00F26B52"/>
    <w:rsid w:val="00F3327E"/>
    <w:rsid w:val="00F403E0"/>
    <w:rsid w:val="00F430DB"/>
    <w:rsid w:val="00F70060"/>
    <w:rsid w:val="00F70FE6"/>
    <w:rsid w:val="00F73C3D"/>
    <w:rsid w:val="00F80632"/>
    <w:rsid w:val="00F84CBB"/>
    <w:rsid w:val="00F85102"/>
    <w:rsid w:val="00F873C3"/>
    <w:rsid w:val="00FC140A"/>
    <w:rsid w:val="00FD02B2"/>
    <w:rsid w:val="00FE1843"/>
    <w:rsid w:val="00FF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05462"/>
  <w15:chartTrackingRefBased/>
  <w15:docId w15:val="{1F57A890-9CB3-49F4-9C88-DD33EC267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87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24438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438E"/>
    <w:rPr>
      <w:rFonts w:eastAsiaTheme="minorEastAsia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48701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number">
    <w:name w:val="number"/>
    <w:basedOn w:val="DefaultParagraphFont"/>
    <w:rsid w:val="00487019"/>
  </w:style>
  <w:style w:type="character" w:styleId="Hyperlink">
    <w:name w:val="Hyperlink"/>
    <w:basedOn w:val="DefaultParagraphFont"/>
    <w:uiPriority w:val="99"/>
    <w:unhideWhenUsed/>
    <w:rsid w:val="007427B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42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0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odc.org/e4j/zh/crime-prevention-criminal-justice/module-11/key-issues/3--the-right-of-victims-to-an-adequate-response-to-their-needs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the-code-of-practice-for-victims-of-crime/code-of-practice-for-victims-of-crime-in-england-and-wales-victims-code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justiceinspectorates.gov.uk/hmicfrs/media/joint-inspection-victims-and-witnesses-20090429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ps.gov.uk/legal-guidance/victims-right-review-scheme" TargetMode="External"/><Relationship Id="rId10" Type="http://schemas.openxmlformats.org/officeDocument/2006/relationships/hyperlink" Target="https://core.ac.uk/display/58916168?source=1&amp;algorithmId=15&amp;similarToDoc=230570196&amp;similarToDocKey=CORE&amp;recSetID=d7919488-4c12-4315-82b4-8095569899a6&amp;position=3&amp;recommendation_type=same_repo&amp;otherRecs=475138775" TargetMode="External"/><Relationship Id="rId4" Type="http://schemas.openxmlformats.org/officeDocument/2006/relationships/hyperlink" Target="https://assets.college.police.uk/s3fs-public/2022-01/Restorative-justice-evidence-briefing.pdf" TargetMode="External"/><Relationship Id="rId9" Type="http://schemas.openxmlformats.org/officeDocument/2006/relationships/hyperlink" Target="https://www.victimsupport.org.uk/help-and-support/your-rights/victims-co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6</Pages>
  <Words>2552</Words>
  <Characters>14549</Characters>
  <Application>Microsoft Office Word</Application>
  <DocSecurity>0</DocSecurity>
  <Lines>121</Lines>
  <Paragraphs>34</Paragraphs>
  <ScaleCrop>false</ScaleCrop>
  <Company/>
  <LinksUpToDate>false</LinksUpToDate>
  <CharactersWithSpaces>17067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Social inclusion, victimisation and welfare.  Assignment 1</dc:title>
  <dc:subject/>
  <dc:creator>Jamie Parry</dc:creator>
  <cp:keywords/>
  <dc:description/>
  <cp:lastModifiedBy>Jamie Parry</cp:lastModifiedBy>
  <cp:revision>364</cp:revision>
  <dcterms:created xsi:type="dcterms:W3CDTF">2023-02-22T18:09:00Z</dcterms:created>
  <dcterms:modified xsi:type="dcterms:W3CDTF">2023-03-09T20:44:00Z</dcterms:modified>
</cp:coreProperties>
</file>