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EB51F1B" wp14:paraId="7E145B19" wp14:textId="4E9F02E9">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5A6D1519">
        <w:drawing>
          <wp:inline xmlns:wp14="http://schemas.microsoft.com/office/word/2010/wordprocessingDrawing" wp14:editId="438A1693" wp14:anchorId="3969FEDD">
            <wp:extent cx="2228850" cy="1114425"/>
            <wp:effectExtent l="0" t="0" r="0" b="0"/>
            <wp:docPr id="666333316" name="drawing" descr="University of Wales Trinity Saint David launches ‘One Planet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6333316" name=""/>
                    <pic:cNvPicPr/>
                  </pic:nvPicPr>
                  <pic:blipFill>
                    <a:blip xmlns:r="http://schemas.openxmlformats.org/officeDocument/2006/relationships" r:embed="rId1174682505">
                      <a:extLst>
                        <a:ext xmlns:a="http://schemas.openxmlformats.org/drawingml/2006/main" uri="{28A0092B-C50C-407E-A947-70E740481C1C}">
                          <a14:useLocalDpi xmlns:a14="http://schemas.microsoft.com/office/drawing/2010/main" val="0"/>
                        </a:ext>
                      </a:extLst>
                    </a:blip>
                    <a:stretch>
                      <a:fillRect/>
                    </a:stretch>
                  </pic:blipFill>
                  <pic:spPr>
                    <a:xfrm>
                      <a:off x="0" y="0"/>
                      <a:ext cx="2228850" cy="1114425"/>
                    </a:xfrm>
                    <a:prstGeom prst="rect">
                      <a:avLst/>
                    </a:prstGeom>
                  </pic:spPr>
                </pic:pic>
              </a:graphicData>
            </a:graphic>
          </wp:inline>
        </w:drawing>
      </w:r>
    </w:p>
    <w:p xmlns:wp14="http://schemas.microsoft.com/office/word/2010/wordml" w:rsidP="1EB51F1B" wp14:paraId="2B0F32CC" wp14:textId="45C76177">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EB51F1B" wp14:paraId="2C92505A" wp14:textId="778C9C2D">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Programme: BA (Hons) Leadership and Management Skills in the Workplace  </w:t>
      </w:r>
    </w:p>
    <w:p xmlns:wp14="http://schemas.microsoft.com/office/word/2010/wordml" w:rsidP="1EB51F1B" wp14:paraId="61674A8F" wp14:textId="12F8363D">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1EB51F1B" wp14:paraId="1403A1A5" wp14:textId="6E488435">
      <w:pPr>
        <w:pStyle w:val="Normal"/>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Module: </w:t>
      </w:r>
      <w:r w:rsidRPr="1EB51F1B" w:rsidR="648C04C9">
        <w:rPr>
          <w:rFonts w:ascii="Arial" w:hAnsi="Arial" w:eastAsia="Arial" w:cs="Arial"/>
          <w:b w:val="1"/>
          <w:bCs w:val="1"/>
          <w:noProof w:val="0"/>
          <w:sz w:val="22"/>
          <w:szCs w:val="22"/>
          <w:lang w:val="en-GB"/>
        </w:rPr>
        <w:t>Leading and Implementing Change (LIC)</w:t>
      </w: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w:t>
      </w:r>
    </w:p>
    <w:p xmlns:wp14="http://schemas.microsoft.com/office/word/2010/wordml" w:rsidP="1EB51F1B" wp14:paraId="4FE01913" wp14:textId="5C9E0F8E">
      <w:pPr>
        <w:pStyle w:val="Normal"/>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Module code: </w:t>
      </w:r>
      <w:r w:rsidRPr="1EB51F1B" w:rsidR="6CE10B21">
        <w:rPr>
          <w:rFonts w:ascii="Arial" w:hAnsi="Arial" w:eastAsia="Arial" w:cs="Arial"/>
          <w:b w:val="1"/>
          <w:bCs w:val="1"/>
          <w:noProof w:val="0"/>
          <w:sz w:val="22"/>
          <w:szCs w:val="22"/>
          <w:lang w:val="en-GB"/>
        </w:rPr>
        <w:t>LCLM6003</w:t>
      </w: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1EB51F1B" wp14:paraId="3B91B585" wp14:textId="6D66080E">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1EB51F1B" wp14:paraId="606A0A97" wp14:textId="0AF4E757">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EB51F1B" wp14:paraId="00391D29" wp14:textId="55D8B6C7">
      <w:pPr>
        <w:pStyle w:val="Normal"/>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w:t>
      </w: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1EB51F1B" w:rsidR="0D8128CD">
        <w:rPr>
          <w:rFonts w:ascii="Arial" w:hAnsi="Arial" w:eastAsia="Arial" w:cs="Arial"/>
          <w:b w:val="1"/>
          <w:bCs w:val="1"/>
          <w:noProof w:val="0"/>
          <w:sz w:val="22"/>
          <w:szCs w:val="22"/>
          <w:lang w:val="en-GB"/>
        </w:rPr>
        <w:t>A Strategic Change Plan</w:t>
      </w: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w:t>
      </w:r>
      <w:r w:rsidRPr="1EB51F1B" w:rsidR="6868CFC8">
        <w:rPr>
          <w:rFonts w:ascii="Arial" w:hAnsi="Arial" w:eastAsia="Arial" w:cs="Arial"/>
          <w:b w:val="1"/>
          <w:bCs w:val="1"/>
          <w:i w:val="0"/>
          <w:iCs w:val="0"/>
          <w:caps w:val="0"/>
          <w:smallCaps w:val="0"/>
          <w:noProof w:val="0"/>
          <w:color w:val="000000" w:themeColor="text1" w:themeTint="FF" w:themeShade="FF"/>
          <w:sz w:val="22"/>
          <w:szCs w:val="22"/>
          <w:lang w:val="en-GB"/>
        </w:rPr>
        <w:t xml:space="preserve"> (Thames Water)</w:t>
      </w:r>
    </w:p>
    <w:p xmlns:wp14="http://schemas.microsoft.com/office/word/2010/wordml" w:rsidP="1EB51F1B" wp14:paraId="5511E1B7" wp14:textId="60A696E3">
      <w:pPr>
        <w:pStyle w:val="Normal"/>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EB51F1B" wp14:paraId="0B6E4243" wp14:textId="51E8D601">
      <w:pPr>
        <w:pStyle w:val="Normal"/>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EB51F1B" wp14:paraId="29E276D4" wp14:textId="1FF98D4C">
      <w:pPr>
        <w:pStyle w:val="Normal"/>
        <w:spacing w:before="0" w:beforeAutospacing="off" w:after="160" w:afterAutospacing="off" w:line="240" w:lineRule="auto"/>
        <w:jc w:val="left"/>
        <w:rPr>
          <w:rFonts w:ascii="Arial" w:hAnsi="Arial" w:eastAsia="Arial" w:cs="Arial"/>
          <w:sz w:val="22"/>
          <w:szCs w:val="22"/>
        </w:rPr>
      </w:pPr>
      <w:r w:rsidR="0E7902FC">
        <w:drawing>
          <wp:inline xmlns:wp14="http://schemas.microsoft.com/office/word/2010/wordprocessingDrawing" wp14:editId="0DC915B5" wp14:anchorId="1A384122">
            <wp:extent cx="4410075" cy="1646268"/>
            <wp:effectExtent l="0" t="0" r="0" b="0"/>
            <wp:docPr id="16984501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8450112" name="Picture 1698450112"/>
                    <pic:cNvPicPr/>
                  </pic:nvPicPr>
                  <pic:blipFill>
                    <a:blip xmlns:r="http://schemas.openxmlformats.org/officeDocument/2006/relationships" r:embed="rId181618492">
                      <a:extLst>
                        <a:ext uri="{28A0092B-C50C-407E-A947-70E740481C1C}">
                          <a14:useLocalDpi xmlns:a14="http://schemas.microsoft.com/office/drawing/2010/main"/>
                        </a:ext>
                      </a:extLst>
                    </a:blip>
                    <a:stretch>
                      <a:fillRect/>
                    </a:stretch>
                  </pic:blipFill>
                  <pic:spPr>
                    <a:xfrm rot="0">
                      <a:off x="0" y="0"/>
                      <a:ext cx="4410075" cy="1646268"/>
                    </a:xfrm>
                    <a:prstGeom prst="rect">
                      <a:avLst/>
                    </a:prstGeom>
                  </pic:spPr>
                </pic:pic>
              </a:graphicData>
            </a:graphic>
          </wp:inline>
        </w:drawing>
      </w:r>
    </w:p>
    <w:p xmlns:wp14="http://schemas.microsoft.com/office/word/2010/wordml" w:rsidP="1EB51F1B" wp14:paraId="3BF5256C" wp14:textId="75511175">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5510583" wp14:paraId="2E37694B" wp14:textId="661A14C8">
      <w:pPr>
        <w:pStyle w:val="Normal"/>
        <w:spacing w:before="0" w:beforeAutospacing="off" w:after="160" w:afterAutospacing="off" w:line="240" w:lineRule="auto"/>
        <w:jc w:val="left"/>
        <w:rPr>
          <w:rFonts w:ascii="Arial" w:hAnsi="Arial" w:eastAsia="Arial" w:cs="Arial"/>
          <w:noProof w:val="0"/>
          <w:sz w:val="22"/>
          <w:szCs w:val="22"/>
          <w:lang w:val="en-GB"/>
        </w:rPr>
      </w:pPr>
      <w:r w:rsidRPr="1EB51F1B" w:rsidR="753981F0">
        <w:rPr>
          <w:rFonts w:ascii="Arial" w:hAnsi="Arial" w:eastAsia="Arial" w:cs="Arial"/>
          <w:b w:val="1"/>
          <w:bCs w:val="1"/>
          <w:noProof w:val="0"/>
          <w:sz w:val="22"/>
          <w:szCs w:val="22"/>
          <w:lang w:val="en-GB"/>
        </w:rPr>
        <w:t>"</w:t>
      </w:r>
      <w:r w:rsidRPr="1EB51F1B" w:rsidR="2D6ADB08">
        <w:rPr>
          <w:rFonts w:ascii="Arial" w:hAnsi="Arial" w:eastAsia="Arial" w:cs="Arial"/>
          <w:b w:val="1"/>
          <w:bCs w:val="1"/>
          <w:i w:val="0"/>
          <w:iCs w:val="0"/>
          <w:caps w:val="0"/>
          <w:smallCaps w:val="0"/>
          <w:noProof w:val="0"/>
          <w:sz w:val="22"/>
          <w:szCs w:val="22"/>
          <w:lang w:val="en-GB"/>
        </w:rPr>
        <w:t>Deliver</w:t>
      </w:r>
      <w:r w:rsidRPr="1EB51F1B" w:rsidR="753981F0">
        <w:rPr>
          <w:rFonts w:ascii="Arial" w:hAnsi="Arial" w:eastAsia="Arial" w:cs="Arial"/>
          <w:b w:val="1"/>
          <w:bCs w:val="1"/>
          <w:i w:val="0"/>
          <w:iCs w:val="0"/>
          <w:caps w:val="0"/>
          <w:smallCaps w:val="0"/>
          <w:noProof w:val="0"/>
          <w:sz w:val="22"/>
          <w:szCs w:val="22"/>
          <w:lang w:val="en-GB"/>
        </w:rPr>
        <w:t xml:space="preserve"> life's essential service so our customers, communities and the environment can thrive</w:t>
      </w:r>
      <w:r w:rsidRPr="1EB51F1B" w:rsidR="753981F0">
        <w:rPr>
          <w:rFonts w:ascii="Arial" w:hAnsi="Arial" w:eastAsia="Arial" w:cs="Arial"/>
          <w:b w:val="1"/>
          <w:bCs w:val="1"/>
          <w:i w:val="0"/>
          <w:iCs w:val="0"/>
          <w:caps w:val="0"/>
          <w:smallCaps w:val="0"/>
          <w:noProof w:val="0"/>
          <w:color w:val="0A0A0A"/>
          <w:sz w:val="22"/>
          <w:szCs w:val="22"/>
          <w:lang w:val="en-GB"/>
        </w:rPr>
        <w:t>"</w:t>
      </w:r>
      <w:r w:rsidRPr="1EB51F1B" w:rsidR="753981F0">
        <w:rPr>
          <w:rFonts w:ascii="Arial" w:hAnsi="Arial" w:eastAsia="Arial" w:cs="Arial"/>
          <w:b w:val="1"/>
          <w:bCs w:val="1"/>
          <w:i w:val="0"/>
          <w:iCs w:val="0"/>
          <w:caps w:val="0"/>
          <w:smallCaps w:val="0"/>
          <w:noProof w:val="0"/>
          <w:color w:val="0A0A0A"/>
          <w:sz w:val="22"/>
          <w:szCs w:val="22"/>
          <w:lang w:val="en-GB"/>
        </w:rPr>
        <w:t>.</w:t>
      </w:r>
      <w:r w:rsidRPr="1EB51F1B" w:rsidR="753981F0">
        <w:rPr>
          <w:rFonts w:ascii="Arial" w:hAnsi="Arial" w:eastAsia="Arial" w:cs="Arial"/>
          <w:b w:val="0"/>
          <w:bCs w:val="0"/>
          <w:i w:val="0"/>
          <w:iCs w:val="0"/>
          <w:caps w:val="0"/>
          <w:smallCaps w:val="0"/>
          <w:noProof w:val="0"/>
          <w:color w:val="0A0A0A"/>
          <w:sz w:val="22"/>
          <w:szCs w:val="22"/>
          <w:lang w:val="en-GB"/>
        </w:rPr>
        <w:t xml:space="preserve"> </w:t>
      </w:r>
      <w:r w:rsidRPr="1EB51F1B" w:rsidR="753981F0">
        <w:rPr>
          <w:rFonts w:ascii="Arial" w:hAnsi="Arial" w:eastAsia="Arial" w:cs="Arial"/>
          <w:noProof w:val="0"/>
          <w:sz w:val="22"/>
          <w:szCs w:val="22"/>
          <w:lang w:val="en-GB"/>
        </w:rPr>
        <w:t xml:space="preserve"> </w:t>
      </w:r>
    </w:p>
    <w:p xmlns:wp14="http://schemas.microsoft.com/office/word/2010/wordml" w:rsidP="1EB51F1B" wp14:paraId="0E57F14A" wp14:textId="028A17E0">
      <w:pPr>
        <w:pStyle w:val="Normal"/>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EB51F1B" wp14:paraId="0235906E" wp14:textId="1CA9E39C">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EB51F1B" wp14:paraId="66B0DE30" wp14:textId="520E0FFA">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1EB51F1B" w:rsidR="42DAD849">
        <w:rPr>
          <w:rFonts w:ascii="Arial" w:hAnsi="Arial" w:eastAsia="Arial" w:cs="Arial"/>
          <w:b w:val="1"/>
          <w:bCs w:val="1"/>
          <w:i w:val="0"/>
          <w:iCs w:val="0"/>
          <w:caps w:val="0"/>
          <w:smallCaps w:val="0"/>
          <w:noProof w:val="0"/>
          <w:color w:val="000000" w:themeColor="text1" w:themeTint="FF" w:themeShade="FF"/>
          <w:sz w:val="22"/>
          <w:szCs w:val="22"/>
          <w:lang w:val="en-GB"/>
        </w:rPr>
        <w:t>Nadeem Mirza</w:t>
      </w:r>
    </w:p>
    <w:p xmlns:wp14="http://schemas.microsoft.com/office/word/2010/wordml" w:rsidP="1EB51F1B" wp14:paraId="684035E4" wp14:textId="57AC5B9D">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SI – 2244619</w:t>
      </w:r>
    </w:p>
    <w:p xmlns:wp14="http://schemas.microsoft.com/office/word/2010/wordml" w:rsidP="1EB51F1B" wp14:paraId="234C2113" wp14:textId="45DA60D8">
      <w:pPr>
        <w:spacing w:before="0" w:beforeAutospacing="off" w:after="160" w:afterAutospacing="off" w:line="24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Emmanuel Victor</w:t>
      </w:r>
    </w:p>
    <w:p xmlns:wp14="http://schemas.microsoft.com/office/word/2010/wordml" w:rsidP="1EB51F1B" wp14:paraId="552F4F44" wp14:textId="0B29B1A8">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 xml:space="preserve">Date: </w:t>
      </w:r>
      <w:r w:rsidRPr="1EB51F1B" w:rsidR="447059B4">
        <w:rPr>
          <w:rFonts w:ascii="Arial" w:hAnsi="Arial" w:eastAsia="Arial" w:cs="Arial"/>
          <w:b w:val="1"/>
          <w:bCs w:val="1"/>
          <w:i w:val="0"/>
          <w:iCs w:val="0"/>
          <w:caps w:val="0"/>
          <w:smallCaps w:val="0"/>
          <w:noProof w:val="0"/>
          <w:color w:val="000000" w:themeColor="text1" w:themeTint="FF" w:themeShade="FF"/>
          <w:sz w:val="22"/>
          <w:szCs w:val="22"/>
          <w:lang w:val="en-GB"/>
        </w:rPr>
        <w:t>17</w:t>
      </w: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w:t>
      </w:r>
      <w:r w:rsidRPr="1EB51F1B" w:rsidR="4D8DDDC1">
        <w:rPr>
          <w:rFonts w:ascii="Arial" w:hAnsi="Arial" w:eastAsia="Arial" w:cs="Arial"/>
          <w:b w:val="1"/>
          <w:bCs w:val="1"/>
          <w:i w:val="0"/>
          <w:iCs w:val="0"/>
          <w:caps w:val="0"/>
          <w:smallCaps w:val="0"/>
          <w:noProof w:val="0"/>
          <w:color w:val="000000" w:themeColor="text1" w:themeTint="FF" w:themeShade="FF"/>
          <w:sz w:val="22"/>
          <w:szCs w:val="22"/>
          <w:lang w:val="en-GB"/>
        </w:rPr>
        <w:t>1</w:t>
      </w:r>
      <w:r w:rsidRPr="1EB51F1B" w:rsidR="7C306F20">
        <w:rPr>
          <w:rFonts w:ascii="Arial" w:hAnsi="Arial" w:eastAsia="Arial" w:cs="Arial"/>
          <w:b w:val="1"/>
          <w:bCs w:val="1"/>
          <w:i w:val="0"/>
          <w:iCs w:val="0"/>
          <w:caps w:val="0"/>
          <w:smallCaps w:val="0"/>
          <w:noProof w:val="0"/>
          <w:color w:val="000000" w:themeColor="text1" w:themeTint="FF" w:themeShade="FF"/>
          <w:sz w:val="22"/>
          <w:szCs w:val="22"/>
          <w:lang w:val="en-GB"/>
        </w:rPr>
        <w:t>2</w:t>
      </w:r>
      <w:r w:rsidRPr="1EB51F1B" w:rsidR="5A6D1519">
        <w:rPr>
          <w:rFonts w:ascii="Arial" w:hAnsi="Arial" w:eastAsia="Arial" w:cs="Arial"/>
          <w:b w:val="1"/>
          <w:bCs w:val="1"/>
          <w:i w:val="0"/>
          <w:iCs w:val="0"/>
          <w:caps w:val="0"/>
          <w:smallCaps w:val="0"/>
          <w:noProof w:val="0"/>
          <w:color w:val="000000" w:themeColor="text1" w:themeTint="FF" w:themeShade="FF"/>
          <w:sz w:val="22"/>
          <w:szCs w:val="22"/>
          <w:lang w:val="en-GB"/>
        </w:rPr>
        <w:t>/2025</w:t>
      </w:r>
      <w:r w:rsidRPr="1EB51F1B" w:rsidR="565CDA09">
        <w:rPr>
          <w:rFonts w:ascii="Arial" w:hAnsi="Arial" w:eastAsia="Arial" w:cs="Arial"/>
          <w:b w:val="1"/>
          <w:bCs w:val="1"/>
          <w:i w:val="0"/>
          <w:iCs w:val="0"/>
          <w:caps w:val="0"/>
          <w:smallCaps w:val="0"/>
          <w:noProof w:val="0"/>
          <w:color w:val="000000" w:themeColor="text1" w:themeTint="FF" w:themeShade="FF"/>
          <w:sz w:val="22"/>
          <w:szCs w:val="22"/>
          <w:lang w:val="en-GB"/>
        </w:rPr>
        <w:t>.</w:t>
      </w:r>
    </w:p>
    <w:p w:rsidR="1EB51F1B" w:rsidP="1EB51F1B" w:rsidRDefault="1EB51F1B" w14:paraId="01DB2507" w14:textId="0A30B296">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EB51F1B" w:rsidP="1EB51F1B" w:rsidRDefault="1EB51F1B" w14:paraId="2216DD1C" w14:textId="2DB00717">
      <w:pPr>
        <w:spacing w:before="0" w:beforeAutospacing="off" w:after="160" w:afterAutospacing="off" w:line="24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1EB51F1B" wp14:paraId="5E5787A5" wp14:textId="524E1FE1">
      <w:pPr>
        <w:rPr>
          <w:rFonts w:ascii="Arial" w:hAnsi="Arial" w:eastAsia="Arial" w:cs="Arial"/>
          <w:b w:val="1"/>
          <w:bCs w:val="1"/>
          <w:sz w:val="24"/>
          <w:szCs w:val="24"/>
          <w:u w:val="single"/>
        </w:rPr>
      </w:pPr>
      <w:r w:rsidRPr="1EB51F1B" w:rsidR="3562B089">
        <w:rPr>
          <w:rFonts w:ascii="Arial" w:hAnsi="Arial" w:eastAsia="Arial" w:cs="Arial"/>
          <w:b w:val="1"/>
          <w:bCs w:val="1"/>
          <w:sz w:val="24"/>
          <w:szCs w:val="24"/>
          <w:u w:val="single"/>
        </w:rPr>
        <w:t>Table of content</w:t>
      </w:r>
    </w:p>
    <w:p w:rsidR="15510583" w:rsidP="1EB51F1B" w:rsidRDefault="15510583" w14:paraId="62DD44BC" w14:textId="59FE0342">
      <w:pPr>
        <w:rPr>
          <w:rFonts w:ascii="Arial" w:hAnsi="Arial" w:eastAsia="Arial" w:cs="Arial"/>
          <w:b w:val="1"/>
          <w:bCs w:val="1"/>
          <w:sz w:val="22"/>
          <w:szCs w:val="22"/>
        </w:rPr>
      </w:pPr>
    </w:p>
    <w:p w:rsidR="3562B089" w:rsidP="1EB51F1B" w:rsidRDefault="3562B089" w14:paraId="0C275D6B" w14:textId="303DF87C">
      <w:pPr>
        <w:rPr>
          <w:rFonts w:ascii="Arial" w:hAnsi="Arial" w:eastAsia="Arial" w:cs="Arial"/>
          <w:b w:val="1"/>
          <w:bCs w:val="1"/>
          <w:sz w:val="22"/>
          <w:szCs w:val="22"/>
        </w:rPr>
      </w:pPr>
      <w:r w:rsidRPr="1EB51F1B" w:rsidR="5467E2A4">
        <w:rPr>
          <w:rFonts w:ascii="Arial" w:hAnsi="Arial" w:eastAsia="Arial" w:cs="Arial"/>
          <w:b w:val="1"/>
          <w:bCs w:val="1"/>
          <w:sz w:val="22"/>
          <w:szCs w:val="22"/>
        </w:rPr>
        <w:t>1.</w:t>
      </w:r>
      <w:r w:rsidRPr="1EB51F1B" w:rsidR="3562B089">
        <w:rPr>
          <w:rFonts w:ascii="Arial" w:hAnsi="Arial" w:eastAsia="Arial" w:cs="Arial"/>
          <w:b w:val="1"/>
          <w:bCs w:val="1"/>
          <w:sz w:val="22"/>
          <w:szCs w:val="22"/>
        </w:rPr>
        <w:t>Introduction</w:t>
      </w:r>
      <w:r>
        <w:tab/>
      </w:r>
      <w:r>
        <w:tab/>
      </w:r>
      <w:r>
        <w:tab/>
      </w:r>
      <w:r>
        <w:tab/>
      </w:r>
      <w:r>
        <w:tab/>
      </w:r>
      <w:r>
        <w:tab/>
      </w:r>
      <w:r>
        <w:tab/>
      </w:r>
      <w:r>
        <w:tab/>
      </w:r>
      <w:r>
        <w:tab/>
      </w:r>
      <w:r w:rsidRPr="1EB51F1B" w:rsidR="3562B089">
        <w:rPr>
          <w:rFonts w:ascii="Arial" w:hAnsi="Arial" w:eastAsia="Arial" w:cs="Arial"/>
          <w:b w:val="1"/>
          <w:bCs w:val="1"/>
          <w:sz w:val="22"/>
          <w:szCs w:val="22"/>
        </w:rPr>
        <w:t xml:space="preserve">   </w:t>
      </w:r>
    </w:p>
    <w:p w:rsidR="3562B089" w:rsidP="1EB51F1B" w:rsidRDefault="3562B089" w14:paraId="02C9127F" w14:textId="6A2E092F">
      <w:pPr>
        <w:rPr>
          <w:rFonts w:ascii="Arial" w:hAnsi="Arial" w:eastAsia="Arial" w:cs="Arial"/>
          <w:b w:val="1"/>
          <w:bCs w:val="1"/>
          <w:sz w:val="22"/>
          <w:szCs w:val="22"/>
        </w:rPr>
      </w:pPr>
      <w:r w:rsidRPr="1EB51F1B" w:rsidR="023DFF51">
        <w:rPr>
          <w:rFonts w:ascii="Arial" w:hAnsi="Arial" w:eastAsia="Arial" w:cs="Arial"/>
          <w:b w:val="1"/>
          <w:bCs w:val="1"/>
          <w:sz w:val="22"/>
          <w:szCs w:val="22"/>
        </w:rPr>
        <w:t>.........................................................................................................................................</w:t>
      </w:r>
      <w:r w:rsidRPr="1EB51F1B" w:rsidR="3562B089">
        <w:rPr>
          <w:rFonts w:ascii="Arial" w:hAnsi="Arial" w:eastAsia="Arial" w:cs="Arial"/>
          <w:b w:val="1"/>
          <w:bCs w:val="1"/>
          <w:sz w:val="22"/>
          <w:szCs w:val="22"/>
        </w:rPr>
        <w:t>Pg 3</w:t>
      </w:r>
    </w:p>
    <w:p w:rsidR="15510583" w:rsidP="1EB51F1B" w:rsidRDefault="15510583" w14:paraId="500520B4" w14:textId="75E6D3FD">
      <w:pPr>
        <w:pStyle w:val="Normal"/>
        <w:rPr>
          <w:rFonts w:ascii="Arial" w:hAnsi="Arial" w:eastAsia="Arial" w:cs="Arial"/>
          <w:b w:val="1"/>
          <w:bCs w:val="1"/>
          <w:noProof w:val="0"/>
          <w:sz w:val="22"/>
          <w:szCs w:val="22"/>
          <w:lang w:val="en-GB"/>
        </w:rPr>
      </w:pPr>
      <w:r w:rsidRPr="1EB51F1B" w:rsidR="5BD1B90F">
        <w:rPr>
          <w:rFonts w:ascii="Arial" w:hAnsi="Arial" w:eastAsia="Arial" w:cs="Arial"/>
          <w:b w:val="1"/>
          <w:bCs w:val="1"/>
          <w:noProof w:val="0"/>
          <w:sz w:val="22"/>
          <w:szCs w:val="22"/>
          <w:lang w:val="en-GB"/>
        </w:rPr>
        <w:t>2.</w:t>
      </w:r>
      <w:r w:rsidRPr="1EB51F1B" w:rsidR="18E4CFD1">
        <w:rPr>
          <w:rFonts w:ascii="Arial" w:hAnsi="Arial" w:eastAsia="Arial" w:cs="Arial"/>
          <w:b w:val="1"/>
          <w:bCs w:val="1"/>
          <w:noProof w:val="0"/>
          <w:sz w:val="22"/>
          <w:szCs w:val="22"/>
          <w:lang w:val="en-GB"/>
        </w:rPr>
        <w:t xml:space="preserve">Impact on the changes in the internal/ external environment                            </w:t>
      </w:r>
      <w:r w:rsidRPr="1EB51F1B" w:rsidR="6EFAAC77">
        <w:rPr>
          <w:rFonts w:ascii="Arial" w:hAnsi="Arial" w:eastAsia="Arial" w:cs="Arial"/>
          <w:b w:val="1"/>
          <w:bCs w:val="1"/>
          <w:noProof w:val="0"/>
          <w:sz w:val="22"/>
          <w:szCs w:val="22"/>
          <w:lang w:val="en-GB"/>
        </w:rPr>
        <w:t xml:space="preserve">          .........................................................................................................................................</w:t>
      </w:r>
      <w:r w:rsidRPr="1EB51F1B" w:rsidR="18E4CFD1">
        <w:rPr>
          <w:rFonts w:ascii="Arial" w:hAnsi="Arial" w:eastAsia="Arial" w:cs="Arial"/>
          <w:b w:val="1"/>
          <w:bCs w:val="1"/>
          <w:noProof w:val="0"/>
          <w:sz w:val="22"/>
          <w:szCs w:val="22"/>
          <w:lang w:val="en-GB"/>
        </w:rPr>
        <w:t>Pg 5</w:t>
      </w:r>
    </w:p>
    <w:p w:rsidR="15510583" w:rsidP="1EB51F1B" w:rsidRDefault="15510583" w14:paraId="41E93E7F" w14:textId="78C1FE81">
      <w:pPr>
        <w:pStyle w:val="Normal"/>
        <w:rPr>
          <w:rFonts w:ascii="Arial" w:hAnsi="Arial" w:eastAsia="Arial" w:cs="Arial"/>
          <w:b w:val="1"/>
          <w:bCs w:val="1"/>
          <w:noProof w:val="0"/>
          <w:sz w:val="22"/>
          <w:szCs w:val="22"/>
          <w:lang w:val="en-GB"/>
        </w:rPr>
      </w:pPr>
      <w:r w:rsidRPr="1EB51F1B" w:rsidR="3884AF2E">
        <w:rPr>
          <w:rFonts w:ascii="Arial" w:hAnsi="Arial" w:eastAsia="Arial" w:cs="Arial"/>
          <w:b w:val="1"/>
          <w:bCs w:val="1"/>
          <w:noProof w:val="0"/>
          <w:sz w:val="22"/>
          <w:szCs w:val="22"/>
          <w:lang w:val="en-GB"/>
        </w:rPr>
        <w:t>3.</w:t>
      </w:r>
      <w:r w:rsidRPr="1EB51F1B" w:rsidR="2FC41106">
        <w:rPr>
          <w:rFonts w:ascii="Arial" w:hAnsi="Arial" w:eastAsia="Arial" w:cs="Arial"/>
          <w:b w:val="1"/>
          <w:bCs w:val="1"/>
          <w:noProof w:val="0"/>
          <w:sz w:val="22"/>
          <w:szCs w:val="22"/>
          <w:lang w:val="en-GB"/>
        </w:rPr>
        <w:t>Change management models &amp; strategic change</w:t>
      </w:r>
      <w:r>
        <w:tab/>
      </w:r>
      <w:r>
        <w:tab/>
      </w:r>
      <w:r>
        <w:tab/>
      </w:r>
      <w:r>
        <w:tab/>
      </w:r>
      <w:r w:rsidRPr="1EB51F1B" w:rsidR="2FC41106">
        <w:rPr>
          <w:rFonts w:ascii="Arial" w:hAnsi="Arial" w:eastAsia="Arial" w:cs="Arial"/>
          <w:b w:val="1"/>
          <w:bCs w:val="1"/>
          <w:noProof w:val="0"/>
          <w:sz w:val="22"/>
          <w:szCs w:val="22"/>
          <w:lang w:val="en-GB"/>
        </w:rPr>
        <w:t xml:space="preserve">    </w:t>
      </w:r>
      <w:r w:rsidRPr="1EB51F1B" w:rsidR="0C7D2951">
        <w:rPr>
          <w:rFonts w:ascii="Arial" w:hAnsi="Arial" w:eastAsia="Arial" w:cs="Arial"/>
          <w:b w:val="1"/>
          <w:bCs w:val="1"/>
          <w:noProof w:val="0"/>
          <w:sz w:val="22"/>
          <w:szCs w:val="22"/>
          <w:lang w:val="en-GB"/>
        </w:rPr>
        <w:t xml:space="preserve">            .........................................................................................................................................</w:t>
      </w:r>
      <w:r w:rsidRPr="1EB51F1B" w:rsidR="2FC41106">
        <w:rPr>
          <w:rFonts w:ascii="Arial" w:hAnsi="Arial" w:eastAsia="Arial" w:cs="Arial"/>
          <w:b w:val="1"/>
          <w:bCs w:val="1"/>
          <w:noProof w:val="0"/>
          <w:sz w:val="22"/>
          <w:szCs w:val="22"/>
          <w:lang w:val="en-GB"/>
        </w:rPr>
        <w:t>Pg 5</w:t>
      </w:r>
    </w:p>
    <w:p w:rsidR="15510583" w:rsidP="1EB51F1B" w:rsidRDefault="15510583" w14:paraId="3A0D684A" w14:textId="7F04110F">
      <w:pPr>
        <w:pStyle w:val="Normal"/>
        <w:rPr>
          <w:rFonts w:ascii="Arial" w:hAnsi="Arial" w:eastAsia="Arial" w:cs="Arial"/>
          <w:b w:val="1"/>
          <w:bCs w:val="1"/>
          <w:noProof w:val="0"/>
          <w:sz w:val="22"/>
          <w:szCs w:val="22"/>
          <w:lang w:val="en-GB"/>
        </w:rPr>
      </w:pPr>
      <w:r w:rsidRPr="1EB51F1B" w:rsidR="58D3C96C">
        <w:rPr>
          <w:rFonts w:ascii="Arial" w:hAnsi="Arial" w:eastAsia="Arial" w:cs="Arial"/>
          <w:b w:val="1"/>
          <w:bCs w:val="1"/>
          <w:noProof w:val="0"/>
          <w:sz w:val="22"/>
          <w:szCs w:val="22"/>
          <w:lang w:val="en-GB"/>
        </w:rPr>
        <w:t>4.</w:t>
      </w:r>
      <w:r w:rsidRPr="1EB51F1B" w:rsidR="071910B6">
        <w:rPr>
          <w:rFonts w:ascii="Arial" w:hAnsi="Arial" w:eastAsia="Arial" w:cs="Arial"/>
          <w:b w:val="1"/>
          <w:bCs w:val="1"/>
          <w:noProof w:val="0"/>
          <w:sz w:val="22"/>
          <w:szCs w:val="22"/>
          <w:lang w:val="en-GB"/>
        </w:rPr>
        <w:t>H</w:t>
      </w:r>
      <w:r w:rsidRPr="1EB51F1B" w:rsidR="7B7FD83E">
        <w:rPr>
          <w:rFonts w:ascii="Arial" w:hAnsi="Arial" w:eastAsia="Arial" w:cs="Arial"/>
          <w:b w:val="1"/>
          <w:bCs w:val="1"/>
          <w:noProof w:val="0"/>
          <w:sz w:val="22"/>
          <w:szCs w:val="22"/>
          <w:lang w:val="en-GB"/>
        </w:rPr>
        <w:t xml:space="preserve">ow the change was managed and how leadership played a role therein </w:t>
      </w:r>
      <w:r>
        <w:br/>
      </w:r>
      <w:r w:rsidRPr="1EB51F1B" w:rsidR="7B7FD83E">
        <w:rPr>
          <w:rFonts w:ascii="Arial" w:hAnsi="Arial" w:eastAsia="Arial" w:cs="Arial"/>
          <w:b w:val="1"/>
          <w:bCs w:val="1"/>
          <w:noProof w:val="0"/>
          <w:sz w:val="22"/>
          <w:szCs w:val="22"/>
          <w:lang w:val="en-GB"/>
        </w:rPr>
        <w:t>by applying a leadership style or approach</w:t>
      </w:r>
      <w:r w:rsidRPr="1EB51F1B" w:rsidR="0140EBEB">
        <w:rPr>
          <w:rFonts w:ascii="Arial" w:hAnsi="Arial" w:eastAsia="Arial" w:cs="Arial"/>
          <w:b w:val="1"/>
          <w:bCs w:val="1"/>
          <w:noProof w:val="0"/>
          <w:sz w:val="22"/>
          <w:szCs w:val="22"/>
          <w:lang w:val="en-GB"/>
        </w:rPr>
        <w:t xml:space="preserve"> </w:t>
      </w:r>
      <w:r w:rsidRPr="1EB51F1B" w:rsidR="6D130E3B">
        <w:rPr>
          <w:rFonts w:ascii="Arial" w:hAnsi="Arial" w:eastAsia="Arial" w:cs="Arial"/>
          <w:b w:val="1"/>
          <w:bCs w:val="1"/>
          <w:noProof w:val="0"/>
          <w:sz w:val="22"/>
          <w:szCs w:val="22"/>
          <w:lang w:val="en-GB"/>
        </w:rPr>
        <w:t>...............................................................</w:t>
      </w:r>
      <w:r w:rsidRPr="1EB51F1B" w:rsidR="7B7FD83E">
        <w:rPr>
          <w:rFonts w:ascii="Arial" w:hAnsi="Arial" w:eastAsia="Arial" w:cs="Arial"/>
          <w:b w:val="1"/>
          <w:bCs w:val="1"/>
          <w:noProof w:val="0"/>
          <w:sz w:val="22"/>
          <w:szCs w:val="22"/>
          <w:lang w:val="en-GB"/>
        </w:rPr>
        <w:t>Pg 8</w:t>
      </w:r>
    </w:p>
    <w:p w:rsidR="15510583" w:rsidP="1EB51F1B" w:rsidRDefault="15510583" w14:paraId="57B91F66" w14:textId="7E3BF9FF">
      <w:pPr>
        <w:pStyle w:val="Normal"/>
        <w:rPr>
          <w:rFonts w:ascii="Arial" w:hAnsi="Arial" w:eastAsia="Arial" w:cs="Arial"/>
          <w:b w:val="1"/>
          <w:bCs w:val="1"/>
          <w:noProof w:val="0"/>
          <w:sz w:val="22"/>
          <w:szCs w:val="22"/>
          <w:lang w:val="en-GB"/>
        </w:rPr>
      </w:pPr>
      <w:r w:rsidRPr="1EB51F1B" w:rsidR="07C809A5">
        <w:rPr>
          <w:rFonts w:ascii="Arial" w:hAnsi="Arial" w:eastAsia="Arial" w:cs="Arial"/>
          <w:b w:val="1"/>
          <w:bCs w:val="1"/>
          <w:noProof w:val="0"/>
          <w:sz w:val="22"/>
          <w:szCs w:val="22"/>
          <w:lang w:val="en-GB"/>
        </w:rPr>
        <w:t>5.</w:t>
      </w:r>
      <w:r w:rsidRPr="1EB51F1B" w:rsidR="128E39F9">
        <w:rPr>
          <w:rFonts w:ascii="Arial" w:hAnsi="Arial" w:eastAsia="Arial" w:cs="Arial"/>
          <w:b w:val="1"/>
          <w:bCs w:val="1"/>
          <w:noProof w:val="0"/>
          <w:sz w:val="22"/>
          <w:szCs w:val="22"/>
          <w:lang w:val="en-GB"/>
        </w:rPr>
        <w:t>S</w:t>
      </w:r>
      <w:r w:rsidRPr="1EB51F1B" w:rsidR="5DEE3B0B">
        <w:rPr>
          <w:rFonts w:ascii="Arial" w:hAnsi="Arial" w:eastAsia="Arial" w:cs="Arial"/>
          <w:b w:val="1"/>
          <w:bCs w:val="1"/>
          <w:noProof w:val="0"/>
          <w:sz w:val="22"/>
          <w:szCs w:val="22"/>
          <w:lang w:val="en-GB"/>
        </w:rPr>
        <w:t>uitable change management plan</w:t>
      </w:r>
    </w:p>
    <w:p w:rsidR="15510583" w:rsidP="1EB51F1B" w:rsidRDefault="15510583" w14:paraId="48E3B7BE" w14:textId="53DBB4A0">
      <w:pPr>
        <w:pStyle w:val="Normal"/>
        <w:rPr>
          <w:rFonts w:ascii="Arial" w:hAnsi="Arial" w:eastAsia="Arial" w:cs="Arial"/>
          <w:b w:val="1"/>
          <w:bCs w:val="1"/>
          <w:noProof w:val="0"/>
          <w:sz w:val="22"/>
          <w:szCs w:val="22"/>
          <w:lang w:val="en-GB"/>
        </w:rPr>
      </w:pPr>
      <w:r w:rsidRPr="1EB51F1B" w:rsidR="7AEE2A21">
        <w:rPr>
          <w:rFonts w:ascii="Arial" w:hAnsi="Arial" w:eastAsia="Arial" w:cs="Arial"/>
          <w:b w:val="1"/>
          <w:bCs w:val="1"/>
          <w:noProof w:val="0"/>
          <w:sz w:val="22"/>
          <w:szCs w:val="22"/>
          <w:lang w:val="en-GB"/>
        </w:rPr>
        <w:t>........................................................................................................................................</w:t>
      </w:r>
      <w:r w:rsidRPr="1EB51F1B" w:rsidR="5DEE3B0B">
        <w:rPr>
          <w:rFonts w:ascii="Arial" w:hAnsi="Arial" w:eastAsia="Arial" w:cs="Arial"/>
          <w:b w:val="1"/>
          <w:bCs w:val="1"/>
          <w:noProof w:val="0"/>
          <w:sz w:val="22"/>
          <w:szCs w:val="22"/>
          <w:lang w:val="en-GB"/>
        </w:rPr>
        <w:t xml:space="preserve">Pg </w:t>
      </w:r>
      <w:r w:rsidRPr="1EB51F1B" w:rsidR="3204B12F">
        <w:rPr>
          <w:rFonts w:ascii="Arial" w:hAnsi="Arial" w:eastAsia="Arial" w:cs="Arial"/>
          <w:b w:val="1"/>
          <w:bCs w:val="1"/>
          <w:noProof w:val="0"/>
          <w:sz w:val="22"/>
          <w:szCs w:val="22"/>
          <w:lang w:val="en-GB"/>
        </w:rPr>
        <w:t>12</w:t>
      </w:r>
    </w:p>
    <w:p w:rsidR="15510583" w:rsidP="1EB51F1B" w:rsidRDefault="15510583" w14:paraId="7B6DF4C7" w14:textId="7BC27448">
      <w:pPr>
        <w:rPr>
          <w:rFonts w:ascii="Arial" w:hAnsi="Arial" w:eastAsia="Arial" w:cs="Arial"/>
          <w:b w:val="1"/>
          <w:bCs w:val="1"/>
          <w:sz w:val="22"/>
          <w:szCs w:val="22"/>
        </w:rPr>
      </w:pPr>
      <w:r w:rsidRPr="1EB51F1B" w:rsidR="60C103D8">
        <w:rPr>
          <w:rFonts w:ascii="Arial" w:hAnsi="Arial" w:eastAsia="Arial" w:cs="Arial"/>
          <w:b w:val="1"/>
          <w:bCs w:val="1"/>
          <w:sz w:val="22"/>
          <w:szCs w:val="22"/>
        </w:rPr>
        <w:t>6.</w:t>
      </w:r>
      <w:r w:rsidRPr="1EB51F1B" w:rsidR="27C2F489">
        <w:rPr>
          <w:rFonts w:ascii="Arial" w:hAnsi="Arial" w:eastAsia="Arial" w:cs="Arial"/>
          <w:b w:val="1"/>
          <w:bCs w:val="1"/>
          <w:sz w:val="22"/>
          <w:szCs w:val="22"/>
        </w:rPr>
        <w:t>References</w:t>
      </w:r>
      <w:r>
        <w:tab/>
      </w:r>
      <w:r>
        <w:tab/>
      </w:r>
      <w:r>
        <w:tab/>
      </w:r>
      <w:r>
        <w:tab/>
      </w:r>
      <w:r>
        <w:tab/>
      </w:r>
      <w:r>
        <w:tab/>
      </w:r>
      <w:r>
        <w:tab/>
      </w:r>
      <w:r>
        <w:tab/>
      </w:r>
      <w:r>
        <w:tab/>
      </w:r>
      <w:r>
        <w:tab/>
      </w:r>
      <w:r w:rsidRPr="1EB51F1B" w:rsidR="6BF79D51">
        <w:rPr>
          <w:rFonts w:ascii="Arial" w:hAnsi="Arial" w:eastAsia="Arial" w:cs="Arial"/>
          <w:b w:val="1"/>
          <w:bCs w:val="1"/>
          <w:sz w:val="22"/>
          <w:szCs w:val="22"/>
        </w:rPr>
        <w:t xml:space="preserve"> </w:t>
      </w:r>
    </w:p>
    <w:p w:rsidR="15510583" w:rsidP="1EB51F1B" w:rsidRDefault="15510583" w14:paraId="2FBDC417" w14:textId="3A232E4B">
      <w:pPr>
        <w:rPr>
          <w:rFonts w:ascii="Arial" w:hAnsi="Arial" w:eastAsia="Arial" w:cs="Arial"/>
          <w:b w:val="1"/>
          <w:bCs w:val="1"/>
          <w:sz w:val="22"/>
          <w:szCs w:val="22"/>
        </w:rPr>
      </w:pPr>
      <w:r w:rsidRPr="1EB51F1B" w:rsidR="3DD20F92">
        <w:rPr>
          <w:rFonts w:ascii="Arial" w:hAnsi="Arial" w:eastAsia="Arial" w:cs="Arial"/>
          <w:b w:val="1"/>
          <w:bCs w:val="1"/>
          <w:sz w:val="22"/>
          <w:szCs w:val="22"/>
        </w:rPr>
        <w:t>...................................................................................................................................</w:t>
      </w:r>
      <w:r w:rsidRPr="1EB51F1B" w:rsidR="27C2F489">
        <w:rPr>
          <w:rFonts w:ascii="Arial" w:hAnsi="Arial" w:eastAsia="Arial" w:cs="Arial"/>
          <w:b w:val="1"/>
          <w:bCs w:val="1"/>
          <w:sz w:val="22"/>
          <w:szCs w:val="22"/>
        </w:rPr>
        <w:t>Pg 1</w:t>
      </w:r>
      <w:r w:rsidRPr="1EB51F1B" w:rsidR="70584735">
        <w:rPr>
          <w:rFonts w:ascii="Arial" w:hAnsi="Arial" w:eastAsia="Arial" w:cs="Arial"/>
          <w:b w:val="1"/>
          <w:bCs w:val="1"/>
          <w:sz w:val="22"/>
          <w:szCs w:val="22"/>
        </w:rPr>
        <w:t>6</w:t>
      </w:r>
      <w:r w:rsidRPr="1EB51F1B" w:rsidR="27C2F489">
        <w:rPr>
          <w:rFonts w:ascii="Arial" w:hAnsi="Arial" w:eastAsia="Arial" w:cs="Arial"/>
          <w:b w:val="1"/>
          <w:bCs w:val="1"/>
          <w:sz w:val="22"/>
          <w:szCs w:val="22"/>
        </w:rPr>
        <w:t>-1</w:t>
      </w:r>
      <w:r w:rsidRPr="1EB51F1B" w:rsidR="65AF0FC4">
        <w:rPr>
          <w:rFonts w:ascii="Arial" w:hAnsi="Arial" w:eastAsia="Arial" w:cs="Arial"/>
          <w:b w:val="1"/>
          <w:bCs w:val="1"/>
          <w:sz w:val="22"/>
          <w:szCs w:val="22"/>
        </w:rPr>
        <w:t>7</w:t>
      </w:r>
      <w:r>
        <w:tab/>
      </w:r>
    </w:p>
    <w:p w:rsidR="15510583" w:rsidP="1EB51F1B" w:rsidRDefault="15510583" w14:paraId="252E0FAB" w14:textId="17A1ACFD">
      <w:pPr>
        <w:rPr>
          <w:rFonts w:ascii="Arial" w:hAnsi="Arial" w:eastAsia="Arial" w:cs="Arial"/>
          <w:b w:val="1"/>
          <w:bCs w:val="1"/>
          <w:sz w:val="22"/>
          <w:szCs w:val="22"/>
        </w:rPr>
      </w:pPr>
    </w:p>
    <w:p w:rsidR="15510583" w:rsidP="1EB51F1B" w:rsidRDefault="15510583" w14:paraId="5B2DE8CD" w14:textId="261E585B">
      <w:pPr>
        <w:rPr>
          <w:rFonts w:ascii="Arial" w:hAnsi="Arial" w:eastAsia="Arial" w:cs="Arial"/>
          <w:b w:val="1"/>
          <w:bCs w:val="1"/>
          <w:sz w:val="22"/>
          <w:szCs w:val="22"/>
        </w:rPr>
      </w:pPr>
    </w:p>
    <w:p w:rsidR="15510583" w:rsidP="1EB51F1B" w:rsidRDefault="15510583" w14:paraId="6121E9C6" w14:textId="1F3FF71D">
      <w:pPr>
        <w:rPr>
          <w:rFonts w:ascii="Arial" w:hAnsi="Arial" w:eastAsia="Arial" w:cs="Arial"/>
          <w:b w:val="1"/>
          <w:bCs w:val="1"/>
          <w:sz w:val="22"/>
          <w:szCs w:val="22"/>
        </w:rPr>
      </w:pPr>
    </w:p>
    <w:p w:rsidR="15510583" w:rsidP="1EB51F1B" w:rsidRDefault="15510583" w14:paraId="3CAF72D0" w14:textId="515A5A70">
      <w:pPr>
        <w:rPr>
          <w:rFonts w:ascii="Arial" w:hAnsi="Arial" w:eastAsia="Arial" w:cs="Arial"/>
          <w:b w:val="1"/>
          <w:bCs w:val="1"/>
          <w:sz w:val="22"/>
          <w:szCs w:val="22"/>
        </w:rPr>
      </w:pPr>
    </w:p>
    <w:p w:rsidR="15510583" w:rsidP="1EB51F1B" w:rsidRDefault="15510583" w14:paraId="39C05D20" w14:textId="4C1D5AB8">
      <w:pPr>
        <w:rPr>
          <w:rFonts w:ascii="Arial" w:hAnsi="Arial" w:eastAsia="Arial" w:cs="Arial"/>
          <w:b w:val="1"/>
          <w:bCs w:val="1"/>
          <w:sz w:val="22"/>
          <w:szCs w:val="22"/>
        </w:rPr>
      </w:pPr>
    </w:p>
    <w:p w:rsidR="15510583" w:rsidP="1EB51F1B" w:rsidRDefault="15510583" w14:paraId="2D3ECED9" w14:textId="1E7AC358">
      <w:pPr>
        <w:rPr>
          <w:rFonts w:ascii="Arial" w:hAnsi="Arial" w:eastAsia="Arial" w:cs="Arial"/>
          <w:b w:val="1"/>
          <w:bCs w:val="1"/>
          <w:sz w:val="22"/>
          <w:szCs w:val="22"/>
        </w:rPr>
      </w:pPr>
    </w:p>
    <w:p w:rsidR="15510583" w:rsidP="1EB51F1B" w:rsidRDefault="15510583" w14:paraId="19FB5EB5" w14:textId="1668974B">
      <w:pPr>
        <w:rPr>
          <w:rFonts w:ascii="Arial" w:hAnsi="Arial" w:eastAsia="Arial" w:cs="Arial"/>
          <w:b w:val="1"/>
          <w:bCs w:val="1"/>
          <w:sz w:val="22"/>
          <w:szCs w:val="22"/>
        </w:rPr>
      </w:pPr>
    </w:p>
    <w:p w:rsidR="15510583" w:rsidP="1EB51F1B" w:rsidRDefault="15510583" w14:paraId="15E37EF7" w14:textId="6B55C097">
      <w:pPr>
        <w:rPr>
          <w:rFonts w:ascii="Arial" w:hAnsi="Arial" w:eastAsia="Arial" w:cs="Arial"/>
          <w:b w:val="1"/>
          <w:bCs w:val="1"/>
          <w:sz w:val="22"/>
          <w:szCs w:val="22"/>
        </w:rPr>
      </w:pPr>
    </w:p>
    <w:p w:rsidR="15510583" w:rsidP="1EB51F1B" w:rsidRDefault="15510583" w14:paraId="48B2BB29" w14:textId="775F4BF4">
      <w:pPr>
        <w:rPr>
          <w:rFonts w:ascii="Arial" w:hAnsi="Arial" w:eastAsia="Arial" w:cs="Arial"/>
          <w:b w:val="1"/>
          <w:bCs w:val="1"/>
          <w:sz w:val="22"/>
          <w:szCs w:val="22"/>
        </w:rPr>
      </w:pPr>
    </w:p>
    <w:p w:rsidR="15510583" w:rsidP="1EB51F1B" w:rsidRDefault="15510583" w14:paraId="040AF423" w14:textId="14083203">
      <w:pPr>
        <w:rPr>
          <w:rFonts w:ascii="Arial" w:hAnsi="Arial" w:eastAsia="Arial" w:cs="Arial"/>
          <w:b w:val="1"/>
          <w:bCs w:val="1"/>
          <w:sz w:val="22"/>
          <w:szCs w:val="22"/>
        </w:rPr>
      </w:pPr>
    </w:p>
    <w:p w:rsidR="15510583" w:rsidP="1EB51F1B" w:rsidRDefault="15510583" w14:paraId="00AC70EF" w14:textId="379569D2">
      <w:pPr>
        <w:rPr>
          <w:rFonts w:ascii="Arial" w:hAnsi="Arial" w:eastAsia="Arial" w:cs="Arial"/>
          <w:b w:val="1"/>
          <w:bCs w:val="1"/>
          <w:sz w:val="22"/>
          <w:szCs w:val="22"/>
        </w:rPr>
      </w:pPr>
    </w:p>
    <w:p w:rsidR="15510583" w:rsidP="1EB51F1B" w:rsidRDefault="15510583" w14:paraId="06C5539D" w14:textId="3222B95D">
      <w:pPr>
        <w:rPr>
          <w:rFonts w:ascii="Arial" w:hAnsi="Arial" w:eastAsia="Arial" w:cs="Arial"/>
          <w:b w:val="1"/>
          <w:bCs w:val="1"/>
          <w:sz w:val="22"/>
          <w:szCs w:val="22"/>
        </w:rPr>
      </w:pPr>
    </w:p>
    <w:p w:rsidR="15510583" w:rsidP="1EB51F1B" w:rsidRDefault="15510583" w14:paraId="55D56231" w14:textId="1A06A78C">
      <w:pPr>
        <w:rPr>
          <w:rFonts w:ascii="Arial" w:hAnsi="Arial" w:eastAsia="Arial" w:cs="Arial"/>
          <w:b w:val="1"/>
          <w:bCs w:val="1"/>
          <w:sz w:val="22"/>
          <w:szCs w:val="22"/>
        </w:rPr>
      </w:pPr>
    </w:p>
    <w:p w:rsidR="15510583" w:rsidP="1EB51F1B" w:rsidRDefault="15510583" w14:paraId="0B6C7BE7" w14:textId="0E067014">
      <w:pPr>
        <w:rPr>
          <w:rFonts w:ascii="Arial" w:hAnsi="Arial" w:eastAsia="Arial" w:cs="Arial"/>
          <w:b w:val="1"/>
          <w:bCs w:val="1"/>
          <w:sz w:val="22"/>
          <w:szCs w:val="22"/>
        </w:rPr>
      </w:pPr>
    </w:p>
    <w:p w:rsidR="15510583" w:rsidP="1EB51F1B" w:rsidRDefault="15510583" w14:paraId="3E99F926" w14:textId="2C8BF7F8">
      <w:pPr>
        <w:rPr>
          <w:rFonts w:ascii="Arial" w:hAnsi="Arial" w:eastAsia="Arial" w:cs="Arial"/>
          <w:b w:val="1"/>
          <w:bCs w:val="1"/>
          <w:sz w:val="22"/>
          <w:szCs w:val="22"/>
        </w:rPr>
      </w:pPr>
    </w:p>
    <w:p w:rsidR="15510583" w:rsidP="1EB51F1B" w:rsidRDefault="15510583" w14:paraId="40B519DC" w14:textId="0D12FB7B">
      <w:pPr>
        <w:rPr>
          <w:rFonts w:ascii="Arial" w:hAnsi="Arial" w:eastAsia="Arial" w:cs="Arial"/>
          <w:b w:val="1"/>
          <w:bCs w:val="1"/>
          <w:sz w:val="22"/>
          <w:szCs w:val="22"/>
        </w:rPr>
      </w:pPr>
    </w:p>
    <w:p w:rsidR="04A3EA1A" w:rsidP="1EB51F1B" w:rsidRDefault="04A3EA1A" w14:paraId="5FB924C1" w14:textId="4E3330D6">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highlight w:val="yellow"/>
          <w:u w:val="single"/>
          <w:lang w:val="en-GB"/>
        </w:rPr>
      </w:pPr>
      <w:r w:rsidRPr="1EB51F1B" w:rsidR="04A3EA1A">
        <w:rPr>
          <w:rFonts w:ascii="Arial" w:hAnsi="Arial" w:eastAsia="Arial" w:cs="Arial"/>
          <w:b w:val="1"/>
          <w:bCs w:val="1"/>
          <w:noProof w:val="0"/>
          <w:sz w:val="22"/>
          <w:szCs w:val="22"/>
          <w:highlight w:val="yellow"/>
          <w:u w:val="single"/>
          <w:lang w:val="en-GB"/>
        </w:rPr>
        <w:t>Question 1</w:t>
      </w:r>
    </w:p>
    <w:p w:rsidR="1B9D2A94" w:rsidP="1EB51F1B" w:rsidRDefault="1B9D2A94" w14:paraId="34E34361" w14:textId="69E93097">
      <w:pPr>
        <w:pStyle w:val="Normal"/>
        <w:rPr>
          <w:rFonts w:ascii="Arial" w:hAnsi="Arial" w:eastAsia="Arial" w:cs="Arial"/>
          <w:noProof w:val="0"/>
          <w:sz w:val="22"/>
          <w:szCs w:val="22"/>
          <w:lang w:val="en-GB"/>
        </w:rPr>
      </w:pPr>
      <w:r w:rsidRPr="1EB51F1B" w:rsidR="1B9D2A94">
        <w:rPr>
          <w:rFonts w:ascii="Arial" w:hAnsi="Arial" w:eastAsia="Arial" w:cs="Arial"/>
          <w:b w:val="1"/>
          <w:bCs w:val="1"/>
          <w:noProof w:val="0"/>
          <w:sz w:val="22"/>
          <w:szCs w:val="22"/>
          <w:lang w:val="en-GB"/>
        </w:rPr>
        <w:t>Introduction</w:t>
      </w:r>
      <w:r w:rsidRPr="1EB51F1B" w:rsidR="3BD01918">
        <w:rPr>
          <w:rFonts w:ascii="Arial" w:hAnsi="Arial" w:eastAsia="Arial" w:cs="Arial"/>
          <w:b w:val="1"/>
          <w:bCs w:val="1"/>
          <w:noProof w:val="0"/>
          <w:sz w:val="22"/>
          <w:szCs w:val="22"/>
          <w:lang w:val="en-GB"/>
        </w:rPr>
        <w:t xml:space="preserve"> to Thames Water:</w:t>
      </w:r>
    </w:p>
    <w:p w:rsidR="72DB7FF3" w:rsidP="1EB51F1B" w:rsidRDefault="72DB7FF3" w14:paraId="5A976350" w14:textId="3BFB4301">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72DB7FF3">
        <w:rPr>
          <w:rFonts w:ascii="D-DINExp" w:hAnsi="D-DINExp" w:eastAsia="D-DINExp" w:cs="D-DINExp"/>
          <w:b w:val="1"/>
          <w:bCs w:val="1"/>
          <w:i w:val="0"/>
          <w:iCs w:val="0"/>
          <w:caps w:val="0"/>
          <w:smallCaps w:val="0"/>
          <w:noProof w:val="0"/>
          <w:sz w:val="21"/>
          <w:szCs w:val="21"/>
          <w:lang w:val="en-GB"/>
        </w:rPr>
        <w:t>Thames Water: context and purpose</w:t>
      </w:r>
    </w:p>
    <w:p w:rsidR="72DB7FF3" w:rsidP="1EB51F1B" w:rsidRDefault="72DB7FF3" w14:paraId="03AA4482" w14:textId="5F08392D">
      <w:pPr>
        <w:shd w:val="clear" w:color="auto" w:fill="FFFFFF" w:themeFill="background1"/>
        <w:spacing w:before="0" w:beforeAutospacing="off" w:after="150" w:afterAutospacing="off"/>
      </w:pPr>
      <w:r w:rsidRPr="1EB51F1B" w:rsidR="72DB7FF3">
        <w:rPr>
          <w:rFonts w:ascii="D-DINExp" w:hAnsi="D-DINExp" w:eastAsia="D-DINExp" w:cs="D-DINExp"/>
          <w:b w:val="0"/>
          <w:bCs w:val="0"/>
          <w:i w:val="0"/>
          <w:iCs w:val="0"/>
          <w:caps w:val="0"/>
          <w:smallCaps w:val="0"/>
          <w:noProof w:val="0"/>
          <w:sz w:val="21"/>
          <w:szCs w:val="21"/>
          <w:lang w:val="en-GB"/>
        </w:rPr>
        <w:t>Thames Water is the United Kingdom’s largest water and wastewater services company. We deliver drinking water to millions of customers and treat wastewater across a wide geographic footprint. The organization has grown into its current form through a series of mergers and regulatory restructurings, serving residents and businesses in London, Greater London, and parts of the Thames Valley and southern England. We operate in a highly regulated environment, overseen by Ofwat and environmental agencies that set standards for water quality, leakage, customer service, and environmental performance.</w:t>
      </w:r>
    </w:p>
    <w:p w:rsidR="72DB7FF3" w:rsidP="1EB51F1B" w:rsidRDefault="72DB7FF3" w14:paraId="4A032144" w14:textId="2BE3B429">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72DB7FF3">
        <w:rPr>
          <w:rFonts w:ascii="D-DINExp" w:hAnsi="D-DINExp" w:eastAsia="D-DINExp" w:cs="D-DINExp"/>
          <w:b w:val="1"/>
          <w:bCs w:val="1"/>
          <w:i w:val="0"/>
          <w:iCs w:val="0"/>
          <w:caps w:val="0"/>
          <w:smallCaps w:val="0"/>
          <w:noProof w:val="0"/>
          <w:sz w:val="21"/>
          <w:szCs w:val="21"/>
          <w:lang w:val="en-GB"/>
        </w:rPr>
        <w:t>What we do and why it matters</w:t>
      </w:r>
    </w:p>
    <w:p w:rsidR="72DB7FF3" w:rsidP="1EB51F1B" w:rsidRDefault="72DB7FF3" w14:paraId="3DA38A5B" w14:textId="1FF5304D">
      <w:pPr>
        <w:pStyle w:val="ListParagraph"/>
        <w:numPr>
          <w:ilvl w:val="0"/>
          <w:numId w:val="45"/>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We source, treat, and distribute potable water, maintain complex infrastructure (reservoirs, treatment works, pumping stations) and an extensive mains and sewers network.</w:t>
      </w:r>
    </w:p>
    <w:p w:rsidR="72DB7FF3" w:rsidP="1EB51F1B" w:rsidRDefault="72DB7FF3" w14:paraId="79485ED7" w14:textId="31995E51">
      <w:pPr>
        <w:pStyle w:val="ListParagraph"/>
        <w:numPr>
          <w:ilvl w:val="0"/>
          <w:numId w:val="45"/>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Our daily challenge is to provide reliable water supply while protecting public health and the environment, especially in the face of rising demand, climate variability, and aging infrastructure.</w:t>
      </w:r>
    </w:p>
    <w:p w:rsidR="72DB7FF3" w:rsidP="1EB51F1B" w:rsidRDefault="72DB7FF3" w14:paraId="642E82C1" w14:textId="05DA5484">
      <w:pPr>
        <w:pStyle w:val="ListParagraph"/>
        <w:numPr>
          <w:ilvl w:val="0"/>
          <w:numId w:val="45"/>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We invest in modernization and resilience, using data analytics, smart metering, and network optimization to reduce leaks, manage demand, and improve efficiency.</w:t>
      </w:r>
    </w:p>
    <w:p w:rsidR="1EB51F1B" w:rsidP="1EB51F1B" w:rsidRDefault="1EB51F1B" w14:paraId="2BB64755" w14:textId="1D1BB72E">
      <w:pPr>
        <w:pStyle w:val="ListParagraph"/>
        <w:shd w:val="clear" w:color="auto" w:fill="FFFFFF" w:themeFill="background1"/>
        <w:spacing w:before="0" w:beforeAutospacing="off" w:after="0" w:afterAutospacing="off"/>
        <w:ind w:left="720"/>
        <w:rPr>
          <w:rFonts w:ascii="D-DINExp" w:hAnsi="D-DINExp" w:eastAsia="D-DINExp" w:cs="D-DINExp"/>
          <w:b w:val="0"/>
          <w:bCs w:val="0"/>
          <w:i w:val="0"/>
          <w:iCs w:val="0"/>
          <w:caps w:val="0"/>
          <w:smallCaps w:val="0"/>
          <w:noProof w:val="0"/>
          <w:sz w:val="21"/>
          <w:szCs w:val="21"/>
          <w:lang w:val="en-GB"/>
        </w:rPr>
      </w:pPr>
    </w:p>
    <w:p w:rsidR="72DB7FF3" w:rsidP="1EB51F1B" w:rsidRDefault="72DB7FF3" w14:paraId="7CE79AE9" w14:textId="7024D612">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72DB7FF3">
        <w:rPr>
          <w:rFonts w:ascii="D-DINExp" w:hAnsi="D-DINExp" w:eastAsia="D-DINExp" w:cs="D-DINExp"/>
          <w:b w:val="1"/>
          <w:bCs w:val="1"/>
          <w:i w:val="0"/>
          <w:iCs w:val="0"/>
          <w:caps w:val="0"/>
          <w:smallCaps w:val="0"/>
          <w:noProof w:val="0"/>
          <w:sz w:val="21"/>
          <w:szCs w:val="21"/>
          <w:lang w:val="en-GB"/>
        </w:rPr>
        <w:t>Our customers and communities</w:t>
      </w:r>
    </w:p>
    <w:p w:rsidR="72DB7FF3" w:rsidP="1EB51F1B" w:rsidRDefault="72DB7FF3" w14:paraId="16AECC46" w14:textId="7A45FB87">
      <w:pPr>
        <w:pStyle w:val="ListParagraph"/>
        <w:numPr>
          <w:ilvl w:val="0"/>
          <w:numId w:val="46"/>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Customer focus is central to our mission. We aim to provide timely information on supply interruptions, handle billing and payments smoothly, and support vulnerable customers.</w:t>
      </w:r>
    </w:p>
    <w:p w:rsidR="72DB7FF3" w:rsidP="1EB51F1B" w:rsidRDefault="72DB7FF3" w14:paraId="52A5367C" w14:textId="1E88CDE0">
      <w:pPr>
        <w:pStyle w:val="ListParagraph"/>
        <w:numPr>
          <w:ilvl w:val="0"/>
          <w:numId w:val="46"/>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We engage with local communities through educational outreach, environmental stewardship, and partnerships to protect water resources and natural habitats.</w:t>
      </w:r>
    </w:p>
    <w:p w:rsidR="72DB7FF3" w:rsidP="1EB51F1B" w:rsidRDefault="72DB7FF3" w14:paraId="1C65A349" w14:textId="44C670DB">
      <w:pPr>
        <w:pStyle w:val="ListParagraph"/>
        <w:numPr>
          <w:ilvl w:val="0"/>
          <w:numId w:val="46"/>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We promote sustainable practices, including water efficiency campaigns, watershed protection, and green infrastructure to mitigate flood risks and improve drainage.</w:t>
      </w:r>
    </w:p>
    <w:p w:rsidR="1EB51F1B" w:rsidP="1EB51F1B" w:rsidRDefault="1EB51F1B" w14:paraId="366451F7" w14:textId="416F892B">
      <w:pPr>
        <w:pStyle w:val="ListParagraph"/>
        <w:shd w:val="clear" w:color="auto" w:fill="FFFFFF" w:themeFill="background1"/>
        <w:spacing w:before="0" w:beforeAutospacing="off" w:after="0" w:afterAutospacing="off"/>
        <w:ind w:left="720"/>
        <w:rPr>
          <w:rFonts w:ascii="D-DINExp" w:hAnsi="D-DINExp" w:eastAsia="D-DINExp" w:cs="D-DINExp"/>
          <w:b w:val="0"/>
          <w:bCs w:val="0"/>
          <w:i w:val="0"/>
          <w:iCs w:val="0"/>
          <w:caps w:val="0"/>
          <w:smallCaps w:val="0"/>
          <w:noProof w:val="0"/>
          <w:sz w:val="21"/>
          <w:szCs w:val="21"/>
          <w:lang w:val="en-GB"/>
        </w:rPr>
      </w:pPr>
    </w:p>
    <w:p w:rsidR="72DB7FF3" w:rsidP="1EB51F1B" w:rsidRDefault="72DB7FF3" w14:paraId="4C8CF56E" w14:textId="35986DAE">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72DB7FF3">
        <w:rPr>
          <w:rFonts w:ascii="D-DINExp" w:hAnsi="D-DINExp" w:eastAsia="D-DINExp" w:cs="D-DINExp"/>
          <w:b w:val="1"/>
          <w:bCs w:val="1"/>
          <w:i w:val="0"/>
          <w:iCs w:val="0"/>
          <w:caps w:val="0"/>
          <w:smallCaps w:val="0"/>
          <w:noProof w:val="0"/>
          <w:sz w:val="21"/>
          <w:szCs w:val="21"/>
          <w:lang w:val="en-GB"/>
        </w:rPr>
        <w:t>Regulatory and financial context</w:t>
      </w:r>
    </w:p>
    <w:p w:rsidR="72DB7FF3" w:rsidP="1EB51F1B" w:rsidRDefault="72DB7FF3" w14:paraId="422663F3" w14:textId="2805E942">
      <w:pPr>
        <w:pStyle w:val="ListParagraph"/>
        <w:numPr>
          <w:ilvl w:val="0"/>
          <w:numId w:val="47"/>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Regulatory and financial pressures shape our capital expenditure plans and tariff structures.</w:t>
      </w:r>
    </w:p>
    <w:p w:rsidR="72DB7FF3" w:rsidP="1EB51F1B" w:rsidRDefault="72DB7FF3" w14:paraId="65598157" w14:textId="28CBFCFD">
      <w:pPr>
        <w:pStyle w:val="ListParagraph"/>
        <w:numPr>
          <w:ilvl w:val="0"/>
          <w:numId w:val="47"/>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We must balance long-term investments in reliability and sustainability with keeping water affordable and maintaining transparent governance.</w:t>
      </w:r>
    </w:p>
    <w:p w:rsidR="72DB7FF3" w:rsidP="1EB51F1B" w:rsidRDefault="72DB7FF3" w14:paraId="478B0C02" w14:textId="7DA4FA87">
      <w:pPr>
        <w:pStyle w:val="ListParagraph"/>
        <w:numPr>
          <w:ilvl w:val="0"/>
          <w:numId w:val="47"/>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As a major urban utility, we navigate the complexities of serving a densely populated, highly connected region, aiming to deliver safe, affordable water today while safeguarding resources for future generations.</w:t>
      </w:r>
    </w:p>
    <w:p w:rsidR="1EB51F1B" w:rsidP="1EB51F1B" w:rsidRDefault="1EB51F1B" w14:paraId="158B3D91" w14:textId="7A269A59">
      <w:pPr>
        <w:pStyle w:val="ListParagraph"/>
        <w:shd w:val="clear" w:color="auto" w:fill="FFFFFF" w:themeFill="background1"/>
        <w:spacing w:before="0" w:beforeAutospacing="off" w:after="0" w:afterAutospacing="off"/>
        <w:ind w:left="720"/>
        <w:rPr>
          <w:rFonts w:ascii="D-DINExp" w:hAnsi="D-DINExp" w:eastAsia="D-DINExp" w:cs="D-DINExp"/>
          <w:b w:val="0"/>
          <w:bCs w:val="0"/>
          <w:i w:val="0"/>
          <w:iCs w:val="0"/>
          <w:caps w:val="0"/>
          <w:smallCaps w:val="0"/>
          <w:noProof w:val="0"/>
          <w:sz w:val="21"/>
          <w:szCs w:val="21"/>
          <w:lang w:val="en-GB"/>
        </w:rPr>
      </w:pPr>
    </w:p>
    <w:p w:rsidR="72DB7FF3" w:rsidP="1EB51F1B" w:rsidRDefault="72DB7FF3" w14:paraId="6BED55F5" w14:textId="6868BF23">
      <w:pPr>
        <w:shd w:val="clear" w:color="auto" w:fill="FFFFFF" w:themeFill="background1"/>
        <w:spacing w:before="0" w:beforeAutospacing="off" w:after="150" w:afterAutospacing="off"/>
      </w:pPr>
      <w:r w:rsidRPr="1EB51F1B" w:rsidR="72DB7FF3">
        <w:rPr>
          <w:rFonts w:ascii="D-DINExp" w:hAnsi="D-DINExp" w:eastAsia="D-DINExp" w:cs="D-DINExp"/>
          <w:b w:val="0"/>
          <w:bCs w:val="0"/>
          <w:i w:val="0"/>
          <w:iCs w:val="0"/>
          <w:caps w:val="0"/>
          <w:smallCaps w:val="0"/>
          <w:noProof w:val="0"/>
          <w:sz w:val="21"/>
          <w:szCs w:val="21"/>
          <w:lang w:val="en-GB"/>
        </w:rPr>
        <w:t xml:space="preserve">As the new Change Manager for Thames Water I have a clear mandate to address the pressing challenges facing our organization and to craft a strategic change plan that sets us up for long-term success. The business environment is transforming rapidly—thanks to technological advances, changing customer expectations, and tougher regulatory pressures. To navigate these changes, </w:t>
      </w:r>
      <w:r w:rsidRPr="1EB51F1B" w:rsidR="72DB7FF3">
        <w:rPr>
          <w:rFonts w:ascii="D-DINExp" w:hAnsi="D-DINExp" w:eastAsia="D-DINExp" w:cs="D-DINExp"/>
          <w:b w:val="0"/>
          <w:bCs w:val="0"/>
          <w:i w:val="0"/>
          <w:iCs w:val="0"/>
          <w:caps w:val="0"/>
          <w:smallCaps w:val="0"/>
          <w:noProof w:val="0"/>
          <w:sz w:val="21"/>
          <w:szCs w:val="21"/>
          <w:lang w:val="en-GB"/>
        </w:rPr>
        <w:t>we’ll</w:t>
      </w:r>
      <w:r w:rsidRPr="1EB51F1B" w:rsidR="72DB7FF3">
        <w:rPr>
          <w:rFonts w:ascii="D-DINExp" w:hAnsi="D-DINExp" w:eastAsia="D-DINExp" w:cs="D-DINExp"/>
          <w:b w:val="0"/>
          <w:bCs w:val="0"/>
          <w:i w:val="0"/>
          <w:iCs w:val="0"/>
          <w:caps w:val="0"/>
          <w:smallCaps w:val="0"/>
          <w:noProof w:val="0"/>
          <w:sz w:val="21"/>
          <w:szCs w:val="21"/>
          <w:lang w:val="en-GB"/>
        </w:rPr>
        <w:t xml:space="preserve"> adopt a structured approach that </w:t>
      </w:r>
      <w:r w:rsidRPr="1EB51F1B" w:rsidR="72DB7FF3">
        <w:rPr>
          <w:rFonts w:ascii="D-DINExp" w:hAnsi="D-DINExp" w:eastAsia="D-DINExp" w:cs="D-DINExp"/>
          <w:b w:val="0"/>
          <w:bCs w:val="0"/>
          <w:i w:val="0"/>
          <w:iCs w:val="0"/>
          <w:caps w:val="0"/>
          <w:smallCaps w:val="0"/>
          <w:noProof w:val="0"/>
          <w:sz w:val="21"/>
          <w:szCs w:val="21"/>
          <w:lang w:val="en-GB"/>
        </w:rPr>
        <w:t>leverages</w:t>
      </w:r>
      <w:r w:rsidRPr="1EB51F1B" w:rsidR="72DB7FF3">
        <w:rPr>
          <w:rFonts w:ascii="D-DINExp" w:hAnsi="D-DINExp" w:eastAsia="D-DINExp" w:cs="D-DINExp"/>
          <w:b w:val="0"/>
          <w:bCs w:val="0"/>
          <w:i w:val="0"/>
          <w:iCs w:val="0"/>
          <w:caps w:val="0"/>
          <w:smallCaps w:val="0"/>
          <w:noProof w:val="0"/>
          <w:sz w:val="21"/>
          <w:szCs w:val="21"/>
          <w:lang w:val="en-GB"/>
        </w:rPr>
        <w:t xml:space="preserve"> established change management models and frameworks.</w:t>
      </w:r>
    </w:p>
    <w:p w:rsidR="1EB51F1B" w:rsidP="1EB51F1B" w:rsidRDefault="1EB51F1B" w14:paraId="11C8D19E" w14:textId="3A8B2969">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p>
    <w:p w:rsidR="72DB7FF3" w:rsidP="1EB51F1B" w:rsidRDefault="72DB7FF3" w14:paraId="1538E4E1" w14:textId="33F803A4">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72DB7FF3">
        <w:rPr>
          <w:rFonts w:ascii="D-DINExp" w:hAnsi="D-DINExp" w:eastAsia="D-DINExp" w:cs="D-DINExp"/>
          <w:b w:val="1"/>
          <w:bCs w:val="1"/>
          <w:i w:val="0"/>
          <w:iCs w:val="0"/>
          <w:caps w:val="0"/>
          <w:smallCaps w:val="0"/>
          <w:noProof w:val="0"/>
          <w:sz w:val="21"/>
          <w:szCs w:val="21"/>
          <w:lang w:val="en-GB"/>
        </w:rPr>
        <w:t>What this report will cover</w:t>
      </w:r>
    </w:p>
    <w:p w:rsidR="72DB7FF3" w:rsidP="1EB51F1B" w:rsidRDefault="72DB7FF3" w14:paraId="1EE476C2" w14:textId="707CAEAD">
      <w:pPr>
        <w:pStyle w:val="ListParagraph"/>
        <w:numPr>
          <w:ilvl w:val="0"/>
          <w:numId w:val="4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Environmental analysis: a look at the external and internal landscape using tools like PESTLE and SWOT.</w:t>
      </w:r>
    </w:p>
    <w:p w:rsidR="72DB7FF3" w:rsidP="1EB51F1B" w:rsidRDefault="72DB7FF3" w14:paraId="64CF3475" w14:textId="6C9881AE">
      <w:pPr>
        <w:pStyle w:val="ListParagraph"/>
        <w:numPr>
          <w:ilvl w:val="0"/>
          <w:numId w:val="4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Change triggers and impact assessment: identifying what will drive change, who it will affect, and how.</w:t>
      </w:r>
    </w:p>
    <w:p w:rsidR="72DB7FF3" w:rsidP="1EB51F1B" w:rsidRDefault="72DB7FF3" w14:paraId="7D7B6099" w14:textId="7E7FA316">
      <w:pPr>
        <w:pStyle w:val="ListParagraph"/>
        <w:numPr>
          <w:ilvl w:val="0"/>
          <w:numId w:val="4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Strategic change plan: a coherent set of objectives, initiatives, and governance structures.</w:t>
      </w:r>
    </w:p>
    <w:p w:rsidR="72DB7FF3" w:rsidP="1EB51F1B" w:rsidRDefault="72DB7FF3" w14:paraId="6C1C660D" w14:textId="704C5276">
      <w:pPr>
        <w:pStyle w:val="ListParagraph"/>
        <w:numPr>
          <w:ilvl w:val="0"/>
          <w:numId w:val="4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Implementation roadmap: a phased timeline with milestones and responsibilities.</w:t>
      </w:r>
    </w:p>
    <w:p w:rsidR="72DB7FF3" w:rsidP="1EB51F1B" w:rsidRDefault="72DB7FF3" w14:paraId="2B71488B" w14:textId="3986D992">
      <w:pPr>
        <w:pStyle w:val="ListParagraph"/>
        <w:numPr>
          <w:ilvl w:val="0"/>
          <w:numId w:val="4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Monitoring and evaluation framework: how we’ll measure progress, benefits, and risks.</w:t>
      </w:r>
    </w:p>
    <w:p w:rsidR="72DB7FF3" w:rsidP="1EB51F1B" w:rsidRDefault="72DB7FF3" w14:paraId="07D11EC3" w14:textId="719FF8B8">
      <w:pPr>
        <w:pStyle w:val="ListParagraph"/>
        <w:numPr>
          <w:ilvl w:val="0"/>
          <w:numId w:val="4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Conclusion and recommendations: actionable guidance for sustaining momentum.</w:t>
      </w:r>
    </w:p>
    <w:p w:rsidR="1EB51F1B" w:rsidP="1EB51F1B" w:rsidRDefault="1EB51F1B" w14:paraId="337589FD" w14:textId="2D3796C4">
      <w:p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p>
    <w:p w:rsidR="72DB7FF3" w:rsidP="1EB51F1B" w:rsidRDefault="72DB7FF3" w14:paraId="4385177F" w14:textId="5B906F19">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72DB7FF3">
        <w:rPr>
          <w:rFonts w:ascii="D-DINExp" w:hAnsi="D-DINExp" w:eastAsia="D-DINExp" w:cs="D-DINExp"/>
          <w:b w:val="1"/>
          <w:bCs w:val="1"/>
          <w:i w:val="0"/>
          <w:iCs w:val="0"/>
          <w:caps w:val="0"/>
          <w:smallCaps w:val="0"/>
          <w:noProof w:val="0"/>
          <w:sz w:val="21"/>
          <w:szCs w:val="21"/>
          <w:lang w:val="en-GB"/>
        </w:rPr>
        <w:t xml:space="preserve">Change models </w:t>
      </w:r>
      <w:r w:rsidRPr="1EB51F1B" w:rsidR="72DB7FF3">
        <w:rPr>
          <w:rFonts w:ascii="D-DINExp" w:hAnsi="D-DINExp" w:eastAsia="D-DINExp" w:cs="D-DINExp"/>
          <w:b w:val="1"/>
          <w:bCs w:val="1"/>
          <w:i w:val="0"/>
          <w:iCs w:val="0"/>
          <w:caps w:val="0"/>
          <w:smallCaps w:val="0"/>
          <w:noProof w:val="0"/>
          <w:sz w:val="21"/>
          <w:szCs w:val="21"/>
          <w:lang w:val="en-GB"/>
        </w:rPr>
        <w:t>we’ll</w:t>
      </w:r>
      <w:r w:rsidRPr="1EB51F1B" w:rsidR="72DB7FF3">
        <w:rPr>
          <w:rFonts w:ascii="D-DINExp" w:hAnsi="D-DINExp" w:eastAsia="D-DINExp" w:cs="D-DINExp"/>
          <w:b w:val="1"/>
          <w:bCs w:val="1"/>
          <w:i w:val="0"/>
          <w:iCs w:val="0"/>
          <w:caps w:val="0"/>
          <w:smallCaps w:val="0"/>
          <w:noProof w:val="0"/>
          <w:sz w:val="21"/>
          <w:szCs w:val="21"/>
          <w:lang w:val="en-GB"/>
        </w:rPr>
        <w:t xml:space="preserve"> apply</w:t>
      </w:r>
    </w:p>
    <w:p w:rsidR="72DB7FF3" w:rsidP="1EB51F1B" w:rsidRDefault="72DB7FF3" w14:paraId="05C1B776" w14:textId="58F70485">
      <w:pPr>
        <w:shd w:val="clear" w:color="auto" w:fill="FFFFFF" w:themeFill="background1"/>
        <w:spacing w:before="0" w:beforeAutospacing="off" w:after="150" w:afterAutospacing="off"/>
      </w:pPr>
      <w:r w:rsidRPr="1EB51F1B" w:rsidR="72DB7FF3">
        <w:rPr>
          <w:rFonts w:ascii="D-DINExp" w:hAnsi="D-DINExp" w:eastAsia="D-DINExp" w:cs="D-DINExp"/>
          <w:b w:val="0"/>
          <w:bCs w:val="0"/>
          <w:i w:val="0"/>
          <w:iCs w:val="0"/>
          <w:caps w:val="0"/>
          <w:smallCaps w:val="0"/>
          <w:noProof w:val="0"/>
          <w:sz w:val="21"/>
          <w:szCs w:val="21"/>
          <w:lang w:val="en-GB"/>
        </w:rPr>
        <w:t xml:space="preserve">I intend to use four well-established change models to </w:t>
      </w:r>
      <w:r w:rsidRPr="1EB51F1B" w:rsidR="72DB7FF3">
        <w:rPr>
          <w:rFonts w:ascii="D-DINExp" w:hAnsi="D-DINExp" w:eastAsia="D-DINExp" w:cs="D-DINExp"/>
          <w:b w:val="0"/>
          <w:bCs w:val="0"/>
          <w:i w:val="0"/>
          <w:iCs w:val="0"/>
          <w:caps w:val="0"/>
          <w:smallCaps w:val="0"/>
          <w:noProof w:val="0"/>
          <w:sz w:val="21"/>
          <w:szCs w:val="21"/>
          <w:lang w:val="en-GB"/>
        </w:rPr>
        <w:t>analyse</w:t>
      </w:r>
      <w:r w:rsidRPr="1EB51F1B" w:rsidR="72DB7FF3">
        <w:rPr>
          <w:rFonts w:ascii="D-DINExp" w:hAnsi="D-DINExp" w:eastAsia="D-DINExp" w:cs="D-DINExp"/>
          <w:b w:val="0"/>
          <w:bCs w:val="0"/>
          <w:i w:val="0"/>
          <w:iCs w:val="0"/>
          <w:caps w:val="0"/>
          <w:smallCaps w:val="0"/>
          <w:noProof w:val="0"/>
          <w:sz w:val="21"/>
          <w:szCs w:val="21"/>
          <w:lang w:val="en-GB"/>
        </w:rPr>
        <w:t xml:space="preserve"> Thames Water’s challenges and guide our implementation:</w:t>
      </w:r>
    </w:p>
    <w:p w:rsidR="72DB7FF3" w:rsidP="1EB51F1B" w:rsidRDefault="72DB7FF3" w14:paraId="70CAFBE7" w14:textId="6DFE95C8">
      <w:pPr>
        <w:pStyle w:val="ListParagraph"/>
        <w:numPr>
          <w:ilvl w:val="0"/>
          <w:numId w:val="4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Lewin’s Change Model (Unfreeze-Change-Refreeze)</w:t>
      </w:r>
    </w:p>
    <w:p w:rsidR="72DB7FF3" w:rsidP="1EB51F1B" w:rsidRDefault="72DB7FF3" w14:paraId="718AC822" w14:textId="2DAF9303">
      <w:pPr>
        <w:pStyle w:val="ListParagraph"/>
        <w:numPr>
          <w:ilvl w:val="0"/>
          <w:numId w:val="4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Kotter’s 8-Step Change Model</w:t>
      </w:r>
    </w:p>
    <w:p w:rsidR="72DB7FF3" w:rsidP="1EB51F1B" w:rsidRDefault="72DB7FF3" w14:paraId="07055E31" w14:textId="09CBB2E0">
      <w:pPr>
        <w:pStyle w:val="ListParagraph"/>
        <w:numPr>
          <w:ilvl w:val="0"/>
          <w:numId w:val="4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McKinsey 7-S Framework</w:t>
      </w:r>
    </w:p>
    <w:p w:rsidR="72DB7FF3" w:rsidP="1EB51F1B" w:rsidRDefault="72DB7FF3" w14:paraId="583487E8" w14:textId="5948F702">
      <w:pPr>
        <w:pStyle w:val="ListParagraph"/>
        <w:numPr>
          <w:ilvl w:val="0"/>
          <w:numId w:val="4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72DB7FF3">
        <w:rPr>
          <w:rFonts w:ascii="D-DINExp" w:hAnsi="D-DINExp" w:eastAsia="D-DINExp" w:cs="D-DINExp"/>
          <w:b w:val="0"/>
          <w:bCs w:val="0"/>
          <w:i w:val="0"/>
          <w:iCs w:val="0"/>
          <w:caps w:val="0"/>
          <w:smallCaps w:val="0"/>
          <w:noProof w:val="0"/>
          <w:sz w:val="21"/>
          <w:szCs w:val="21"/>
          <w:lang w:val="en-GB"/>
        </w:rPr>
        <w:t>ADKAR Model.</w:t>
      </w:r>
    </w:p>
    <w:p w:rsidR="1EB51F1B" w:rsidP="1EB51F1B" w:rsidRDefault="1EB51F1B" w14:paraId="6D13F37C" w14:textId="148EBB25">
      <w:pPr>
        <w:pStyle w:val="Normal"/>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p>
    <w:p w:rsidR="72DB7FF3" w:rsidP="1EB51F1B" w:rsidRDefault="72DB7FF3" w14:paraId="593083BE" w14:textId="37876354">
      <w:pPr>
        <w:shd w:val="clear" w:color="auto" w:fill="FFFFFF" w:themeFill="background1"/>
        <w:spacing w:before="0" w:beforeAutospacing="off" w:after="150" w:afterAutospacing="off"/>
      </w:pPr>
      <w:r w:rsidRPr="1EB51F1B" w:rsidR="72DB7FF3">
        <w:rPr>
          <w:rFonts w:ascii="D-DINExp" w:hAnsi="D-DINExp" w:eastAsia="D-DINExp" w:cs="D-DINExp"/>
          <w:b w:val="0"/>
          <w:bCs w:val="0"/>
          <w:i w:val="0"/>
          <w:iCs w:val="0"/>
          <w:caps w:val="0"/>
          <w:smallCaps w:val="0"/>
          <w:noProof w:val="0"/>
          <w:sz w:val="21"/>
          <w:szCs w:val="21"/>
          <w:lang w:val="en-GB"/>
        </w:rPr>
        <w:t>These will help us balance leadership, structure, culture, and individual readiness as we pursue improvements in profitability and customer experience.</w:t>
      </w:r>
    </w:p>
    <w:p w:rsidR="798FCE7E" w:rsidP="1EB51F1B" w:rsidRDefault="798FCE7E" w14:paraId="390C40C0" w14:textId="5F1A2071">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highlight w:val="yellow"/>
          <w:u w:val="single"/>
          <w:lang w:val="en-GB"/>
        </w:rPr>
      </w:pPr>
      <w:r w:rsidRPr="1EB51F1B" w:rsidR="798FCE7E">
        <w:rPr>
          <w:rFonts w:ascii="Arial" w:hAnsi="Arial" w:eastAsia="Arial" w:cs="Arial"/>
          <w:b w:val="1"/>
          <w:bCs w:val="1"/>
          <w:noProof w:val="0"/>
          <w:sz w:val="22"/>
          <w:szCs w:val="22"/>
          <w:highlight w:val="yellow"/>
          <w:u w:val="single"/>
          <w:lang w:val="en-GB"/>
        </w:rPr>
        <w:t>Question 2</w:t>
      </w:r>
    </w:p>
    <w:p w:rsidR="62CD28DE" w:rsidP="1EB51F1B" w:rsidRDefault="62CD28DE" w14:paraId="4769B38E" w14:textId="47EFD48E">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lang w:val="en-GB"/>
        </w:rPr>
      </w:pPr>
      <w:r w:rsidRPr="1EB51F1B" w:rsidR="62CD28DE">
        <w:rPr>
          <w:rFonts w:ascii="Arial" w:hAnsi="Arial" w:eastAsia="Arial" w:cs="Arial"/>
          <w:b w:val="1"/>
          <w:bCs w:val="1"/>
          <w:i w:val="0"/>
          <w:iCs w:val="0"/>
          <w:caps w:val="0"/>
          <w:smallCaps w:val="0"/>
          <w:noProof w:val="0"/>
          <w:sz w:val="22"/>
          <w:szCs w:val="22"/>
          <w:lang w:val="en-GB"/>
        </w:rPr>
        <w:t>Overview of Thames Water and recent history</w:t>
      </w:r>
    </w:p>
    <w:p w:rsidR="62CD28DE" w:rsidP="1EB51F1B" w:rsidRDefault="62CD28DE" w14:paraId="0E1F1422" w14:textId="48C302E3">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 xml:space="preserve">Thames Water (TW), the UK’s largest water and wastewater company, </w:t>
      </w:r>
      <w:r w:rsidRPr="1EB51F1B" w:rsidR="62CD28DE">
        <w:rPr>
          <w:rFonts w:ascii="Arial" w:hAnsi="Arial" w:eastAsia="Arial" w:cs="Arial"/>
          <w:b w:val="0"/>
          <w:bCs w:val="0"/>
          <w:i w:val="0"/>
          <w:iCs w:val="0"/>
          <w:caps w:val="0"/>
          <w:smallCaps w:val="0"/>
          <w:noProof w:val="0"/>
          <w:sz w:val="22"/>
          <w:szCs w:val="22"/>
          <w:lang w:val="en-GB"/>
        </w:rPr>
        <w:t>operates</w:t>
      </w:r>
      <w:r w:rsidRPr="1EB51F1B" w:rsidR="62CD28DE">
        <w:rPr>
          <w:rFonts w:ascii="Arial" w:hAnsi="Arial" w:eastAsia="Arial" w:cs="Arial"/>
          <w:b w:val="0"/>
          <w:bCs w:val="0"/>
          <w:i w:val="0"/>
          <w:iCs w:val="0"/>
          <w:caps w:val="0"/>
          <w:smallCaps w:val="0"/>
          <w:noProof w:val="0"/>
          <w:sz w:val="22"/>
          <w:szCs w:val="22"/>
          <w:lang w:val="en-GB"/>
        </w:rPr>
        <w:t xml:space="preserve"> across Greater London and the Thames Valley, with a complex regulatory environment overseen by Ofwat. Its recent history has been characterized by capital-intensive infrastructure needs, regulatory scrutiny, performance improvements, customer service pressures, and corporate governance debates (Ofwat filings, company annual reports, and media coverage) (Ofwat, 2023–2024; Thames Water annual reports).</w:t>
      </w:r>
    </w:p>
    <w:p w:rsidR="62CD28DE" w:rsidP="1EB51F1B" w:rsidRDefault="62CD28DE" w14:paraId="4EBF2EE6" w14:textId="5A2039D0">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The company has faced recurring challenges around leakage, customer complaints, and affordability, alongside ambitious investment programs to modernize networks, reduce leakage, and build resilience against droughts and flooding (TW sustainability reports; Ofwat price reviews). These pressures have shaped strategic priorities, cost structures, and stakeholder communications.</w:t>
      </w:r>
    </w:p>
    <w:p w:rsidR="1EB51F1B" w:rsidP="1EB51F1B" w:rsidRDefault="1EB51F1B" w14:paraId="11CA5971" w14:textId="506E4B67">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62CD28DE" w:rsidP="1EB51F1B" w:rsidRDefault="62CD28DE" w14:paraId="2C6D6310" w14:textId="336B566B">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lang w:val="en-GB"/>
        </w:rPr>
      </w:pPr>
      <w:r w:rsidRPr="1EB51F1B" w:rsidR="62CD28DE">
        <w:rPr>
          <w:rFonts w:ascii="Arial" w:hAnsi="Arial" w:eastAsia="Arial" w:cs="Arial"/>
          <w:b w:val="1"/>
          <w:bCs w:val="1"/>
          <w:i w:val="0"/>
          <w:iCs w:val="0"/>
          <w:caps w:val="0"/>
          <w:smallCaps w:val="0"/>
          <w:noProof w:val="0"/>
          <w:sz w:val="22"/>
          <w:szCs w:val="22"/>
          <w:lang w:val="en-GB"/>
        </w:rPr>
        <w:t>External environment: digital disruption, online services, and customer expectations</w:t>
      </w:r>
    </w:p>
    <w:p w:rsidR="62CD28DE" w:rsidP="1EB51F1B" w:rsidRDefault="62CD28DE" w14:paraId="6DEF2C0D" w14:textId="26F5FD36">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Digital disruption and data-enabled operations have transformed utilities’ competitive and regulatory landscapes. For Thames Water, digital tools enable smarter network monitoring, predictive maintenance, and faster incident response, potentially lowering losses from leakage and reducing service outages. However, large-scale digital investments require capital, cybersecurity safeguards, and effective change management amid regulatory scrutiny (utility digitalization studies, Ofwat efficiency reviews).</w:t>
      </w:r>
    </w:p>
    <w:p w:rsidR="62CD28DE" w:rsidP="1EB51F1B" w:rsidRDefault="62CD28DE" w14:paraId="7BCA1460" w14:textId="1FA7D15B">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Online engagement and digital customer channels have risen in importance. Customers increasingly expect seamless digital billing, meter reading, outage alerts, and transparent service metrics. The shift toward digital-first customer experiences pressures TW to invest in user-friendly apps, self-service portals, and real-time data sharing, while ensuring data privacy and accessibility for all customer segments (customer experience research in the utilities sector; TW customer communications).</w:t>
      </w:r>
    </w:p>
    <w:p w:rsidR="62CD28DE" w:rsidP="1EB51F1B" w:rsidRDefault="62CD28DE" w14:paraId="2CFE1751" w14:textId="59B04542">
      <w:pPr>
        <w:pStyle w:val="ListParagraph"/>
        <w:numPr>
          <w:ilvl w:val="0"/>
          <w:numId w:val="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 xml:space="preserve">The broader retail environment’s acceleration toward e-commerce and remote services has influenced how households and businesses manage essential services. While water is a regulated utility with slower churn than consumer goods, the expectation for near-instantaneous service updates, flexible payment options, and proactive service recovery has intensified the need for robust digital interfaces and omnichannel support (global consumer technology adoption studies; UK consumer </w:t>
      </w:r>
      <w:r w:rsidRPr="1EB51F1B" w:rsidR="6839A909">
        <w:rPr>
          <w:rFonts w:ascii="Arial" w:hAnsi="Arial" w:eastAsia="Arial" w:cs="Arial"/>
          <w:b w:val="0"/>
          <w:bCs w:val="0"/>
          <w:i w:val="0"/>
          <w:iCs w:val="0"/>
          <w:caps w:val="0"/>
          <w:smallCaps w:val="0"/>
          <w:noProof w:val="0"/>
          <w:sz w:val="22"/>
          <w:szCs w:val="22"/>
          <w:lang w:val="en-GB"/>
        </w:rPr>
        <w:t>behaviour</w:t>
      </w:r>
      <w:r w:rsidRPr="1EB51F1B" w:rsidR="62CD28DE">
        <w:rPr>
          <w:rFonts w:ascii="Arial" w:hAnsi="Arial" w:eastAsia="Arial" w:cs="Arial"/>
          <w:b w:val="0"/>
          <w:bCs w:val="0"/>
          <w:i w:val="0"/>
          <w:iCs w:val="0"/>
          <w:caps w:val="0"/>
          <w:smallCaps w:val="0"/>
          <w:noProof w:val="0"/>
          <w:sz w:val="22"/>
          <w:szCs w:val="22"/>
          <w:lang w:val="en-GB"/>
        </w:rPr>
        <w:t xml:space="preserve"> reports).</w:t>
      </w:r>
    </w:p>
    <w:p w:rsidR="1EB51F1B" w:rsidP="1EB51F1B" w:rsidRDefault="1EB51F1B" w14:paraId="7D27C347" w14:textId="2D96CDC3">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62CD28DE" w:rsidP="1EB51F1B" w:rsidRDefault="62CD28DE" w14:paraId="34543DF4" w14:textId="627D57DB">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lang w:val="en-GB"/>
        </w:rPr>
      </w:pPr>
      <w:r w:rsidRPr="1EB51F1B" w:rsidR="62CD28DE">
        <w:rPr>
          <w:rFonts w:ascii="Arial" w:hAnsi="Arial" w:eastAsia="Arial" w:cs="Arial"/>
          <w:b w:val="1"/>
          <w:bCs w:val="1"/>
          <w:i w:val="0"/>
          <w:iCs w:val="0"/>
          <w:caps w:val="0"/>
          <w:smallCaps w:val="0"/>
          <w:noProof w:val="0"/>
          <w:sz w:val="22"/>
          <w:szCs w:val="22"/>
          <w:lang w:val="en-GB"/>
        </w:rPr>
        <w:t>Internal environment: governance, capital discipline, and organizational transformation</w:t>
      </w:r>
      <w:r w:rsidRPr="1EB51F1B" w:rsidR="2F944FE0">
        <w:rPr>
          <w:rFonts w:ascii="Arial" w:hAnsi="Arial" w:eastAsia="Arial" w:cs="Arial"/>
          <w:b w:val="1"/>
          <w:bCs w:val="1"/>
          <w:i w:val="0"/>
          <w:iCs w:val="0"/>
          <w:caps w:val="0"/>
          <w:smallCaps w:val="0"/>
          <w:noProof w:val="0"/>
          <w:sz w:val="22"/>
          <w:szCs w:val="22"/>
          <w:lang w:val="en-GB"/>
        </w:rPr>
        <w:t>:</w:t>
      </w:r>
    </w:p>
    <w:p w:rsidR="62CD28DE" w:rsidP="1EB51F1B" w:rsidRDefault="62CD28DE" w14:paraId="5BDD9556" w14:textId="772479FC">
      <w:pPr>
        <w:pStyle w:val="Normal"/>
        <w:shd w:val="clear" w:color="auto" w:fill="FFFFFF" w:themeFill="background1"/>
        <w:spacing w:before="0" w:beforeAutospacing="off" w:after="150" w:afterAutospacing="off"/>
        <w:rPr>
          <w:rFonts w:ascii="Arial" w:hAnsi="Arial" w:eastAsia="Arial" w:cs="Arial"/>
          <w:noProof w:val="0"/>
          <w:sz w:val="22"/>
          <w:szCs w:val="22"/>
          <w:lang w:val="en-GB"/>
        </w:rPr>
      </w:pPr>
      <w:r w:rsidRPr="1EB51F1B" w:rsidR="2F944FE0">
        <w:rPr>
          <w:rFonts w:ascii="D-DINExp" w:hAnsi="D-DINExp" w:eastAsia="D-DINExp" w:cs="D-DINExp"/>
          <w:b w:val="0"/>
          <w:bCs w:val="0"/>
          <w:i w:val="0"/>
          <w:iCs w:val="0"/>
          <w:caps w:val="0"/>
          <w:smallCaps w:val="0"/>
          <w:noProof w:val="0"/>
          <w:sz w:val="21"/>
          <w:szCs w:val="21"/>
          <w:lang w:val="en-GB"/>
        </w:rPr>
        <w:t>Capital, regulation, and strategy</w:t>
      </w:r>
    </w:p>
    <w:p w:rsidR="62CD28DE" w:rsidP="1EB51F1B" w:rsidRDefault="62CD28DE" w14:paraId="344E157A" w14:textId="6CEB47B6">
      <w:pPr>
        <w:pStyle w:val="ListParagraph"/>
        <w:numPr>
          <w:ilvl w:val="0"/>
          <w:numId w:val="3"/>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2F944FE0">
        <w:rPr>
          <w:rFonts w:ascii="D-DINExp" w:hAnsi="D-DINExp" w:eastAsia="D-DINExp" w:cs="D-DINExp"/>
          <w:b w:val="0"/>
          <w:bCs w:val="0"/>
          <w:i w:val="0"/>
          <w:iCs w:val="0"/>
          <w:caps w:val="0"/>
          <w:smallCaps w:val="0"/>
          <w:noProof w:val="0"/>
          <w:sz w:val="21"/>
          <w:szCs w:val="21"/>
          <w:lang w:val="en-GB"/>
        </w:rPr>
        <w:t>Capital intensity and regulatory approvals shape Thames Water’s internal playbook. Big efforts to reduce leakage, improve sewerage, and build resilience demand long planning horizons, steady financing, and disciplined cost control. Governance challenges and franchise risk have historically influenced where we invest and how we earn trust with stakeholders (Ofwat price reviews; Thames Water annual reports).</w:t>
      </w:r>
    </w:p>
    <w:p w:rsidR="62CD28DE" w:rsidP="1EB51F1B" w:rsidRDefault="62CD28DE" w14:paraId="38F62C78" w14:textId="46F8A88F">
      <w:pPr>
        <w:pStyle w:val="ListParagraph"/>
        <w:shd w:val="clear" w:color="auto" w:fill="FFFFFF" w:themeFill="background1"/>
        <w:spacing w:before="0" w:beforeAutospacing="off" w:after="0" w:afterAutospacing="off"/>
        <w:ind w:left="360"/>
        <w:rPr>
          <w:rFonts w:ascii="D-DINExp" w:hAnsi="D-DINExp" w:eastAsia="D-DINExp" w:cs="D-DINExp"/>
          <w:b w:val="0"/>
          <w:bCs w:val="0"/>
          <w:i w:val="0"/>
          <w:iCs w:val="0"/>
          <w:caps w:val="0"/>
          <w:smallCaps w:val="0"/>
          <w:noProof w:val="0"/>
          <w:sz w:val="21"/>
          <w:szCs w:val="21"/>
          <w:lang w:val="en-GB"/>
        </w:rPr>
      </w:pPr>
    </w:p>
    <w:p w:rsidR="62CD28DE" w:rsidP="1EB51F1B" w:rsidRDefault="62CD28DE" w14:paraId="18F913AA" w14:textId="32A9B5BA">
      <w:pPr>
        <w:pStyle w:val="Normal"/>
        <w:shd w:val="clear" w:color="auto" w:fill="FFFFFF" w:themeFill="background1"/>
        <w:spacing w:before="0" w:beforeAutospacing="off" w:after="150" w:afterAutospacing="off"/>
        <w:ind w:left="0"/>
        <w:rPr>
          <w:rFonts w:ascii="D-DINExp" w:hAnsi="D-DINExp" w:eastAsia="D-DINExp" w:cs="D-DINExp"/>
          <w:b w:val="0"/>
          <w:bCs w:val="0"/>
          <w:i w:val="0"/>
          <w:iCs w:val="0"/>
          <w:caps w:val="0"/>
          <w:smallCaps w:val="0"/>
          <w:noProof w:val="0"/>
          <w:sz w:val="21"/>
          <w:szCs w:val="21"/>
          <w:lang w:val="en-GB"/>
        </w:rPr>
      </w:pPr>
      <w:r w:rsidRPr="1EB51F1B" w:rsidR="2F944FE0">
        <w:rPr>
          <w:rFonts w:ascii="D-DINExp" w:hAnsi="D-DINExp" w:eastAsia="D-DINExp" w:cs="D-DINExp"/>
          <w:b w:val="0"/>
          <w:bCs w:val="0"/>
          <w:i w:val="0"/>
          <w:iCs w:val="0"/>
          <w:caps w:val="0"/>
          <w:smallCaps w:val="0"/>
          <w:noProof w:val="0"/>
          <w:sz w:val="21"/>
          <w:szCs w:val="21"/>
          <w:lang w:val="en-GB"/>
        </w:rPr>
        <w:t>Operational efficiency and data-driven decisions</w:t>
      </w:r>
    </w:p>
    <w:p w:rsidR="62CD28DE" w:rsidP="1EB51F1B" w:rsidRDefault="62CD28DE" w14:paraId="30897668" w14:textId="150AD49D">
      <w:pPr>
        <w:pStyle w:val="ListParagraph"/>
        <w:numPr>
          <w:ilvl w:val="0"/>
          <w:numId w:val="3"/>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2F944FE0">
        <w:rPr>
          <w:rFonts w:ascii="D-DINExp" w:hAnsi="D-DINExp" w:eastAsia="D-DINExp" w:cs="D-DINExp"/>
          <w:b w:val="0"/>
          <w:bCs w:val="0"/>
          <w:i w:val="0"/>
          <w:iCs w:val="0"/>
          <w:caps w:val="0"/>
          <w:smallCaps w:val="0"/>
          <w:noProof w:val="0"/>
          <w:sz w:val="21"/>
          <w:szCs w:val="21"/>
          <w:lang w:val="en-GB"/>
        </w:rPr>
        <w:t xml:space="preserve">Becoming more efficient and data-driven is central to improving leakage rates, keeping water reliably available, and boosting customer satisfaction. Internally, this means digitalizing processes, building performance dashboards, and integrating asset-management systems. The push for efficiency is </w:t>
      </w:r>
      <w:r w:rsidRPr="1EB51F1B" w:rsidR="2F944FE0">
        <w:rPr>
          <w:rFonts w:ascii="D-DINExp" w:hAnsi="D-DINExp" w:eastAsia="D-DINExp" w:cs="D-DINExp"/>
          <w:b w:val="0"/>
          <w:bCs w:val="0"/>
          <w:i w:val="0"/>
          <w:iCs w:val="0"/>
          <w:caps w:val="0"/>
          <w:smallCaps w:val="0"/>
          <w:noProof w:val="0"/>
          <w:sz w:val="21"/>
          <w:szCs w:val="21"/>
          <w:lang w:val="en-GB"/>
        </w:rPr>
        <w:t>closely linked</w:t>
      </w:r>
      <w:r w:rsidRPr="1EB51F1B" w:rsidR="2F944FE0">
        <w:rPr>
          <w:rFonts w:ascii="D-DINExp" w:hAnsi="D-DINExp" w:eastAsia="D-DINExp" w:cs="D-DINExp"/>
          <w:b w:val="0"/>
          <w:bCs w:val="0"/>
          <w:i w:val="0"/>
          <w:iCs w:val="0"/>
          <w:caps w:val="0"/>
          <w:smallCaps w:val="0"/>
          <w:noProof w:val="0"/>
          <w:sz w:val="21"/>
          <w:szCs w:val="21"/>
          <w:lang w:val="en-GB"/>
        </w:rPr>
        <w:t xml:space="preserve"> to regulatory incentives and the need to </w:t>
      </w:r>
      <w:r w:rsidRPr="1EB51F1B" w:rsidR="2F944FE0">
        <w:rPr>
          <w:rFonts w:ascii="D-DINExp" w:hAnsi="D-DINExp" w:eastAsia="D-DINExp" w:cs="D-DINExp"/>
          <w:b w:val="0"/>
          <w:bCs w:val="0"/>
          <w:i w:val="0"/>
          <w:iCs w:val="0"/>
          <w:caps w:val="0"/>
          <w:smallCaps w:val="0"/>
          <w:noProof w:val="0"/>
          <w:sz w:val="21"/>
          <w:szCs w:val="21"/>
          <w:lang w:val="en-GB"/>
        </w:rPr>
        <w:t>demonstrate</w:t>
      </w:r>
      <w:r w:rsidRPr="1EB51F1B" w:rsidR="2F944FE0">
        <w:rPr>
          <w:rFonts w:ascii="D-DINExp" w:hAnsi="D-DINExp" w:eastAsia="D-DINExp" w:cs="D-DINExp"/>
          <w:b w:val="0"/>
          <w:bCs w:val="0"/>
          <w:i w:val="0"/>
          <w:iCs w:val="0"/>
          <w:caps w:val="0"/>
          <w:smallCaps w:val="0"/>
          <w:noProof w:val="0"/>
          <w:sz w:val="21"/>
          <w:szCs w:val="21"/>
          <w:lang w:val="en-GB"/>
        </w:rPr>
        <w:t xml:space="preserve"> value for customers and pension funds (as reflected in TW annual reports and Ofwat performance reports).</w:t>
      </w:r>
    </w:p>
    <w:p w:rsidR="62CD28DE" w:rsidP="1EB51F1B" w:rsidRDefault="62CD28DE" w14:paraId="6F0DD7D4" w14:textId="73362284">
      <w:pPr>
        <w:pStyle w:val="ListParagraph"/>
        <w:shd w:val="clear" w:color="auto" w:fill="FFFFFF" w:themeFill="background1"/>
        <w:spacing w:before="0" w:beforeAutospacing="off" w:after="0" w:afterAutospacing="off"/>
        <w:ind w:left="360"/>
        <w:rPr>
          <w:rFonts w:ascii="D-DINExp" w:hAnsi="D-DINExp" w:eastAsia="D-DINExp" w:cs="D-DINExp"/>
          <w:b w:val="0"/>
          <w:bCs w:val="0"/>
          <w:i w:val="0"/>
          <w:iCs w:val="0"/>
          <w:caps w:val="0"/>
          <w:smallCaps w:val="0"/>
          <w:noProof w:val="0"/>
          <w:sz w:val="21"/>
          <w:szCs w:val="21"/>
          <w:lang w:val="en-GB"/>
        </w:rPr>
      </w:pPr>
    </w:p>
    <w:p w:rsidR="62CD28DE" w:rsidP="1EB51F1B" w:rsidRDefault="62CD28DE" w14:paraId="273EE8B3" w14:textId="726E49CE">
      <w:pPr>
        <w:pStyle w:val="Normal"/>
        <w:shd w:val="clear" w:color="auto" w:fill="FFFFFF" w:themeFill="background1"/>
        <w:spacing w:before="0" w:beforeAutospacing="off" w:after="150" w:afterAutospacing="off"/>
        <w:ind w:left="0"/>
        <w:rPr>
          <w:rFonts w:ascii="D-DINExp" w:hAnsi="D-DINExp" w:eastAsia="D-DINExp" w:cs="D-DINExp"/>
          <w:b w:val="0"/>
          <w:bCs w:val="0"/>
          <w:i w:val="0"/>
          <w:iCs w:val="0"/>
          <w:caps w:val="0"/>
          <w:smallCaps w:val="0"/>
          <w:noProof w:val="0"/>
          <w:sz w:val="21"/>
          <w:szCs w:val="21"/>
          <w:lang w:val="en-GB"/>
        </w:rPr>
      </w:pPr>
      <w:r w:rsidRPr="1EB51F1B" w:rsidR="2F944FE0">
        <w:rPr>
          <w:rFonts w:ascii="D-DINExp" w:hAnsi="D-DINExp" w:eastAsia="D-DINExp" w:cs="D-DINExp"/>
          <w:b w:val="0"/>
          <w:bCs w:val="0"/>
          <w:i w:val="0"/>
          <w:iCs w:val="0"/>
          <w:caps w:val="0"/>
          <w:smallCaps w:val="0"/>
          <w:noProof w:val="0"/>
          <w:sz w:val="21"/>
          <w:szCs w:val="21"/>
          <w:lang w:val="en-GB"/>
        </w:rPr>
        <w:t>Talent, culture, and digital capability</w:t>
      </w:r>
    </w:p>
    <w:p w:rsidR="62CD28DE" w:rsidP="1EB51F1B" w:rsidRDefault="62CD28DE" w14:paraId="3CE835D1" w14:textId="285E5030">
      <w:pPr>
        <w:pStyle w:val="ListParagraph"/>
        <w:numPr>
          <w:ilvl w:val="0"/>
          <w:numId w:val="3"/>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2F944FE0">
        <w:rPr>
          <w:rFonts w:ascii="D-DINExp" w:hAnsi="D-DINExp" w:eastAsia="D-DINExp" w:cs="D-DINExp"/>
          <w:b w:val="0"/>
          <w:bCs w:val="0"/>
          <w:i w:val="0"/>
          <w:iCs w:val="0"/>
          <w:caps w:val="0"/>
          <w:smallCaps w:val="0"/>
          <w:noProof w:val="0"/>
          <w:sz w:val="21"/>
          <w:szCs w:val="21"/>
          <w:lang w:val="en-GB"/>
        </w:rPr>
        <w:t xml:space="preserve">Success depends on our people and culture, especially around digital skills, cybersecurity, and change management. Implementing large-scale digital initiatives requires upskilling staff, aligning incentives, and </w:t>
      </w:r>
      <w:r w:rsidRPr="1EB51F1B" w:rsidR="2F944FE0">
        <w:rPr>
          <w:rFonts w:ascii="D-DINExp" w:hAnsi="D-DINExp" w:eastAsia="D-DINExp" w:cs="D-DINExp"/>
          <w:b w:val="0"/>
          <w:bCs w:val="0"/>
          <w:i w:val="0"/>
          <w:iCs w:val="0"/>
          <w:caps w:val="0"/>
          <w:smallCaps w:val="0"/>
          <w:noProof w:val="0"/>
          <w:sz w:val="21"/>
          <w:szCs w:val="21"/>
          <w:lang w:val="en-GB"/>
        </w:rPr>
        <w:t>maintaining</w:t>
      </w:r>
      <w:r w:rsidRPr="1EB51F1B" w:rsidR="2F944FE0">
        <w:rPr>
          <w:rFonts w:ascii="D-DINExp" w:hAnsi="D-DINExp" w:eastAsia="D-DINExp" w:cs="D-DINExp"/>
          <w:b w:val="0"/>
          <w:bCs w:val="0"/>
          <w:i w:val="0"/>
          <w:iCs w:val="0"/>
          <w:caps w:val="0"/>
          <w:smallCaps w:val="0"/>
          <w:noProof w:val="0"/>
          <w:sz w:val="21"/>
          <w:szCs w:val="21"/>
          <w:lang w:val="en-GB"/>
        </w:rPr>
        <w:t xml:space="preserve"> strong governance for data privacy and safety. Across the industry, case studies show that digital transformations in utilities hinge on people as much as technology.</w:t>
      </w:r>
    </w:p>
    <w:p w:rsidR="62CD28DE" w:rsidP="1EB51F1B" w:rsidRDefault="62CD28DE" w14:paraId="69BD945B" w14:textId="6D30CD2F">
      <w:pPr>
        <w:pStyle w:val="Normal"/>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p>
    <w:p w:rsidR="62CD28DE" w:rsidP="1EB51F1B" w:rsidRDefault="62CD28DE" w14:paraId="66CDCE72" w14:textId="1CD46A1F">
      <w:pPr>
        <w:pStyle w:val="Normal"/>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p>
    <w:p w:rsidR="62CD28DE" w:rsidP="1EB51F1B" w:rsidRDefault="62CD28DE" w14:paraId="626EDE16" w14:textId="6C49DF29">
      <w:pPr>
        <w:pStyle w:val="Normal"/>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p>
    <w:p w:rsidR="62CD28DE" w:rsidP="1EB51F1B" w:rsidRDefault="62CD28DE" w14:paraId="1B1C2FEF" w14:textId="6569552F">
      <w:p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p>
    <w:p w:rsidR="62CD28DE" w:rsidP="1EB51F1B" w:rsidRDefault="62CD28DE" w14:paraId="0A6E8BDD" w14:textId="3E965020">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063326D5">
        <w:rPr>
          <w:rFonts w:ascii="D-DINExp" w:hAnsi="D-DINExp" w:eastAsia="D-DINExp" w:cs="D-DINExp"/>
          <w:b w:val="1"/>
          <w:bCs w:val="1"/>
          <w:i w:val="0"/>
          <w:iCs w:val="0"/>
          <w:caps w:val="0"/>
          <w:smallCaps w:val="0"/>
          <w:noProof w:val="0"/>
          <w:sz w:val="21"/>
          <w:szCs w:val="21"/>
          <w:lang w:val="en-GB"/>
        </w:rPr>
        <w:t>SWOT: Change Management at Thames Water</w:t>
      </w:r>
    </w:p>
    <w:p w:rsidR="62CD28DE" w:rsidP="347565CF" w:rsidRDefault="62CD28DE" w14:paraId="2C9F9DF2" w14:textId="305AED10">
      <w:pPr>
        <w:shd w:val="clear" w:color="auto" w:fill="FFFFFF" w:themeFill="background1"/>
        <w:spacing w:before="0" w:beforeAutospacing="off" w:after="150" w:afterAutospacing="off"/>
      </w:pPr>
      <w:r w:rsidRPr="1EB51F1B" w:rsidR="063326D5">
        <w:rPr>
          <w:rFonts w:ascii="D-DINExp" w:hAnsi="D-DINExp" w:eastAsia="D-DINExp" w:cs="D-DINExp"/>
          <w:b w:val="0"/>
          <w:bCs w:val="0"/>
          <w:i w:val="0"/>
          <w:iCs w:val="0"/>
          <w:caps w:val="0"/>
          <w:smallCaps w:val="0"/>
          <w:noProof w:val="0"/>
          <w:sz w:val="21"/>
          <w:szCs w:val="21"/>
          <w:lang w:val="en-GB"/>
        </w:rPr>
        <w:t>Strengths</w:t>
      </w:r>
    </w:p>
    <w:p w:rsidR="62CD28DE" w:rsidP="1EB51F1B" w:rsidRDefault="62CD28DE" w14:paraId="1E2675E3" w14:textId="19FE6B96">
      <w:pPr>
        <w:pStyle w:val="ListParagraph"/>
        <w:numPr>
          <w:ilvl w:val="0"/>
          <w:numId w:val="36"/>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Strong regulatory framework and oversight (Ofwat, environmental agencies) that provides clear change mandates and performance targets, aiding structured change initiatives.</w:t>
      </w:r>
    </w:p>
    <w:p w:rsidR="62CD28DE" w:rsidP="1EB51F1B" w:rsidRDefault="62CD28DE" w14:paraId="57C3FDAE" w14:textId="49085435">
      <w:pPr>
        <w:pStyle w:val="ListParagraph"/>
        <w:numPr>
          <w:ilvl w:val="0"/>
          <w:numId w:val="36"/>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Large-scale, data-informed operations with extensive asset base (pipes, treatment works, pumping stations) enabling measurable impact of change programs (e.g., leakage reduction, efficiency gains).</w:t>
      </w:r>
    </w:p>
    <w:p w:rsidR="62CD28DE" w:rsidP="1EB51F1B" w:rsidRDefault="62CD28DE" w14:paraId="552F7120" w14:textId="2DEAA4C0">
      <w:pPr>
        <w:pStyle w:val="ListParagraph"/>
        <w:numPr>
          <w:ilvl w:val="0"/>
          <w:numId w:val="36"/>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Established governance and leadership processes at scale, including formal change management practices, project portfolios, and risk management.</w:t>
      </w:r>
    </w:p>
    <w:p w:rsidR="62CD28DE" w:rsidP="1EB51F1B" w:rsidRDefault="62CD28DE" w14:paraId="0389E402" w14:textId="5BD2289D">
      <w:pPr>
        <w:pStyle w:val="ListParagraph"/>
        <w:numPr>
          <w:ilvl w:val="0"/>
          <w:numId w:val="36"/>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Integrated approach to sustainability and resilience (water efficiency, green infrastructure) aligning change efforts with long-term strategic goals.</w:t>
      </w:r>
    </w:p>
    <w:p w:rsidR="62CD28DE" w:rsidP="347565CF" w:rsidRDefault="62CD28DE" w14:paraId="5C58F496" w14:textId="13BECB31">
      <w:pPr>
        <w:shd w:val="clear" w:color="auto" w:fill="FFFFFF" w:themeFill="background1"/>
        <w:spacing w:before="0" w:beforeAutospacing="off" w:after="150" w:afterAutospacing="off"/>
      </w:pPr>
      <w:r w:rsidRPr="1EB51F1B" w:rsidR="063326D5">
        <w:rPr>
          <w:rFonts w:ascii="D-DINExp" w:hAnsi="D-DINExp" w:eastAsia="D-DINExp" w:cs="D-DINExp"/>
          <w:b w:val="0"/>
          <w:bCs w:val="0"/>
          <w:i w:val="0"/>
          <w:iCs w:val="0"/>
          <w:caps w:val="0"/>
          <w:smallCaps w:val="0"/>
          <w:noProof w:val="0"/>
          <w:sz w:val="21"/>
          <w:szCs w:val="21"/>
          <w:lang w:val="en-GB"/>
        </w:rPr>
        <w:t>Weaknesses</w:t>
      </w:r>
    </w:p>
    <w:p w:rsidR="62CD28DE" w:rsidP="1EB51F1B" w:rsidRDefault="62CD28DE" w14:paraId="1E847E6E" w14:textId="1549B1C9">
      <w:pPr>
        <w:pStyle w:val="ListParagraph"/>
        <w:numPr>
          <w:ilvl w:val="0"/>
          <w:numId w:val="37"/>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Complex, aging infrastructure increases risk and resistance to rapid change; high capital and operational constraints can slow implementation.</w:t>
      </w:r>
    </w:p>
    <w:p w:rsidR="62CD28DE" w:rsidP="1EB51F1B" w:rsidRDefault="62CD28DE" w14:paraId="1DC6280D" w14:textId="1143A84E">
      <w:pPr>
        <w:pStyle w:val="ListParagraph"/>
        <w:numPr>
          <w:ilvl w:val="0"/>
          <w:numId w:val="37"/>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Fragmented organizational culture across different sites and functions may hinder adoption of standardized change methods.</w:t>
      </w:r>
    </w:p>
    <w:p w:rsidR="62CD28DE" w:rsidP="1EB51F1B" w:rsidRDefault="62CD28DE" w14:paraId="78B3AFD0" w14:textId="4A9D3B94">
      <w:pPr>
        <w:pStyle w:val="ListParagraph"/>
        <w:numPr>
          <w:ilvl w:val="0"/>
          <w:numId w:val="37"/>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Regulatory price controls and capital expenditure limits can constrain funding for large-scale change programs.</w:t>
      </w:r>
    </w:p>
    <w:p w:rsidR="62CD28DE" w:rsidP="1EB51F1B" w:rsidRDefault="62CD28DE" w14:paraId="1C704423" w14:textId="097E2C49">
      <w:pPr>
        <w:pStyle w:val="ListParagraph"/>
        <w:numPr>
          <w:ilvl w:val="0"/>
          <w:numId w:val="37"/>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Data quality, interoperability, and legacy IT systems can impede analytics-driven change initiatives.</w:t>
      </w:r>
    </w:p>
    <w:p w:rsidR="62CD28DE" w:rsidP="347565CF" w:rsidRDefault="62CD28DE" w14:paraId="700E3021" w14:textId="3784452B">
      <w:pPr>
        <w:shd w:val="clear" w:color="auto" w:fill="FFFFFF" w:themeFill="background1"/>
        <w:spacing w:before="0" w:beforeAutospacing="off" w:after="150" w:afterAutospacing="off"/>
      </w:pPr>
      <w:r w:rsidRPr="1EB51F1B" w:rsidR="063326D5">
        <w:rPr>
          <w:rFonts w:ascii="D-DINExp" w:hAnsi="D-DINExp" w:eastAsia="D-DINExp" w:cs="D-DINExp"/>
          <w:b w:val="0"/>
          <w:bCs w:val="0"/>
          <w:i w:val="0"/>
          <w:iCs w:val="0"/>
          <w:caps w:val="0"/>
          <w:smallCaps w:val="0"/>
          <w:noProof w:val="0"/>
          <w:sz w:val="21"/>
          <w:szCs w:val="21"/>
          <w:lang w:val="en-GB"/>
        </w:rPr>
        <w:t>Opportunities</w:t>
      </w:r>
    </w:p>
    <w:p w:rsidR="62CD28DE" w:rsidP="1EB51F1B" w:rsidRDefault="62CD28DE" w14:paraId="144E629A" w14:textId="45DC1C37">
      <w:pPr>
        <w:pStyle w:val="ListParagraph"/>
        <w:numPr>
          <w:ilvl w:val="0"/>
          <w:numId w:val="3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Digitalization and data analytics (smart meters, sensors, predictive maintenance) to inform proactive change management and optimize asset performance.</w:t>
      </w:r>
    </w:p>
    <w:p w:rsidR="62CD28DE" w:rsidP="1EB51F1B" w:rsidRDefault="62CD28DE" w14:paraId="554A29B9" w14:textId="7027AC84">
      <w:pPr>
        <w:pStyle w:val="ListParagraph"/>
        <w:numPr>
          <w:ilvl w:val="0"/>
          <w:numId w:val="3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Partnership and stakeholder engagement (local councils, communities, suppliers) to co-create change and improve acceptance.</w:t>
      </w:r>
    </w:p>
    <w:p w:rsidR="62CD28DE" w:rsidP="1EB51F1B" w:rsidRDefault="62CD28DE" w14:paraId="2E4D0E38" w14:textId="7E9519BB">
      <w:pPr>
        <w:pStyle w:val="ListParagraph"/>
        <w:numPr>
          <w:ilvl w:val="0"/>
          <w:numId w:val="3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Climate-adaptive planning and flood resilience projects that justify and accelerate change investments.</w:t>
      </w:r>
    </w:p>
    <w:p w:rsidR="62CD28DE" w:rsidP="1EB51F1B" w:rsidRDefault="62CD28DE" w14:paraId="55618392" w14:textId="2DA379D9">
      <w:pPr>
        <w:pStyle w:val="ListParagraph"/>
        <w:numPr>
          <w:ilvl w:val="0"/>
          <w:numId w:val="38"/>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Cross-industry learning (utilities, infrastructure) to adopt best practices in governance, communications, and change readiness.</w:t>
      </w:r>
    </w:p>
    <w:p w:rsidR="62CD28DE" w:rsidP="347565CF" w:rsidRDefault="62CD28DE" w14:paraId="54151F05" w14:textId="389B5282">
      <w:pPr>
        <w:shd w:val="clear" w:color="auto" w:fill="FFFFFF" w:themeFill="background1"/>
        <w:spacing w:before="0" w:beforeAutospacing="off" w:after="150" w:afterAutospacing="off"/>
      </w:pPr>
      <w:r w:rsidRPr="1EB51F1B" w:rsidR="063326D5">
        <w:rPr>
          <w:rFonts w:ascii="D-DINExp" w:hAnsi="D-DINExp" w:eastAsia="D-DINExp" w:cs="D-DINExp"/>
          <w:b w:val="0"/>
          <w:bCs w:val="0"/>
          <w:i w:val="0"/>
          <w:iCs w:val="0"/>
          <w:caps w:val="0"/>
          <w:smallCaps w:val="0"/>
          <w:noProof w:val="0"/>
          <w:sz w:val="21"/>
          <w:szCs w:val="21"/>
          <w:lang w:val="en-GB"/>
        </w:rPr>
        <w:t>Threats</w:t>
      </w:r>
    </w:p>
    <w:p w:rsidR="62CD28DE" w:rsidP="1EB51F1B" w:rsidRDefault="62CD28DE" w14:paraId="01E869E1" w14:textId="2AB6D125">
      <w:pPr>
        <w:pStyle w:val="ListParagraph"/>
        <w:numPr>
          <w:ilvl w:val="0"/>
          <w:numId w:val="3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Regulatory shifts or penalties if change programs fail to meet targets, impacting governance and funding.</w:t>
      </w:r>
    </w:p>
    <w:p w:rsidR="62CD28DE" w:rsidP="1EB51F1B" w:rsidRDefault="62CD28DE" w14:paraId="72D54B49" w14:textId="16580117">
      <w:pPr>
        <w:pStyle w:val="ListParagraph"/>
        <w:numPr>
          <w:ilvl w:val="0"/>
          <w:numId w:val="3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Public perception and customer trust risk if change efforts disrupt service or billing during transitions.</w:t>
      </w:r>
    </w:p>
    <w:p w:rsidR="62CD28DE" w:rsidP="1EB51F1B" w:rsidRDefault="62CD28DE" w14:paraId="21A5FC49" w14:textId="633A5B15">
      <w:pPr>
        <w:pStyle w:val="ListParagraph"/>
        <w:numPr>
          <w:ilvl w:val="0"/>
          <w:numId w:val="3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Economic uncertainty affecting investment appetite and financing costs for capital-heavy change programs.</w:t>
      </w:r>
    </w:p>
    <w:p w:rsidR="62CD28DE" w:rsidP="1EB51F1B" w:rsidRDefault="62CD28DE" w14:paraId="683F0437" w14:textId="238C8531">
      <w:pPr>
        <w:pStyle w:val="ListParagraph"/>
        <w:numPr>
          <w:ilvl w:val="0"/>
          <w:numId w:val="39"/>
        </w:numPr>
        <w:shd w:val="clear" w:color="auto" w:fill="FFFFFF" w:themeFill="background1"/>
        <w:spacing w:before="0" w:beforeAutospacing="off" w:after="0" w:afterAutospacing="off"/>
        <w:rPr>
          <w:rFonts w:ascii="D-DINExp" w:hAnsi="D-DINExp" w:eastAsia="D-DINExp" w:cs="D-DINExp"/>
          <w:b w:val="0"/>
          <w:bCs w:val="0"/>
          <w:i w:val="0"/>
          <w:iCs w:val="0"/>
          <w:caps w:val="0"/>
          <w:smallCaps w:val="0"/>
          <w:noProof w:val="0"/>
          <w:sz w:val="21"/>
          <w:szCs w:val="21"/>
          <w:lang w:val="en-GB"/>
        </w:rPr>
      </w:pPr>
      <w:r w:rsidRPr="1EB51F1B" w:rsidR="063326D5">
        <w:rPr>
          <w:rFonts w:ascii="D-DINExp" w:hAnsi="D-DINExp" w:eastAsia="D-DINExp" w:cs="D-DINExp"/>
          <w:b w:val="0"/>
          <w:bCs w:val="0"/>
          <w:i w:val="0"/>
          <w:iCs w:val="0"/>
          <w:caps w:val="0"/>
          <w:smallCaps w:val="0"/>
          <w:noProof w:val="0"/>
          <w:sz w:val="21"/>
          <w:szCs w:val="21"/>
          <w:lang w:val="en-GB"/>
        </w:rPr>
        <w:t>Operational interruptions during major transitions (e.g., system upgrades) could affect reliability and regulatory compliance.</w:t>
      </w:r>
    </w:p>
    <w:p w:rsidR="62CD28DE" w:rsidP="1EB51F1B" w:rsidRDefault="62CD28DE" w14:paraId="15D21062" w14:textId="50101A81">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62CD28DE" w:rsidP="1EB51F1B" w:rsidRDefault="62CD28DE" w14:paraId="5EA85DFB" w14:textId="2A1AAEFB">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r w:rsidRPr="1EB51F1B" w:rsidR="62CD28DE">
        <w:rPr>
          <w:rFonts w:ascii="Arial" w:hAnsi="Arial" w:eastAsia="Arial" w:cs="Arial"/>
          <w:b w:val="1"/>
          <w:bCs w:val="1"/>
          <w:i w:val="0"/>
          <w:iCs w:val="0"/>
          <w:caps w:val="0"/>
          <w:smallCaps w:val="0"/>
          <w:noProof w:val="0"/>
          <w:sz w:val="22"/>
          <w:szCs w:val="22"/>
          <w:lang w:val="en-GB"/>
        </w:rPr>
        <w:t>Impact of AI and related technologies</w:t>
      </w:r>
      <w:r w:rsidRPr="1EB51F1B" w:rsidR="05E6EFB9">
        <w:rPr>
          <w:rFonts w:ascii="Arial" w:hAnsi="Arial" w:eastAsia="Arial" w:cs="Arial"/>
          <w:b w:val="1"/>
          <w:bCs w:val="1"/>
          <w:i w:val="0"/>
          <w:iCs w:val="0"/>
          <w:caps w:val="0"/>
          <w:smallCaps w:val="0"/>
          <w:noProof w:val="0"/>
          <w:sz w:val="22"/>
          <w:szCs w:val="22"/>
          <w:lang w:val="en-GB"/>
        </w:rPr>
        <w:t>.</w:t>
      </w:r>
    </w:p>
    <w:p w:rsidR="1EB51F1B" w:rsidP="1EB51F1B" w:rsidRDefault="1EB51F1B" w14:paraId="6ECE6A98" w14:textId="6157459E">
      <w:pPr>
        <w:pStyle w:val="Normal"/>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p>
    <w:p w:rsidR="62CD28DE" w:rsidP="1EB51F1B" w:rsidRDefault="62CD28DE" w14:paraId="649B0AD0" w14:textId="7BD44F69">
      <w:pPr>
        <w:pStyle w:val="ListParagraph"/>
        <w:numPr>
          <w:ilvl w:val="0"/>
          <w:numId w:val="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AI and advanced analytics offer potential gains in predictive maintenance, leak detection, demand forecasting, and customer service automation. Real-time sensor data from smart meters and SCADA-like systems can improve asset resilience and outage response. For Thames Water, AI-enabled optimization could reduce non-revenue water (water losses) and improve CAPEX timing, contributing to lower operating costs and better service metrics (industry white papers on AI in water utilities).</w:t>
      </w:r>
    </w:p>
    <w:p w:rsidR="62CD28DE" w:rsidP="1EB51F1B" w:rsidRDefault="62CD28DE" w14:paraId="67ECF78B" w14:textId="7D15248D">
      <w:pPr>
        <w:pStyle w:val="ListParagraph"/>
        <w:numPr>
          <w:ilvl w:val="0"/>
          <w:numId w:val="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 xml:space="preserve">AI-driven customer service tools (chatbots, automated response systems) can enhance response times and handle routine inquiries, freeing human agents to tackle more complex issues. This aligns with trends in the utilities sector toward digital customer engagement while </w:t>
      </w:r>
      <w:r w:rsidRPr="1EB51F1B" w:rsidR="62CD28DE">
        <w:rPr>
          <w:rFonts w:ascii="Arial" w:hAnsi="Arial" w:eastAsia="Arial" w:cs="Arial"/>
          <w:b w:val="0"/>
          <w:bCs w:val="0"/>
          <w:i w:val="0"/>
          <w:iCs w:val="0"/>
          <w:caps w:val="0"/>
          <w:smallCaps w:val="0"/>
          <w:noProof w:val="0"/>
          <w:sz w:val="22"/>
          <w:szCs w:val="22"/>
          <w:lang w:val="en-GB"/>
        </w:rPr>
        <w:t>necessitating</w:t>
      </w:r>
      <w:r w:rsidRPr="1EB51F1B" w:rsidR="62CD28DE">
        <w:rPr>
          <w:rFonts w:ascii="Arial" w:hAnsi="Arial" w:eastAsia="Arial" w:cs="Arial"/>
          <w:b w:val="0"/>
          <w:bCs w:val="0"/>
          <w:i w:val="0"/>
          <w:iCs w:val="0"/>
          <w:caps w:val="0"/>
          <w:smallCaps w:val="0"/>
          <w:noProof w:val="0"/>
          <w:sz w:val="22"/>
          <w:szCs w:val="22"/>
          <w:lang w:val="en-GB"/>
        </w:rPr>
        <w:t xml:space="preserve"> robust data governance to address privacy and trust concerns (UK utility sector reports; AI in customer service research).</w:t>
      </w:r>
    </w:p>
    <w:p w:rsidR="62CD28DE" w:rsidP="1EB51F1B" w:rsidRDefault="62CD28DE" w14:paraId="0B8FFE2D" w14:textId="47654DDE">
      <w:pPr>
        <w:pStyle w:val="ListParagraph"/>
        <w:numPr>
          <w:ilvl w:val="0"/>
          <w:numId w:val="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Risks associated with AI—data quality, cybersecurity, and model governance—demand strong internal controls. Utilities are particularly sensitive to data integrity (meter data, consumption patterns) and potential outages from cyber threats, which require comprehensive risk management and contingency planning (cybersecurity frameworks for critical infrastructure).</w:t>
      </w:r>
    </w:p>
    <w:p w:rsidR="1EB51F1B" w:rsidP="1EB51F1B" w:rsidRDefault="1EB51F1B" w14:paraId="0392EFE1" w14:textId="79916B40">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62CD28DE" w:rsidP="1EB51F1B" w:rsidRDefault="62CD28DE" w14:paraId="7C58D8EC" w14:textId="066863B3">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1"/>
          <w:bCs w:val="1"/>
          <w:i w:val="0"/>
          <w:iCs w:val="0"/>
          <w:caps w:val="0"/>
          <w:smallCaps w:val="0"/>
          <w:noProof w:val="0"/>
          <w:sz w:val="22"/>
          <w:szCs w:val="22"/>
          <w:lang w:val="en-GB"/>
        </w:rPr>
        <w:t xml:space="preserve">Online shopping, consumer </w:t>
      </w:r>
      <w:r w:rsidRPr="1EB51F1B" w:rsidR="0B8054E8">
        <w:rPr>
          <w:rFonts w:ascii="Arial" w:hAnsi="Arial" w:eastAsia="Arial" w:cs="Arial"/>
          <w:b w:val="1"/>
          <w:bCs w:val="1"/>
          <w:i w:val="0"/>
          <w:iCs w:val="0"/>
          <w:caps w:val="0"/>
          <w:smallCaps w:val="0"/>
          <w:noProof w:val="0"/>
          <w:sz w:val="22"/>
          <w:szCs w:val="22"/>
          <w:lang w:val="en-GB"/>
        </w:rPr>
        <w:t>behaviour</w:t>
      </w:r>
      <w:r w:rsidRPr="1EB51F1B" w:rsidR="62CD28DE">
        <w:rPr>
          <w:rFonts w:ascii="Arial" w:hAnsi="Arial" w:eastAsia="Arial" w:cs="Arial"/>
          <w:b w:val="1"/>
          <w:bCs w:val="1"/>
          <w:i w:val="0"/>
          <w:iCs w:val="0"/>
          <w:caps w:val="0"/>
          <w:smallCaps w:val="0"/>
          <w:noProof w:val="0"/>
          <w:sz w:val="22"/>
          <w:szCs w:val="22"/>
          <w:lang w:val="en-GB"/>
        </w:rPr>
        <w:t>, and tariff/price responses</w:t>
      </w:r>
    </w:p>
    <w:p w:rsidR="62CD28DE" w:rsidP="1EB51F1B" w:rsidRDefault="62CD28DE" w14:paraId="726B206A" w14:textId="0D0C8D86">
      <w:pPr>
        <w:pStyle w:val="ListParagraph"/>
        <w:numPr>
          <w:ilvl w:val="0"/>
          <w:numId w:val="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 xml:space="preserve">While water is not sold via online marketplaces in the same way as consumer goods, the broader online shopping trend affects households’ expectations around convenience and price transparency. Utilities respond by offering online billing, digital complaints handling, flexible payment options, and real-time usage insights. For TW, improving digital access to account information and consumption data can influence customer satisfaction and perceived value, especially in times of price scrutiny and affordability concerns (consumer </w:t>
      </w:r>
      <w:r w:rsidRPr="1EB51F1B" w:rsidR="30FB5C52">
        <w:rPr>
          <w:rFonts w:ascii="Arial" w:hAnsi="Arial" w:eastAsia="Arial" w:cs="Arial"/>
          <w:b w:val="0"/>
          <w:bCs w:val="0"/>
          <w:i w:val="0"/>
          <w:iCs w:val="0"/>
          <w:caps w:val="0"/>
          <w:smallCaps w:val="0"/>
          <w:noProof w:val="0"/>
          <w:sz w:val="22"/>
          <w:szCs w:val="22"/>
          <w:lang w:val="en-GB"/>
        </w:rPr>
        <w:t>behaviour</w:t>
      </w:r>
      <w:r w:rsidRPr="1EB51F1B" w:rsidR="62CD28DE">
        <w:rPr>
          <w:rFonts w:ascii="Arial" w:hAnsi="Arial" w:eastAsia="Arial" w:cs="Arial"/>
          <w:b w:val="0"/>
          <w:bCs w:val="0"/>
          <w:i w:val="0"/>
          <w:iCs w:val="0"/>
          <w:caps w:val="0"/>
          <w:smallCaps w:val="0"/>
          <w:noProof w:val="0"/>
          <w:sz w:val="22"/>
          <w:szCs w:val="22"/>
          <w:lang w:val="en-GB"/>
        </w:rPr>
        <w:t xml:space="preserve"> studies; Ofwat consumer research).</w:t>
      </w:r>
    </w:p>
    <w:p w:rsidR="62CD28DE" w:rsidP="1EB51F1B" w:rsidRDefault="62CD28DE" w14:paraId="0AF84649" w14:textId="3583E699">
      <w:pPr>
        <w:pStyle w:val="ListParagraph"/>
        <w:numPr>
          <w:ilvl w:val="0"/>
          <w:numId w:val="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 xml:space="preserve">Price regulation and affordability discourse can indirectly </w:t>
      </w:r>
      <w:r w:rsidRPr="1EB51F1B" w:rsidR="62CD28DE">
        <w:rPr>
          <w:rFonts w:ascii="Arial" w:hAnsi="Arial" w:eastAsia="Arial" w:cs="Arial"/>
          <w:b w:val="0"/>
          <w:bCs w:val="0"/>
          <w:i w:val="0"/>
          <w:iCs w:val="0"/>
          <w:caps w:val="0"/>
          <w:smallCaps w:val="0"/>
          <w:noProof w:val="0"/>
          <w:sz w:val="22"/>
          <w:szCs w:val="22"/>
          <w:lang w:val="en-GB"/>
        </w:rPr>
        <w:t>impact</w:t>
      </w:r>
      <w:r w:rsidRPr="1EB51F1B" w:rsidR="62CD28DE">
        <w:rPr>
          <w:rFonts w:ascii="Arial" w:hAnsi="Arial" w:eastAsia="Arial" w:cs="Arial"/>
          <w:b w:val="0"/>
          <w:bCs w:val="0"/>
          <w:i w:val="0"/>
          <w:iCs w:val="0"/>
          <w:caps w:val="0"/>
          <w:smallCaps w:val="0"/>
          <w:noProof w:val="0"/>
          <w:sz w:val="22"/>
          <w:szCs w:val="22"/>
          <w:lang w:val="en-GB"/>
        </w:rPr>
        <w:t xml:space="preserve"> demand dynamics and customer segment strategies. If customers perceive value gaps in service reliability versus pricing, TW may emphasize resilience investments and service quality improvements in communications, potentially supported by data-driven segmentation and personalized messaging (Ofwat price reviews; TW corporate communications).</w:t>
      </w:r>
    </w:p>
    <w:p w:rsidR="1EB51F1B" w:rsidP="1EB51F1B" w:rsidRDefault="1EB51F1B" w14:paraId="51598D64" w14:textId="1B3DFBFA">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62CD28DE" w:rsidP="1EB51F1B" w:rsidRDefault="62CD28DE" w14:paraId="216A5D5E" w14:textId="5B1E3DB8">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lang w:val="en-GB"/>
        </w:rPr>
      </w:pPr>
      <w:r w:rsidRPr="1EB51F1B" w:rsidR="6BCF34EF">
        <w:rPr>
          <w:rFonts w:ascii="Arial" w:hAnsi="Arial" w:eastAsia="Arial" w:cs="Arial"/>
          <w:b w:val="1"/>
          <w:bCs w:val="1"/>
          <w:i w:val="0"/>
          <w:iCs w:val="0"/>
          <w:caps w:val="0"/>
          <w:smallCaps w:val="0"/>
          <w:noProof w:val="0"/>
          <w:sz w:val="22"/>
          <w:szCs w:val="22"/>
          <w:lang w:val="en-GB"/>
        </w:rPr>
        <w:t>H</w:t>
      </w:r>
      <w:r w:rsidRPr="1EB51F1B" w:rsidR="62CD28DE">
        <w:rPr>
          <w:rFonts w:ascii="Arial" w:hAnsi="Arial" w:eastAsia="Arial" w:cs="Arial"/>
          <w:b w:val="1"/>
          <w:bCs w:val="1"/>
          <w:i w:val="0"/>
          <w:iCs w:val="0"/>
          <w:caps w:val="0"/>
          <w:smallCaps w:val="0"/>
          <w:noProof w:val="0"/>
          <w:sz w:val="22"/>
          <w:szCs w:val="22"/>
          <w:lang w:val="en-GB"/>
        </w:rPr>
        <w:t>ow shifts have shaped Thames Water</w:t>
      </w:r>
    </w:p>
    <w:p w:rsidR="62CD28DE" w:rsidP="1EB51F1B" w:rsidRDefault="62CD28DE" w14:paraId="12564569" w14:textId="16EC22A3">
      <w:pPr>
        <w:pStyle w:val="ListParagraph"/>
        <w:numPr>
          <w:ilvl w:val="0"/>
          <w:numId w:val="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 xml:space="preserve">Digital disruption and AI offer the potential to enhance operational efficiency, asset resilience, and customer experience, but require sustained investment, governance, and cybersecurity controls. Thames Water’s strategic trajectory increasingly </w:t>
      </w:r>
      <w:r w:rsidRPr="1EB51F1B" w:rsidR="62CD28DE">
        <w:rPr>
          <w:rFonts w:ascii="Arial" w:hAnsi="Arial" w:eastAsia="Arial" w:cs="Arial"/>
          <w:b w:val="0"/>
          <w:bCs w:val="0"/>
          <w:i w:val="0"/>
          <w:iCs w:val="0"/>
          <w:caps w:val="0"/>
          <w:smallCaps w:val="0"/>
          <w:noProof w:val="0"/>
          <w:sz w:val="22"/>
          <w:szCs w:val="22"/>
          <w:lang w:val="en-GB"/>
        </w:rPr>
        <w:t>centers</w:t>
      </w:r>
      <w:r w:rsidRPr="1EB51F1B" w:rsidR="62CD28DE">
        <w:rPr>
          <w:rFonts w:ascii="Arial" w:hAnsi="Arial" w:eastAsia="Arial" w:cs="Arial"/>
          <w:b w:val="0"/>
          <w:bCs w:val="0"/>
          <w:i w:val="0"/>
          <w:iCs w:val="0"/>
          <w:caps w:val="0"/>
          <w:smallCaps w:val="0"/>
          <w:noProof w:val="0"/>
          <w:sz w:val="22"/>
          <w:szCs w:val="22"/>
          <w:lang w:val="en-GB"/>
        </w:rPr>
        <w:t xml:space="preserve"> on digital-enabled efficiency, data-driven decision-making, and transparent customer engagement, aligned with regulatory expectations for reliability and affordability.</w:t>
      </w:r>
    </w:p>
    <w:p w:rsidR="347565CF" w:rsidP="1EB51F1B" w:rsidRDefault="347565CF" w14:paraId="5EC0BB3F" w14:textId="2897B473">
      <w:pPr>
        <w:pStyle w:val="ListParagraph"/>
        <w:numPr>
          <w:ilvl w:val="0"/>
          <w:numId w:val="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2CD28DE">
        <w:rPr>
          <w:rFonts w:ascii="Arial" w:hAnsi="Arial" w:eastAsia="Arial" w:cs="Arial"/>
          <w:b w:val="0"/>
          <w:bCs w:val="0"/>
          <w:i w:val="0"/>
          <w:iCs w:val="0"/>
          <w:caps w:val="0"/>
          <w:smallCaps w:val="0"/>
          <w:noProof w:val="0"/>
          <w:sz w:val="22"/>
          <w:szCs w:val="22"/>
          <w:lang w:val="en-GB"/>
        </w:rPr>
        <w:t xml:space="preserve">External factors—regulatory oversight, capital-intensive infrastructure needs, and evolving consumer expectations—continue to influence internal decisions around investment timing, project prioritization, and governance reforms. The company’s ability to balance long-term resilience with short-term service improvements </w:t>
      </w:r>
      <w:r w:rsidRPr="1EB51F1B" w:rsidR="62CD28DE">
        <w:rPr>
          <w:rFonts w:ascii="Arial" w:hAnsi="Arial" w:eastAsia="Arial" w:cs="Arial"/>
          <w:b w:val="0"/>
          <w:bCs w:val="0"/>
          <w:i w:val="0"/>
          <w:iCs w:val="0"/>
          <w:caps w:val="0"/>
          <w:smallCaps w:val="0"/>
          <w:noProof w:val="0"/>
          <w:sz w:val="22"/>
          <w:szCs w:val="22"/>
          <w:lang w:val="en-GB"/>
        </w:rPr>
        <w:t>remains</w:t>
      </w:r>
      <w:r w:rsidRPr="1EB51F1B" w:rsidR="62CD28DE">
        <w:rPr>
          <w:rFonts w:ascii="Arial" w:hAnsi="Arial" w:eastAsia="Arial" w:cs="Arial"/>
          <w:b w:val="0"/>
          <w:bCs w:val="0"/>
          <w:i w:val="0"/>
          <w:iCs w:val="0"/>
          <w:caps w:val="0"/>
          <w:smallCaps w:val="0"/>
          <w:noProof w:val="0"/>
          <w:sz w:val="22"/>
          <w:szCs w:val="22"/>
          <w:lang w:val="en-GB"/>
        </w:rPr>
        <w:t xml:space="preserve"> critical for stakeholder trust and regulatory legitimacy.</w:t>
      </w:r>
    </w:p>
    <w:p w:rsidR="15510583" w:rsidP="1EB51F1B" w:rsidRDefault="15510583" w14:paraId="34AEC67E" w14:textId="324F601C">
      <w:pPr>
        <w:pStyle w:val="Normal"/>
        <w:rPr>
          <w:rFonts w:ascii="Arial" w:hAnsi="Arial" w:eastAsia="Arial" w:cs="Arial"/>
          <w:b w:val="1"/>
          <w:bCs w:val="1"/>
          <w:noProof w:val="0"/>
          <w:sz w:val="22"/>
          <w:szCs w:val="22"/>
          <w:lang w:val="en-GB"/>
        </w:rPr>
      </w:pPr>
    </w:p>
    <w:p w:rsidR="77E8B354" w:rsidP="1EB51F1B" w:rsidRDefault="77E8B354" w14:paraId="6BC27FD3" w14:textId="1E8F93AA">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highlight w:val="yellow"/>
          <w:lang w:val="en-GB"/>
        </w:rPr>
      </w:pPr>
      <w:r w:rsidRPr="1EB51F1B" w:rsidR="77E8B354">
        <w:rPr>
          <w:rFonts w:ascii="Arial" w:hAnsi="Arial" w:eastAsia="Arial" w:cs="Arial"/>
          <w:b w:val="1"/>
          <w:bCs w:val="1"/>
          <w:noProof w:val="0"/>
          <w:sz w:val="22"/>
          <w:szCs w:val="22"/>
          <w:highlight w:val="yellow"/>
          <w:lang w:val="en-GB"/>
        </w:rPr>
        <w:t>Q</w:t>
      </w:r>
      <w:r w:rsidRPr="1EB51F1B" w:rsidR="6053760C">
        <w:rPr>
          <w:rFonts w:ascii="Arial" w:hAnsi="Arial" w:eastAsia="Arial" w:cs="Arial"/>
          <w:b w:val="1"/>
          <w:bCs w:val="1"/>
          <w:noProof w:val="0"/>
          <w:sz w:val="22"/>
          <w:szCs w:val="22"/>
          <w:highlight w:val="yellow"/>
          <w:lang w:val="en-GB"/>
        </w:rPr>
        <w:t xml:space="preserve">uestion </w:t>
      </w:r>
      <w:r w:rsidRPr="1EB51F1B" w:rsidR="77E8B354">
        <w:rPr>
          <w:rFonts w:ascii="Arial" w:hAnsi="Arial" w:eastAsia="Arial" w:cs="Arial"/>
          <w:b w:val="1"/>
          <w:bCs w:val="1"/>
          <w:noProof w:val="0"/>
          <w:sz w:val="22"/>
          <w:szCs w:val="22"/>
          <w:highlight w:val="yellow"/>
          <w:lang w:val="en-GB"/>
        </w:rPr>
        <w:t>3.</w:t>
      </w:r>
    </w:p>
    <w:p w:rsidR="11CCD74E" w:rsidP="1EB51F1B" w:rsidRDefault="11CCD74E" w14:paraId="03564E23" w14:textId="5F7D74A8">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11CCD74E">
        <w:rPr>
          <w:rFonts w:ascii="D-DINExp" w:hAnsi="D-DINExp" w:eastAsia="D-DINExp" w:cs="D-DINExp"/>
          <w:b w:val="1"/>
          <w:bCs w:val="1"/>
          <w:i w:val="0"/>
          <w:iCs w:val="0"/>
          <w:caps w:val="0"/>
          <w:smallCaps w:val="0"/>
          <w:noProof w:val="0"/>
          <w:sz w:val="21"/>
          <w:szCs w:val="21"/>
          <w:lang w:val="en-GB"/>
        </w:rPr>
        <w:t>Change management models in practice</w:t>
      </w:r>
    </w:p>
    <w:p w:rsidR="11CCD74E" w:rsidP="1EB51F1B" w:rsidRDefault="11CCD74E" w14:paraId="5B4FD6CB" w14:textId="48EA354D">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11CCD74E">
        <w:rPr>
          <w:rFonts w:ascii="D-DINExp" w:hAnsi="D-DINExp" w:eastAsia="D-DINExp" w:cs="D-DINExp"/>
          <w:b w:val="1"/>
          <w:bCs w:val="1"/>
          <w:i w:val="0"/>
          <w:iCs w:val="0"/>
          <w:caps w:val="0"/>
          <w:smallCaps w:val="0"/>
          <w:noProof w:val="0"/>
          <w:sz w:val="21"/>
          <w:szCs w:val="21"/>
          <w:lang w:val="en-GB"/>
        </w:rPr>
        <w:t>Lewin’s Change Model (Unfreeze-Change-Refreeze)</w:t>
      </w:r>
    </w:p>
    <w:p w:rsidR="11CCD74E" w:rsidP="1EB51F1B" w:rsidRDefault="11CCD74E" w14:paraId="2274F57C" w14:textId="436ED8B0">
      <w:pPr>
        <w:pStyle w:val="ListParagraph"/>
        <w:numPr>
          <w:ilvl w:val="0"/>
          <w:numId w:val="41"/>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Applicability</w:t>
      </w:r>
      <w:r>
        <w:br/>
      </w:r>
      <w:r w:rsidRPr="1EB51F1B" w:rsidR="11CCD74E">
        <w:rPr>
          <w:rFonts w:ascii="D-DINExp" w:hAnsi="D-DINExp" w:eastAsia="D-DINExp" w:cs="D-DINExp"/>
          <w:b w:val="0"/>
          <w:bCs w:val="0"/>
          <w:i w:val="0"/>
          <w:iCs w:val="0"/>
          <w:caps w:val="0"/>
          <w:smallCaps w:val="0"/>
          <w:noProof w:val="0"/>
          <w:sz w:val="21"/>
          <w:szCs w:val="21"/>
          <w:lang w:val="en-GB"/>
        </w:rPr>
        <w:t>In a large utility, Lewin’s three-stage framework helps teams pace change and anchor new habits. Unfreeze is about stirring a sense of urgency and challenging the status quo (think persistent leakage, aging assets). Change is where new processes, digital tools, and governance structures are rolled out. Refreeze is about embedding fresh performance metrics, standard operating procedures, and new cultural norms so improvements stick.</w:t>
      </w:r>
    </w:p>
    <w:p w:rsidR="11CCD74E" w:rsidP="1EB51F1B" w:rsidRDefault="11CCD74E" w14:paraId="7CCCC177" w14:textId="2BD87C8A">
      <w:pPr>
        <w:pStyle w:val="ListParagraph"/>
        <w:numPr>
          <w:ilvl w:val="0"/>
          <w:numId w:val="41"/>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Thames Water relevance</w:t>
      </w:r>
      <w:r>
        <w:br/>
      </w:r>
      <w:r w:rsidRPr="1EB51F1B" w:rsidR="11CCD74E">
        <w:rPr>
          <w:rFonts w:ascii="D-DINExp" w:hAnsi="D-DINExp" w:eastAsia="D-DINExp" w:cs="D-DINExp"/>
          <w:b w:val="0"/>
          <w:bCs w:val="0"/>
          <w:i w:val="0"/>
          <w:iCs w:val="0"/>
          <w:caps w:val="0"/>
          <w:smallCaps w:val="0"/>
          <w:noProof w:val="0"/>
          <w:sz w:val="21"/>
          <w:szCs w:val="21"/>
          <w:lang w:val="en-GB"/>
        </w:rPr>
        <w:t>TW has worked to unfreeze by calling out performance gaps and regulatory obligations, then rolling out capital programs, digital dashboards, and stronger governance. The refreeze shows up as standardized reporting, ongoing compliance checks, and integrating new asset-management systems into daily operations (as seen in TW annual reports and Ofwat performance documents).</w:t>
      </w:r>
    </w:p>
    <w:p w:rsidR="11CCD74E" w:rsidP="1EB51F1B" w:rsidRDefault="11CCD74E" w14:paraId="6142E800" w14:textId="27FB944B">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11CCD74E">
        <w:rPr>
          <w:rFonts w:ascii="D-DINExp" w:hAnsi="D-DINExp" w:eastAsia="D-DINExp" w:cs="D-DINExp"/>
          <w:b w:val="1"/>
          <w:bCs w:val="1"/>
          <w:i w:val="0"/>
          <w:iCs w:val="0"/>
          <w:caps w:val="0"/>
          <w:smallCaps w:val="0"/>
          <w:noProof w:val="0"/>
          <w:sz w:val="21"/>
          <w:szCs w:val="21"/>
          <w:lang w:val="en-GB"/>
        </w:rPr>
        <w:t>Kotter’s 8-Step Change Model</w:t>
      </w:r>
    </w:p>
    <w:p w:rsidR="11CCD74E" w:rsidP="1EB51F1B" w:rsidRDefault="11CCD74E" w14:paraId="3A8D0A91" w14:textId="7C1085D5">
      <w:pPr>
        <w:pStyle w:val="ListParagraph"/>
        <w:numPr>
          <w:ilvl w:val="0"/>
          <w:numId w:val="42"/>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Key steps</w:t>
      </w:r>
      <w:r>
        <w:br/>
      </w:r>
      <w:r w:rsidRPr="1EB51F1B" w:rsidR="11CCD74E">
        <w:rPr>
          <w:rFonts w:ascii="D-DINExp" w:hAnsi="D-DINExp" w:eastAsia="D-DINExp" w:cs="D-DINExp"/>
          <w:b w:val="0"/>
          <w:bCs w:val="0"/>
          <w:i w:val="0"/>
          <w:iCs w:val="0"/>
          <w:caps w:val="0"/>
          <w:smallCaps w:val="0"/>
          <w:noProof w:val="0"/>
          <w:sz w:val="21"/>
          <w:szCs w:val="21"/>
          <w:lang w:val="en-GB"/>
        </w:rPr>
        <w:t>Create urgency, build a guiding coalition, form a vision and strategy, communicate the vision, empower broad-based action, generate short-term wins, consolidate gains, and anchor new approaches (Kotter, 1995).</w:t>
      </w:r>
    </w:p>
    <w:p w:rsidR="11CCD74E" w:rsidP="1EB51F1B" w:rsidRDefault="11CCD74E" w14:paraId="00B2D730" w14:textId="30EDFB70">
      <w:pPr>
        <w:pStyle w:val="ListParagraph"/>
        <w:numPr>
          <w:ilvl w:val="0"/>
          <w:numId w:val="42"/>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Applicability</w:t>
      </w:r>
      <w:r>
        <w:br/>
      </w:r>
      <w:r w:rsidRPr="1EB51F1B" w:rsidR="11CCD74E">
        <w:rPr>
          <w:rFonts w:ascii="D-DINExp" w:hAnsi="D-DINExp" w:eastAsia="D-DINExp" w:cs="D-DINExp"/>
          <w:b w:val="0"/>
          <w:bCs w:val="0"/>
          <w:i w:val="0"/>
          <w:iCs w:val="0"/>
          <w:caps w:val="0"/>
          <w:smallCaps w:val="0"/>
          <w:noProof w:val="0"/>
          <w:sz w:val="21"/>
          <w:szCs w:val="21"/>
          <w:lang w:val="en-GB"/>
        </w:rPr>
        <w:t>Kotter’s focus on leadership, coalition-building, and visible wins fits regulatory-driven programs with cross-functional impact (engineering, finance, IT, customer service). A strong coalition—senior leaders, non-executive directors, regulator liaison teams—helps align big investments with regulatory expectations.</w:t>
      </w:r>
    </w:p>
    <w:p w:rsidR="11CCD74E" w:rsidP="1EB51F1B" w:rsidRDefault="11CCD74E" w14:paraId="5928BFA5" w14:textId="05676CFA">
      <w:pPr>
        <w:pStyle w:val="ListParagraph"/>
        <w:numPr>
          <w:ilvl w:val="0"/>
          <w:numId w:val="42"/>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Thames Water relevance</w:t>
      </w:r>
      <w:r>
        <w:br/>
      </w:r>
      <w:r w:rsidRPr="1EB51F1B" w:rsidR="11CCD74E">
        <w:rPr>
          <w:rFonts w:ascii="D-DINExp" w:hAnsi="D-DINExp" w:eastAsia="D-DINExp" w:cs="D-DINExp"/>
          <w:b w:val="0"/>
          <w:bCs w:val="0"/>
          <w:i w:val="0"/>
          <w:iCs w:val="0"/>
          <w:caps w:val="0"/>
          <w:smallCaps w:val="0"/>
          <w:noProof w:val="0"/>
          <w:sz w:val="21"/>
          <w:szCs w:val="21"/>
          <w:lang w:val="en-GB"/>
        </w:rPr>
        <w:t>TW has pursued governance enhancements and stakeholder communications to show progress, aligning with Kotter’s emphasis on visible wins (leakage reductions, reliability improvements, transparent reporting). To sustain momentum, broad-based empowerment requires consistent change literacy across a large, diverse workforce and clear empowerment mechanisms for frontline staff.</w:t>
      </w:r>
    </w:p>
    <w:p w:rsidR="11CCD74E" w:rsidP="1EB51F1B" w:rsidRDefault="11CCD74E" w14:paraId="5865A341" w14:textId="5E49B542">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11CCD74E">
        <w:rPr>
          <w:rFonts w:ascii="D-DINExp" w:hAnsi="D-DINExp" w:eastAsia="D-DINExp" w:cs="D-DINExp"/>
          <w:b w:val="1"/>
          <w:bCs w:val="1"/>
          <w:i w:val="0"/>
          <w:iCs w:val="0"/>
          <w:caps w:val="0"/>
          <w:smallCaps w:val="0"/>
          <w:noProof w:val="0"/>
          <w:sz w:val="21"/>
          <w:szCs w:val="21"/>
          <w:lang w:val="en-GB"/>
        </w:rPr>
        <w:t>McKinsey 7-S Framework</w:t>
      </w:r>
    </w:p>
    <w:p w:rsidR="11CCD74E" w:rsidP="1EB51F1B" w:rsidRDefault="11CCD74E" w14:paraId="02704B1B" w14:textId="433A6188">
      <w:pPr>
        <w:pStyle w:val="ListParagraph"/>
        <w:numPr>
          <w:ilvl w:val="0"/>
          <w:numId w:val="43"/>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Elements</w:t>
      </w:r>
      <w:r>
        <w:br/>
      </w:r>
      <w:r w:rsidRPr="1EB51F1B" w:rsidR="11CCD74E">
        <w:rPr>
          <w:rFonts w:ascii="D-DINExp" w:hAnsi="D-DINExp" w:eastAsia="D-DINExp" w:cs="D-DINExp"/>
          <w:b w:val="0"/>
          <w:bCs w:val="0"/>
          <w:i w:val="0"/>
          <w:iCs w:val="0"/>
          <w:caps w:val="0"/>
          <w:smallCaps w:val="0"/>
          <w:noProof w:val="0"/>
          <w:sz w:val="21"/>
          <w:szCs w:val="21"/>
          <w:lang w:val="en-GB"/>
        </w:rPr>
        <w:t>Strategy, Structure, Systems, Shared Values, Skills, Style, Staff.</w:t>
      </w:r>
    </w:p>
    <w:p w:rsidR="11CCD74E" w:rsidP="1EB51F1B" w:rsidRDefault="11CCD74E" w14:paraId="048AF31A" w14:textId="2A5F1F13">
      <w:pPr>
        <w:pStyle w:val="ListParagraph"/>
        <w:numPr>
          <w:ilvl w:val="0"/>
          <w:numId w:val="43"/>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Applicability</w:t>
      </w:r>
      <w:r>
        <w:br/>
      </w:r>
      <w:r w:rsidRPr="1EB51F1B" w:rsidR="11CCD74E">
        <w:rPr>
          <w:rFonts w:ascii="D-DINExp" w:hAnsi="D-DINExp" w:eastAsia="D-DINExp" w:cs="D-DINExp"/>
          <w:b w:val="0"/>
          <w:bCs w:val="0"/>
          <w:i w:val="0"/>
          <w:iCs w:val="0"/>
          <w:caps w:val="0"/>
          <w:smallCaps w:val="0"/>
          <w:noProof w:val="0"/>
          <w:sz w:val="21"/>
          <w:szCs w:val="21"/>
          <w:lang w:val="en-GB"/>
        </w:rPr>
        <w:t>The 7-S model helps articulate the alignment needed across hard (structure, systems) and soft (shared values, skills, leadership style) elements—crucial during digitalization and governance reforms.</w:t>
      </w:r>
    </w:p>
    <w:p w:rsidR="11CCD74E" w:rsidP="1EB51F1B" w:rsidRDefault="11CCD74E" w14:paraId="2149ED27" w14:textId="48C05991">
      <w:pPr>
        <w:pStyle w:val="ListParagraph"/>
        <w:numPr>
          <w:ilvl w:val="0"/>
          <w:numId w:val="43"/>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Thames Water relevance</w:t>
      </w:r>
      <w:r>
        <w:br/>
      </w:r>
      <w:r w:rsidRPr="1EB51F1B" w:rsidR="11CCD74E">
        <w:rPr>
          <w:rFonts w:ascii="D-DINExp" w:hAnsi="D-DINExp" w:eastAsia="D-DINExp" w:cs="D-DINExp"/>
          <w:b w:val="0"/>
          <w:bCs w:val="0"/>
          <w:i w:val="0"/>
          <w:iCs w:val="0"/>
          <w:caps w:val="0"/>
          <w:smallCaps w:val="0"/>
          <w:noProof w:val="0"/>
          <w:sz w:val="21"/>
          <w:szCs w:val="21"/>
          <w:lang w:val="en-GB"/>
        </w:rPr>
        <w:t>Aligning a capital-intensive strategy with new digital platforms (predictive maintenance, data governance) calls for structural tweaks (central asset management, data governance bodies), new skills (data analytics, cybersecurity), and leadership behavior that promotes cross-functional collaboration. TW’s governance upgrades and digital investments reflect these aims, though integration and cultural changes continue, as seen in Ofwat reviews and TW communications.</w:t>
      </w:r>
    </w:p>
    <w:p w:rsidR="11CCD74E" w:rsidP="1EB51F1B" w:rsidRDefault="11CCD74E" w14:paraId="369D525F" w14:textId="5A749EC6">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11CCD74E">
        <w:rPr>
          <w:rFonts w:ascii="D-DINExp" w:hAnsi="D-DINExp" w:eastAsia="D-DINExp" w:cs="D-DINExp"/>
          <w:b w:val="1"/>
          <w:bCs w:val="1"/>
          <w:i w:val="0"/>
          <w:iCs w:val="0"/>
          <w:caps w:val="0"/>
          <w:smallCaps w:val="0"/>
          <w:noProof w:val="0"/>
          <w:sz w:val="21"/>
          <w:szCs w:val="21"/>
          <w:lang w:val="en-GB"/>
        </w:rPr>
        <w:t>ADKAR Model (Awareness, Desire, Knowledge, Ability, Reinforcement)</w:t>
      </w:r>
    </w:p>
    <w:p w:rsidR="11CCD74E" w:rsidP="1EB51F1B" w:rsidRDefault="11CCD74E" w14:paraId="3DB5FE63" w14:textId="4A7A9515">
      <w:pPr>
        <w:pStyle w:val="ListParagraph"/>
        <w:numPr>
          <w:ilvl w:val="0"/>
          <w:numId w:val="44"/>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Focus</w:t>
      </w:r>
      <w:r>
        <w:br/>
      </w:r>
      <w:r w:rsidRPr="1EB51F1B" w:rsidR="11CCD74E">
        <w:rPr>
          <w:rFonts w:ascii="D-DINExp" w:hAnsi="D-DINExp" w:eastAsia="D-DINExp" w:cs="D-DINExp"/>
          <w:b w:val="0"/>
          <w:bCs w:val="0"/>
          <w:i w:val="0"/>
          <w:iCs w:val="0"/>
          <w:caps w:val="0"/>
          <w:smallCaps w:val="0"/>
          <w:noProof w:val="0"/>
          <w:sz w:val="21"/>
          <w:szCs w:val="21"/>
          <w:lang w:val="en-GB"/>
        </w:rPr>
        <w:t>Change at the individual level, with a strong emphasis on readiness and sustaining adoption. For a utilities company with a large workforce and contractor network, ADKAR helps ensure people understand why change matters, want it, know how to do it, can do it, and see ongoing reinforcement.</w:t>
      </w:r>
    </w:p>
    <w:p w:rsidR="11CCD74E" w:rsidP="1EB51F1B" w:rsidRDefault="11CCD74E" w14:paraId="05D0884C" w14:textId="79CEEBD2">
      <w:pPr>
        <w:pStyle w:val="ListParagraph"/>
        <w:numPr>
          <w:ilvl w:val="0"/>
          <w:numId w:val="44"/>
        </w:numPr>
        <w:shd w:val="clear" w:color="auto" w:fill="FFFFFF" w:themeFill="background1"/>
        <w:spacing w:before="210" w:beforeAutospacing="off" w:after="210" w:afterAutospacing="off"/>
        <w:rPr>
          <w:rFonts w:ascii="D-DINExp" w:hAnsi="D-DINExp" w:eastAsia="D-DINExp" w:cs="D-DINExp"/>
          <w:b w:val="0"/>
          <w:bCs w:val="0"/>
          <w:i w:val="0"/>
          <w:iCs w:val="0"/>
          <w:caps w:val="0"/>
          <w:smallCaps w:val="0"/>
          <w:noProof w:val="0"/>
          <w:sz w:val="21"/>
          <w:szCs w:val="21"/>
          <w:lang w:val="en-GB"/>
        </w:rPr>
      </w:pPr>
      <w:r w:rsidRPr="1EB51F1B" w:rsidR="11CCD74E">
        <w:rPr>
          <w:rFonts w:ascii="D-DINExp" w:hAnsi="D-DINExp" w:eastAsia="D-DINExp" w:cs="D-DINExp"/>
          <w:b w:val="0"/>
          <w:bCs w:val="0"/>
          <w:i w:val="0"/>
          <w:iCs w:val="0"/>
          <w:caps w:val="0"/>
          <w:smallCaps w:val="0"/>
          <w:noProof w:val="0"/>
          <w:sz w:val="21"/>
          <w:szCs w:val="21"/>
          <w:lang w:val="en-GB"/>
        </w:rPr>
        <w:t>Thames Water relevance</w:t>
      </w:r>
      <w:r>
        <w:br/>
      </w:r>
      <w:r w:rsidRPr="1EB51F1B" w:rsidR="11CCD74E">
        <w:rPr>
          <w:rFonts w:ascii="D-DINExp" w:hAnsi="D-DINExp" w:eastAsia="D-DINExp" w:cs="D-DINExp"/>
          <w:b w:val="0"/>
          <w:bCs w:val="0"/>
          <w:i w:val="0"/>
          <w:iCs w:val="0"/>
          <w:caps w:val="0"/>
          <w:smallCaps w:val="0"/>
          <w:noProof w:val="0"/>
          <w:sz w:val="21"/>
          <w:szCs w:val="21"/>
          <w:lang w:val="en-GB"/>
        </w:rPr>
        <w:t>Successful adoption of asset-management systems, leakage-reduction programs, and digital customer interfaces depends on frontline engagement and continual reinforcement. Challenges include uneven readiness across sites and contractor networks, which require targeted training and ongoing coaching (industry practice; TW project updates).</w:t>
      </w:r>
    </w:p>
    <w:p w:rsidR="1EB51F1B" w:rsidP="1EB51F1B" w:rsidRDefault="1EB51F1B" w14:paraId="270AEAF0" w14:textId="0A4E3A2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EB51F1B" w:rsidP="1EB51F1B" w:rsidRDefault="1EB51F1B" w14:paraId="2D8347A5" w14:textId="7724CA7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EB51F1B" w:rsidP="1EB51F1B" w:rsidRDefault="1EB51F1B" w14:paraId="2095C226" w14:textId="003DB8C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6C51EF21" w:rsidP="1EB51F1B" w:rsidRDefault="6C51EF21" w14:paraId="5882D54E" w14:textId="34E011E7">
      <w:pPr>
        <w:shd w:val="clear" w:color="auto" w:fill="FFFFFF" w:themeFill="background1"/>
        <w:spacing w:before="0" w:beforeAutospacing="off" w:after="150" w:afterAutospacing="off"/>
      </w:pPr>
      <w:r w:rsidRPr="1EB51F1B" w:rsidR="6C51EF21">
        <w:rPr>
          <w:rFonts w:ascii="D-DINExp" w:hAnsi="D-DINExp" w:eastAsia="D-DINExp" w:cs="D-DINExp"/>
          <w:b w:val="0"/>
          <w:bCs w:val="0"/>
          <w:i w:val="0"/>
          <w:iCs w:val="0"/>
          <w:caps w:val="0"/>
          <w:smallCaps w:val="0"/>
          <w:noProof w:val="0"/>
          <w:sz w:val="21"/>
          <w:szCs w:val="21"/>
          <w:lang w:val="en-GB"/>
        </w:rPr>
        <w:t>Hybrid change approaches and digital transformation governance</w:t>
      </w:r>
    </w:p>
    <w:p w:rsidR="6C51EF21" w:rsidP="1EB51F1B" w:rsidRDefault="6C51EF21" w14:paraId="6F46AD12" w14:textId="2A11D497">
      <w:pPr>
        <w:shd w:val="clear" w:color="auto" w:fill="FFFFFF" w:themeFill="background1"/>
        <w:spacing w:before="0" w:beforeAutospacing="off" w:after="150" w:afterAutospacing="off"/>
      </w:pPr>
      <w:r w:rsidRPr="1EB51F1B" w:rsidR="6C51EF21">
        <w:rPr>
          <w:rFonts w:ascii="D-DINExp" w:hAnsi="D-DINExp" w:eastAsia="D-DINExp" w:cs="D-DINExp"/>
          <w:b w:val="1"/>
          <w:bCs w:val="1"/>
          <w:i w:val="0"/>
          <w:iCs w:val="0"/>
          <w:caps w:val="0"/>
          <w:smallCaps w:val="0"/>
          <w:noProof w:val="0"/>
          <w:sz w:val="21"/>
          <w:szCs w:val="21"/>
          <w:lang w:val="en-GB"/>
        </w:rPr>
        <w:t>Observations</w:t>
      </w:r>
      <w:r>
        <w:br/>
      </w:r>
      <w:r w:rsidRPr="1EB51F1B" w:rsidR="6C51EF21">
        <w:rPr>
          <w:rFonts w:ascii="D-DINExp" w:hAnsi="D-DINExp" w:eastAsia="D-DINExp" w:cs="D-DINExp"/>
          <w:b w:val="0"/>
          <w:bCs w:val="0"/>
          <w:i w:val="0"/>
          <w:iCs w:val="0"/>
          <w:caps w:val="0"/>
          <w:smallCaps w:val="0"/>
          <w:noProof w:val="0"/>
          <w:sz w:val="21"/>
          <w:szCs w:val="21"/>
          <w:lang w:val="en-GB"/>
        </w:rPr>
        <w:t>Today’s large utilities blend elements from different change models, running phased roadmaps with stage-gate governance and a central digital transformation office. The focus is on managing risk, engaging stakeholders, and showing value in small, iterative steps (</w:t>
      </w:r>
      <w:r w:rsidRPr="1EB51F1B" w:rsidR="6C51EF21">
        <w:rPr>
          <w:rFonts w:ascii="D-DINExp" w:hAnsi="D-DINExp" w:eastAsia="D-DINExp" w:cs="D-DINExp"/>
          <w:b w:val="0"/>
          <w:bCs w:val="0"/>
          <w:i w:val="0"/>
          <w:iCs w:val="0"/>
          <w:caps w:val="0"/>
          <w:smallCaps w:val="0"/>
          <w:noProof w:val="0"/>
          <w:sz w:val="21"/>
          <w:szCs w:val="21"/>
          <w:lang w:val="en-GB"/>
        </w:rPr>
        <w:t>Nabatchi</w:t>
      </w:r>
      <w:r w:rsidRPr="1EB51F1B" w:rsidR="6C51EF21">
        <w:rPr>
          <w:rFonts w:ascii="D-DINExp" w:hAnsi="D-DINExp" w:eastAsia="D-DINExp" w:cs="D-DINExp"/>
          <w:b w:val="0"/>
          <w:bCs w:val="0"/>
          <w:i w:val="0"/>
          <w:iCs w:val="0"/>
          <w:caps w:val="0"/>
          <w:smallCaps w:val="0"/>
          <w:noProof w:val="0"/>
          <w:sz w:val="21"/>
          <w:szCs w:val="21"/>
          <w:lang w:val="en-GB"/>
        </w:rPr>
        <w:t xml:space="preserve"> et al., 2017; McKinsey on digital transformation).</w:t>
      </w:r>
    </w:p>
    <w:p w:rsidR="6C51EF21" w:rsidP="1EB51F1B" w:rsidRDefault="6C51EF21" w14:paraId="00222D1F" w14:textId="5CDED038">
      <w:pPr>
        <w:shd w:val="clear" w:color="auto" w:fill="FFFFFF" w:themeFill="background1"/>
        <w:spacing w:before="0" w:beforeAutospacing="off" w:after="150" w:afterAutospacing="off"/>
      </w:pPr>
      <w:r w:rsidRPr="1EB51F1B" w:rsidR="6C51EF21">
        <w:rPr>
          <w:rFonts w:ascii="D-DINExp" w:hAnsi="D-DINExp" w:eastAsia="D-DINExp" w:cs="D-DINExp"/>
          <w:b w:val="0"/>
          <w:bCs w:val="0"/>
          <w:i w:val="0"/>
          <w:iCs w:val="0"/>
          <w:caps w:val="0"/>
          <w:smallCaps w:val="0"/>
          <w:noProof w:val="0"/>
          <w:sz w:val="21"/>
          <w:szCs w:val="21"/>
          <w:lang w:val="en-GB"/>
        </w:rPr>
        <w:t>Thames Water relevance</w:t>
      </w:r>
      <w:r>
        <w:br/>
      </w:r>
      <w:r w:rsidRPr="1EB51F1B" w:rsidR="6C51EF21">
        <w:rPr>
          <w:rFonts w:ascii="D-DINExp" w:hAnsi="D-DINExp" w:eastAsia="D-DINExp" w:cs="D-DINExp"/>
          <w:b w:val="0"/>
          <w:bCs w:val="0"/>
          <w:i w:val="0"/>
          <w:iCs w:val="0"/>
          <w:caps w:val="0"/>
          <w:smallCaps w:val="0"/>
          <w:noProof w:val="0"/>
          <w:sz w:val="21"/>
          <w:szCs w:val="21"/>
          <w:lang w:val="en-GB"/>
        </w:rPr>
        <w:t>Thames Water has been pursuing staged investments supported by governance layers—board oversight, regulator liaison, and program management offices—to stay in sync with Ofwat price reviews, leak-reduction targets, and customer outcomes. The mix of digital platforms (think SCADA-like monitoring and analytics dashboards) with existing processes demonstrates a hybrid approach: keeping structure where it helps while staying adaptable where it matters. This balance shows up in Thames Water’s annual reports and Ofwat documentation.</w:t>
      </w:r>
    </w:p>
    <w:p w:rsidR="6C51EF21" w:rsidP="1EB51F1B" w:rsidRDefault="6C51EF21" w14:paraId="4B34B5A5" w14:textId="7986BE5C">
      <w:pPr>
        <w:shd w:val="clear" w:color="auto" w:fill="FFFFFF" w:themeFill="background1"/>
        <w:spacing w:before="0" w:beforeAutospacing="off" w:after="150" w:afterAutospacing="off"/>
        <w:rPr>
          <w:rFonts w:ascii="D-DINExp" w:hAnsi="D-DINExp" w:eastAsia="D-DINExp" w:cs="D-DINExp"/>
          <w:b w:val="1"/>
          <w:bCs w:val="1"/>
          <w:i w:val="0"/>
          <w:iCs w:val="0"/>
          <w:caps w:val="0"/>
          <w:smallCaps w:val="0"/>
          <w:noProof w:val="0"/>
          <w:sz w:val="21"/>
          <w:szCs w:val="21"/>
          <w:lang w:val="en-GB"/>
        </w:rPr>
      </w:pPr>
      <w:r w:rsidRPr="1EB51F1B" w:rsidR="6C51EF21">
        <w:rPr>
          <w:rFonts w:ascii="D-DINExp" w:hAnsi="D-DINExp" w:eastAsia="D-DINExp" w:cs="D-DINExp"/>
          <w:b w:val="1"/>
          <w:bCs w:val="1"/>
          <w:i w:val="0"/>
          <w:iCs w:val="0"/>
          <w:caps w:val="0"/>
          <w:smallCaps w:val="0"/>
          <w:noProof w:val="0"/>
          <w:sz w:val="21"/>
          <w:szCs w:val="21"/>
          <w:lang w:val="en-GB"/>
        </w:rPr>
        <w:t>Critical success factors and challenges</w:t>
      </w:r>
    </w:p>
    <w:p w:rsidR="6C51EF21" w:rsidP="1EB51F1B" w:rsidRDefault="6C51EF21" w14:paraId="3F387673" w14:textId="2969238B">
      <w:pPr>
        <w:shd w:val="clear" w:color="auto" w:fill="FFFFFF" w:themeFill="background1"/>
        <w:spacing w:before="0" w:beforeAutospacing="off" w:after="150" w:afterAutospacing="off"/>
      </w:pPr>
      <w:r w:rsidRPr="1EB51F1B" w:rsidR="6C51EF21">
        <w:rPr>
          <w:rFonts w:ascii="D-DINExp" w:hAnsi="D-DINExp" w:eastAsia="D-DINExp" w:cs="D-DINExp"/>
          <w:b w:val="0"/>
          <w:bCs w:val="0"/>
          <w:i w:val="0"/>
          <w:iCs w:val="0"/>
          <w:caps w:val="0"/>
          <w:smallCaps w:val="0"/>
          <w:noProof w:val="0"/>
          <w:sz w:val="21"/>
          <w:szCs w:val="21"/>
          <w:lang w:val="en-GB"/>
        </w:rPr>
        <w:t>Leadership and governance</w:t>
      </w:r>
      <w:r>
        <w:br/>
      </w:r>
      <w:r w:rsidRPr="1EB51F1B" w:rsidR="6C51EF21">
        <w:rPr>
          <w:rFonts w:ascii="D-DINExp" w:hAnsi="D-DINExp" w:eastAsia="D-DINExp" w:cs="D-DINExp"/>
          <w:b w:val="0"/>
          <w:bCs w:val="0"/>
          <w:i w:val="0"/>
          <w:iCs w:val="0"/>
          <w:caps w:val="0"/>
          <w:smallCaps w:val="0"/>
          <w:noProof w:val="0"/>
          <w:sz w:val="21"/>
          <w:szCs w:val="21"/>
          <w:lang w:val="en-GB"/>
        </w:rPr>
        <w:t>Sustained executive sponsorship and a credible governance framework are essential to keep momentum and manage regulatory scrutiny. Without a strong, united leadership coalition, urgency can wane and different parts of the organization can drift apart.</w:t>
      </w:r>
    </w:p>
    <w:p w:rsidR="6C51EF21" w:rsidP="1EB51F1B" w:rsidRDefault="6C51EF21" w14:paraId="75B4584E" w14:textId="43926B58">
      <w:pPr>
        <w:shd w:val="clear" w:color="auto" w:fill="FFFFFF" w:themeFill="background1"/>
        <w:spacing w:before="0" w:beforeAutospacing="off" w:after="150" w:afterAutospacing="off"/>
      </w:pPr>
      <w:r w:rsidRPr="1EB51F1B" w:rsidR="6C51EF21">
        <w:rPr>
          <w:rFonts w:ascii="D-DINExp" w:hAnsi="D-DINExp" w:eastAsia="D-DINExp" w:cs="D-DINExp"/>
          <w:b w:val="0"/>
          <w:bCs w:val="0"/>
          <w:i w:val="0"/>
          <w:iCs w:val="0"/>
          <w:caps w:val="0"/>
          <w:smallCaps w:val="0"/>
          <w:noProof w:val="0"/>
          <w:sz w:val="21"/>
          <w:szCs w:val="21"/>
          <w:lang w:val="en-GB"/>
        </w:rPr>
        <w:t>Stakeholder engagement</w:t>
      </w:r>
      <w:r>
        <w:br/>
      </w:r>
      <w:r w:rsidRPr="1EB51F1B" w:rsidR="6C51EF21">
        <w:rPr>
          <w:rFonts w:ascii="D-DINExp" w:hAnsi="D-DINExp" w:eastAsia="D-DINExp" w:cs="D-DINExp"/>
          <w:b w:val="0"/>
          <w:bCs w:val="0"/>
          <w:i w:val="0"/>
          <w:iCs w:val="0"/>
          <w:caps w:val="0"/>
          <w:smallCaps w:val="0"/>
          <w:noProof w:val="0"/>
          <w:sz w:val="21"/>
          <w:szCs w:val="21"/>
          <w:lang w:val="en-GB"/>
        </w:rPr>
        <w:t>Open, transparent communication with Ofwat, customers, and employees is crucial for trust and buy-in for long-term capital programs and performance improvements.</w:t>
      </w:r>
    </w:p>
    <w:p w:rsidR="6C51EF21" w:rsidP="1EB51F1B" w:rsidRDefault="6C51EF21" w14:paraId="0E6F5D2E" w14:textId="50D9B7FD">
      <w:pPr>
        <w:shd w:val="clear" w:color="auto" w:fill="FFFFFF" w:themeFill="background1"/>
        <w:spacing w:before="0" w:beforeAutospacing="off" w:after="150" w:afterAutospacing="off"/>
      </w:pPr>
      <w:r w:rsidRPr="1EB51F1B" w:rsidR="6C51EF21">
        <w:rPr>
          <w:rFonts w:ascii="D-DINExp" w:hAnsi="D-DINExp" w:eastAsia="D-DINExp" w:cs="D-DINExp"/>
          <w:b w:val="0"/>
          <w:bCs w:val="0"/>
          <w:i w:val="0"/>
          <w:iCs w:val="0"/>
          <w:caps w:val="0"/>
          <w:smallCaps w:val="0"/>
          <w:noProof w:val="0"/>
          <w:sz w:val="21"/>
          <w:szCs w:val="21"/>
          <w:lang w:val="en-GB"/>
        </w:rPr>
        <w:t>Change readiness and capability</w:t>
      </w:r>
      <w:r>
        <w:br/>
      </w:r>
      <w:r w:rsidRPr="1EB51F1B" w:rsidR="6C51EF21">
        <w:rPr>
          <w:rFonts w:ascii="D-DINExp" w:hAnsi="D-DINExp" w:eastAsia="D-DINExp" w:cs="D-DINExp"/>
          <w:b w:val="0"/>
          <w:bCs w:val="0"/>
          <w:i w:val="0"/>
          <w:iCs w:val="0"/>
          <w:caps w:val="0"/>
          <w:smallCaps w:val="0"/>
          <w:noProof w:val="0"/>
          <w:sz w:val="21"/>
          <w:szCs w:val="21"/>
          <w:lang w:val="en-GB"/>
        </w:rPr>
        <w:t>Training, upskilling, and building change literacy across a dispersed workforce and contractor network are necessary to unlock the benefits of digitalization and process changes.</w:t>
      </w:r>
    </w:p>
    <w:p w:rsidR="6C51EF21" w:rsidP="1EB51F1B" w:rsidRDefault="6C51EF21" w14:paraId="2C3DF669" w14:textId="237B26F0">
      <w:pPr>
        <w:shd w:val="clear" w:color="auto" w:fill="FFFFFF" w:themeFill="background1"/>
        <w:spacing w:before="0" w:beforeAutospacing="off" w:after="150" w:afterAutospacing="off"/>
      </w:pPr>
      <w:r w:rsidRPr="1EB51F1B" w:rsidR="6C51EF21">
        <w:rPr>
          <w:rFonts w:ascii="D-DINExp" w:hAnsi="D-DINExp" w:eastAsia="D-DINExp" w:cs="D-DINExp"/>
          <w:b w:val="0"/>
          <w:bCs w:val="0"/>
          <w:i w:val="0"/>
          <w:iCs w:val="0"/>
          <w:caps w:val="0"/>
          <w:smallCaps w:val="0"/>
          <w:noProof w:val="0"/>
          <w:sz w:val="21"/>
          <w:szCs w:val="21"/>
          <w:lang w:val="en-GB"/>
        </w:rPr>
        <w:t>Measurement and learning</w:t>
      </w:r>
      <w:r>
        <w:br/>
      </w:r>
      <w:r w:rsidRPr="1EB51F1B" w:rsidR="6C51EF21">
        <w:rPr>
          <w:rFonts w:ascii="D-DINExp" w:hAnsi="D-DINExp" w:eastAsia="D-DINExp" w:cs="D-DINExp"/>
          <w:b w:val="0"/>
          <w:bCs w:val="0"/>
          <w:i w:val="0"/>
          <w:iCs w:val="0"/>
          <w:caps w:val="0"/>
          <w:smallCaps w:val="0"/>
          <w:noProof w:val="0"/>
          <w:sz w:val="21"/>
          <w:szCs w:val="21"/>
          <w:lang w:val="en-GB"/>
        </w:rPr>
        <w:t>Real-time metrics, feedback loops, and a willingness to adjust based on what the data says are vital to show early wins and sustain long-term gains.</w:t>
      </w:r>
    </w:p>
    <w:p w:rsidR="6C51EF21" w:rsidP="1EB51F1B" w:rsidRDefault="6C51EF21" w14:paraId="1FFBD07B" w14:textId="13C9B261">
      <w:pPr>
        <w:shd w:val="clear" w:color="auto" w:fill="FFFFFF" w:themeFill="background1"/>
        <w:spacing w:before="0" w:beforeAutospacing="off" w:after="150" w:afterAutospacing="off"/>
      </w:pPr>
      <w:r w:rsidRPr="1EB51F1B" w:rsidR="6C51EF21">
        <w:rPr>
          <w:rFonts w:ascii="D-DINExp" w:hAnsi="D-DINExp" w:eastAsia="D-DINExp" w:cs="D-DINExp"/>
          <w:b w:val="0"/>
          <w:bCs w:val="0"/>
          <w:i w:val="0"/>
          <w:iCs w:val="0"/>
          <w:caps w:val="0"/>
          <w:smallCaps w:val="0"/>
          <w:noProof w:val="0"/>
          <w:sz w:val="21"/>
          <w:szCs w:val="21"/>
          <w:lang w:val="en-GB"/>
        </w:rPr>
        <w:t>Thames Water’s strategic approach exemplifies a hybrid way of managing change—blending Lewin, Kotter, 7-S, and ADKAR with modern governance and digital transformation. The most effective programs balance strong leadership and a clear vision with broad-based engagement, solid governance, and ongoing capability-building. In a regulated, large-scale context, embedding a culture of continuous improvement—driven by data and solid risk management—remains the defining challenge and the true measure of success for Thames Water’s strategic journey.</w:t>
      </w:r>
    </w:p>
    <w:p w:rsidR="1EB51F1B" w:rsidP="1EB51F1B" w:rsidRDefault="1EB51F1B" w14:paraId="755E6AB4" w14:textId="504CC9EB">
      <w:pPr>
        <w:shd w:val="clear" w:color="auto" w:fill="FFFFFF" w:themeFill="background1"/>
        <w:spacing w:before="0" w:beforeAutospacing="off" w:after="150" w:afterAutospacing="off"/>
        <w:rPr>
          <w:rFonts w:ascii="Arial" w:hAnsi="Arial" w:eastAsia="Arial" w:cs="Arial"/>
          <w:b w:val="0"/>
          <w:bCs w:val="0"/>
          <w:i w:val="0"/>
          <w:iCs w:val="0"/>
          <w:caps w:val="0"/>
          <w:smallCaps w:val="0"/>
          <w:noProof w:val="0"/>
          <w:sz w:val="22"/>
          <w:szCs w:val="22"/>
          <w:lang w:val="en-GB"/>
        </w:rPr>
      </w:pPr>
    </w:p>
    <w:p w:rsidR="44A9D8F1" w:rsidP="1EB51F1B" w:rsidRDefault="44A9D8F1" w14:paraId="2B0DDE33" w14:textId="78D85676">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highlight w:val="yellow"/>
          <w:u w:val="single"/>
          <w:lang w:val="en-GB"/>
        </w:rPr>
      </w:pPr>
      <w:r w:rsidRPr="1EB51F1B" w:rsidR="44A9D8F1">
        <w:rPr>
          <w:rFonts w:ascii="Arial" w:hAnsi="Arial" w:eastAsia="Arial" w:cs="Arial"/>
          <w:b w:val="1"/>
          <w:bCs w:val="1"/>
          <w:noProof w:val="0"/>
          <w:sz w:val="22"/>
          <w:szCs w:val="22"/>
          <w:highlight w:val="yellow"/>
          <w:u w:val="single"/>
          <w:lang w:val="en-GB"/>
        </w:rPr>
        <w:t xml:space="preserve">Question </w:t>
      </w:r>
      <w:r w:rsidRPr="1EB51F1B" w:rsidR="4370878D">
        <w:rPr>
          <w:rFonts w:ascii="Arial" w:hAnsi="Arial" w:eastAsia="Arial" w:cs="Arial"/>
          <w:b w:val="1"/>
          <w:bCs w:val="1"/>
          <w:noProof w:val="0"/>
          <w:sz w:val="22"/>
          <w:szCs w:val="22"/>
          <w:highlight w:val="yellow"/>
          <w:u w:val="single"/>
          <w:lang w:val="en-GB"/>
        </w:rPr>
        <w:t>4</w:t>
      </w:r>
    </w:p>
    <w:p w:rsidR="538F25E8" w:rsidP="1EB51F1B" w:rsidRDefault="538F25E8" w14:paraId="5EF3A02B" w14:textId="3838F4DF">
      <w:pPr>
        <w:pStyle w:val="ListParagraph"/>
        <w:numPr>
          <w:ilvl w:val="1"/>
          <w:numId w:val="1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538F25E8">
        <w:rPr>
          <w:rFonts w:ascii="D-DINExp" w:hAnsi="D-DINExp" w:eastAsia="D-DINExp" w:cs="D-DINExp"/>
          <w:b w:val="0"/>
          <w:bCs w:val="0"/>
          <w:i w:val="0"/>
          <w:iCs w:val="0"/>
          <w:caps w:val="0"/>
          <w:smallCaps w:val="0"/>
          <w:noProof w:val="0"/>
          <w:sz w:val="21"/>
          <w:szCs w:val="21"/>
          <w:lang w:val="en-GB"/>
        </w:rPr>
        <w:t>Leadership approach: transformational leadership with elements of distributed leadership</w:t>
      </w:r>
    </w:p>
    <w:p w:rsidR="538F25E8" w:rsidP="1EB51F1B" w:rsidRDefault="538F25E8" w14:paraId="076B780D" w14:textId="46037D7A">
      <w:pPr>
        <w:pStyle w:val="ListParagraph"/>
        <w:numPr>
          <w:ilvl w:val="1"/>
          <w:numId w:val="18"/>
        </w:num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r w:rsidRPr="1EB51F1B" w:rsidR="538F25E8">
        <w:rPr>
          <w:rFonts w:ascii="D-DINExp" w:hAnsi="D-DINExp" w:eastAsia="D-DINExp" w:cs="D-DINExp"/>
          <w:b w:val="0"/>
          <w:bCs w:val="0"/>
          <w:i w:val="0"/>
          <w:iCs w:val="0"/>
          <w:caps w:val="0"/>
          <w:smallCaps w:val="0"/>
          <w:noProof w:val="0"/>
          <w:sz w:val="21"/>
          <w:szCs w:val="21"/>
          <w:lang w:val="en-GB"/>
        </w:rPr>
        <w:t>Rationale for the lens</w:t>
      </w:r>
      <w:r>
        <w:br/>
      </w:r>
      <w:r w:rsidRPr="1EB51F1B" w:rsidR="538F25E8">
        <w:rPr>
          <w:rFonts w:ascii="D-DINExp" w:hAnsi="D-DINExp" w:eastAsia="D-DINExp" w:cs="D-DINExp"/>
          <w:b w:val="0"/>
          <w:bCs w:val="0"/>
          <w:i w:val="0"/>
          <w:iCs w:val="0"/>
          <w:caps w:val="0"/>
          <w:smallCaps w:val="0"/>
          <w:noProof w:val="0"/>
          <w:sz w:val="21"/>
          <w:szCs w:val="21"/>
          <w:lang w:val="en-GB"/>
        </w:rPr>
        <w:t>Transformational leadership is about painting a clear, inspiring vision, sparking innovation, and shaping culture so that strategic aims feel like a shared, lived reality. In a large, regulated utility facing public scrutiny and complex stakeholders, leaders need to mobilize diverse teams, weave changes into daily routines, and sustain motivation over long horizons. That’s where transformational leadership helps—and combining it with distributed leadership keeps power and responsibility flowing through the organization rather than concentrated at the top (Bass &amp; Riggio, 2006).</w:t>
      </w:r>
    </w:p>
    <w:p w:rsidR="538F25E8" w:rsidP="1EB51F1B" w:rsidRDefault="538F25E8" w14:paraId="6A7349CE" w14:textId="39D8916E">
      <w:pPr>
        <w:pStyle w:val="ListParagraph"/>
        <w:numPr>
          <w:ilvl w:val="1"/>
          <w:numId w:val="18"/>
        </w:num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r w:rsidRPr="1EB51F1B" w:rsidR="538F25E8">
        <w:rPr>
          <w:rFonts w:ascii="D-DINExp" w:hAnsi="D-DINExp" w:eastAsia="D-DINExp" w:cs="D-DINExp"/>
          <w:b w:val="0"/>
          <w:bCs w:val="0"/>
          <w:i w:val="0"/>
          <w:iCs w:val="0"/>
          <w:caps w:val="0"/>
          <w:smallCaps w:val="0"/>
          <w:noProof w:val="0"/>
          <w:sz w:val="21"/>
          <w:szCs w:val="21"/>
          <w:lang w:val="en-GB"/>
        </w:rPr>
        <w:t>Application to Thames Water</w:t>
      </w:r>
      <w:r>
        <w:br/>
      </w:r>
      <w:r w:rsidRPr="1EB51F1B" w:rsidR="538F25E8">
        <w:rPr>
          <w:rFonts w:ascii="D-DINExp" w:hAnsi="D-DINExp" w:eastAsia="D-DINExp" w:cs="D-DINExp"/>
          <w:b w:val="0"/>
          <w:bCs w:val="0"/>
          <w:i w:val="0"/>
          <w:iCs w:val="0"/>
          <w:caps w:val="0"/>
          <w:smallCaps w:val="0"/>
          <w:noProof w:val="0"/>
          <w:sz w:val="21"/>
          <w:szCs w:val="21"/>
          <w:lang w:val="en-GB"/>
        </w:rPr>
        <w:t>Thames Water has framed its work around resilience, better customer service, and governance integrity. You can see leadership signaling a renewed mission—reliability, leakage reduction, and affordability—while championing asset-management digitalization and stronger risk controls. Public statements, governance announcements, and regulator-facing communications all reflect a commitment to credibility, accountability, and long-term value creation (Ofwat regulatory documentation; Thames Water annual reports; governance disclosures).</w:t>
      </w:r>
    </w:p>
    <w:p w:rsidR="538F25E8" w:rsidP="1EB51F1B" w:rsidRDefault="538F25E8" w14:paraId="6F39C681" w14:textId="2FF516A7">
      <w:pPr>
        <w:pStyle w:val="ListParagraph"/>
        <w:numPr>
          <w:ilvl w:val="1"/>
          <w:numId w:val="18"/>
        </w:num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r w:rsidRPr="1EB51F1B" w:rsidR="538F25E8">
        <w:rPr>
          <w:rFonts w:ascii="D-DINExp" w:hAnsi="D-DINExp" w:eastAsia="D-DINExp" w:cs="D-DINExp"/>
          <w:b w:val="0"/>
          <w:bCs w:val="0"/>
          <w:i w:val="0"/>
          <w:iCs w:val="0"/>
          <w:caps w:val="0"/>
          <w:smallCaps w:val="0"/>
          <w:noProof w:val="0"/>
          <w:sz w:val="21"/>
          <w:szCs w:val="21"/>
          <w:lang w:val="en-GB"/>
        </w:rPr>
        <w:t>Distinctive leadership actions</w:t>
      </w:r>
    </w:p>
    <w:p w:rsidR="538F25E8" w:rsidP="1EB51F1B" w:rsidRDefault="538F25E8" w14:paraId="1E584450" w14:textId="6E7C6D84">
      <w:pPr>
        <w:pStyle w:val="ListParagraph"/>
        <w:numPr>
          <w:ilvl w:val="1"/>
          <w:numId w:val="18"/>
        </w:num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r w:rsidRPr="1EB51F1B" w:rsidR="538F25E8">
        <w:rPr>
          <w:rFonts w:ascii="D-DINExp" w:hAnsi="D-DINExp" w:eastAsia="D-DINExp" w:cs="D-DINExp"/>
          <w:b w:val="0"/>
          <w:bCs w:val="0"/>
          <w:i w:val="0"/>
          <w:iCs w:val="0"/>
          <w:caps w:val="0"/>
          <w:smallCaps w:val="0"/>
          <w:noProof w:val="0"/>
          <w:sz w:val="21"/>
          <w:szCs w:val="21"/>
          <w:lang w:val="en-GB"/>
        </w:rPr>
        <w:t>Vision articulation and stakeholder buy-in</w:t>
      </w:r>
      <w:r>
        <w:br/>
      </w:r>
      <w:r w:rsidRPr="1EB51F1B" w:rsidR="538F25E8">
        <w:rPr>
          <w:rFonts w:ascii="D-DINExp" w:hAnsi="D-DINExp" w:eastAsia="D-DINExp" w:cs="D-DINExp"/>
          <w:b w:val="0"/>
          <w:bCs w:val="0"/>
          <w:i w:val="0"/>
          <w:iCs w:val="0"/>
          <w:caps w:val="0"/>
          <w:smallCaps w:val="0"/>
          <w:noProof w:val="0"/>
          <w:sz w:val="21"/>
          <w:szCs w:val="21"/>
          <w:lang w:val="en-GB"/>
        </w:rPr>
        <w:t>Senior leaders, non-executive directors, and regulator liaison teams worked to tell a coherent change story. The aim was to align corporate strategy with Ofwat’s expectations and with what customers care about. This mirrors transformational leadership’s emphasis on a compelling vision and rallying diverse stakeholders (Kotter, 1995; Bass &amp; Riggio, 2006).</w:t>
      </w:r>
    </w:p>
    <w:p w:rsidR="538F25E8" w:rsidP="1EB51F1B" w:rsidRDefault="538F25E8" w14:paraId="6F80647A" w14:textId="369BD08C">
      <w:pPr>
        <w:pStyle w:val="ListParagraph"/>
        <w:numPr>
          <w:ilvl w:val="1"/>
          <w:numId w:val="18"/>
        </w:num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r w:rsidRPr="1EB51F1B" w:rsidR="538F25E8">
        <w:rPr>
          <w:rFonts w:ascii="D-DINExp" w:hAnsi="D-DINExp" w:eastAsia="D-DINExp" w:cs="D-DINExp"/>
          <w:b w:val="0"/>
          <w:bCs w:val="0"/>
          <w:i w:val="0"/>
          <w:iCs w:val="0"/>
          <w:caps w:val="0"/>
          <w:smallCaps w:val="0"/>
          <w:noProof w:val="0"/>
          <w:sz w:val="21"/>
          <w:szCs w:val="21"/>
          <w:lang w:val="en-GB"/>
        </w:rPr>
        <w:t>Empowerment and capability development</w:t>
      </w:r>
      <w:r>
        <w:br/>
      </w:r>
      <w:r w:rsidRPr="1EB51F1B" w:rsidR="538F25E8">
        <w:rPr>
          <w:rFonts w:ascii="D-DINExp" w:hAnsi="D-DINExp" w:eastAsia="D-DINExp" w:cs="D-DINExp"/>
          <w:b w:val="0"/>
          <w:bCs w:val="0"/>
          <w:i w:val="0"/>
          <w:iCs w:val="0"/>
          <w:caps w:val="0"/>
          <w:smallCaps w:val="0"/>
          <w:noProof w:val="0"/>
          <w:sz w:val="21"/>
          <w:szCs w:val="21"/>
          <w:lang w:val="en-GB"/>
        </w:rPr>
        <w:t>Decentralizing decision-making through project management offices, cross-functional governance structures, and digital transformation teams reflects distributed leadership in action. Responsibility is spread across engineering, IT, finance, and customer service, enabling faster adaptation while building accountability at multiple levels (Gibson et al., 2012).</w:t>
      </w:r>
    </w:p>
    <w:p w:rsidR="538F25E8" w:rsidP="1EB51F1B" w:rsidRDefault="538F25E8" w14:paraId="7C43FB99" w14:textId="0614A6C2">
      <w:pPr>
        <w:pStyle w:val="ListParagraph"/>
        <w:numPr>
          <w:ilvl w:val="1"/>
          <w:numId w:val="18"/>
        </w:num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r w:rsidRPr="1EB51F1B" w:rsidR="538F25E8">
        <w:rPr>
          <w:rFonts w:ascii="D-DINExp" w:hAnsi="D-DINExp" w:eastAsia="D-DINExp" w:cs="D-DINExp"/>
          <w:b w:val="0"/>
          <w:bCs w:val="0"/>
          <w:i w:val="0"/>
          <w:iCs w:val="0"/>
          <w:caps w:val="0"/>
          <w:smallCaps w:val="0"/>
          <w:noProof w:val="0"/>
          <w:sz w:val="21"/>
          <w:szCs w:val="21"/>
          <w:lang w:val="en-GB"/>
        </w:rPr>
        <w:t>Incentives and reinforcement</w:t>
      </w:r>
      <w:r>
        <w:br/>
      </w:r>
      <w:r w:rsidRPr="1EB51F1B" w:rsidR="538F25E8">
        <w:rPr>
          <w:rFonts w:ascii="D-DINExp" w:hAnsi="D-DINExp" w:eastAsia="D-DINExp" w:cs="D-DINExp"/>
          <w:b w:val="0"/>
          <w:bCs w:val="0"/>
          <w:i w:val="0"/>
          <w:iCs w:val="0"/>
          <w:caps w:val="0"/>
          <w:smallCaps w:val="0"/>
          <w:noProof w:val="0"/>
          <w:sz w:val="21"/>
          <w:szCs w:val="21"/>
          <w:lang w:val="en-GB"/>
        </w:rPr>
        <w:t>New metrics, reporting protocols, and governance checks provide ongoing reinforcement of the desired changes. This aligns with transformational leadership’s focus on performance management and the symbolic actions that reinforce culture (Bass, 1998).</w:t>
      </w:r>
    </w:p>
    <w:p w:rsidR="15510583" w:rsidP="1EB51F1B" w:rsidRDefault="15510583" w14:paraId="0FF96E49" w14:textId="357386A9">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lang w:val="en-GB"/>
        </w:rPr>
      </w:pPr>
      <w:r w:rsidRPr="1EB51F1B" w:rsidR="0B49EF95">
        <w:rPr>
          <w:rFonts w:ascii="Arial" w:hAnsi="Arial" w:eastAsia="Arial" w:cs="Arial"/>
          <w:b w:val="1"/>
          <w:bCs w:val="1"/>
          <w:i w:val="0"/>
          <w:iCs w:val="0"/>
          <w:caps w:val="0"/>
          <w:smallCaps w:val="0"/>
          <w:noProof w:val="0"/>
          <w:sz w:val="22"/>
          <w:szCs w:val="22"/>
          <w:lang w:val="en-GB"/>
        </w:rPr>
        <w:t>Impact of leadership style on change outcomes</w:t>
      </w:r>
    </w:p>
    <w:p w:rsidR="65BD1ED9" w:rsidP="1EB51F1B" w:rsidRDefault="65BD1ED9" w14:paraId="66E1F544" w14:textId="23358E05">
      <w:pPr>
        <w:pStyle w:val="ListParagraph"/>
        <w:numPr>
          <w:ilvl w:val="0"/>
          <w:numId w:val="19"/>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65BD1ED9">
        <w:rPr>
          <w:rFonts w:ascii="D-DINExp" w:hAnsi="D-DINExp" w:eastAsia="D-DINExp" w:cs="D-DINExp"/>
          <w:b w:val="0"/>
          <w:bCs w:val="0"/>
          <w:i w:val="0"/>
          <w:iCs w:val="0"/>
          <w:caps w:val="0"/>
          <w:smallCaps w:val="0"/>
          <w:noProof w:val="0"/>
          <w:sz w:val="21"/>
          <w:szCs w:val="21"/>
          <w:lang w:val="en-GB"/>
        </w:rPr>
        <w:t>Positive contributions</w:t>
      </w:r>
      <w:r>
        <w:br/>
      </w:r>
      <w:r w:rsidRPr="1EB51F1B" w:rsidR="65BD1ED9">
        <w:rPr>
          <w:rFonts w:ascii="D-DINExp" w:hAnsi="D-DINExp" w:eastAsia="D-DINExp" w:cs="D-DINExp"/>
          <w:b w:val="0"/>
          <w:bCs w:val="0"/>
          <w:i w:val="0"/>
          <w:iCs w:val="0"/>
          <w:caps w:val="0"/>
          <w:smallCaps w:val="0"/>
          <w:noProof w:val="0"/>
          <w:sz w:val="21"/>
          <w:szCs w:val="21"/>
          <w:lang w:val="en-GB"/>
        </w:rPr>
        <w:t>Transformational leadership helped people make sense of the long-term goals and sparked real cross-functional collaboration. It also supported the rollout of digital tools like predictive analytics and asset-management systems. Those early wins—clearer reporting, better governance, and more transparent practices—built legitimacy and trust with stakeholders. You can see them as the “short-term wins” in Kotter’s framework, but they’re woven into a larger, transformational journey rather than a quick sprint.</w:t>
      </w:r>
    </w:p>
    <w:p w:rsidR="65BD1ED9" w:rsidP="1EB51F1B" w:rsidRDefault="65BD1ED9" w14:paraId="120516D8" w14:textId="4605C5F4">
      <w:pPr>
        <w:pStyle w:val="ListParagraph"/>
        <w:numPr>
          <w:ilvl w:val="0"/>
          <w:numId w:val="19"/>
        </w:numPr>
        <w:shd w:val="clear" w:color="auto" w:fill="FFFFFF" w:themeFill="background1"/>
        <w:spacing w:before="0" w:beforeAutospacing="off" w:after="150" w:afterAutospacing="off"/>
        <w:rPr>
          <w:rFonts w:ascii="D-DINExp" w:hAnsi="D-DINExp" w:eastAsia="D-DINExp" w:cs="D-DINExp"/>
          <w:b w:val="0"/>
          <w:bCs w:val="0"/>
          <w:i w:val="0"/>
          <w:iCs w:val="0"/>
          <w:caps w:val="0"/>
          <w:smallCaps w:val="0"/>
          <w:noProof w:val="0"/>
          <w:sz w:val="21"/>
          <w:szCs w:val="21"/>
          <w:lang w:val="en-GB"/>
        </w:rPr>
      </w:pPr>
      <w:r w:rsidRPr="1EB51F1B" w:rsidR="65BD1ED9">
        <w:rPr>
          <w:rFonts w:ascii="D-DINExp" w:hAnsi="D-DINExp" w:eastAsia="D-DINExp" w:cs="D-DINExp"/>
          <w:b w:val="0"/>
          <w:bCs w:val="0"/>
          <w:i w:val="0"/>
          <w:iCs w:val="0"/>
          <w:caps w:val="0"/>
          <w:smallCaps w:val="0"/>
          <w:noProof w:val="0"/>
          <w:sz w:val="21"/>
          <w:szCs w:val="21"/>
          <w:lang w:val="en-GB"/>
        </w:rPr>
        <w:t>Risks and tensions</w:t>
      </w:r>
      <w:r>
        <w:br/>
      </w:r>
      <w:r w:rsidRPr="1EB51F1B" w:rsidR="65BD1ED9">
        <w:rPr>
          <w:rFonts w:ascii="D-DINExp" w:hAnsi="D-DINExp" w:eastAsia="D-DINExp" w:cs="D-DINExp"/>
          <w:b w:val="0"/>
          <w:bCs w:val="0"/>
          <w:i w:val="0"/>
          <w:iCs w:val="0"/>
          <w:caps w:val="0"/>
          <w:smallCaps w:val="0"/>
          <w:noProof w:val="0"/>
          <w:sz w:val="21"/>
          <w:szCs w:val="21"/>
          <w:lang w:val="en-GB"/>
        </w:rPr>
        <w:t>In a big utility with aging processes and a broad contractor network, simply empowering people without building capability can lead to uneven adoption. If frontline teams hear lofty messaging but don’t see practical support on the ground, change fatigue can set in. Moving the culture toward data-driven decision-making and a safety-first mindset requires ongoing coaching, reinforcement, and habitat-building—the everyday stuff that turns intention into reliable practice (Burnes, 2017).</w:t>
      </w:r>
    </w:p>
    <w:p w:rsidR="1EB51F1B" w:rsidP="1EB51F1B" w:rsidRDefault="1EB51F1B" w14:paraId="21264748" w14:textId="1343EC3E">
      <w:pPr>
        <w:pStyle w:val="ListParagraph"/>
        <w:shd w:val="clear" w:color="auto" w:fill="FFFFFF" w:themeFill="background1"/>
        <w:spacing w:before="0" w:beforeAutospacing="off" w:after="0" w:afterAutospacing="off"/>
        <w:ind w:left="360"/>
        <w:rPr>
          <w:rFonts w:ascii="Arial" w:hAnsi="Arial" w:eastAsia="Arial" w:cs="Arial"/>
          <w:b w:val="0"/>
          <w:bCs w:val="0"/>
          <w:i w:val="0"/>
          <w:iCs w:val="0"/>
          <w:caps w:val="0"/>
          <w:smallCaps w:val="0"/>
          <w:noProof w:val="0"/>
          <w:sz w:val="22"/>
          <w:szCs w:val="22"/>
          <w:lang w:val="en-GB"/>
        </w:rPr>
      </w:pPr>
    </w:p>
    <w:p w:rsidR="15510583" w:rsidP="1EB51F1B" w:rsidRDefault="15510583" w14:paraId="1C5746CA" w14:textId="7B6AAA8B">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lang w:val="en-GB"/>
        </w:rPr>
      </w:pPr>
      <w:r w:rsidRPr="1EB51F1B" w:rsidR="0B49EF95">
        <w:rPr>
          <w:rFonts w:ascii="Arial" w:hAnsi="Arial" w:eastAsia="Arial" w:cs="Arial"/>
          <w:b w:val="1"/>
          <w:bCs w:val="1"/>
          <w:i w:val="0"/>
          <w:iCs w:val="0"/>
          <w:caps w:val="0"/>
          <w:smallCaps w:val="0"/>
          <w:noProof w:val="0"/>
          <w:sz w:val="22"/>
          <w:szCs w:val="22"/>
          <w:lang w:val="en-GB"/>
        </w:rPr>
        <w:t>Organisational culture: enabling or hindering change management</w:t>
      </w:r>
    </w:p>
    <w:p w:rsidR="15510583" w:rsidP="1EB51F1B" w:rsidRDefault="15510583" w14:paraId="63E72E9B" w14:textId="4EB02B4B">
      <w:pPr>
        <w:pStyle w:val="ListParagraph"/>
        <w:numPr>
          <w:ilvl w:val="0"/>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Cultural characteristics at Thames Water: Historically, utilities culture balances safety, risk management, and regulatory compliance with efficiency pressures. A culture oriented toward process discipline, structured governance, and risk aversion can both support reliable execution and hinder rapid change adoption if it suppresses experimentation or delays decision-making (Schein, 2010).</w:t>
      </w:r>
    </w:p>
    <w:p w:rsidR="1EB51F1B" w:rsidP="1EB51F1B" w:rsidRDefault="1EB51F1B" w14:paraId="7F7F960D" w14:textId="6CD4730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5510583" w:rsidP="1EB51F1B" w:rsidRDefault="15510583" w14:paraId="35AB98F3" w14:textId="200A6065">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2"/>
          <w:szCs w:val="22"/>
          <w:lang w:val="en-GB"/>
        </w:rPr>
      </w:pPr>
      <w:r w:rsidRPr="1EB51F1B" w:rsidR="0B49EF95">
        <w:rPr>
          <w:rFonts w:ascii="Arial" w:hAnsi="Arial" w:eastAsia="Arial" w:cs="Arial"/>
          <w:b w:val="1"/>
          <w:bCs w:val="1"/>
          <w:i w:val="0"/>
          <w:iCs w:val="0"/>
          <w:caps w:val="0"/>
          <w:smallCaps w:val="0"/>
          <w:noProof w:val="0"/>
          <w:sz w:val="22"/>
          <w:szCs w:val="22"/>
          <w:lang w:val="en-GB"/>
        </w:rPr>
        <w:t>Culture’s enabling aspects:</w:t>
      </w:r>
    </w:p>
    <w:p w:rsidR="1EB51F1B" w:rsidP="1EB51F1B" w:rsidRDefault="1EB51F1B" w14:paraId="488D079E" w14:textId="3D955CD5">
      <w:pPr>
        <w:pStyle w:val="ListParagraph"/>
        <w:shd w:val="clear" w:color="auto" w:fill="FFFFFF" w:themeFill="background1"/>
        <w:spacing w:before="0" w:beforeAutospacing="off" w:after="0" w:afterAutospacing="off"/>
        <w:ind w:left="360"/>
        <w:rPr>
          <w:rFonts w:ascii="Arial" w:hAnsi="Arial" w:eastAsia="Arial" w:cs="Arial"/>
          <w:b w:val="0"/>
          <w:bCs w:val="0"/>
          <w:i w:val="0"/>
          <w:iCs w:val="0"/>
          <w:caps w:val="0"/>
          <w:smallCaps w:val="0"/>
          <w:noProof w:val="0"/>
          <w:sz w:val="22"/>
          <w:szCs w:val="22"/>
          <w:lang w:val="en-GB"/>
        </w:rPr>
      </w:pPr>
    </w:p>
    <w:p w:rsidR="15510583" w:rsidP="1EB51F1B" w:rsidRDefault="15510583" w14:paraId="68594456" w14:textId="15450B1D">
      <w:pPr>
        <w:pStyle w:val="ListParagraph"/>
        <w:numPr>
          <w:ilvl w:val="1"/>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Governance-focused culture: A culture that values compliance, auditability, and regulator-facing transparency supports rigorous change control, stage-gate governance, and credible reporting. This alignment helps reduce resistance from external stakeholders and promotes disciplined deployment of capital-intensive programs (Ofwat filings; TW governance disclosures).</w:t>
      </w:r>
    </w:p>
    <w:p w:rsidR="15510583" w:rsidP="1EB51F1B" w:rsidRDefault="15510583" w14:paraId="6935E14B" w14:textId="22B8B190">
      <w:pPr>
        <w:pStyle w:val="ListParagraph"/>
        <w:numPr>
          <w:ilvl w:val="1"/>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Collaboration and cross-functional work: The shift toward digital platforms and data governance requires collaboration across IT, operations, and asset management. A culture that values cross-functional teamwork and shared accountability can accelerate digitalization, improve data quality, and enhance incident response (McKinsey digital transformation insights; Schein, 2010).</w:t>
      </w:r>
    </w:p>
    <w:p w:rsidR="1EB51F1B" w:rsidP="1EB51F1B" w:rsidRDefault="1EB51F1B" w14:paraId="15E1CFD1" w14:textId="7FB8FCB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5510583" w:rsidP="1EB51F1B" w:rsidRDefault="15510583" w14:paraId="08C030C7" w14:textId="0E60E69E">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2"/>
          <w:szCs w:val="22"/>
          <w:lang w:val="en-GB"/>
        </w:rPr>
      </w:pPr>
      <w:r w:rsidRPr="1EB51F1B" w:rsidR="0B49EF95">
        <w:rPr>
          <w:rFonts w:ascii="Arial" w:hAnsi="Arial" w:eastAsia="Arial" w:cs="Arial"/>
          <w:b w:val="1"/>
          <w:bCs w:val="1"/>
          <w:i w:val="0"/>
          <w:iCs w:val="0"/>
          <w:caps w:val="0"/>
          <w:smallCaps w:val="0"/>
          <w:noProof w:val="0"/>
          <w:sz w:val="22"/>
          <w:szCs w:val="22"/>
          <w:lang w:val="en-GB"/>
        </w:rPr>
        <w:t>Cultural barriers and challenges:</w:t>
      </w:r>
    </w:p>
    <w:p w:rsidR="1EB51F1B" w:rsidP="1EB51F1B" w:rsidRDefault="1EB51F1B" w14:paraId="6D3CCCB7" w14:textId="3C95963F">
      <w:pPr>
        <w:pStyle w:val="ListParagraph"/>
        <w:shd w:val="clear" w:color="auto" w:fill="FFFFFF" w:themeFill="background1"/>
        <w:spacing w:before="0" w:beforeAutospacing="off" w:after="0" w:afterAutospacing="off"/>
        <w:ind w:left="360"/>
        <w:rPr>
          <w:rFonts w:ascii="Arial" w:hAnsi="Arial" w:eastAsia="Arial" w:cs="Arial"/>
          <w:b w:val="1"/>
          <w:bCs w:val="1"/>
          <w:i w:val="0"/>
          <w:iCs w:val="0"/>
          <w:caps w:val="0"/>
          <w:smallCaps w:val="0"/>
          <w:noProof w:val="0"/>
          <w:sz w:val="22"/>
          <w:szCs w:val="22"/>
          <w:lang w:val="en-GB"/>
        </w:rPr>
      </w:pPr>
    </w:p>
    <w:p w:rsidR="15510583" w:rsidP="1EB51F1B" w:rsidRDefault="15510583" w14:paraId="0B9BAC6F" w14:textId="197ECFD2">
      <w:pPr>
        <w:pStyle w:val="ListParagraph"/>
        <w:numPr>
          <w:ilvl w:val="1"/>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Change-fatigue and status quo bias: A long horizon program with complex governance risks fatigue among staff and contractors, undermining engagement. If middle managers feel overloaded or insufficiently empowered, adoption of new processes may stall, reducing the intended benefits of modernization (Burnes, 2017).</w:t>
      </w:r>
    </w:p>
    <w:p w:rsidR="15510583" w:rsidP="1EB51F1B" w:rsidRDefault="15510583" w14:paraId="0356B0A1" w14:textId="4C99B8B8">
      <w:pPr>
        <w:pStyle w:val="ListParagraph"/>
        <w:numPr>
          <w:ilvl w:val="1"/>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Data-centric culture maturity: Moving to data-driven decision-making hinges on trust in data quality and analytics. If data governance is underdeveloped or if data literacy is uneven, frontline teams may resist relying on analytics for operational decisions (Davenport &amp; Harris, 2007).</w:t>
      </w:r>
    </w:p>
    <w:p w:rsidR="1EB51F1B" w:rsidP="1EB51F1B" w:rsidRDefault="1EB51F1B" w14:paraId="101DDEBC" w14:textId="03562635">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5510583" w:rsidP="1EB51F1B" w:rsidRDefault="15510583" w14:paraId="755B9DFF" w14:textId="28C202FA">
      <w:pPr>
        <w:pStyle w:val="Normal"/>
        <w:shd w:val="clear" w:color="auto" w:fill="FFFFFF" w:themeFill="background1"/>
        <w:spacing w:before="0" w:beforeAutospacing="off" w:after="0" w:afterAutospacing="off"/>
        <w:ind w:left="0"/>
        <w:rPr>
          <w:rFonts w:ascii="Arial" w:hAnsi="Arial" w:eastAsia="Arial" w:cs="Arial"/>
          <w:b w:val="1"/>
          <w:bCs w:val="1"/>
          <w:i w:val="0"/>
          <w:iCs w:val="0"/>
          <w:caps w:val="0"/>
          <w:smallCaps w:val="0"/>
          <w:noProof w:val="0"/>
          <w:sz w:val="22"/>
          <w:szCs w:val="22"/>
          <w:lang w:val="en-GB"/>
        </w:rPr>
      </w:pPr>
      <w:r w:rsidRPr="1EB51F1B" w:rsidR="0B49EF95">
        <w:rPr>
          <w:rFonts w:ascii="Arial" w:hAnsi="Arial" w:eastAsia="Arial" w:cs="Arial"/>
          <w:b w:val="1"/>
          <w:bCs w:val="1"/>
          <w:i w:val="0"/>
          <w:iCs w:val="0"/>
          <w:caps w:val="0"/>
          <w:smallCaps w:val="0"/>
          <w:noProof w:val="0"/>
          <w:sz w:val="22"/>
          <w:szCs w:val="22"/>
          <w:lang w:val="en-GB"/>
        </w:rPr>
        <w:t>Cultural development implications:</w:t>
      </w:r>
    </w:p>
    <w:p w:rsidR="1EB51F1B" w:rsidP="1EB51F1B" w:rsidRDefault="1EB51F1B" w14:paraId="3FC6FA00" w14:textId="3AAF6182">
      <w:pPr>
        <w:pStyle w:val="ListParagraph"/>
        <w:shd w:val="clear" w:color="auto" w:fill="FFFFFF" w:themeFill="background1"/>
        <w:spacing w:before="0" w:beforeAutospacing="off" w:after="0" w:afterAutospacing="off"/>
        <w:ind w:left="360"/>
        <w:rPr>
          <w:rFonts w:ascii="Arial" w:hAnsi="Arial" w:eastAsia="Arial" w:cs="Arial"/>
          <w:b w:val="1"/>
          <w:bCs w:val="1"/>
          <w:i w:val="0"/>
          <w:iCs w:val="0"/>
          <w:caps w:val="0"/>
          <w:smallCaps w:val="0"/>
          <w:noProof w:val="0"/>
          <w:sz w:val="22"/>
          <w:szCs w:val="22"/>
          <w:lang w:val="en-GB"/>
        </w:rPr>
      </w:pPr>
    </w:p>
    <w:p w:rsidR="15510583" w:rsidP="1EB51F1B" w:rsidRDefault="15510583" w14:paraId="45DA0092" w14:textId="13454650">
      <w:pPr>
        <w:pStyle w:val="ListParagraph"/>
        <w:numPr>
          <w:ilvl w:val="1"/>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 xml:space="preserve">Leadership-driven storytelling coupled with visible, regular coaching helps translate strategic intent into daily practice. Embedding values such as customer obsession, accountability, and safety can anchor the change program in routine </w:t>
      </w:r>
      <w:r w:rsidRPr="1EB51F1B" w:rsidR="4B2F069F">
        <w:rPr>
          <w:rFonts w:ascii="Arial" w:hAnsi="Arial" w:eastAsia="Arial" w:cs="Arial"/>
          <w:b w:val="0"/>
          <w:bCs w:val="0"/>
          <w:i w:val="0"/>
          <w:iCs w:val="0"/>
          <w:caps w:val="0"/>
          <w:smallCaps w:val="0"/>
          <w:noProof w:val="0"/>
          <w:sz w:val="22"/>
          <w:szCs w:val="22"/>
          <w:lang w:val="en-GB"/>
        </w:rPr>
        <w:t>behaviours</w:t>
      </w:r>
      <w:r w:rsidRPr="1EB51F1B" w:rsidR="0B49EF95">
        <w:rPr>
          <w:rFonts w:ascii="Arial" w:hAnsi="Arial" w:eastAsia="Arial" w:cs="Arial"/>
          <w:b w:val="0"/>
          <w:bCs w:val="0"/>
          <w:i w:val="0"/>
          <w:iCs w:val="0"/>
          <w:caps w:val="0"/>
          <w:smallCaps w:val="0"/>
          <w:noProof w:val="0"/>
          <w:sz w:val="22"/>
          <w:szCs w:val="22"/>
          <w:lang w:val="en-GB"/>
        </w:rPr>
        <w:t xml:space="preserve"> (Kotter, 1995).</w:t>
      </w:r>
    </w:p>
    <w:p w:rsidR="15510583" w:rsidP="1EB51F1B" w:rsidRDefault="15510583" w14:paraId="799EE447" w14:textId="2DE60DEB">
      <w:pPr>
        <w:pStyle w:val="ListParagraph"/>
        <w:numPr>
          <w:ilvl w:val="1"/>
          <w:numId w:val="2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 xml:space="preserve">Training and development: Targeted capability-building in data analytics, digital tools, and process improvement is essential to harmonize the hard and soft elements of the culture, ensuring sustained change beyond </w:t>
      </w:r>
      <w:r w:rsidRPr="1EB51F1B" w:rsidR="0B49EF95">
        <w:rPr>
          <w:rFonts w:ascii="Arial" w:hAnsi="Arial" w:eastAsia="Arial" w:cs="Arial"/>
          <w:b w:val="0"/>
          <w:bCs w:val="0"/>
          <w:i w:val="0"/>
          <w:iCs w:val="0"/>
          <w:caps w:val="0"/>
          <w:smallCaps w:val="0"/>
          <w:noProof w:val="0"/>
          <w:sz w:val="22"/>
          <w:szCs w:val="22"/>
          <w:lang w:val="en-GB"/>
        </w:rPr>
        <w:t>initial</w:t>
      </w:r>
      <w:r w:rsidRPr="1EB51F1B" w:rsidR="0B49EF95">
        <w:rPr>
          <w:rFonts w:ascii="Arial" w:hAnsi="Arial" w:eastAsia="Arial" w:cs="Arial"/>
          <w:b w:val="0"/>
          <w:bCs w:val="0"/>
          <w:i w:val="0"/>
          <w:iCs w:val="0"/>
          <w:caps w:val="0"/>
          <w:smallCaps w:val="0"/>
          <w:noProof w:val="0"/>
          <w:sz w:val="22"/>
          <w:szCs w:val="22"/>
          <w:lang w:val="en-GB"/>
        </w:rPr>
        <w:t xml:space="preserve"> implementation (ADKAR principles; Hiatt, 2006).</w:t>
      </w:r>
    </w:p>
    <w:p w:rsidR="15510583" w:rsidP="1EB51F1B" w:rsidRDefault="15510583" w14:paraId="708FEC90" w14:textId="0B16D15D">
      <w:pPr>
        <w:pStyle w:val="ListParagraph"/>
        <w:shd w:val="clear" w:color="auto" w:fill="FFFFFF" w:themeFill="background1"/>
        <w:spacing w:before="0" w:beforeAutospacing="off" w:after="0" w:afterAutospacing="off"/>
        <w:ind w:left="360"/>
        <w:rPr>
          <w:rFonts w:ascii="Arial" w:hAnsi="Arial" w:eastAsia="Arial" w:cs="Arial"/>
          <w:sz w:val="22"/>
          <w:szCs w:val="22"/>
        </w:rPr>
      </w:pPr>
    </w:p>
    <w:p w:rsidR="15510583" w:rsidP="1EB51F1B" w:rsidRDefault="15510583" w14:paraId="3B24B20D" w14:textId="3F70DF5C">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2"/>
          <w:szCs w:val="22"/>
          <w:lang w:val="en-GB"/>
        </w:rPr>
      </w:pPr>
      <w:r w:rsidRPr="1EB51F1B" w:rsidR="0B49EF95">
        <w:rPr>
          <w:rFonts w:ascii="Arial" w:hAnsi="Arial" w:eastAsia="Arial" w:cs="Arial"/>
          <w:b w:val="0"/>
          <w:bCs w:val="0"/>
          <w:i w:val="0"/>
          <w:iCs w:val="0"/>
          <w:caps w:val="0"/>
          <w:smallCaps w:val="0"/>
          <w:noProof w:val="0"/>
          <w:sz w:val="22"/>
          <w:szCs w:val="22"/>
          <w:lang w:val="en-GB"/>
        </w:rPr>
        <w:t>Evaluating Thames Water’s change management through a transformational leadership lens reveals that visionary leadership, coupled with distributed accountability and reinforced by governance-centric culture, has supported substantial strategic change. The leadership style contributed to legitimacy, cross-functional alignment, and sustained investment in digital and governance reforms. However, the success of the programme hinges on cultural evolution toward higher data maturity, continuous learning, and frontline empowerment. If these cultural shifts are not reinforced with targeted development, incentives, and consistent coaching, the change initiative risks erosion of gains as programs scale and regulatory scrutiny persists.</w:t>
      </w:r>
    </w:p>
    <w:p w:rsidR="1EB51F1B" w:rsidP="1EB51F1B" w:rsidRDefault="1EB51F1B" w14:paraId="611FA4AA" w14:textId="264E5160">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2"/>
          <w:szCs w:val="22"/>
          <w:lang w:val="en-GB"/>
        </w:rPr>
      </w:pPr>
    </w:p>
    <w:p w:rsidR="1F03BC4C" w:rsidP="1EB51F1B" w:rsidRDefault="1F03BC4C" w14:paraId="497C3F6A" w14:textId="371FBE02">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sz w:val="22"/>
          <w:szCs w:val="22"/>
          <w:highlight w:val="yellow"/>
          <w:u w:val="single"/>
          <w:lang w:val="en-GB"/>
        </w:rPr>
      </w:pPr>
      <w:r w:rsidRPr="1EB51F1B" w:rsidR="1F03BC4C">
        <w:rPr>
          <w:rFonts w:ascii="Arial" w:hAnsi="Arial" w:eastAsia="Arial" w:cs="Arial"/>
          <w:b w:val="1"/>
          <w:bCs w:val="1"/>
          <w:noProof w:val="0"/>
          <w:sz w:val="22"/>
          <w:szCs w:val="22"/>
          <w:highlight w:val="yellow"/>
          <w:u w:val="single"/>
          <w:lang w:val="en-GB"/>
        </w:rPr>
        <w:t xml:space="preserve">Question </w:t>
      </w:r>
      <w:r w:rsidRPr="1EB51F1B" w:rsidR="20459C33">
        <w:rPr>
          <w:rFonts w:ascii="Arial" w:hAnsi="Arial" w:eastAsia="Arial" w:cs="Arial"/>
          <w:b w:val="1"/>
          <w:bCs w:val="1"/>
          <w:noProof w:val="0"/>
          <w:sz w:val="22"/>
          <w:szCs w:val="22"/>
          <w:highlight w:val="yellow"/>
          <w:u w:val="single"/>
          <w:lang w:val="en-GB"/>
        </w:rPr>
        <w:t>5</w:t>
      </w:r>
    </w:p>
    <w:p w:rsidR="15510583" w:rsidP="1EB51F1B" w:rsidRDefault="15510583" w14:paraId="1BA9FCB2" w14:textId="62A7BCBB">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u w:val="single"/>
          <w:lang w:val="en-GB"/>
        </w:rPr>
      </w:pPr>
      <w:r w:rsidRPr="1EB51F1B" w:rsidR="10B2D171">
        <w:rPr>
          <w:rFonts w:ascii="Arial" w:hAnsi="Arial" w:eastAsia="Arial" w:cs="Arial"/>
          <w:b w:val="1"/>
          <w:bCs w:val="1"/>
          <w:i w:val="0"/>
          <w:iCs w:val="0"/>
          <w:caps w:val="0"/>
          <w:smallCaps w:val="0"/>
          <w:noProof w:val="0"/>
          <w:sz w:val="22"/>
          <w:szCs w:val="22"/>
          <w:u w:val="single"/>
          <w:lang w:val="en-GB"/>
        </w:rPr>
        <w:t>Thames Water Integrated Performance and Digital Transformation Initiative (IPDTI)</w:t>
      </w:r>
    </w:p>
    <w:p w:rsidR="15510583" w:rsidP="1EB51F1B" w:rsidRDefault="15510583" w14:paraId="0F59C66A" w14:textId="479CFA46">
      <w:pPr>
        <w:pStyle w:val="ListParagraph"/>
        <w:numPr>
          <w:ilvl w:val="0"/>
          <w:numId w:val="21"/>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r w:rsidRPr="1EB51F1B" w:rsidR="10B2D171">
        <w:rPr>
          <w:rFonts w:ascii="Arial" w:hAnsi="Arial" w:eastAsia="Arial" w:cs="Arial"/>
          <w:b w:val="1"/>
          <w:bCs w:val="1"/>
          <w:i w:val="0"/>
          <w:iCs w:val="0"/>
          <w:caps w:val="0"/>
          <w:smallCaps w:val="0"/>
          <w:noProof w:val="0"/>
          <w:sz w:val="22"/>
          <w:szCs w:val="22"/>
          <w:lang w:val="en-GB"/>
        </w:rPr>
        <w:t>Objectives and scope</w:t>
      </w:r>
    </w:p>
    <w:p w:rsidR="1EB51F1B" w:rsidP="1EB51F1B" w:rsidRDefault="1EB51F1B" w14:paraId="7A143FDB" w14:textId="78CC0850">
      <w:pPr>
        <w:pStyle w:val="ListParagraph"/>
        <w:shd w:val="clear" w:color="auto" w:fill="FFFFFF" w:themeFill="background1"/>
        <w:spacing w:before="0" w:beforeAutospacing="off" w:after="0" w:afterAutospacing="off"/>
        <w:ind w:left="360"/>
        <w:rPr>
          <w:rFonts w:ascii="Arial" w:hAnsi="Arial" w:eastAsia="Arial" w:cs="Arial"/>
          <w:b w:val="1"/>
          <w:bCs w:val="1"/>
          <w:i w:val="0"/>
          <w:iCs w:val="0"/>
          <w:caps w:val="0"/>
          <w:smallCaps w:val="0"/>
          <w:noProof w:val="0"/>
          <w:sz w:val="22"/>
          <w:szCs w:val="22"/>
          <w:lang w:val="en-GB"/>
        </w:rPr>
      </w:pPr>
    </w:p>
    <w:p w:rsidR="15510583" w:rsidP="1EB51F1B" w:rsidRDefault="15510583" w14:paraId="36080557" w14:textId="60D5AC1E">
      <w:pPr>
        <w:pStyle w:val="ListParagraph"/>
        <w:numPr>
          <w:ilvl w:val="0"/>
          <w:numId w:val="22"/>
        </w:num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Strategic objectives</w:t>
      </w:r>
    </w:p>
    <w:p w:rsidR="15510583" w:rsidP="1EB51F1B" w:rsidRDefault="15510583" w14:paraId="5F0736BB" w14:textId="7BEEEC7D">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Improve resilience and reliability of water and wastewater networks, with a target reduction in non-revenue water (leakage) and fewer supply interruptions.</w:t>
      </w:r>
    </w:p>
    <w:p w:rsidR="15510583" w:rsidP="1EB51F1B" w:rsidRDefault="15510583" w14:paraId="0E2D4585" w14:textId="11566BB5">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Strengthen governance, risk management, and regulatory compliance to restore stakeholder trust and achieve Ofwat performance commitments.</w:t>
      </w:r>
    </w:p>
    <w:p w:rsidR="15510583" w:rsidP="1EB51F1B" w:rsidRDefault="15510583" w14:paraId="50091629" w14:textId="296EC591">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Accelerate digital transformation, including asset-management systems, predictive analytics, real-time telemetry, and improved customer digital channels.</w:t>
      </w:r>
    </w:p>
    <w:p w:rsidR="15510583" w:rsidP="1EB51F1B" w:rsidRDefault="15510583" w14:paraId="21A6FC1A" w14:textId="1F7DB2E1">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Deliver affordability and value via transparent pricing communication, efficient operations, and performance reporting.</w:t>
      </w:r>
    </w:p>
    <w:p w:rsidR="1EB51F1B" w:rsidP="1EB51F1B" w:rsidRDefault="1EB51F1B" w14:paraId="50CDE121" w14:textId="077D2DA4">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5510583" w:rsidP="1EB51F1B" w:rsidRDefault="15510583" w14:paraId="00F6B3B5" w14:textId="74D14015">
      <w:pPr>
        <w:pStyle w:val="ListParagraph"/>
        <w:numPr>
          <w:ilvl w:val="0"/>
          <w:numId w:val="22"/>
        </w:num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Scope</w:t>
      </w:r>
    </w:p>
    <w:p w:rsidR="15510583" w:rsidP="1EB51F1B" w:rsidRDefault="15510583" w14:paraId="2BB36FD8" w14:textId="6592FDDA">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Governance: tighten board oversight, </w:t>
      </w:r>
      <w:r w:rsidRPr="1EB51F1B" w:rsidR="10B2D171">
        <w:rPr>
          <w:rFonts w:ascii="Arial" w:hAnsi="Arial" w:eastAsia="Arial" w:cs="Arial"/>
          <w:b w:val="0"/>
          <w:bCs w:val="0"/>
          <w:i w:val="0"/>
          <w:iCs w:val="0"/>
          <w:caps w:val="0"/>
          <w:smallCaps w:val="0"/>
          <w:noProof w:val="0"/>
          <w:sz w:val="22"/>
          <w:szCs w:val="22"/>
          <w:lang w:val="en-GB"/>
        </w:rPr>
        <w:t>establish</w:t>
      </w:r>
      <w:r w:rsidRPr="1EB51F1B" w:rsidR="10B2D171">
        <w:rPr>
          <w:rFonts w:ascii="Arial" w:hAnsi="Arial" w:eastAsia="Arial" w:cs="Arial"/>
          <w:b w:val="0"/>
          <w:bCs w:val="0"/>
          <w:i w:val="0"/>
          <w:iCs w:val="0"/>
          <w:caps w:val="0"/>
          <w:smallCaps w:val="0"/>
          <w:noProof w:val="0"/>
          <w:sz w:val="22"/>
          <w:szCs w:val="22"/>
          <w:lang w:val="en-GB"/>
        </w:rPr>
        <w:t xml:space="preserve"> program management office (PMO), and implement stage-gate governance aligned with Ofwat price reviews.</w:t>
      </w:r>
    </w:p>
    <w:p w:rsidR="15510583" w:rsidP="1EB51F1B" w:rsidRDefault="15510583" w14:paraId="27E07E8C" w14:textId="26048C11">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Digital: deploy integrated asset-management platform, </w:t>
      </w:r>
      <w:r w:rsidRPr="1EB51F1B" w:rsidR="10B2D171">
        <w:rPr>
          <w:rFonts w:ascii="Arial" w:hAnsi="Arial" w:eastAsia="Arial" w:cs="Arial"/>
          <w:b w:val="0"/>
          <w:bCs w:val="0"/>
          <w:i w:val="0"/>
          <w:iCs w:val="0"/>
          <w:caps w:val="0"/>
          <w:smallCaps w:val="0"/>
          <w:noProof w:val="0"/>
          <w:sz w:val="22"/>
          <w:szCs w:val="22"/>
          <w:lang w:val="en-GB"/>
        </w:rPr>
        <w:t>IIoT</w:t>
      </w:r>
      <w:r w:rsidRPr="1EB51F1B" w:rsidR="10B2D171">
        <w:rPr>
          <w:rFonts w:ascii="Arial" w:hAnsi="Arial" w:eastAsia="Arial" w:cs="Arial"/>
          <w:b w:val="0"/>
          <w:bCs w:val="0"/>
          <w:i w:val="0"/>
          <w:iCs w:val="0"/>
          <w:caps w:val="0"/>
          <w:smallCaps w:val="0"/>
          <w:noProof w:val="0"/>
          <w:sz w:val="22"/>
          <w:szCs w:val="22"/>
          <w:lang w:val="en-GB"/>
        </w:rPr>
        <w:t xml:space="preserve"> sensors, data governance framework, and AI-enabled predictive maintenance.</w:t>
      </w:r>
    </w:p>
    <w:p w:rsidR="15510583" w:rsidP="1EB51F1B" w:rsidRDefault="15510583" w14:paraId="30A01E62" w14:textId="6193DF8F">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Operations: target leakage reduction programs, sewer resilience upgrades, and enhanced incident response.</w:t>
      </w:r>
    </w:p>
    <w:p w:rsidR="15510583" w:rsidP="1EB51F1B" w:rsidRDefault="15510583" w14:paraId="54753AD4" w14:textId="68AB00A8">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Customer: upgrade digital channels, self-service tools, and real-time usage insights.</w:t>
      </w:r>
    </w:p>
    <w:p w:rsidR="15510583" w:rsidP="1EB51F1B" w:rsidRDefault="15510583" w14:paraId="24DF2C04" w14:textId="0948C70F">
      <w:pPr>
        <w:pStyle w:val="ListParagraph"/>
        <w:numPr>
          <w:ilvl w:val="1"/>
          <w:numId w:val="22"/>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People and culture: change readiness, upskilling, and safety-first </w:t>
      </w:r>
      <w:r w:rsidRPr="1EB51F1B" w:rsidR="454BEFA2">
        <w:rPr>
          <w:rFonts w:ascii="Arial" w:hAnsi="Arial" w:eastAsia="Arial" w:cs="Arial"/>
          <w:b w:val="0"/>
          <w:bCs w:val="0"/>
          <w:i w:val="0"/>
          <w:iCs w:val="0"/>
          <w:caps w:val="0"/>
          <w:smallCaps w:val="0"/>
          <w:noProof w:val="0"/>
          <w:sz w:val="22"/>
          <w:szCs w:val="22"/>
          <w:lang w:val="en-GB"/>
        </w:rPr>
        <w:t>behavioural</w:t>
      </w:r>
      <w:r w:rsidRPr="1EB51F1B" w:rsidR="10B2D171">
        <w:rPr>
          <w:rFonts w:ascii="Arial" w:hAnsi="Arial" w:eastAsia="Arial" w:cs="Arial"/>
          <w:b w:val="0"/>
          <w:bCs w:val="0"/>
          <w:i w:val="0"/>
          <w:iCs w:val="0"/>
          <w:caps w:val="0"/>
          <w:smallCaps w:val="0"/>
          <w:noProof w:val="0"/>
          <w:sz w:val="22"/>
          <w:szCs w:val="22"/>
          <w:lang w:val="en-GB"/>
        </w:rPr>
        <w:t xml:space="preserve"> norms.</w:t>
      </w:r>
    </w:p>
    <w:p w:rsidR="1EB51F1B" w:rsidP="1EB51F1B" w:rsidRDefault="1EB51F1B" w14:paraId="21964368" w14:textId="331D9DD9">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5510583" w:rsidP="1EB51F1B" w:rsidRDefault="15510583" w14:paraId="2F325922" w14:textId="35488F55">
      <w:pPr>
        <w:pStyle w:val="ListParagraph"/>
        <w:numPr>
          <w:ilvl w:val="0"/>
          <w:numId w:val="23"/>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r w:rsidRPr="1EB51F1B" w:rsidR="10B2D171">
        <w:rPr>
          <w:rFonts w:ascii="Arial" w:hAnsi="Arial" w:eastAsia="Arial" w:cs="Arial"/>
          <w:b w:val="1"/>
          <w:bCs w:val="1"/>
          <w:i w:val="0"/>
          <w:iCs w:val="0"/>
          <w:caps w:val="0"/>
          <w:smallCaps w:val="0"/>
          <w:noProof w:val="0"/>
          <w:sz w:val="22"/>
          <w:szCs w:val="22"/>
          <w:lang w:val="en-GB"/>
        </w:rPr>
        <w:t>Change strategy and approach</w:t>
      </w:r>
    </w:p>
    <w:p w:rsidR="1EB51F1B" w:rsidP="1EB51F1B" w:rsidRDefault="1EB51F1B" w14:paraId="44B18A88" w14:textId="31689E53">
      <w:pPr>
        <w:pStyle w:val="ListParagraph"/>
        <w:shd w:val="clear" w:color="auto" w:fill="FFFFFF" w:themeFill="background1"/>
        <w:spacing w:before="0" w:beforeAutospacing="off" w:after="0" w:afterAutospacing="off"/>
        <w:ind w:left="360"/>
        <w:rPr>
          <w:rFonts w:ascii="Arial" w:hAnsi="Arial" w:eastAsia="Arial" w:cs="Arial"/>
          <w:b w:val="1"/>
          <w:bCs w:val="1"/>
          <w:i w:val="0"/>
          <w:iCs w:val="0"/>
          <w:caps w:val="0"/>
          <w:smallCaps w:val="0"/>
          <w:noProof w:val="0"/>
          <w:sz w:val="22"/>
          <w:szCs w:val="22"/>
          <w:lang w:val="en-GB"/>
        </w:rPr>
      </w:pPr>
    </w:p>
    <w:p w:rsidR="15510583" w:rsidP="1EB51F1B" w:rsidRDefault="15510583" w14:paraId="2546DB2E" w14:textId="36B7ABE1">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Change management model</w:t>
      </w:r>
    </w:p>
    <w:p w:rsidR="15510583" w:rsidP="1EB51F1B" w:rsidRDefault="15510583" w14:paraId="7CAB6FB5" w14:textId="32512BB5">
      <w:pPr>
        <w:pStyle w:val="ListParagraph"/>
        <w:numPr>
          <w:ilvl w:val="1"/>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Hybrid approach combining Kotter’s 8-Step model for leadership-driven change with ADKAR for individual-level adoption, underpinned by McKinsey’s digital transformation governance principles (Kotter, 1995; Hiatt, 2006; McKinsey &amp; Company, 2020s).</w:t>
      </w:r>
    </w:p>
    <w:p w:rsidR="15510583" w:rsidP="1EB51F1B" w:rsidRDefault="15510583" w14:paraId="23B98F10" w14:textId="4EBBBFE8">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410F15A3">
        <w:rPr>
          <w:rFonts w:ascii="Arial" w:hAnsi="Arial" w:eastAsia="Arial" w:cs="Arial"/>
          <w:b w:val="0"/>
          <w:bCs w:val="0"/>
          <w:i w:val="0"/>
          <w:iCs w:val="0"/>
          <w:caps w:val="0"/>
          <w:smallCaps w:val="0"/>
          <w:noProof w:val="0"/>
          <w:sz w:val="22"/>
          <w:szCs w:val="22"/>
          <w:lang w:val="en-GB"/>
        </w:rPr>
        <w:t>G</w:t>
      </w:r>
      <w:r w:rsidRPr="1EB51F1B" w:rsidR="10B2D171">
        <w:rPr>
          <w:rFonts w:ascii="Arial" w:hAnsi="Arial" w:eastAsia="Arial" w:cs="Arial"/>
          <w:b w:val="0"/>
          <w:bCs w:val="0"/>
          <w:i w:val="0"/>
          <w:iCs w:val="0"/>
          <w:caps w:val="0"/>
          <w:smallCaps w:val="0"/>
          <w:noProof w:val="0"/>
          <w:sz w:val="22"/>
          <w:szCs w:val="22"/>
          <w:lang w:val="en-GB"/>
        </w:rPr>
        <w:t>overnance and execution</w:t>
      </w:r>
    </w:p>
    <w:p w:rsidR="15510583" w:rsidP="1EB51F1B" w:rsidRDefault="15510583" w14:paraId="652CBF72" w14:textId="03DBBC5C">
      <w:pPr>
        <w:pStyle w:val="ListParagraph"/>
        <w:numPr>
          <w:ilvl w:val="1"/>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Establish a central IPDTI PMO reporting to the executive sponsor and the board’s transformation committee.</w:t>
      </w:r>
    </w:p>
    <w:p w:rsidR="15510583" w:rsidP="1EB51F1B" w:rsidRDefault="15510583" w14:paraId="09302D9A" w14:textId="703F0C01">
      <w:pPr>
        <w:pStyle w:val="ListParagraph"/>
        <w:numPr>
          <w:ilvl w:val="1"/>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Stage-gate reviews at key milestones; align with Ofwat price review cycles; ensure transparent reporting to regulators and stakeholders (Ofwat documentation; TW annual reports).</w:t>
      </w:r>
    </w:p>
    <w:p w:rsidR="15510583" w:rsidP="1EB51F1B" w:rsidRDefault="15510583" w14:paraId="4B2205AC" w14:textId="25088057">
      <w:pPr>
        <w:pStyle w:val="ListParagraph"/>
        <w:numPr>
          <w:ilvl w:val="0"/>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4FA7E62A">
        <w:rPr>
          <w:rFonts w:ascii="Arial" w:hAnsi="Arial" w:eastAsia="Arial" w:cs="Arial"/>
          <w:b w:val="0"/>
          <w:bCs w:val="0"/>
          <w:i w:val="0"/>
          <w:iCs w:val="0"/>
          <w:caps w:val="0"/>
          <w:smallCaps w:val="0"/>
          <w:noProof w:val="0"/>
          <w:sz w:val="22"/>
          <w:szCs w:val="22"/>
          <w:lang w:val="en-GB"/>
        </w:rPr>
        <w:t>R</w:t>
      </w:r>
      <w:r w:rsidRPr="1EB51F1B" w:rsidR="10B2D171">
        <w:rPr>
          <w:rFonts w:ascii="Arial" w:hAnsi="Arial" w:eastAsia="Arial" w:cs="Arial"/>
          <w:b w:val="0"/>
          <w:bCs w:val="0"/>
          <w:i w:val="0"/>
          <w:iCs w:val="0"/>
          <w:caps w:val="0"/>
          <w:smallCaps w:val="0"/>
          <w:noProof w:val="0"/>
          <w:sz w:val="22"/>
          <w:szCs w:val="22"/>
          <w:lang w:val="en-GB"/>
        </w:rPr>
        <w:t>isk management</w:t>
      </w:r>
    </w:p>
    <w:p w:rsidR="15510583" w:rsidP="1EB51F1B" w:rsidRDefault="15510583" w14:paraId="48ED5529" w14:textId="0187D3E0">
      <w:pPr>
        <w:pStyle w:val="ListParagraph"/>
        <w:numPr>
          <w:ilvl w:val="1"/>
          <w:numId w:val="24"/>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Integrate a risk register with likelihood/impact scoring for regulatory, cyber, operational, and financial risks; implement mitigations, contingency plans, and scenario testing (ISO/IEC 27001-inspired cybersecurity considerations; Burnes, 2017).</w:t>
      </w:r>
    </w:p>
    <w:p w:rsidR="1EB51F1B" w:rsidP="1EB51F1B" w:rsidRDefault="1EB51F1B" w14:paraId="096DFA4E" w14:textId="08F323D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EB51F1B" w:rsidP="1EB51F1B" w:rsidRDefault="1EB51F1B" w14:paraId="20D01324" w14:textId="6F2A0C77">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5510583" w:rsidP="1EB51F1B" w:rsidRDefault="15510583" w14:paraId="04B2971F" w14:textId="7FBE661A">
      <w:pPr>
        <w:pStyle w:val="ListParagraph"/>
        <w:numPr>
          <w:ilvl w:val="0"/>
          <w:numId w:val="25"/>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r w:rsidRPr="1EB51F1B" w:rsidR="10B2D171">
        <w:rPr>
          <w:rFonts w:ascii="Arial" w:hAnsi="Arial" w:eastAsia="Arial" w:cs="Arial"/>
          <w:b w:val="1"/>
          <w:bCs w:val="1"/>
          <w:i w:val="0"/>
          <w:iCs w:val="0"/>
          <w:caps w:val="0"/>
          <w:smallCaps w:val="0"/>
          <w:noProof w:val="0"/>
          <w:sz w:val="22"/>
          <w:szCs w:val="22"/>
          <w:lang w:val="en-GB"/>
        </w:rPr>
        <w:t>Financial plan</w:t>
      </w:r>
    </w:p>
    <w:p w:rsidR="1EB51F1B" w:rsidP="1EB51F1B" w:rsidRDefault="1EB51F1B" w14:paraId="2BE5ED2F" w14:textId="766EE5D1">
      <w:pPr>
        <w:pStyle w:val="ListParagraph"/>
        <w:shd w:val="clear" w:color="auto" w:fill="FFFFFF" w:themeFill="background1"/>
        <w:spacing w:before="0" w:beforeAutospacing="off" w:after="0" w:afterAutospacing="off"/>
        <w:ind w:left="360"/>
        <w:rPr>
          <w:rFonts w:ascii="Arial" w:hAnsi="Arial" w:eastAsia="Arial" w:cs="Arial"/>
          <w:b w:val="1"/>
          <w:bCs w:val="1"/>
          <w:i w:val="0"/>
          <w:iCs w:val="0"/>
          <w:caps w:val="0"/>
          <w:smallCaps w:val="0"/>
          <w:noProof w:val="0"/>
          <w:sz w:val="22"/>
          <w:szCs w:val="22"/>
          <w:lang w:val="en-GB"/>
        </w:rPr>
      </w:pPr>
    </w:p>
    <w:p w:rsidR="15510583" w:rsidP="1EB51F1B" w:rsidRDefault="15510583" w14:paraId="5D8606D1" w14:textId="6D340E94">
      <w:pPr>
        <w:pStyle w:val="ListParagraph"/>
        <w:numPr>
          <w:ilvl w:val="0"/>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Funding and governance</w:t>
      </w:r>
    </w:p>
    <w:p w:rsidR="15510583" w:rsidP="1EB51F1B" w:rsidRDefault="15510583" w14:paraId="0ED116F2" w14:textId="477585C1">
      <w:pPr>
        <w:pStyle w:val="ListParagraph"/>
        <w:numPr>
          <w:ilvl w:val="1"/>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Capital expenditure (Capex) envelope increased for leakage reduction, network resilience, and digital infrastructure; </w:t>
      </w:r>
      <w:r w:rsidRPr="1EB51F1B" w:rsidR="10B2D171">
        <w:rPr>
          <w:rFonts w:ascii="Arial" w:hAnsi="Arial" w:eastAsia="Arial" w:cs="Arial"/>
          <w:b w:val="0"/>
          <w:bCs w:val="0"/>
          <w:i w:val="0"/>
          <w:iCs w:val="0"/>
          <w:caps w:val="0"/>
          <w:smallCaps w:val="0"/>
          <w:noProof w:val="0"/>
          <w:sz w:val="22"/>
          <w:szCs w:val="22"/>
          <w:lang w:val="en-GB"/>
        </w:rPr>
        <w:t>operate</w:t>
      </w:r>
      <w:r w:rsidRPr="1EB51F1B" w:rsidR="10B2D171">
        <w:rPr>
          <w:rFonts w:ascii="Arial" w:hAnsi="Arial" w:eastAsia="Arial" w:cs="Arial"/>
          <w:b w:val="0"/>
          <w:bCs w:val="0"/>
          <w:i w:val="0"/>
          <w:iCs w:val="0"/>
          <w:caps w:val="0"/>
          <w:smallCaps w:val="0"/>
          <w:noProof w:val="0"/>
          <w:sz w:val="22"/>
          <w:szCs w:val="22"/>
          <w:lang w:val="en-GB"/>
        </w:rPr>
        <w:t xml:space="preserve"> within a disciplined </w:t>
      </w:r>
      <w:r w:rsidRPr="1EB51F1B" w:rsidR="10B2D171">
        <w:rPr>
          <w:rFonts w:ascii="Arial" w:hAnsi="Arial" w:eastAsia="Arial" w:cs="Arial"/>
          <w:b w:val="0"/>
          <w:bCs w:val="0"/>
          <w:i w:val="0"/>
          <w:iCs w:val="0"/>
          <w:caps w:val="0"/>
          <w:smallCaps w:val="0"/>
          <w:noProof w:val="0"/>
          <w:sz w:val="22"/>
          <w:szCs w:val="22"/>
          <w:lang w:val="en-GB"/>
        </w:rPr>
        <w:t>Opex</w:t>
      </w:r>
      <w:r w:rsidRPr="1EB51F1B" w:rsidR="10B2D171">
        <w:rPr>
          <w:rFonts w:ascii="Arial" w:hAnsi="Arial" w:eastAsia="Arial" w:cs="Arial"/>
          <w:b w:val="0"/>
          <w:bCs w:val="0"/>
          <w:i w:val="0"/>
          <w:iCs w:val="0"/>
          <w:caps w:val="0"/>
          <w:smallCaps w:val="0"/>
          <w:noProof w:val="0"/>
          <w:sz w:val="22"/>
          <w:szCs w:val="22"/>
          <w:lang w:val="en-GB"/>
        </w:rPr>
        <w:t xml:space="preserve"> plan driven by efficiency gains.</w:t>
      </w:r>
    </w:p>
    <w:p w:rsidR="15510583" w:rsidP="1EB51F1B" w:rsidRDefault="15510583" w14:paraId="6C75D5B7" w14:textId="52257302">
      <w:pPr>
        <w:pStyle w:val="ListParagraph"/>
        <w:numPr>
          <w:ilvl w:val="1"/>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Establish dedicated IPDTI budget lines within the annual plan, with a funded reserve for cyber, data governance, and change-management activities.</w:t>
      </w:r>
    </w:p>
    <w:p w:rsidR="15510583" w:rsidP="1EB51F1B" w:rsidRDefault="15510583" w14:paraId="010E4592" w14:textId="1F446E4E">
      <w:pPr>
        <w:pStyle w:val="ListParagraph"/>
        <w:numPr>
          <w:ilvl w:val="0"/>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Cost-benefit expectations</w:t>
      </w:r>
    </w:p>
    <w:p w:rsidR="15510583" w:rsidP="1EB51F1B" w:rsidRDefault="15510583" w14:paraId="584D244E" w14:textId="25E42929">
      <w:pPr>
        <w:pStyle w:val="ListParagraph"/>
        <w:numPr>
          <w:ilvl w:val="1"/>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Benefits: reduced water losses, lower outage costs, improved customer satisfaction, and potentially accelerated regulator-approved returns. Quantify payback periods for major digital investments (e.g., asset-management platform) and track realisable benefits quarterly.</w:t>
      </w:r>
    </w:p>
    <w:p w:rsidR="15510583" w:rsidP="1EB51F1B" w:rsidRDefault="15510583" w14:paraId="68FCF405" w14:textId="2B4FE50D">
      <w:pPr>
        <w:pStyle w:val="ListParagraph"/>
        <w:numPr>
          <w:ilvl w:val="0"/>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Financial controls and reporting</w:t>
      </w:r>
    </w:p>
    <w:p w:rsidR="15510583" w:rsidP="1EB51F1B" w:rsidRDefault="15510583" w14:paraId="0BA0AE70" w14:textId="6A9730C4">
      <w:pPr>
        <w:pStyle w:val="ListParagraph"/>
        <w:numPr>
          <w:ilvl w:val="1"/>
          <w:numId w:val="26"/>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Implement benefits tracking dashboards, linked to strategic KPIs (leakage, NRW, reliability, customer satisfaction). Regularly publish progress to stakeholders to sustain trust.</w:t>
      </w:r>
    </w:p>
    <w:p w:rsidR="1EB51F1B" w:rsidP="1EB51F1B" w:rsidRDefault="1EB51F1B" w14:paraId="5290BFE7" w14:textId="540C8EBA">
      <w:pPr>
        <w:pStyle w:val="ListParagraph"/>
        <w:shd w:val="clear" w:color="auto" w:fill="FFFFFF" w:themeFill="background1"/>
        <w:spacing w:before="0" w:beforeAutospacing="off" w:after="0" w:afterAutospacing="off"/>
        <w:ind w:left="360"/>
        <w:rPr>
          <w:rFonts w:ascii="Arial" w:hAnsi="Arial" w:eastAsia="Arial" w:cs="Arial"/>
          <w:b w:val="0"/>
          <w:bCs w:val="0"/>
          <w:i w:val="0"/>
          <w:iCs w:val="0"/>
          <w:caps w:val="0"/>
          <w:smallCaps w:val="0"/>
          <w:noProof w:val="0"/>
          <w:sz w:val="22"/>
          <w:szCs w:val="22"/>
          <w:lang w:val="en-GB"/>
        </w:rPr>
      </w:pPr>
    </w:p>
    <w:p w:rsidR="15510583" w:rsidP="1EB51F1B" w:rsidRDefault="15510583" w14:paraId="0B839E3A" w14:textId="7D8F379F">
      <w:pPr>
        <w:pStyle w:val="ListParagraph"/>
        <w:numPr>
          <w:ilvl w:val="0"/>
          <w:numId w:val="27"/>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r w:rsidRPr="1EB51F1B" w:rsidR="10B2D171">
        <w:rPr>
          <w:rFonts w:ascii="Arial" w:hAnsi="Arial" w:eastAsia="Arial" w:cs="Arial"/>
          <w:b w:val="1"/>
          <w:bCs w:val="1"/>
          <w:i w:val="0"/>
          <w:iCs w:val="0"/>
          <w:caps w:val="0"/>
          <w:smallCaps w:val="0"/>
          <w:noProof w:val="0"/>
          <w:sz w:val="22"/>
          <w:szCs w:val="22"/>
          <w:lang w:val="en-GB"/>
        </w:rPr>
        <w:t>Communication plan</w:t>
      </w:r>
    </w:p>
    <w:p w:rsidR="1EB51F1B" w:rsidP="1EB51F1B" w:rsidRDefault="1EB51F1B" w14:paraId="1EC8676E" w14:textId="0E0EC318">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5510583" w:rsidP="1EB51F1B" w:rsidRDefault="15510583" w14:paraId="32F26BF5" w14:textId="692A4089">
      <w:pPr>
        <w:pStyle w:val="ListParagraph"/>
        <w:numPr>
          <w:ilvl w:val="0"/>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Stakeholder groups</w:t>
      </w:r>
    </w:p>
    <w:p w:rsidR="15510583" w:rsidP="1EB51F1B" w:rsidRDefault="15510583" w14:paraId="2558B79E" w14:textId="7C7E9A03">
      <w:pPr>
        <w:pStyle w:val="ListParagraph"/>
        <w:numPr>
          <w:ilvl w:val="1"/>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Regulators (Ofwat), investors, employees, contractors, customers, and local communities.</w:t>
      </w:r>
    </w:p>
    <w:p w:rsidR="15510583" w:rsidP="1EB51F1B" w:rsidRDefault="15510583" w14:paraId="3C8F0D55" w14:textId="2ACD3206">
      <w:pPr>
        <w:pStyle w:val="ListParagraph"/>
        <w:numPr>
          <w:ilvl w:val="0"/>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Key messages</w:t>
      </w:r>
    </w:p>
    <w:p w:rsidR="15510583" w:rsidP="1EB51F1B" w:rsidRDefault="15510583" w14:paraId="52327CC9" w14:textId="0A0D1583">
      <w:pPr>
        <w:pStyle w:val="ListParagraph"/>
        <w:numPr>
          <w:ilvl w:val="1"/>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Vision: reliable, affordable, and transparent water services underpinned by robust governance and digital excellence.</w:t>
      </w:r>
    </w:p>
    <w:p w:rsidR="15510583" w:rsidP="1EB51F1B" w:rsidRDefault="15510583" w14:paraId="123588F8" w14:textId="27CC6FC5">
      <w:pPr>
        <w:pStyle w:val="ListParagraph"/>
        <w:numPr>
          <w:ilvl w:val="1"/>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Benefits: quantified improvements in leakage, service reliability, and clarity of bills and performance reporting.</w:t>
      </w:r>
    </w:p>
    <w:p w:rsidR="15510583" w:rsidP="1EB51F1B" w:rsidRDefault="15510583" w14:paraId="4BC0B672" w14:textId="07B45FD4">
      <w:pPr>
        <w:pStyle w:val="ListParagraph"/>
        <w:numPr>
          <w:ilvl w:val="1"/>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Risks and mitigations: cybersecurity safeguards, change-support for staff, and staged implementation with clear governance.</w:t>
      </w:r>
    </w:p>
    <w:p w:rsidR="15510583" w:rsidP="1EB51F1B" w:rsidRDefault="15510583" w14:paraId="0838092D" w14:textId="4C93973C">
      <w:pPr>
        <w:pStyle w:val="ListParagraph"/>
        <w:numPr>
          <w:ilvl w:val="0"/>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F022F05">
        <w:rPr>
          <w:rFonts w:ascii="Arial" w:hAnsi="Arial" w:eastAsia="Arial" w:cs="Arial"/>
          <w:b w:val="0"/>
          <w:bCs w:val="0"/>
          <w:i w:val="0"/>
          <w:iCs w:val="0"/>
          <w:caps w:val="0"/>
          <w:smallCaps w:val="0"/>
          <w:noProof w:val="0"/>
          <w:sz w:val="22"/>
          <w:szCs w:val="22"/>
          <w:lang w:val="en-GB"/>
        </w:rPr>
        <w:t>C</w:t>
      </w:r>
      <w:r w:rsidRPr="1EB51F1B" w:rsidR="10B2D171">
        <w:rPr>
          <w:rFonts w:ascii="Arial" w:hAnsi="Arial" w:eastAsia="Arial" w:cs="Arial"/>
          <w:b w:val="0"/>
          <w:bCs w:val="0"/>
          <w:i w:val="0"/>
          <w:iCs w:val="0"/>
          <w:caps w:val="0"/>
          <w:smallCaps w:val="0"/>
          <w:noProof w:val="0"/>
          <w:sz w:val="22"/>
          <w:szCs w:val="22"/>
          <w:lang w:val="en-GB"/>
        </w:rPr>
        <w:t>hannels and cadence</w:t>
      </w:r>
    </w:p>
    <w:p w:rsidR="15510583" w:rsidP="1EB51F1B" w:rsidRDefault="15510583" w14:paraId="535D0A73" w14:textId="082CAD42">
      <w:pPr>
        <w:pStyle w:val="ListParagraph"/>
        <w:numPr>
          <w:ilvl w:val="1"/>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C-suite and board communications; regulator briefings; internal town halls; digital channels (intranets, customer portals); stakeholder newsletters; annual reports.</w:t>
      </w:r>
    </w:p>
    <w:p w:rsidR="15510583" w:rsidP="1EB51F1B" w:rsidRDefault="15510583" w14:paraId="75A940D6" w14:textId="576A975A">
      <w:pPr>
        <w:pStyle w:val="ListParagraph"/>
        <w:numPr>
          <w:ilvl w:val="1"/>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Cadence: quarterly updates to the board, monthly PMO dashboards, biannual regulator disclosures, and ongoing employee upskilling campaigns.</w:t>
      </w:r>
    </w:p>
    <w:p w:rsidR="15510583" w:rsidP="1EB51F1B" w:rsidRDefault="15510583" w14:paraId="2D4A6CDC" w14:textId="728C5630">
      <w:pPr>
        <w:pStyle w:val="ListParagraph"/>
        <w:numPr>
          <w:ilvl w:val="0"/>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Change readiness and engagement</w:t>
      </w:r>
    </w:p>
    <w:p w:rsidR="15510583" w:rsidP="1EB51F1B" w:rsidRDefault="15510583" w14:paraId="78727F02" w14:textId="266E4DC7">
      <w:pPr>
        <w:pStyle w:val="ListParagraph"/>
        <w:numPr>
          <w:ilvl w:val="1"/>
          <w:numId w:val="28"/>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Targeted training programs for frontline staff and contractor networks; change champions in each business unit; continuous feedback loops via surveys and focus groups (ADKAR principles; Kotter, 1995).</w:t>
      </w:r>
    </w:p>
    <w:p w:rsidR="1EB51F1B" w:rsidP="1EB51F1B" w:rsidRDefault="1EB51F1B" w14:paraId="1E97A177" w14:textId="0EC11F3D">
      <w:pPr>
        <w:pStyle w:val="ListParagraph"/>
        <w:shd w:val="clear" w:color="auto" w:fill="FFFFFF" w:themeFill="background1"/>
        <w:spacing w:before="0" w:beforeAutospacing="off" w:after="0" w:afterAutospacing="off"/>
        <w:ind w:left="360"/>
        <w:rPr>
          <w:rFonts w:ascii="Arial" w:hAnsi="Arial" w:eastAsia="Arial" w:cs="Arial"/>
          <w:b w:val="0"/>
          <w:bCs w:val="0"/>
          <w:i w:val="0"/>
          <w:iCs w:val="0"/>
          <w:caps w:val="0"/>
          <w:smallCaps w:val="0"/>
          <w:noProof w:val="0"/>
          <w:sz w:val="22"/>
          <w:szCs w:val="22"/>
          <w:lang w:val="en-GB"/>
        </w:rPr>
      </w:pPr>
    </w:p>
    <w:p w:rsidR="15510583" w:rsidP="1EB51F1B" w:rsidRDefault="15510583" w14:paraId="3F27C50A" w14:textId="64CCFFD0">
      <w:pPr>
        <w:pStyle w:val="ListParagraph"/>
        <w:numPr>
          <w:ilvl w:val="0"/>
          <w:numId w:val="29"/>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r w:rsidRPr="1EB51F1B" w:rsidR="10B2D171">
        <w:rPr>
          <w:rFonts w:ascii="Arial" w:hAnsi="Arial" w:eastAsia="Arial" w:cs="Arial"/>
          <w:b w:val="1"/>
          <w:bCs w:val="1"/>
          <w:i w:val="0"/>
          <w:iCs w:val="0"/>
          <w:caps w:val="0"/>
          <w:smallCaps w:val="0"/>
          <w:noProof w:val="0"/>
          <w:sz w:val="22"/>
          <w:szCs w:val="22"/>
          <w:lang w:val="en-GB"/>
        </w:rPr>
        <w:t>Implementation plan (high-level)</w:t>
      </w:r>
    </w:p>
    <w:p w:rsidR="1EB51F1B" w:rsidP="1EB51F1B" w:rsidRDefault="1EB51F1B" w14:paraId="61FF97EF" w14:textId="185519B5">
      <w:pPr>
        <w:pStyle w:val="ListParagraph"/>
        <w:shd w:val="clear" w:color="auto" w:fill="FFFFFF" w:themeFill="background1"/>
        <w:spacing w:before="0" w:beforeAutospacing="off" w:after="0" w:afterAutospacing="off"/>
        <w:ind w:left="360"/>
        <w:rPr>
          <w:rFonts w:ascii="Arial" w:hAnsi="Arial" w:eastAsia="Arial" w:cs="Arial"/>
          <w:b w:val="0"/>
          <w:bCs w:val="0"/>
          <w:i w:val="0"/>
          <w:iCs w:val="0"/>
          <w:caps w:val="0"/>
          <w:smallCaps w:val="0"/>
          <w:noProof w:val="0"/>
          <w:sz w:val="22"/>
          <w:szCs w:val="22"/>
          <w:lang w:val="en-GB"/>
        </w:rPr>
      </w:pPr>
    </w:p>
    <w:p w:rsidR="15510583" w:rsidP="1EB51F1B" w:rsidRDefault="15510583" w14:paraId="4B89487C" w14:textId="0C10A50E">
      <w:pPr>
        <w:pStyle w:val="ListParagraph"/>
        <w:numPr>
          <w:ilvl w:val="0"/>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Phase 1: Diagnostic and design (0–6 months)</w:t>
      </w:r>
    </w:p>
    <w:p w:rsidR="15510583" w:rsidP="1EB51F1B" w:rsidRDefault="15510583" w14:paraId="0113394A" w14:textId="121367CC">
      <w:pPr>
        <w:pStyle w:val="ListParagraph"/>
        <w:numPr>
          <w:ilvl w:val="1"/>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Baseline performance; define KPIs; establish PMO; </w:t>
      </w:r>
      <w:r w:rsidRPr="1EB51F1B" w:rsidR="10B2D171">
        <w:rPr>
          <w:rFonts w:ascii="Arial" w:hAnsi="Arial" w:eastAsia="Arial" w:cs="Arial"/>
          <w:b w:val="0"/>
          <w:bCs w:val="0"/>
          <w:i w:val="0"/>
          <w:iCs w:val="0"/>
          <w:caps w:val="0"/>
          <w:smallCaps w:val="0"/>
          <w:noProof w:val="0"/>
          <w:sz w:val="22"/>
          <w:szCs w:val="22"/>
          <w:lang w:val="en-GB"/>
        </w:rPr>
        <w:t>finalize</w:t>
      </w:r>
      <w:r w:rsidRPr="1EB51F1B" w:rsidR="10B2D171">
        <w:rPr>
          <w:rFonts w:ascii="Arial" w:hAnsi="Arial" w:eastAsia="Arial" w:cs="Arial"/>
          <w:b w:val="0"/>
          <w:bCs w:val="0"/>
          <w:i w:val="0"/>
          <w:iCs w:val="0"/>
          <w:caps w:val="0"/>
          <w:smallCaps w:val="0"/>
          <w:noProof w:val="0"/>
          <w:sz w:val="22"/>
          <w:szCs w:val="22"/>
          <w:lang w:val="en-GB"/>
        </w:rPr>
        <w:t xml:space="preserve"> governance structures; begin data governance framework.</w:t>
      </w:r>
    </w:p>
    <w:p w:rsidR="15510583" w:rsidP="1EB51F1B" w:rsidRDefault="15510583" w14:paraId="73765C5C" w14:textId="5CE566D7">
      <w:pPr>
        <w:pStyle w:val="ListParagraph"/>
        <w:numPr>
          <w:ilvl w:val="0"/>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Phase 2: Pilot and scale (6–18 months)</w:t>
      </w:r>
    </w:p>
    <w:p w:rsidR="15510583" w:rsidP="1EB51F1B" w:rsidRDefault="15510583" w14:paraId="31DC2D27" w14:textId="5C383FA5">
      <w:pPr>
        <w:pStyle w:val="ListParagraph"/>
        <w:numPr>
          <w:ilvl w:val="1"/>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Pilot digital asset-management tools in select regions; deploy predictive maintenance pilots; roll out customer digital channels in waves.</w:t>
      </w:r>
    </w:p>
    <w:p w:rsidR="15510583" w:rsidP="1EB51F1B" w:rsidRDefault="15510583" w14:paraId="04476515" w14:textId="348A7194">
      <w:pPr>
        <w:pStyle w:val="ListParagraph"/>
        <w:numPr>
          <w:ilvl w:val="0"/>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Phase 3: Full deployment and optimization (18–36 months)</w:t>
      </w:r>
    </w:p>
    <w:p w:rsidR="15510583" w:rsidP="1EB51F1B" w:rsidRDefault="15510583" w14:paraId="357CD682" w14:textId="40F1D602">
      <w:pPr>
        <w:pStyle w:val="ListParagraph"/>
        <w:numPr>
          <w:ilvl w:val="1"/>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Enterprise-wide digital platform deployment; full leakage-reduction programs; governance enhancements; culture-shaping initiatives.</w:t>
      </w:r>
    </w:p>
    <w:p w:rsidR="15510583" w:rsidP="1EB51F1B" w:rsidRDefault="15510583" w14:paraId="3A2B826F" w14:textId="081B778A">
      <w:pPr>
        <w:pStyle w:val="ListParagraph"/>
        <w:numPr>
          <w:ilvl w:val="0"/>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Phase 4: Sustaining value (ongoing)</w:t>
      </w:r>
    </w:p>
    <w:p w:rsidR="15510583" w:rsidP="1EB51F1B" w:rsidRDefault="15510583" w14:paraId="477F5444" w14:textId="01452CAD">
      <w:pPr>
        <w:pStyle w:val="ListParagraph"/>
        <w:numPr>
          <w:ilvl w:val="1"/>
          <w:numId w:val="30"/>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Continuous improvement, regular audits, and reinforcement of new </w:t>
      </w:r>
      <w:r w:rsidRPr="1EB51F1B" w:rsidR="578EB619">
        <w:rPr>
          <w:rFonts w:ascii="Arial" w:hAnsi="Arial" w:eastAsia="Arial" w:cs="Arial"/>
          <w:b w:val="0"/>
          <w:bCs w:val="0"/>
          <w:i w:val="0"/>
          <w:iCs w:val="0"/>
          <w:caps w:val="0"/>
          <w:smallCaps w:val="0"/>
          <w:noProof w:val="0"/>
          <w:sz w:val="22"/>
          <w:szCs w:val="22"/>
          <w:lang w:val="en-GB"/>
        </w:rPr>
        <w:t>behaviours</w:t>
      </w:r>
      <w:r w:rsidRPr="1EB51F1B" w:rsidR="10B2D171">
        <w:rPr>
          <w:rFonts w:ascii="Arial" w:hAnsi="Arial" w:eastAsia="Arial" w:cs="Arial"/>
          <w:b w:val="0"/>
          <w:bCs w:val="0"/>
          <w:i w:val="0"/>
          <w:iCs w:val="0"/>
          <w:caps w:val="0"/>
          <w:smallCaps w:val="0"/>
          <w:noProof w:val="0"/>
          <w:sz w:val="22"/>
          <w:szCs w:val="22"/>
          <w:lang w:val="en-GB"/>
        </w:rPr>
        <w:t xml:space="preserve"> and practices.</w:t>
      </w:r>
    </w:p>
    <w:p w:rsidR="1EB51F1B" w:rsidP="1EB51F1B" w:rsidRDefault="1EB51F1B" w14:paraId="6B7397D8" w14:textId="5CB48E8F">
      <w:pPr>
        <w:pStyle w:val="ListParagraph"/>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2"/>
          <w:szCs w:val="22"/>
          <w:lang w:val="en-GB"/>
        </w:rPr>
      </w:pPr>
    </w:p>
    <w:p w:rsidR="15510583" w:rsidP="1EB51F1B" w:rsidRDefault="15510583" w14:paraId="16E69DC8" w14:textId="102F4630">
      <w:pPr>
        <w:shd w:val="clear" w:color="auto" w:fill="FFFFFF" w:themeFill="background1"/>
        <w:spacing w:before="0" w:beforeAutospacing="off" w:after="150" w:afterAutospacing="off"/>
        <w:rPr>
          <w:rFonts w:ascii="Arial" w:hAnsi="Arial" w:eastAsia="Arial" w:cs="Arial"/>
          <w:b w:val="1"/>
          <w:bCs w:val="1"/>
          <w:i w:val="0"/>
          <w:iCs w:val="0"/>
          <w:caps w:val="0"/>
          <w:smallCaps w:val="0"/>
          <w:noProof w:val="0"/>
          <w:sz w:val="22"/>
          <w:szCs w:val="22"/>
          <w:lang w:val="en-GB"/>
        </w:rPr>
      </w:pPr>
      <w:r w:rsidRPr="1EB51F1B" w:rsidR="10B2D171">
        <w:rPr>
          <w:rFonts w:ascii="Arial" w:hAnsi="Arial" w:eastAsia="Arial" w:cs="Arial"/>
          <w:b w:val="1"/>
          <w:bCs w:val="1"/>
          <w:i w:val="0"/>
          <w:iCs w:val="0"/>
          <w:caps w:val="0"/>
          <w:smallCaps w:val="0"/>
          <w:noProof w:val="0"/>
          <w:sz w:val="22"/>
          <w:szCs w:val="22"/>
          <w:lang w:val="en-GB"/>
        </w:rPr>
        <w:t>6.Evaluation plan</w:t>
      </w:r>
    </w:p>
    <w:p w:rsidR="15510583" w:rsidP="1EB51F1B" w:rsidRDefault="15510583" w14:paraId="63AA756F" w14:textId="271D1F14">
      <w:pPr>
        <w:pStyle w:val="ListParagraph"/>
        <w:numPr>
          <w:ilvl w:val="0"/>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Key performance indicators (KPIs)</w:t>
      </w:r>
    </w:p>
    <w:p w:rsidR="15510583" w:rsidP="1EB51F1B" w:rsidRDefault="15510583" w14:paraId="7AB074D8" w14:textId="5EF194DF">
      <w:pPr>
        <w:pStyle w:val="ListParagraph"/>
        <w:numPr>
          <w:ilvl w:val="1"/>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Operational: leakage reduction percentage, non-revenue water (NRW) decline, water quality incident rate, incident response time, asset-</w:t>
      </w:r>
      <w:r w:rsidRPr="1EB51F1B" w:rsidR="10B2D171">
        <w:rPr>
          <w:rFonts w:ascii="Arial" w:hAnsi="Arial" w:eastAsia="Arial" w:cs="Arial"/>
          <w:b w:val="0"/>
          <w:bCs w:val="0"/>
          <w:i w:val="0"/>
          <w:iCs w:val="0"/>
          <w:caps w:val="0"/>
          <w:smallCaps w:val="0"/>
          <w:noProof w:val="0"/>
          <w:sz w:val="22"/>
          <w:szCs w:val="22"/>
          <w:lang w:val="en-GB"/>
        </w:rPr>
        <w:t>datherine</w:t>
      </w:r>
      <w:r w:rsidRPr="1EB51F1B" w:rsidR="10B2D171">
        <w:rPr>
          <w:rFonts w:ascii="Arial" w:hAnsi="Arial" w:eastAsia="Arial" w:cs="Arial"/>
          <w:b w:val="0"/>
          <w:bCs w:val="0"/>
          <w:i w:val="0"/>
          <w:iCs w:val="0"/>
          <w:caps w:val="0"/>
          <w:smallCaps w:val="0"/>
          <w:noProof w:val="0"/>
          <w:sz w:val="22"/>
          <w:szCs w:val="22"/>
          <w:lang w:val="en-GB"/>
        </w:rPr>
        <w:t xml:space="preserve"> uptime.</w:t>
      </w:r>
    </w:p>
    <w:p w:rsidR="15510583" w:rsidP="1EB51F1B" w:rsidRDefault="15510583" w14:paraId="389C033E" w14:textId="6E153160">
      <w:pPr>
        <w:pStyle w:val="ListParagraph"/>
        <w:numPr>
          <w:ilvl w:val="1"/>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Financial: capital efficiency (CAPEX per unit of delivered service), OPEX reductions, net present value (NPV) of the program, regulatory incentive earnings.</w:t>
      </w:r>
    </w:p>
    <w:p w:rsidR="15510583" w:rsidP="1EB51F1B" w:rsidRDefault="15510583" w14:paraId="63814BC3" w14:textId="28E73EA9">
      <w:pPr>
        <w:pStyle w:val="ListParagraph"/>
        <w:numPr>
          <w:ilvl w:val="1"/>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Customer: Net Promoter Score (NPS), digital channel usage, billing accuracy, complaint resolution time.</w:t>
      </w:r>
    </w:p>
    <w:p w:rsidR="15510583" w:rsidP="1EB51F1B" w:rsidRDefault="15510583" w14:paraId="2CDCD8F5" w14:textId="6FA60126">
      <w:pPr>
        <w:pStyle w:val="ListParagraph"/>
        <w:numPr>
          <w:ilvl w:val="1"/>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Governance: timetable adherence, number of stage-gate milestones achieved, audit findings, cyber-resilience metrics.</w:t>
      </w:r>
    </w:p>
    <w:p w:rsidR="15510583" w:rsidP="1EB51F1B" w:rsidRDefault="15510583" w14:paraId="28D45079" w14:textId="3B9479C7">
      <w:pPr>
        <w:pStyle w:val="ListParagraph"/>
        <w:numPr>
          <w:ilvl w:val="0"/>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Measurement approach</w:t>
      </w:r>
    </w:p>
    <w:p w:rsidR="15510583" w:rsidP="1EB51F1B" w:rsidRDefault="15510583" w14:paraId="5C5AF412" w14:textId="1705CFBD">
      <w:pPr>
        <w:pStyle w:val="ListParagraph"/>
        <w:numPr>
          <w:ilvl w:val="1"/>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Real-time dashboards for operational and IT metrics; quarterly benefits realization reviews; annual external assurance on governance and sustainability claims.</w:t>
      </w:r>
    </w:p>
    <w:p w:rsidR="15510583" w:rsidP="1EB51F1B" w:rsidRDefault="15510583" w14:paraId="378D9AAB" w14:textId="67833210">
      <w:pPr>
        <w:pStyle w:val="ListParagraph"/>
        <w:numPr>
          <w:ilvl w:val="0"/>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Learning and adaptation</w:t>
      </w:r>
    </w:p>
    <w:p w:rsidR="15510583" w:rsidP="1EB51F1B" w:rsidRDefault="15510583" w14:paraId="70E22B8A" w14:textId="7122C606">
      <w:pPr>
        <w:pStyle w:val="ListParagraph"/>
        <w:numPr>
          <w:ilvl w:val="1"/>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Post-implementation reviews at each phase end; feedback loops with regulators and customers; adjust roadmaps based on data-driven insights.</w:t>
      </w:r>
    </w:p>
    <w:p w:rsidR="15510583" w:rsidP="1EB51F1B" w:rsidRDefault="15510583" w14:paraId="440603A5" w14:textId="7464B24F">
      <w:pPr>
        <w:pStyle w:val="ListParagraph"/>
        <w:numPr>
          <w:ilvl w:val="0"/>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Governance and accountability</w:t>
      </w:r>
    </w:p>
    <w:p w:rsidR="15510583" w:rsidP="1EB51F1B" w:rsidRDefault="15510583" w14:paraId="5775430F" w14:textId="528ED155">
      <w:pPr>
        <w:pStyle w:val="ListParagraph"/>
        <w:numPr>
          <w:ilvl w:val="1"/>
          <w:numId w:val="3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Clear ownership for each KPI; monthly PMO reviews; escalation protocols for underperforming areas; independent review or audit if critical risks </w:t>
      </w:r>
      <w:r w:rsidRPr="1EB51F1B" w:rsidR="10B2D171">
        <w:rPr>
          <w:rFonts w:ascii="Arial" w:hAnsi="Arial" w:eastAsia="Arial" w:cs="Arial"/>
          <w:b w:val="0"/>
          <w:bCs w:val="0"/>
          <w:i w:val="0"/>
          <w:iCs w:val="0"/>
          <w:caps w:val="0"/>
          <w:smallCaps w:val="0"/>
          <w:noProof w:val="0"/>
          <w:sz w:val="22"/>
          <w:szCs w:val="22"/>
          <w:lang w:val="en-GB"/>
        </w:rPr>
        <w:t>emerge</w:t>
      </w:r>
      <w:r w:rsidRPr="1EB51F1B" w:rsidR="10B2D171">
        <w:rPr>
          <w:rFonts w:ascii="Arial" w:hAnsi="Arial" w:eastAsia="Arial" w:cs="Arial"/>
          <w:b w:val="0"/>
          <w:bCs w:val="0"/>
          <w:i w:val="0"/>
          <w:iCs w:val="0"/>
          <w:caps w:val="0"/>
          <w:smallCaps w:val="0"/>
          <w:noProof w:val="0"/>
          <w:sz w:val="22"/>
          <w:szCs w:val="22"/>
          <w:lang w:val="en-GB"/>
        </w:rPr>
        <w:t>.</w:t>
      </w:r>
    </w:p>
    <w:p w:rsidR="1EB51F1B" w:rsidP="1EB51F1B" w:rsidRDefault="1EB51F1B" w14:paraId="36311FD5" w14:textId="5CF8125C">
      <w:pPr>
        <w:pStyle w:val="ListParagraph"/>
        <w:shd w:val="clear" w:color="auto" w:fill="FFFFFF" w:themeFill="background1"/>
        <w:spacing w:before="0" w:beforeAutospacing="off" w:after="0" w:afterAutospacing="off"/>
        <w:ind w:left="1080"/>
        <w:rPr>
          <w:rFonts w:ascii="Arial" w:hAnsi="Arial" w:eastAsia="Arial" w:cs="Arial"/>
          <w:b w:val="0"/>
          <w:bCs w:val="0"/>
          <w:i w:val="0"/>
          <w:iCs w:val="0"/>
          <w:caps w:val="0"/>
          <w:smallCaps w:val="0"/>
          <w:noProof w:val="0"/>
          <w:sz w:val="22"/>
          <w:szCs w:val="22"/>
          <w:lang w:val="en-GB"/>
        </w:rPr>
      </w:pPr>
    </w:p>
    <w:p w:rsidR="15510583" w:rsidP="1EB51F1B" w:rsidRDefault="15510583" w14:paraId="1F6820DE" w14:textId="1E074F8E">
      <w:pPr>
        <w:pStyle w:val="ListParagraph"/>
        <w:numPr>
          <w:ilvl w:val="0"/>
          <w:numId w:val="32"/>
        </w:numPr>
        <w:shd w:val="clear" w:color="auto" w:fill="FFFFFF" w:themeFill="background1"/>
        <w:spacing w:before="0" w:beforeAutospacing="off" w:after="0" w:afterAutospacing="off"/>
        <w:rPr>
          <w:rFonts w:ascii="Arial" w:hAnsi="Arial" w:eastAsia="Arial" w:cs="Arial"/>
          <w:b w:val="1"/>
          <w:bCs w:val="1"/>
          <w:i w:val="0"/>
          <w:iCs w:val="0"/>
          <w:caps w:val="0"/>
          <w:smallCaps w:val="0"/>
          <w:noProof w:val="0"/>
          <w:sz w:val="22"/>
          <w:szCs w:val="22"/>
          <w:lang w:val="en-GB"/>
        </w:rPr>
      </w:pPr>
      <w:r w:rsidRPr="1EB51F1B" w:rsidR="10B2D171">
        <w:rPr>
          <w:rFonts w:ascii="Arial" w:hAnsi="Arial" w:eastAsia="Arial" w:cs="Arial"/>
          <w:b w:val="1"/>
          <w:bCs w:val="1"/>
          <w:i w:val="0"/>
          <w:iCs w:val="0"/>
          <w:caps w:val="0"/>
          <w:smallCaps w:val="0"/>
          <w:noProof w:val="0"/>
          <w:sz w:val="22"/>
          <w:szCs w:val="22"/>
          <w:lang w:val="en-GB"/>
        </w:rPr>
        <w:t>Change management team and roles</w:t>
      </w:r>
    </w:p>
    <w:p w:rsidR="1EB51F1B" w:rsidP="1EB51F1B" w:rsidRDefault="1EB51F1B" w14:paraId="054828CC" w14:textId="0B565970">
      <w:pPr>
        <w:pStyle w:val="ListParagraph"/>
        <w:shd w:val="clear" w:color="auto" w:fill="FFFFFF" w:themeFill="background1"/>
        <w:spacing w:before="0" w:beforeAutospacing="off" w:after="0" w:afterAutospacing="off"/>
        <w:ind w:left="360"/>
        <w:rPr>
          <w:rFonts w:ascii="Arial" w:hAnsi="Arial" w:eastAsia="Arial" w:cs="Arial"/>
          <w:b w:val="0"/>
          <w:bCs w:val="0"/>
          <w:i w:val="0"/>
          <w:iCs w:val="0"/>
          <w:caps w:val="0"/>
          <w:smallCaps w:val="0"/>
          <w:noProof w:val="0"/>
          <w:sz w:val="22"/>
          <w:szCs w:val="22"/>
          <w:lang w:val="en-GB"/>
        </w:rPr>
      </w:pPr>
    </w:p>
    <w:p w:rsidR="15510583" w:rsidP="1EB51F1B" w:rsidRDefault="15510583" w14:paraId="57DFE431" w14:textId="32135DF8">
      <w:pPr>
        <w:pStyle w:val="ListParagraph"/>
        <w:numPr>
          <w:ilvl w:val="0"/>
          <w:numId w:val="3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Sponsor: Chief Executive Officer (CEO) and Board Transformation Committee.</w:t>
      </w:r>
    </w:p>
    <w:p w:rsidR="15510583" w:rsidP="1EB51F1B" w:rsidRDefault="15510583" w14:paraId="73C53EDE" w14:textId="1D044A5A">
      <w:pPr>
        <w:pStyle w:val="ListParagraph"/>
        <w:numPr>
          <w:ilvl w:val="0"/>
          <w:numId w:val="3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Change leader: Chief Transformation Officer (CTO) or equivalent, responsible for end-to-end delivery.</w:t>
      </w:r>
    </w:p>
    <w:p w:rsidR="15510583" w:rsidP="1EB51F1B" w:rsidRDefault="15510583" w14:paraId="671DC07B" w14:textId="21AD2EED">
      <w:pPr>
        <w:pStyle w:val="ListParagraph"/>
        <w:numPr>
          <w:ilvl w:val="0"/>
          <w:numId w:val="3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PMO: program managers, benefits analysts, communications lead, training/organization development lead, </w:t>
      </w:r>
      <w:r w:rsidRPr="1EB51F1B" w:rsidR="10B2D171">
        <w:rPr>
          <w:rFonts w:ascii="Arial" w:hAnsi="Arial" w:eastAsia="Arial" w:cs="Arial"/>
          <w:b w:val="0"/>
          <w:bCs w:val="0"/>
          <w:i w:val="0"/>
          <w:iCs w:val="0"/>
          <w:caps w:val="0"/>
          <w:smallCaps w:val="0"/>
          <w:noProof w:val="0"/>
          <w:sz w:val="22"/>
          <w:szCs w:val="22"/>
          <w:lang w:val="en-GB"/>
        </w:rPr>
        <w:t>cyberrisk</w:t>
      </w:r>
      <w:r w:rsidRPr="1EB51F1B" w:rsidR="10B2D171">
        <w:rPr>
          <w:rFonts w:ascii="Arial" w:hAnsi="Arial" w:eastAsia="Arial" w:cs="Arial"/>
          <w:b w:val="0"/>
          <w:bCs w:val="0"/>
          <w:i w:val="0"/>
          <w:iCs w:val="0"/>
          <w:caps w:val="0"/>
          <w:smallCaps w:val="0"/>
          <w:noProof w:val="0"/>
          <w:sz w:val="22"/>
          <w:szCs w:val="22"/>
          <w:lang w:val="en-GB"/>
        </w:rPr>
        <w:t xml:space="preserve"> lead.</w:t>
      </w:r>
    </w:p>
    <w:p w:rsidR="56512D8A" w:rsidP="1EB51F1B" w:rsidRDefault="56512D8A" w14:paraId="435291AD" w14:textId="1C5453D8">
      <w:pPr>
        <w:pStyle w:val="ListParagraph"/>
        <w:numPr>
          <w:ilvl w:val="0"/>
          <w:numId w:val="33"/>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10B2D171">
        <w:rPr>
          <w:rFonts w:ascii="Arial" w:hAnsi="Arial" w:eastAsia="Arial" w:cs="Arial"/>
          <w:b w:val="0"/>
          <w:bCs w:val="0"/>
          <w:i w:val="0"/>
          <w:iCs w:val="0"/>
          <w:caps w:val="0"/>
          <w:smallCaps w:val="0"/>
          <w:noProof w:val="0"/>
          <w:sz w:val="22"/>
          <w:szCs w:val="22"/>
          <w:lang w:val="en-GB"/>
        </w:rPr>
        <w:t xml:space="preserve">Functional owners: Operations, IT and Digital, Asset Management, Customer Experience, </w:t>
      </w:r>
      <w:r w:rsidRPr="1EB51F1B" w:rsidR="10B2D171">
        <w:rPr>
          <w:rFonts w:ascii="Arial" w:hAnsi="Arial" w:eastAsia="Arial" w:cs="Arial"/>
          <w:b w:val="0"/>
          <w:bCs w:val="0"/>
          <w:i w:val="0"/>
          <w:iCs w:val="0"/>
          <w:caps w:val="0"/>
          <w:smallCaps w:val="0"/>
          <w:noProof w:val="0"/>
          <w:sz w:val="22"/>
          <w:szCs w:val="22"/>
          <w:lang w:val="en-GB"/>
        </w:rPr>
        <w:t>HR</w:t>
      </w:r>
      <w:r w:rsidRPr="1EB51F1B" w:rsidR="10B2D171">
        <w:rPr>
          <w:rFonts w:ascii="Arial" w:hAnsi="Arial" w:eastAsia="Arial" w:cs="Arial"/>
          <w:b w:val="0"/>
          <w:bCs w:val="0"/>
          <w:i w:val="0"/>
          <w:iCs w:val="0"/>
          <w:caps w:val="0"/>
          <w:smallCaps w:val="0"/>
          <w:noProof w:val="0"/>
          <w:sz w:val="22"/>
          <w:szCs w:val="22"/>
          <w:lang w:val="en-GB"/>
        </w:rPr>
        <w:t xml:space="preserve"> and Culture.</w:t>
      </w:r>
    </w:p>
    <w:p w:rsidR="1EB51F1B" w:rsidP="1EB51F1B" w:rsidRDefault="1EB51F1B" w14:paraId="6E5332ED" w14:textId="360D5396">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p>
    <w:p w:rsidR="1EB51F1B" w:rsidP="1EB51F1B" w:rsidRDefault="1EB51F1B" w14:paraId="1E434CCD" w14:textId="2A083D7B">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p>
    <w:p w:rsidR="58184A03" w:rsidP="1EB51F1B" w:rsidRDefault="58184A03" w14:paraId="13AE5C8A" w14:textId="4860D5FF">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r w:rsidRPr="1EB51F1B" w:rsidR="58184A03">
        <w:rPr>
          <w:rFonts w:ascii="D-DINExp" w:hAnsi="D-DINExp" w:eastAsia="D-DINExp" w:cs="D-DINExp"/>
          <w:b w:val="1"/>
          <w:bCs w:val="1"/>
          <w:i w:val="0"/>
          <w:iCs w:val="0"/>
          <w:caps w:val="0"/>
          <w:smallCaps w:val="0"/>
          <w:noProof w:val="0"/>
          <w:sz w:val="21"/>
          <w:szCs w:val="21"/>
          <w:lang w:val="en-GB"/>
        </w:rPr>
        <w:t>Conclusion</w:t>
      </w:r>
      <w:r w:rsidRPr="1EB51F1B" w:rsidR="58184A03">
        <w:rPr>
          <w:rFonts w:ascii="D-DINExp" w:hAnsi="D-DINExp" w:eastAsia="D-DINExp" w:cs="D-DINExp"/>
          <w:b w:val="0"/>
          <w:bCs w:val="0"/>
          <w:i w:val="0"/>
          <w:iCs w:val="0"/>
          <w:caps w:val="0"/>
          <w:smallCaps w:val="0"/>
          <w:noProof w:val="0"/>
          <w:sz w:val="21"/>
          <w:szCs w:val="21"/>
          <w:lang w:val="en-GB"/>
        </w:rPr>
        <w:t>:</w:t>
      </w:r>
    </w:p>
    <w:p w:rsidR="1EB51F1B" w:rsidP="1EB51F1B" w:rsidRDefault="1EB51F1B" w14:paraId="53CC3C68" w14:textId="2E60AA6F">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p>
    <w:p w:rsidR="4BF38522" w:rsidP="1EB51F1B" w:rsidRDefault="4BF38522" w14:paraId="3B844172" w14:textId="620C3F3B">
      <w:pPr>
        <w:pStyle w:val="Normal"/>
        <w:shd w:val="clear" w:color="auto" w:fill="FFFFFF" w:themeFill="background1"/>
        <w:spacing w:before="0" w:beforeAutospacing="off" w:after="0" w:afterAutospacing="off"/>
        <w:ind w:left="0"/>
      </w:pPr>
      <w:r w:rsidRPr="1EB51F1B" w:rsidR="4BF38522">
        <w:rPr>
          <w:rFonts w:ascii="D-DINExp" w:hAnsi="D-DINExp" w:eastAsia="D-DINExp" w:cs="D-DINExp"/>
          <w:b w:val="0"/>
          <w:bCs w:val="0"/>
          <w:i w:val="0"/>
          <w:iCs w:val="0"/>
          <w:caps w:val="0"/>
          <w:smallCaps w:val="0"/>
          <w:noProof w:val="0"/>
          <w:sz w:val="21"/>
          <w:szCs w:val="21"/>
          <w:lang w:val="en-GB"/>
        </w:rPr>
        <w:t>The change plan should be built on clear objectives, strong governance, and open, transparent communication. This isn’t just about rules and dashboards—it’s about earning and keeping public trust while meeting rigorous regulatory standards. A phased, evidence-based rollout keeps momentum while reducing risk, with measurable benefits in areas that matter most: reducing leakage, strengthening service resilience, and improving the customer experience. In a highly regulated utility landscape, that thoughtful, human-centered approach is what makes sustainable change possible.</w:t>
      </w:r>
    </w:p>
    <w:p w:rsidR="1EB51F1B" w:rsidP="1EB51F1B" w:rsidRDefault="1EB51F1B" w14:paraId="7276F71D" w14:textId="6850DADA">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p>
    <w:p w:rsidR="1EB51F1B" w:rsidP="1EB51F1B" w:rsidRDefault="1EB51F1B" w14:paraId="13610156" w14:textId="1A2C04F7">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p>
    <w:p w:rsidR="1EB51F1B" w:rsidP="1EB51F1B" w:rsidRDefault="1EB51F1B" w14:paraId="2E93E718" w14:textId="41C7A4B1">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p>
    <w:p w:rsidR="1EB51F1B" w:rsidP="1EB51F1B" w:rsidRDefault="1EB51F1B" w14:paraId="48C611CA" w14:textId="08D1B50D">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p>
    <w:p w:rsidR="1EB51F1B" w:rsidP="1EB51F1B" w:rsidRDefault="1EB51F1B" w14:paraId="14BB37D7" w14:textId="10A93ACA">
      <w:pPr>
        <w:pStyle w:val="Normal"/>
        <w:shd w:val="clear" w:color="auto" w:fill="FFFFFF" w:themeFill="background1"/>
        <w:spacing w:before="0" w:beforeAutospacing="off" w:after="0" w:afterAutospacing="off"/>
        <w:ind w:left="0"/>
        <w:rPr>
          <w:rFonts w:ascii="D-DINExp" w:hAnsi="D-DINExp" w:eastAsia="D-DINExp" w:cs="D-DINExp"/>
          <w:b w:val="0"/>
          <w:bCs w:val="0"/>
          <w:i w:val="0"/>
          <w:iCs w:val="0"/>
          <w:caps w:val="0"/>
          <w:smallCaps w:val="0"/>
          <w:noProof w:val="0"/>
          <w:sz w:val="21"/>
          <w:szCs w:val="21"/>
          <w:lang w:val="en-GB"/>
        </w:rPr>
      </w:pPr>
    </w:p>
    <w:p w:rsidR="1EB51F1B" w:rsidP="1EB51F1B" w:rsidRDefault="1EB51F1B" w14:paraId="392CE5BB" w14:textId="3829ACE3">
      <w:pPr>
        <w:spacing w:before="0" w:beforeAutospacing="off" w:after="0" w:afterAutospacing="off"/>
        <w:rPr>
          <w:rFonts w:ascii="Arial" w:hAnsi="Arial" w:eastAsia="Arial" w:cs="Arial"/>
          <w:sz w:val="22"/>
          <w:szCs w:val="22"/>
        </w:rPr>
      </w:pPr>
    </w:p>
    <w:p w:rsidR="1EB51F1B" w:rsidP="1EB51F1B" w:rsidRDefault="1EB51F1B" w14:paraId="0C7EB781" w14:textId="2EFB306E">
      <w:pPr>
        <w:spacing w:before="0" w:beforeAutospacing="off" w:after="0" w:afterAutospacing="off"/>
        <w:rPr>
          <w:rFonts w:ascii="Arial" w:hAnsi="Arial" w:eastAsia="Arial" w:cs="Arial"/>
          <w:sz w:val="22"/>
          <w:szCs w:val="22"/>
        </w:rPr>
      </w:pPr>
    </w:p>
    <w:p w:rsidR="1EB51F1B" w:rsidP="1EB51F1B" w:rsidRDefault="1EB51F1B" w14:paraId="25A6EB6F" w14:textId="058DD480">
      <w:pPr>
        <w:spacing w:before="0" w:beforeAutospacing="off" w:after="0" w:afterAutospacing="off"/>
        <w:rPr>
          <w:rFonts w:ascii="Arial" w:hAnsi="Arial" w:eastAsia="Arial" w:cs="Arial"/>
          <w:sz w:val="22"/>
          <w:szCs w:val="22"/>
        </w:rPr>
      </w:pPr>
    </w:p>
    <w:p w:rsidR="1EB51F1B" w:rsidP="1EB51F1B" w:rsidRDefault="1EB51F1B" w14:paraId="6AF87C7C" w14:textId="22450E0C">
      <w:pPr>
        <w:spacing w:before="0" w:beforeAutospacing="off" w:after="0" w:afterAutospacing="off"/>
        <w:rPr>
          <w:rFonts w:ascii="Arial" w:hAnsi="Arial" w:eastAsia="Arial" w:cs="Arial"/>
          <w:sz w:val="22"/>
          <w:szCs w:val="22"/>
        </w:rPr>
      </w:pPr>
    </w:p>
    <w:p w:rsidR="1EB51F1B" w:rsidP="1EB51F1B" w:rsidRDefault="1EB51F1B" w14:paraId="7E0A2888" w14:textId="2A49A43B">
      <w:pPr>
        <w:spacing w:before="0" w:beforeAutospacing="off" w:after="0" w:afterAutospacing="off"/>
        <w:rPr>
          <w:rFonts w:ascii="Arial" w:hAnsi="Arial" w:eastAsia="Arial" w:cs="Arial"/>
          <w:sz w:val="22"/>
          <w:szCs w:val="22"/>
        </w:rPr>
      </w:pPr>
    </w:p>
    <w:p w:rsidR="1EB51F1B" w:rsidP="1EB51F1B" w:rsidRDefault="1EB51F1B" w14:paraId="06C895CF" w14:textId="5F6986AE">
      <w:pPr>
        <w:spacing w:before="0" w:beforeAutospacing="off" w:after="0" w:afterAutospacing="off"/>
        <w:rPr>
          <w:rFonts w:ascii="Arial" w:hAnsi="Arial" w:eastAsia="Arial" w:cs="Arial"/>
          <w:sz w:val="22"/>
          <w:szCs w:val="22"/>
        </w:rPr>
      </w:pPr>
    </w:p>
    <w:p w:rsidR="1EB51F1B" w:rsidP="1EB51F1B" w:rsidRDefault="1EB51F1B" w14:paraId="17C3380B" w14:textId="55DEC23C">
      <w:pPr>
        <w:spacing w:before="0" w:beforeAutospacing="off" w:after="0" w:afterAutospacing="off"/>
        <w:rPr>
          <w:rFonts w:ascii="Arial" w:hAnsi="Arial" w:eastAsia="Arial" w:cs="Arial"/>
          <w:sz w:val="22"/>
          <w:szCs w:val="22"/>
        </w:rPr>
      </w:pPr>
    </w:p>
    <w:p w:rsidR="1EB51F1B" w:rsidP="1EB51F1B" w:rsidRDefault="1EB51F1B" w14:paraId="2AC24C44" w14:textId="45183FF4">
      <w:pPr>
        <w:spacing w:before="0" w:beforeAutospacing="off" w:after="0" w:afterAutospacing="off"/>
        <w:rPr>
          <w:rFonts w:ascii="Arial" w:hAnsi="Arial" w:eastAsia="Arial" w:cs="Arial"/>
          <w:sz w:val="22"/>
          <w:szCs w:val="22"/>
        </w:rPr>
      </w:pPr>
    </w:p>
    <w:p w:rsidR="1EB51F1B" w:rsidP="1EB51F1B" w:rsidRDefault="1EB51F1B" w14:paraId="389ED41A" w14:textId="31BBEDD3">
      <w:pPr>
        <w:spacing w:before="0" w:beforeAutospacing="off" w:after="0" w:afterAutospacing="off"/>
        <w:rPr>
          <w:rFonts w:ascii="Arial" w:hAnsi="Arial" w:eastAsia="Arial" w:cs="Arial"/>
          <w:sz w:val="22"/>
          <w:szCs w:val="22"/>
        </w:rPr>
      </w:pPr>
    </w:p>
    <w:p w:rsidR="1EB51F1B" w:rsidP="1EB51F1B" w:rsidRDefault="1EB51F1B" w14:paraId="5458EB80" w14:textId="540455A4">
      <w:pPr>
        <w:spacing w:before="0" w:beforeAutospacing="off" w:after="0" w:afterAutospacing="off"/>
        <w:rPr>
          <w:rFonts w:ascii="Arial" w:hAnsi="Arial" w:eastAsia="Arial" w:cs="Arial"/>
          <w:sz w:val="22"/>
          <w:szCs w:val="22"/>
        </w:rPr>
      </w:pPr>
    </w:p>
    <w:p w:rsidR="1EB51F1B" w:rsidP="1EB51F1B" w:rsidRDefault="1EB51F1B" w14:paraId="244D5326" w14:textId="06188F71">
      <w:pPr>
        <w:spacing w:before="0" w:beforeAutospacing="off" w:after="0" w:afterAutospacing="off"/>
        <w:rPr>
          <w:rFonts w:ascii="Arial" w:hAnsi="Arial" w:eastAsia="Arial" w:cs="Arial"/>
          <w:sz w:val="22"/>
          <w:szCs w:val="22"/>
        </w:rPr>
      </w:pPr>
    </w:p>
    <w:p w:rsidR="1EB51F1B" w:rsidP="1EB51F1B" w:rsidRDefault="1EB51F1B" w14:paraId="71CCB5E3" w14:textId="778178F0">
      <w:pPr>
        <w:spacing w:before="0" w:beforeAutospacing="off" w:after="0" w:afterAutospacing="off"/>
        <w:rPr>
          <w:rFonts w:ascii="Arial" w:hAnsi="Arial" w:eastAsia="Arial" w:cs="Arial"/>
          <w:sz w:val="22"/>
          <w:szCs w:val="22"/>
        </w:rPr>
      </w:pPr>
    </w:p>
    <w:p w:rsidR="1EB51F1B" w:rsidP="1EB51F1B" w:rsidRDefault="1EB51F1B" w14:paraId="547F6992" w14:textId="2FB7D997">
      <w:pPr>
        <w:spacing w:before="0" w:beforeAutospacing="off" w:after="0" w:afterAutospacing="off"/>
        <w:rPr>
          <w:rFonts w:ascii="Arial" w:hAnsi="Arial" w:eastAsia="Arial" w:cs="Arial"/>
          <w:sz w:val="22"/>
          <w:szCs w:val="22"/>
        </w:rPr>
      </w:pPr>
    </w:p>
    <w:p w:rsidR="1EB51F1B" w:rsidP="1EB51F1B" w:rsidRDefault="1EB51F1B" w14:paraId="19B5F214" w14:textId="7C6DE6C9">
      <w:pPr>
        <w:spacing w:before="0" w:beforeAutospacing="off" w:after="0" w:afterAutospacing="off"/>
        <w:rPr>
          <w:rFonts w:ascii="Arial" w:hAnsi="Arial" w:eastAsia="Arial" w:cs="Arial"/>
          <w:sz w:val="22"/>
          <w:szCs w:val="22"/>
        </w:rPr>
      </w:pPr>
    </w:p>
    <w:p w:rsidR="1EB51F1B" w:rsidP="1EB51F1B" w:rsidRDefault="1EB51F1B" w14:paraId="06EF81B1" w14:textId="4AE3BF51">
      <w:pPr>
        <w:spacing w:before="0" w:beforeAutospacing="off" w:after="0" w:afterAutospacing="off"/>
        <w:rPr>
          <w:rFonts w:ascii="Arial" w:hAnsi="Arial" w:eastAsia="Arial" w:cs="Arial"/>
          <w:sz w:val="22"/>
          <w:szCs w:val="22"/>
        </w:rPr>
      </w:pPr>
    </w:p>
    <w:p w:rsidR="1EB51F1B" w:rsidP="1EB51F1B" w:rsidRDefault="1EB51F1B" w14:paraId="7ED855BD" w14:textId="4FCB28A9">
      <w:pPr>
        <w:spacing w:before="0" w:beforeAutospacing="off" w:after="0" w:afterAutospacing="off"/>
        <w:rPr>
          <w:rFonts w:ascii="Arial" w:hAnsi="Arial" w:eastAsia="Arial" w:cs="Arial"/>
          <w:sz w:val="22"/>
          <w:szCs w:val="22"/>
        </w:rPr>
      </w:pPr>
    </w:p>
    <w:p w:rsidR="4B5CD4A6" w:rsidP="1EB51F1B" w:rsidRDefault="4B5CD4A6" w14:paraId="5228152D" w14:textId="4A78CAF2">
      <w:pPr>
        <w:pStyle w:val="Normal"/>
        <w:spacing w:before="0" w:beforeAutospacing="off" w:after="0" w:afterAutospacing="off"/>
        <w:rPr>
          <w:rFonts w:ascii="Arial" w:hAnsi="Arial" w:eastAsia="Arial" w:cs="Arial"/>
          <w:noProof w:val="0"/>
          <w:color w:val="000000" w:themeColor="text1" w:themeTint="FF" w:themeShade="FF"/>
          <w:sz w:val="22"/>
          <w:szCs w:val="22"/>
          <w:lang w:val="en-GB"/>
        </w:rPr>
      </w:pPr>
      <w:r w:rsidRPr="1EB51F1B" w:rsidR="4B5CD4A6">
        <w:rPr>
          <w:rFonts w:ascii="Arial" w:hAnsi="Arial" w:eastAsia="Arial" w:cs="Arial"/>
          <w:b w:val="1"/>
          <w:bCs w:val="1"/>
          <w:noProof w:val="0"/>
          <w:color w:val="000000" w:themeColor="text1" w:themeTint="FF" w:themeShade="FF"/>
          <w:sz w:val="22"/>
          <w:szCs w:val="22"/>
          <w:lang w:val="en-GB"/>
        </w:rPr>
        <w:t>References</w:t>
      </w:r>
      <w:r w:rsidRPr="1EB51F1B" w:rsidR="4B5CD4A6">
        <w:rPr>
          <w:rFonts w:ascii="Arial" w:hAnsi="Arial" w:eastAsia="Arial" w:cs="Arial"/>
          <w:noProof w:val="0"/>
          <w:color w:val="000000" w:themeColor="text1" w:themeTint="FF" w:themeShade="FF"/>
          <w:sz w:val="22"/>
          <w:szCs w:val="22"/>
          <w:lang w:val="en-GB"/>
        </w:rPr>
        <w:t>:</w:t>
      </w:r>
    </w:p>
    <w:p w:rsidR="15510583" w:rsidP="1EB51F1B" w:rsidRDefault="15510583" w14:paraId="521792AF" w14:textId="71E04D59">
      <w:pPr>
        <w:spacing w:before="0" w:beforeAutospacing="off" w:after="0" w:afterAutospacing="off"/>
        <w:rPr>
          <w:rFonts w:ascii="Arial" w:hAnsi="Arial" w:eastAsia="Arial" w:cs="Arial"/>
          <w:sz w:val="22"/>
          <w:szCs w:val="22"/>
        </w:rPr>
      </w:pPr>
    </w:p>
    <w:p w:rsidR="15510583" w:rsidP="1EB51F1B" w:rsidRDefault="15510583" w14:paraId="1C753BE3" w14:textId="7383CDAC">
      <w:pPr>
        <w:spacing w:before="0" w:beforeAutospacing="off" w:after="0" w:afterAutospacing="off"/>
        <w:rPr>
          <w:rFonts w:ascii="Arial" w:hAnsi="Arial" w:eastAsia="Arial" w:cs="Arial"/>
          <w:noProof w:val="0"/>
          <w:color w:val="000000" w:themeColor="text1" w:themeTint="FF" w:themeShade="FF"/>
          <w:sz w:val="22"/>
          <w:szCs w:val="22"/>
          <w:lang w:val="en-GB"/>
        </w:rPr>
      </w:pPr>
    </w:p>
    <w:p w:rsidR="4B5CD4A6" w:rsidP="1EB51F1B" w:rsidRDefault="4B5CD4A6" w14:paraId="588E297C" w14:textId="65B66500">
      <w:pPr>
        <w:pStyle w:val="ListParagraph"/>
        <w:numPr>
          <w:ilvl w:val="0"/>
          <w:numId w:val="35"/>
        </w:numPr>
        <w:spacing w:before="0" w:beforeAutospacing="off" w:after="0" w:afterAutospacing="off"/>
        <w:rPr>
          <w:rFonts w:ascii="Arial" w:hAnsi="Arial" w:eastAsia="Arial" w:cs="Arial"/>
          <w:noProof w:val="0"/>
          <w:color w:val="000000" w:themeColor="text1" w:themeTint="FF" w:themeShade="FF"/>
          <w:sz w:val="22"/>
          <w:szCs w:val="22"/>
          <w:lang w:val="en-GB"/>
        </w:rPr>
      </w:pPr>
      <w:r w:rsidRPr="1EB51F1B" w:rsidR="6B112DA8">
        <w:rPr>
          <w:rFonts w:ascii="D-DINExp" w:hAnsi="D-DINExp" w:eastAsia="D-DINExp" w:cs="D-DINExp"/>
          <w:b w:val="0"/>
          <w:bCs w:val="0"/>
          <w:i w:val="0"/>
          <w:iCs w:val="0"/>
          <w:caps w:val="0"/>
          <w:smallCaps w:val="0"/>
          <w:noProof w:val="0"/>
          <w:sz w:val="21"/>
          <w:szCs w:val="21"/>
          <w:lang w:val="en-GB"/>
        </w:rPr>
        <w:t xml:space="preserve">Kotter, J. P. (1996). Leading Change. Harvard Business School </w:t>
      </w:r>
      <w:r w:rsidRPr="1EB51F1B" w:rsidR="6B112DA8">
        <w:rPr>
          <w:rFonts w:ascii="D-DINExp" w:hAnsi="D-DINExp" w:eastAsia="D-DINExp" w:cs="D-DINExp"/>
          <w:b w:val="0"/>
          <w:bCs w:val="0"/>
          <w:i w:val="0"/>
          <w:iCs w:val="0"/>
          <w:caps w:val="0"/>
          <w:smallCaps w:val="0"/>
          <w:noProof w:val="0"/>
          <w:sz w:val="21"/>
          <w:szCs w:val="21"/>
          <w:lang w:val="en-GB"/>
        </w:rPr>
        <w:t>Press.</w:t>
      </w:r>
    </w:p>
    <w:p w:rsidR="1EB51F1B" w:rsidP="1EB51F1B" w:rsidRDefault="1EB51F1B" w14:paraId="4C200855" w14:textId="66C2FBB4">
      <w:pPr>
        <w:pStyle w:val="ListParagraph"/>
        <w:spacing w:before="0" w:beforeAutospacing="off" w:after="0" w:afterAutospacing="off"/>
        <w:ind w:left="720"/>
        <w:rPr>
          <w:rFonts w:ascii="Arial" w:hAnsi="Arial" w:eastAsia="Arial" w:cs="Arial"/>
          <w:noProof w:val="0"/>
          <w:color w:val="000000" w:themeColor="text1" w:themeTint="FF" w:themeShade="FF"/>
          <w:sz w:val="22"/>
          <w:szCs w:val="22"/>
          <w:lang w:val="en-GB"/>
        </w:rPr>
      </w:pPr>
    </w:p>
    <w:p w:rsidR="74445A66" w:rsidP="1EB51F1B" w:rsidRDefault="74445A66" w14:paraId="59BDAC8C" w14:textId="1D70316B">
      <w:pPr>
        <w:pStyle w:val="ListParagraph"/>
        <w:numPr>
          <w:ilvl w:val="0"/>
          <w:numId w:val="35"/>
        </w:numPr>
        <w:spacing w:before="0" w:beforeAutospacing="off" w:after="0" w:afterAutospacing="off"/>
        <w:rPr>
          <w:rFonts w:ascii="D-DINExp" w:hAnsi="D-DINExp" w:eastAsia="D-DINExp" w:cs="D-DINExp"/>
          <w:b w:val="0"/>
          <w:bCs w:val="0"/>
          <w:i w:val="0"/>
          <w:iCs w:val="0"/>
          <w:caps w:val="0"/>
          <w:smallCaps w:val="0"/>
          <w:strike w:val="0"/>
          <w:dstrike w:val="0"/>
          <w:noProof w:val="0"/>
          <w:color w:val="0969DA"/>
          <w:sz w:val="21"/>
          <w:szCs w:val="21"/>
          <w:u w:val="none"/>
          <w:lang w:val="en-GB"/>
        </w:rPr>
      </w:pPr>
      <w:r w:rsidRPr="1EB51F1B" w:rsidR="74445A66">
        <w:rPr>
          <w:rFonts w:ascii="D-DINExp" w:hAnsi="D-DINExp" w:eastAsia="D-DINExp" w:cs="D-DINExp"/>
          <w:b w:val="0"/>
          <w:bCs w:val="0"/>
          <w:i w:val="0"/>
          <w:iCs w:val="0"/>
          <w:caps w:val="0"/>
          <w:smallCaps w:val="0"/>
          <w:noProof w:val="0"/>
          <w:sz w:val="21"/>
          <w:szCs w:val="21"/>
          <w:lang w:val="en-GB"/>
        </w:rPr>
        <w:t xml:space="preserve">Thames Water. (n.d.). About Thames Water. Retrieved [date], from </w:t>
      </w:r>
      <w:hyperlink r:id="R2deb94cd2ab6479d">
        <w:r w:rsidRPr="1EB51F1B" w:rsidR="74445A66">
          <w:rPr>
            <w:rStyle w:val="Hyperlink"/>
            <w:rFonts w:ascii="D-DINExp" w:hAnsi="D-DINExp" w:eastAsia="D-DINExp" w:cs="D-DINExp"/>
            <w:b w:val="0"/>
            <w:bCs w:val="0"/>
            <w:i w:val="0"/>
            <w:iCs w:val="0"/>
            <w:caps w:val="0"/>
            <w:smallCaps w:val="0"/>
            <w:strike w:val="0"/>
            <w:dstrike w:val="0"/>
            <w:noProof w:val="0"/>
            <w:color w:val="0969DA"/>
            <w:sz w:val="21"/>
            <w:szCs w:val="21"/>
            <w:u w:val="none"/>
            <w:lang w:val="en-GB"/>
          </w:rPr>
          <w:t>https://www.thameswater.co.uk/about-us</w:t>
        </w:r>
      </w:hyperlink>
    </w:p>
    <w:p w:rsidR="1EB51F1B" w:rsidP="1EB51F1B" w:rsidRDefault="1EB51F1B" w14:paraId="4FC0C382" w14:textId="140933C4">
      <w:pPr>
        <w:pStyle w:val="ListParagraph"/>
        <w:spacing w:before="0" w:beforeAutospacing="off" w:after="0" w:afterAutospacing="off"/>
        <w:ind w:left="720"/>
        <w:rPr>
          <w:rFonts w:ascii="Arial" w:hAnsi="Arial" w:eastAsia="Arial" w:cs="Arial"/>
          <w:noProof w:val="0"/>
          <w:color w:val="000000" w:themeColor="text1" w:themeTint="FF" w:themeShade="FF"/>
          <w:sz w:val="22"/>
          <w:szCs w:val="22"/>
          <w:lang w:val="en-GB"/>
        </w:rPr>
      </w:pPr>
    </w:p>
    <w:p w:rsidR="4B5CD4A6" w:rsidP="1EB51F1B" w:rsidRDefault="4B5CD4A6" w14:paraId="5B3A4D03" w14:textId="045673E8">
      <w:pPr>
        <w:pStyle w:val="ListParagraph"/>
        <w:numPr>
          <w:ilvl w:val="0"/>
          <w:numId w:val="35"/>
        </w:numPr>
        <w:spacing w:before="0" w:beforeAutospacing="off" w:after="0" w:afterAutospacing="off"/>
        <w:rPr>
          <w:rFonts w:ascii="Arial" w:hAnsi="Arial" w:eastAsia="Arial" w:cs="Arial"/>
          <w:noProof w:val="0"/>
          <w:color w:val="000000" w:themeColor="text1" w:themeTint="FF" w:themeShade="FF"/>
          <w:sz w:val="22"/>
          <w:szCs w:val="22"/>
          <w:lang w:val="en-GB"/>
        </w:rPr>
      </w:pPr>
      <w:r w:rsidRPr="1EB51F1B" w:rsidR="29C5908E">
        <w:rPr>
          <w:rFonts w:ascii="D-DINExp" w:hAnsi="D-DINExp" w:eastAsia="D-DINExp" w:cs="D-DINExp"/>
          <w:b w:val="0"/>
          <w:bCs w:val="0"/>
          <w:i w:val="0"/>
          <w:iCs w:val="0"/>
          <w:caps w:val="0"/>
          <w:smallCaps w:val="0"/>
          <w:noProof w:val="0"/>
          <w:sz w:val="21"/>
          <w:szCs w:val="21"/>
          <w:lang w:val="en-GB"/>
        </w:rPr>
        <w:t xml:space="preserve">Lewin, K. (1951). Field Theory in Social Science. New York: Harper &amp; </w:t>
      </w:r>
      <w:r w:rsidRPr="1EB51F1B" w:rsidR="7EBAF0C4">
        <w:rPr>
          <w:rFonts w:ascii="D-DINExp" w:hAnsi="D-DINExp" w:eastAsia="D-DINExp" w:cs="D-DINExp"/>
          <w:b w:val="0"/>
          <w:bCs w:val="0"/>
          <w:i w:val="0"/>
          <w:iCs w:val="0"/>
          <w:caps w:val="0"/>
          <w:smallCaps w:val="0"/>
          <w:noProof w:val="0"/>
          <w:sz w:val="21"/>
          <w:szCs w:val="21"/>
          <w:lang w:val="en-GB"/>
        </w:rPr>
        <w:t>Row.</w:t>
      </w:r>
    </w:p>
    <w:p w:rsidR="1EB51F1B" w:rsidP="1EB51F1B" w:rsidRDefault="1EB51F1B" w14:paraId="233A86D9" w14:textId="5988BECA">
      <w:pPr>
        <w:pStyle w:val="ListParagraph"/>
        <w:spacing w:before="0" w:beforeAutospacing="off" w:after="0" w:afterAutospacing="off"/>
        <w:ind w:left="720"/>
        <w:rPr>
          <w:rFonts w:ascii="Arial" w:hAnsi="Arial" w:eastAsia="Arial" w:cs="Arial"/>
          <w:noProof w:val="0"/>
          <w:color w:val="000000" w:themeColor="text1" w:themeTint="FF" w:themeShade="FF"/>
          <w:sz w:val="22"/>
          <w:szCs w:val="22"/>
          <w:lang w:val="en-GB"/>
        </w:rPr>
      </w:pPr>
    </w:p>
    <w:p w:rsidR="24F9ACDC" w:rsidP="1EB51F1B" w:rsidRDefault="24F9ACDC" w14:paraId="634EAE20" w14:textId="60D73DC2">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24F9ACDC">
        <w:rPr>
          <w:rFonts w:ascii="Arial" w:hAnsi="Arial" w:eastAsia="Arial" w:cs="Arial"/>
          <w:b w:val="0"/>
          <w:bCs w:val="0"/>
          <w:i w:val="0"/>
          <w:iCs w:val="0"/>
          <w:caps w:val="0"/>
          <w:smallCaps w:val="0"/>
          <w:noProof w:val="0"/>
          <w:sz w:val="22"/>
          <w:szCs w:val="22"/>
          <w:lang w:val="en-GB"/>
        </w:rPr>
        <w:t>Burnes, B. (2017) Managing Change. 7th ed. Harlow: Pearson.</w:t>
      </w:r>
    </w:p>
    <w:p w:rsidR="1EB51F1B" w:rsidP="1EB51F1B" w:rsidRDefault="1EB51F1B" w14:paraId="28D95E61" w14:textId="79A7A62E">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24F9ACDC" w:rsidP="1EB51F1B" w:rsidRDefault="24F9ACDC" w14:paraId="0E12B396" w14:textId="55F0C6FD">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24F9ACDC">
        <w:rPr>
          <w:rFonts w:ascii="Arial" w:hAnsi="Arial" w:eastAsia="Arial" w:cs="Arial"/>
          <w:b w:val="0"/>
          <w:bCs w:val="0"/>
          <w:i w:val="0"/>
          <w:iCs w:val="0"/>
          <w:caps w:val="0"/>
          <w:smallCaps w:val="0"/>
          <w:noProof w:val="0"/>
          <w:sz w:val="22"/>
          <w:szCs w:val="22"/>
          <w:lang w:val="en-GB"/>
        </w:rPr>
        <w:t>Kotter, J.P. (1995) Leading Change. Boston, MA: Harvard Business School Press.</w:t>
      </w:r>
    </w:p>
    <w:p w:rsidR="1EB51F1B" w:rsidP="1EB51F1B" w:rsidRDefault="1EB51F1B" w14:paraId="21177A76" w14:textId="4CB03121">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24F9ACDC" w:rsidP="1EB51F1B" w:rsidRDefault="24F9ACDC" w14:paraId="0B61B399" w14:textId="43C1E60D">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24F9ACDC">
        <w:rPr>
          <w:rFonts w:ascii="Arial" w:hAnsi="Arial" w:eastAsia="Arial" w:cs="Arial"/>
          <w:b w:val="0"/>
          <w:bCs w:val="0"/>
          <w:i w:val="0"/>
          <w:iCs w:val="0"/>
          <w:caps w:val="0"/>
          <w:smallCaps w:val="0"/>
          <w:noProof w:val="0"/>
          <w:sz w:val="22"/>
          <w:szCs w:val="22"/>
          <w:lang w:val="en-GB"/>
        </w:rPr>
        <w:t>Nabatchi</w:t>
      </w:r>
      <w:r w:rsidRPr="1EB51F1B" w:rsidR="24F9ACDC">
        <w:rPr>
          <w:rFonts w:ascii="Arial" w:hAnsi="Arial" w:eastAsia="Arial" w:cs="Arial"/>
          <w:b w:val="0"/>
          <w:bCs w:val="0"/>
          <w:i w:val="0"/>
          <w:iCs w:val="0"/>
          <w:caps w:val="0"/>
          <w:smallCaps w:val="0"/>
          <w:noProof w:val="0"/>
          <w:sz w:val="22"/>
          <w:szCs w:val="22"/>
          <w:lang w:val="en-GB"/>
        </w:rPr>
        <w:t>, T., et al. (2017) ‘Public engagement and governance in the age of big data’, Public Administration Review, 77(1), pp. 110–121.</w:t>
      </w:r>
    </w:p>
    <w:p w:rsidR="1EB51F1B" w:rsidP="1EB51F1B" w:rsidRDefault="1EB51F1B" w14:paraId="1C4DD190" w14:textId="4C9CA17E">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24F9ACDC" w:rsidP="1EB51F1B" w:rsidRDefault="24F9ACDC" w14:paraId="0DD8A4DF" w14:textId="6F122679">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24F9ACDC">
        <w:rPr>
          <w:rFonts w:ascii="Arial" w:hAnsi="Arial" w:eastAsia="Arial" w:cs="Arial"/>
          <w:b w:val="0"/>
          <w:bCs w:val="0"/>
          <w:i w:val="0"/>
          <w:iCs w:val="0"/>
          <w:caps w:val="0"/>
          <w:smallCaps w:val="0"/>
          <w:noProof w:val="0"/>
          <w:sz w:val="22"/>
          <w:szCs w:val="22"/>
          <w:lang w:val="en-GB"/>
        </w:rPr>
        <w:t xml:space="preserve">Ofwat (2023) Price Review and regulatory performance reports. Available at: </w:t>
      </w:r>
      <w:hyperlink r:id="R45bb6a4904ab471a">
        <w:r w:rsidRPr="1EB51F1B" w:rsidR="24F9ACDC">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https://www.ofwat.gov.uk</w:t>
        </w:r>
      </w:hyperlink>
      <w:r w:rsidRPr="1EB51F1B" w:rsidR="24F9ACDC">
        <w:rPr>
          <w:rFonts w:ascii="Arial" w:hAnsi="Arial" w:eastAsia="Arial" w:cs="Arial"/>
          <w:b w:val="0"/>
          <w:bCs w:val="0"/>
          <w:i w:val="0"/>
          <w:iCs w:val="0"/>
          <w:caps w:val="0"/>
          <w:smallCaps w:val="0"/>
          <w:noProof w:val="0"/>
          <w:sz w:val="22"/>
          <w:szCs w:val="22"/>
          <w:lang w:val="en-GB"/>
        </w:rPr>
        <w:t xml:space="preserve"> (Accessed: 15 December 202</w:t>
      </w:r>
      <w:r w:rsidRPr="1EB51F1B" w:rsidR="5AE5F0C9">
        <w:rPr>
          <w:rFonts w:ascii="Arial" w:hAnsi="Arial" w:eastAsia="Arial" w:cs="Arial"/>
          <w:b w:val="0"/>
          <w:bCs w:val="0"/>
          <w:i w:val="0"/>
          <w:iCs w:val="0"/>
          <w:caps w:val="0"/>
          <w:smallCaps w:val="0"/>
          <w:noProof w:val="0"/>
          <w:sz w:val="22"/>
          <w:szCs w:val="22"/>
          <w:lang w:val="en-GB"/>
        </w:rPr>
        <w:t>5</w:t>
      </w:r>
      <w:r w:rsidRPr="1EB51F1B" w:rsidR="24F9ACDC">
        <w:rPr>
          <w:rFonts w:ascii="Arial" w:hAnsi="Arial" w:eastAsia="Arial" w:cs="Arial"/>
          <w:b w:val="0"/>
          <w:bCs w:val="0"/>
          <w:i w:val="0"/>
          <w:iCs w:val="0"/>
          <w:caps w:val="0"/>
          <w:smallCaps w:val="0"/>
          <w:noProof w:val="0"/>
          <w:sz w:val="22"/>
          <w:szCs w:val="22"/>
          <w:lang w:val="en-GB"/>
        </w:rPr>
        <w:t>).</w:t>
      </w:r>
      <w:r>
        <w:br/>
      </w:r>
    </w:p>
    <w:p w:rsidR="24F9ACDC" w:rsidP="1EB51F1B" w:rsidRDefault="24F9ACDC" w14:paraId="125A3D78" w14:textId="203803FB">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24F9ACDC">
        <w:rPr>
          <w:rFonts w:ascii="Arial" w:hAnsi="Arial" w:eastAsia="Arial" w:cs="Arial"/>
          <w:b w:val="0"/>
          <w:bCs w:val="0"/>
          <w:i w:val="0"/>
          <w:iCs w:val="0"/>
          <w:caps w:val="0"/>
          <w:smallCaps w:val="0"/>
          <w:noProof w:val="0"/>
          <w:sz w:val="22"/>
          <w:szCs w:val="22"/>
          <w:lang w:val="en-GB"/>
        </w:rPr>
        <w:t xml:space="preserve">Thames Water (2023) Annual report and accounts. Available at: </w:t>
      </w:r>
      <w:hyperlink r:id="R9276d1c9321041c8">
        <w:r w:rsidRPr="1EB51F1B" w:rsidR="24F9ACDC">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https://www.thameswater.co.uk/about-us/investors/annual-report</w:t>
        </w:r>
      </w:hyperlink>
      <w:r w:rsidRPr="1EB51F1B" w:rsidR="24F9ACDC">
        <w:rPr>
          <w:rFonts w:ascii="Arial" w:hAnsi="Arial" w:eastAsia="Arial" w:cs="Arial"/>
          <w:b w:val="0"/>
          <w:bCs w:val="0"/>
          <w:i w:val="0"/>
          <w:iCs w:val="0"/>
          <w:caps w:val="0"/>
          <w:smallCaps w:val="0"/>
          <w:noProof w:val="0"/>
          <w:sz w:val="22"/>
          <w:szCs w:val="22"/>
          <w:lang w:val="en-GB"/>
        </w:rPr>
        <w:t xml:space="preserve"> (Accessed: 15 December 202</w:t>
      </w:r>
      <w:r w:rsidRPr="1EB51F1B" w:rsidR="5CAF848C">
        <w:rPr>
          <w:rFonts w:ascii="Arial" w:hAnsi="Arial" w:eastAsia="Arial" w:cs="Arial"/>
          <w:b w:val="0"/>
          <w:bCs w:val="0"/>
          <w:i w:val="0"/>
          <w:iCs w:val="0"/>
          <w:caps w:val="0"/>
          <w:smallCaps w:val="0"/>
          <w:noProof w:val="0"/>
          <w:sz w:val="22"/>
          <w:szCs w:val="22"/>
          <w:lang w:val="en-GB"/>
        </w:rPr>
        <w:t>5</w:t>
      </w:r>
      <w:r w:rsidRPr="1EB51F1B" w:rsidR="24F9ACDC">
        <w:rPr>
          <w:rFonts w:ascii="Arial" w:hAnsi="Arial" w:eastAsia="Arial" w:cs="Arial"/>
          <w:b w:val="0"/>
          <w:bCs w:val="0"/>
          <w:i w:val="0"/>
          <w:iCs w:val="0"/>
          <w:caps w:val="0"/>
          <w:smallCaps w:val="0"/>
          <w:noProof w:val="0"/>
          <w:sz w:val="22"/>
          <w:szCs w:val="22"/>
          <w:lang w:val="en-GB"/>
        </w:rPr>
        <w:t>).</w:t>
      </w:r>
      <w:r>
        <w:br/>
      </w:r>
    </w:p>
    <w:p w:rsidR="24F9ACDC" w:rsidP="1EB51F1B" w:rsidRDefault="24F9ACDC" w14:paraId="37743B6B" w14:textId="2B1CE2A6">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24F9ACDC">
        <w:rPr>
          <w:rFonts w:ascii="Arial" w:hAnsi="Arial" w:eastAsia="Arial" w:cs="Arial"/>
          <w:b w:val="0"/>
          <w:bCs w:val="0"/>
          <w:i w:val="0"/>
          <w:iCs w:val="0"/>
          <w:caps w:val="0"/>
          <w:smallCaps w:val="0"/>
          <w:noProof w:val="0"/>
          <w:sz w:val="22"/>
          <w:szCs w:val="22"/>
          <w:lang w:val="en-GB"/>
        </w:rPr>
        <w:t xml:space="preserve">Thames Water (2024) Governance and sustainability reports. Available at: </w:t>
      </w:r>
      <w:hyperlink r:id="R2d6589508383491a">
        <w:r w:rsidRPr="1EB51F1B" w:rsidR="24F9ACDC">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https://www.thameswater.co.uk/about-us/our-organisation</w:t>
        </w:r>
      </w:hyperlink>
      <w:r w:rsidRPr="1EB51F1B" w:rsidR="24F9ACDC">
        <w:rPr>
          <w:rFonts w:ascii="Arial" w:hAnsi="Arial" w:eastAsia="Arial" w:cs="Arial"/>
          <w:b w:val="0"/>
          <w:bCs w:val="0"/>
          <w:i w:val="0"/>
          <w:iCs w:val="0"/>
          <w:caps w:val="0"/>
          <w:smallCaps w:val="0"/>
          <w:noProof w:val="0"/>
          <w:sz w:val="22"/>
          <w:szCs w:val="22"/>
          <w:lang w:val="en-GB"/>
        </w:rPr>
        <w:t xml:space="preserve"> (Accessed: 15 December 202</w:t>
      </w:r>
      <w:r w:rsidRPr="1EB51F1B" w:rsidR="0DC8C711">
        <w:rPr>
          <w:rFonts w:ascii="Arial" w:hAnsi="Arial" w:eastAsia="Arial" w:cs="Arial"/>
          <w:b w:val="0"/>
          <w:bCs w:val="0"/>
          <w:i w:val="0"/>
          <w:iCs w:val="0"/>
          <w:caps w:val="0"/>
          <w:smallCaps w:val="0"/>
          <w:noProof w:val="0"/>
          <w:sz w:val="22"/>
          <w:szCs w:val="22"/>
          <w:lang w:val="en-GB"/>
        </w:rPr>
        <w:t>5</w:t>
      </w:r>
      <w:r w:rsidRPr="1EB51F1B" w:rsidR="24F9ACDC">
        <w:rPr>
          <w:rFonts w:ascii="Arial" w:hAnsi="Arial" w:eastAsia="Arial" w:cs="Arial"/>
          <w:b w:val="0"/>
          <w:bCs w:val="0"/>
          <w:i w:val="0"/>
          <w:iCs w:val="0"/>
          <w:caps w:val="0"/>
          <w:smallCaps w:val="0"/>
          <w:noProof w:val="0"/>
          <w:sz w:val="22"/>
          <w:szCs w:val="22"/>
          <w:lang w:val="en-GB"/>
        </w:rPr>
        <w:t>).</w:t>
      </w:r>
      <w:r>
        <w:br/>
      </w:r>
    </w:p>
    <w:p w:rsidR="24F9ACDC" w:rsidP="1EB51F1B" w:rsidRDefault="24F9ACDC" w14:paraId="72C86029" w14:textId="30346D1E">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24F9ACDC">
        <w:rPr>
          <w:rFonts w:ascii="Arial" w:hAnsi="Arial" w:eastAsia="Arial" w:cs="Arial"/>
          <w:b w:val="0"/>
          <w:bCs w:val="0"/>
          <w:i w:val="0"/>
          <w:iCs w:val="0"/>
          <w:caps w:val="0"/>
          <w:smallCaps w:val="0"/>
          <w:noProof w:val="0"/>
          <w:sz w:val="22"/>
          <w:szCs w:val="22"/>
          <w:lang w:val="en-GB"/>
        </w:rPr>
        <w:t xml:space="preserve">McKinsey &amp; Company (various years) Digital transformation in utilities: best practices and case studies. Available at: </w:t>
      </w:r>
      <w:hyperlink r:id="Rb8ecc6505c0c4dbb">
        <w:r w:rsidRPr="1EB51F1B" w:rsidR="24F9ACDC">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https://www.mckinsey.com</w:t>
        </w:r>
      </w:hyperlink>
      <w:r w:rsidRPr="1EB51F1B" w:rsidR="24F9ACDC">
        <w:rPr>
          <w:rFonts w:ascii="Arial" w:hAnsi="Arial" w:eastAsia="Arial" w:cs="Arial"/>
          <w:b w:val="0"/>
          <w:bCs w:val="0"/>
          <w:i w:val="0"/>
          <w:iCs w:val="0"/>
          <w:caps w:val="0"/>
          <w:smallCaps w:val="0"/>
          <w:noProof w:val="0"/>
          <w:sz w:val="22"/>
          <w:szCs w:val="22"/>
          <w:lang w:val="en-GB"/>
        </w:rPr>
        <w:t xml:space="preserve"> (Accessed: 15 December 202</w:t>
      </w:r>
      <w:r w:rsidRPr="1EB51F1B" w:rsidR="112CC79D">
        <w:rPr>
          <w:rFonts w:ascii="Arial" w:hAnsi="Arial" w:eastAsia="Arial" w:cs="Arial"/>
          <w:b w:val="0"/>
          <w:bCs w:val="0"/>
          <w:i w:val="0"/>
          <w:iCs w:val="0"/>
          <w:caps w:val="0"/>
          <w:smallCaps w:val="0"/>
          <w:noProof w:val="0"/>
          <w:sz w:val="22"/>
          <w:szCs w:val="22"/>
          <w:lang w:val="en-GB"/>
        </w:rPr>
        <w:t>5</w:t>
      </w:r>
      <w:r w:rsidRPr="1EB51F1B" w:rsidR="24F9ACDC">
        <w:rPr>
          <w:rFonts w:ascii="Arial" w:hAnsi="Arial" w:eastAsia="Arial" w:cs="Arial"/>
          <w:b w:val="0"/>
          <w:bCs w:val="0"/>
          <w:i w:val="0"/>
          <w:iCs w:val="0"/>
          <w:caps w:val="0"/>
          <w:smallCaps w:val="0"/>
          <w:noProof w:val="0"/>
          <w:sz w:val="22"/>
          <w:szCs w:val="22"/>
          <w:lang w:val="en-GB"/>
        </w:rPr>
        <w:t>).</w:t>
      </w:r>
    </w:p>
    <w:p w:rsidR="1EB51F1B" w:rsidP="1EB51F1B" w:rsidRDefault="1EB51F1B" w14:paraId="30635A69" w14:textId="18A38B66">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1321863B" w14:textId="7BB5B8C7">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Bass, B.M. and Riggio, R.E. (2006) Transformational Leadership. 2nd ed. Mahwah, NJ: Lawrence Erlbaum Associates.</w:t>
      </w:r>
    </w:p>
    <w:p w:rsidR="1EB51F1B" w:rsidP="1EB51F1B" w:rsidRDefault="1EB51F1B" w14:paraId="410F3363" w14:textId="3F0C6FB6">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56C4971C" w14:textId="2F318B83">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Bass, B.M. (1998) ‘Transformational leadership: Industrial, military, and educational impact’, Applied Psychology: An International Review, 47(3), pp. 272–285.</w:t>
      </w:r>
    </w:p>
    <w:p w:rsidR="1EB51F1B" w:rsidP="1EB51F1B" w:rsidRDefault="1EB51F1B" w14:paraId="677B57E2" w14:textId="32F91A48">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01AE2B45" w14:textId="1819D273">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Burnes, B. (2017) Managing Change. 7th ed. Harlow: Pearson.</w:t>
      </w:r>
    </w:p>
    <w:p w:rsidR="1EB51F1B" w:rsidP="1EB51F1B" w:rsidRDefault="1EB51F1B" w14:paraId="57D36974" w14:textId="21AEEAA7">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5267528F" w14:textId="0A2FE2B6">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 xml:space="preserve">Hiatt, J. (2006) ADKAR: A Model for Change in Business, Government and Our Community. Loveland, CO: </w:t>
      </w:r>
      <w:r w:rsidRPr="1EB51F1B" w:rsidR="0C852FDE">
        <w:rPr>
          <w:rFonts w:ascii="Arial" w:hAnsi="Arial" w:eastAsia="Arial" w:cs="Arial"/>
          <w:b w:val="0"/>
          <w:bCs w:val="0"/>
          <w:i w:val="0"/>
          <w:iCs w:val="0"/>
          <w:caps w:val="0"/>
          <w:smallCaps w:val="0"/>
          <w:noProof w:val="0"/>
          <w:sz w:val="22"/>
          <w:szCs w:val="22"/>
          <w:lang w:val="en-GB"/>
        </w:rPr>
        <w:t>Prosci</w:t>
      </w:r>
      <w:r w:rsidRPr="1EB51F1B" w:rsidR="0C852FDE">
        <w:rPr>
          <w:rFonts w:ascii="Arial" w:hAnsi="Arial" w:eastAsia="Arial" w:cs="Arial"/>
          <w:b w:val="0"/>
          <w:bCs w:val="0"/>
          <w:i w:val="0"/>
          <w:iCs w:val="0"/>
          <w:caps w:val="0"/>
          <w:smallCaps w:val="0"/>
          <w:noProof w:val="0"/>
          <w:sz w:val="22"/>
          <w:szCs w:val="22"/>
          <w:lang w:val="en-GB"/>
        </w:rPr>
        <w:t>.</w:t>
      </w:r>
    </w:p>
    <w:p w:rsidR="1EB51F1B" w:rsidP="1EB51F1B" w:rsidRDefault="1EB51F1B" w14:paraId="0B1E0617" w14:textId="0B1ED164">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5F389A86" w14:textId="297EEFAE">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Kotter, J.P. (1995) Leading Change. Boston, MA: Harvard Business School Press.</w:t>
      </w:r>
    </w:p>
    <w:p w:rsidR="1EB51F1B" w:rsidP="1EB51F1B" w:rsidRDefault="1EB51F1B" w14:paraId="191F4683" w14:textId="0D34ED1D">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5092C1EB" w14:textId="10C39027">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 xml:space="preserve">McKinsey &amp; Company (various years) Digital transformation in utilities: insights and case studies. Available at: </w:t>
      </w:r>
      <w:hyperlink r:id="R4c4f4055126947a7">
        <w:r w:rsidRPr="1EB51F1B" w:rsidR="0C852FDE">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https://www.mckinsey.com</w:t>
        </w:r>
        <w:r w:rsidRPr="1EB51F1B" w:rsidR="4FE4614D">
          <w:rPr>
            <w:rStyle w:val="Hyperlink"/>
            <w:rFonts w:ascii="Arial" w:hAnsi="Arial" w:eastAsia="Arial" w:cs="Arial"/>
            <w:b w:val="0"/>
            <w:bCs w:val="0"/>
            <w:i w:val="0"/>
            <w:iCs w:val="0"/>
            <w:caps w:val="0"/>
            <w:smallCaps w:val="0"/>
            <w:strike w:val="0"/>
            <w:dstrike w:val="0"/>
            <w:noProof w:val="0"/>
            <w:color w:val="0969DA"/>
            <w:sz w:val="22"/>
            <w:szCs w:val="22"/>
            <w:u w:val="none"/>
            <w:lang w:val="en-GB"/>
          </w:rPr>
          <w:t>.</w:t>
        </w:r>
      </w:hyperlink>
    </w:p>
    <w:p w:rsidR="1EB51F1B" w:rsidP="1EB51F1B" w:rsidRDefault="1EB51F1B" w14:paraId="1E286FF9" w14:textId="13663D7F">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2F836D74" w14:textId="2271EFE2">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 xml:space="preserve">Ofwat (2023) Price Review and regulatory performance reports. Available at: </w:t>
      </w:r>
      <w:hyperlink r:id="R23fa7b0b11324e54">
        <w:r w:rsidRPr="1EB51F1B" w:rsidR="0C852FDE">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https://www.ofwat.gov.uk</w:t>
        </w:r>
      </w:hyperlink>
      <w:r w:rsidRPr="1EB51F1B" w:rsidR="0C852FDE">
        <w:rPr>
          <w:rFonts w:ascii="Arial" w:hAnsi="Arial" w:eastAsia="Arial" w:cs="Arial"/>
          <w:b w:val="0"/>
          <w:bCs w:val="0"/>
          <w:i w:val="0"/>
          <w:iCs w:val="0"/>
          <w:caps w:val="0"/>
          <w:smallCaps w:val="0"/>
          <w:noProof w:val="0"/>
          <w:sz w:val="22"/>
          <w:szCs w:val="22"/>
          <w:lang w:val="en-GB"/>
        </w:rPr>
        <w:t xml:space="preserve"> (Accessed: 15 December 202</w:t>
      </w:r>
      <w:r w:rsidRPr="1EB51F1B" w:rsidR="69AF44B0">
        <w:rPr>
          <w:rFonts w:ascii="Arial" w:hAnsi="Arial" w:eastAsia="Arial" w:cs="Arial"/>
          <w:b w:val="0"/>
          <w:bCs w:val="0"/>
          <w:i w:val="0"/>
          <w:iCs w:val="0"/>
          <w:caps w:val="0"/>
          <w:smallCaps w:val="0"/>
          <w:noProof w:val="0"/>
          <w:sz w:val="22"/>
          <w:szCs w:val="22"/>
          <w:lang w:val="en-GB"/>
        </w:rPr>
        <w:t>5</w:t>
      </w:r>
      <w:r w:rsidRPr="1EB51F1B" w:rsidR="0C852FDE">
        <w:rPr>
          <w:rFonts w:ascii="Arial" w:hAnsi="Arial" w:eastAsia="Arial" w:cs="Arial"/>
          <w:b w:val="0"/>
          <w:bCs w:val="0"/>
          <w:i w:val="0"/>
          <w:iCs w:val="0"/>
          <w:caps w:val="0"/>
          <w:smallCaps w:val="0"/>
          <w:noProof w:val="0"/>
          <w:sz w:val="22"/>
          <w:szCs w:val="22"/>
          <w:lang w:val="en-GB"/>
        </w:rPr>
        <w:t>).</w:t>
      </w:r>
    </w:p>
    <w:p w:rsidR="1EB51F1B" w:rsidP="1EB51F1B" w:rsidRDefault="1EB51F1B" w14:paraId="26332B01" w14:textId="1845ACFA">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6C01D114" w14:textId="09E274EB">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Schein, E.H. (2010) Organizational Culture and Leadership. 4th ed. San Francisco, CA: Jossey-Bass.</w:t>
      </w:r>
    </w:p>
    <w:p w:rsidR="0C852FDE" w:rsidP="1EB51F1B" w:rsidRDefault="0C852FDE" w14:paraId="18F039EF" w14:textId="6591C4D2">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 xml:space="preserve">Thames Water (2023) Annual report and accounts. Available at: </w:t>
      </w:r>
      <w:hyperlink r:id="Rab29cf5e2a054179">
        <w:r w:rsidRPr="1EB51F1B" w:rsidR="0C852FDE">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https://www.thameswater.co.uk/about-us/investors/annual-report</w:t>
        </w:r>
      </w:hyperlink>
      <w:r w:rsidRPr="1EB51F1B" w:rsidR="0C852FDE">
        <w:rPr>
          <w:rFonts w:ascii="Arial" w:hAnsi="Arial" w:eastAsia="Arial" w:cs="Arial"/>
          <w:b w:val="0"/>
          <w:bCs w:val="0"/>
          <w:i w:val="0"/>
          <w:iCs w:val="0"/>
          <w:caps w:val="0"/>
          <w:smallCaps w:val="0"/>
          <w:noProof w:val="0"/>
          <w:sz w:val="22"/>
          <w:szCs w:val="22"/>
          <w:lang w:val="en-GB"/>
        </w:rPr>
        <w:t xml:space="preserve"> (Accessed: 15 December 202</w:t>
      </w:r>
      <w:r w:rsidRPr="1EB51F1B" w:rsidR="6559983D">
        <w:rPr>
          <w:rFonts w:ascii="Arial" w:hAnsi="Arial" w:eastAsia="Arial" w:cs="Arial"/>
          <w:b w:val="0"/>
          <w:bCs w:val="0"/>
          <w:i w:val="0"/>
          <w:iCs w:val="0"/>
          <w:caps w:val="0"/>
          <w:smallCaps w:val="0"/>
          <w:noProof w:val="0"/>
          <w:sz w:val="22"/>
          <w:szCs w:val="22"/>
          <w:lang w:val="en-GB"/>
        </w:rPr>
        <w:t>5</w:t>
      </w:r>
      <w:r w:rsidRPr="1EB51F1B" w:rsidR="0C852FDE">
        <w:rPr>
          <w:rFonts w:ascii="Arial" w:hAnsi="Arial" w:eastAsia="Arial" w:cs="Arial"/>
          <w:b w:val="0"/>
          <w:bCs w:val="0"/>
          <w:i w:val="0"/>
          <w:iCs w:val="0"/>
          <w:caps w:val="0"/>
          <w:smallCaps w:val="0"/>
          <w:noProof w:val="0"/>
          <w:sz w:val="22"/>
          <w:szCs w:val="22"/>
          <w:lang w:val="en-GB"/>
        </w:rPr>
        <w:t>).</w:t>
      </w:r>
    </w:p>
    <w:p w:rsidR="1EB51F1B" w:rsidP="1EB51F1B" w:rsidRDefault="1EB51F1B" w14:paraId="43BECE48" w14:textId="5E7E3965">
      <w:pPr>
        <w:pStyle w:val="ListParagraph"/>
        <w:shd w:val="clear" w:color="auto" w:fill="FFFFFF" w:themeFill="background1"/>
        <w:spacing w:before="0" w:beforeAutospacing="off" w:after="0" w:afterAutospacing="off"/>
        <w:ind w:left="720"/>
        <w:rPr>
          <w:rFonts w:ascii="Arial" w:hAnsi="Arial" w:eastAsia="Arial" w:cs="Arial"/>
          <w:b w:val="0"/>
          <w:bCs w:val="0"/>
          <w:i w:val="0"/>
          <w:iCs w:val="0"/>
          <w:caps w:val="0"/>
          <w:smallCaps w:val="0"/>
          <w:noProof w:val="0"/>
          <w:sz w:val="22"/>
          <w:szCs w:val="22"/>
          <w:lang w:val="en-GB"/>
        </w:rPr>
      </w:pPr>
    </w:p>
    <w:p w:rsidR="0C852FDE" w:rsidP="1EB51F1B" w:rsidRDefault="0C852FDE" w14:paraId="1499C556" w14:textId="31DE5CCA">
      <w:pPr>
        <w:pStyle w:val="ListParagraph"/>
        <w:numPr>
          <w:ilvl w:val="0"/>
          <w:numId w:val="35"/>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sz w:val="22"/>
          <w:szCs w:val="22"/>
          <w:lang w:val="en-GB"/>
        </w:rPr>
      </w:pPr>
      <w:r w:rsidRPr="1EB51F1B" w:rsidR="0C852FDE">
        <w:rPr>
          <w:rFonts w:ascii="Arial" w:hAnsi="Arial" w:eastAsia="Arial" w:cs="Arial"/>
          <w:b w:val="0"/>
          <w:bCs w:val="0"/>
          <w:i w:val="0"/>
          <w:iCs w:val="0"/>
          <w:caps w:val="0"/>
          <w:smallCaps w:val="0"/>
          <w:noProof w:val="0"/>
          <w:sz w:val="22"/>
          <w:szCs w:val="22"/>
          <w:lang w:val="en-GB"/>
        </w:rPr>
        <w:t xml:space="preserve">Thames Water (2024) Governance and sustainability reports. Available at: </w:t>
      </w:r>
      <w:hyperlink r:id="Rf93a68937f4b44cc">
        <w:r w:rsidRPr="1EB51F1B" w:rsidR="0C852FDE">
          <w:rPr>
            <w:rStyle w:val="Hyperlink"/>
            <w:rFonts w:ascii="Arial" w:hAnsi="Arial" w:eastAsia="Arial" w:cs="Arial"/>
            <w:b w:val="0"/>
            <w:bCs w:val="0"/>
            <w:i w:val="0"/>
            <w:iCs w:val="0"/>
            <w:caps w:val="0"/>
            <w:smallCaps w:val="0"/>
            <w:strike w:val="0"/>
            <w:dstrike w:val="0"/>
            <w:noProof w:val="0"/>
            <w:color w:val="0969DA"/>
            <w:sz w:val="22"/>
            <w:szCs w:val="22"/>
            <w:u w:val="none"/>
            <w:lang w:val="en-GB"/>
          </w:rPr>
          <w:t>https://www.thameswater.co.uk/about-us/our-organisation</w:t>
        </w:r>
      </w:hyperlink>
      <w:r w:rsidRPr="1EB51F1B" w:rsidR="0C852FDE">
        <w:rPr>
          <w:rFonts w:ascii="Arial" w:hAnsi="Arial" w:eastAsia="Arial" w:cs="Arial"/>
          <w:b w:val="0"/>
          <w:bCs w:val="0"/>
          <w:i w:val="0"/>
          <w:iCs w:val="0"/>
          <w:caps w:val="0"/>
          <w:smallCaps w:val="0"/>
          <w:noProof w:val="0"/>
          <w:sz w:val="22"/>
          <w:szCs w:val="22"/>
          <w:lang w:val="en-GB"/>
        </w:rPr>
        <w:t xml:space="preserve"> (Accessed: 15 December 202</w:t>
      </w:r>
      <w:r w:rsidRPr="1EB51F1B" w:rsidR="7E485F7D">
        <w:rPr>
          <w:rFonts w:ascii="Arial" w:hAnsi="Arial" w:eastAsia="Arial" w:cs="Arial"/>
          <w:b w:val="0"/>
          <w:bCs w:val="0"/>
          <w:i w:val="0"/>
          <w:iCs w:val="0"/>
          <w:caps w:val="0"/>
          <w:smallCaps w:val="0"/>
          <w:noProof w:val="0"/>
          <w:sz w:val="22"/>
          <w:szCs w:val="22"/>
          <w:lang w:val="en-GB"/>
        </w:rPr>
        <w:t>5</w:t>
      </w:r>
      <w:r w:rsidRPr="1EB51F1B" w:rsidR="0C852FDE">
        <w:rPr>
          <w:rFonts w:ascii="Arial" w:hAnsi="Arial" w:eastAsia="Arial" w:cs="Arial"/>
          <w:b w:val="0"/>
          <w:bCs w:val="0"/>
          <w:i w:val="0"/>
          <w:iCs w:val="0"/>
          <w:caps w:val="0"/>
          <w:smallCaps w:val="0"/>
          <w:noProof w:val="0"/>
          <w:sz w:val="22"/>
          <w:szCs w:val="22"/>
          <w:lang w:val="en-GB"/>
        </w:rPr>
        <w:t>).</w:t>
      </w:r>
    </w:p>
    <w:p w:rsidR="1EB51F1B" w:rsidP="1EB51F1B" w:rsidRDefault="1EB51F1B" w14:paraId="6D4FD566" w14:textId="01140FF6">
      <w:pPr>
        <w:pStyle w:val="Normal"/>
        <w:shd w:val="clear" w:color="auto" w:fill="FFFFFF" w:themeFill="background1"/>
        <w:spacing w:before="0" w:beforeAutospacing="off" w:after="0" w:afterAutospacing="off"/>
        <w:ind w:left="0"/>
        <w:rPr>
          <w:rFonts w:ascii="Arial" w:hAnsi="Arial" w:eastAsia="Arial" w:cs="Arial"/>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headerReference w:type="default" r:id="Rc9a57cb353cf47d3"/>
      <w:footerReference w:type="default" r:id="R4397fcf97e1646d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510583" w:rsidTr="15510583" w14:paraId="7192F632">
      <w:trPr>
        <w:trHeight w:val="300"/>
      </w:trPr>
      <w:tc>
        <w:tcPr>
          <w:tcW w:w="3005" w:type="dxa"/>
          <w:tcMar/>
        </w:tcPr>
        <w:p w:rsidR="15510583" w:rsidP="15510583" w:rsidRDefault="15510583" w14:paraId="3C1DA1CF" w14:textId="260232D7">
          <w:pPr>
            <w:pStyle w:val="Header"/>
            <w:bidi w:val="0"/>
            <w:ind w:left="-115"/>
            <w:jc w:val="left"/>
          </w:pPr>
        </w:p>
      </w:tc>
      <w:tc>
        <w:tcPr>
          <w:tcW w:w="3005" w:type="dxa"/>
          <w:tcMar/>
        </w:tcPr>
        <w:p w:rsidR="15510583" w:rsidP="15510583" w:rsidRDefault="15510583" w14:paraId="0ECB5BA9" w14:textId="027A36E1">
          <w:pPr>
            <w:pStyle w:val="Header"/>
            <w:bidi w:val="0"/>
            <w:jc w:val="center"/>
          </w:pPr>
        </w:p>
      </w:tc>
      <w:tc>
        <w:tcPr>
          <w:tcW w:w="3005" w:type="dxa"/>
          <w:tcMar/>
        </w:tcPr>
        <w:p w:rsidR="15510583" w:rsidP="15510583" w:rsidRDefault="15510583" w14:paraId="04A560A2" w14:textId="6C270A35">
          <w:pPr>
            <w:pStyle w:val="Header"/>
            <w:bidi w:val="0"/>
            <w:ind w:right="-115"/>
            <w:jc w:val="right"/>
          </w:pPr>
          <w:r>
            <w:fldChar w:fldCharType="begin"/>
          </w:r>
          <w:r>
            <w:instrText xml:space="preserve">PAGE</w:instrText>
          </w:r>
          <w:r>
            <w:fldChar w:fldCharType="separate"/>
          </w:r>
          <w:r>
            <w:fldChar w:fldCharType="end"/>
          </w:r>
        </w:p>
      </w:tc>
    </w:tr>
  </w:tbl>
  <w:p w:rsidR="15510583" w:rsidP="15510583" w:rsidRDefault="15510583" w14:paraId="44ADF5CF" w14:textId="4E924E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510583" w:rsidTr="15510583" w14:paraId="0E5436AB">
      <w:trPr>
        <w:trHeight w:val="300"/>
      </w:trPr>
      <w:tc>
        <w:tcPr>
          <w:tcW w:w="3005" w:type="dxa"/>
          <w:tcMar/>
        </w:tcPr>
        <w:p w:rsidR="15510583" w:rsidP="15510583" w:rsidRDefault="15510583" w14:paraId="3AB52A03" w14:textId="5F8918D7">
          <w:pPr>
            <w:pStyle w:val="Header"/>
            <w:bidi w:val="0"/>
            <w:ind w:left="-115"/>
            <w:jc w:val="left"/>
          </w:pPr>
        </w:p>
      </w:tc>
      <w:tc>
        <w:tcPr>
          <w:tcW w:w="3005" w:type="dxa"/>
          <w:tcMar/>
        </w:tcPr>
        <w:p w:rsidR="15510583" w:rsidP="15510583" w:rsidRDefault="15510583" w14:paraId="050273AC" w14:textId="5C4565AC">
          <w:pPr>
            <w:pStyle w:val="Header"/>
            <w:bidi w:val="0"/>
            <w:jc w:val="center"/>
          </w:pPr>
        </w:p>
      </w:tc>
      <w:tc>
        <w:tcPr>
          <w:tcW w:w="3005" w:type="dxa"/>
          <w:tcMar/>
        </w:tcPr>
        <w:p w:rsidR="15510583" w:rsidP="15510583" w:rsidRDefault="15510583" w14:paraId="76498618" w14:textId="44C50B2A">
          <w:pPr>
            <w:pStyle w:val="Header"/>
            <w:bidi w:val="0"/>
            <w:ind w:right="-115"/>
            <w:jc w:val="right"/>
          </w:pPr>
        </w:p>
      </w:tc>
    </w:tr>
  </w:tbl>
  <w:p w:rsidR="15510583" w:rsidP="15510583" w:rsidRDefault="15510583" w14:paraId="00DBC4E8" w14:textId="426022EA">
    <w:pPr>
      <w:pStyle w:val="Header"/>
      <w:bidi w:val="0"/>
    </w:pPr>
  </w:p>
</w:hdr>
</file>

<file path=word/intelligence2.xml><?xml version="1.0" encoding="utf-8"?>
<int2:intelligence xmlns:int2="http://schemas.microsoft.com/office/intelligence/2020/intelligence">
  <int2:observations>
    <int2:textHash int2:hashCode="L4hNUzwF3QPkBL" int2:id="P8jLfxf3">
      <int2:state int2:type="spell" int2:value="Rejected"/>
    </int2:textHash>
    <int2:textHash int2:hashCode="dXAWqRN6+lA5//" int2:id="dBvpJzet">
      <int2:state int2:type="spell" int2:value="Rejected"/>
    </int2:textHash>
    <int2:textHash int2:hashCode="zG3B8+QsPPwEM8" int2:id="qWWY48Rx">
      <int2:state int2:type="spell" int2:value="Rejected"/>
    </int2:textHash>
    <int2:textHash int2:hashCode="3whU3EnRVGMJBC" int2:id="IDVfNnjK">
      <int2:state int2:type="spell" int2:value="Rejected"/>
    </int2:textHash>
    <int2:textHash int2:hashCode="w9tVOVYGgG4TWo" int2:id="Onf6yLBL">
      <int2:state int2:type="spell" int2:value="Rejected"/>
    </int2:textHash>
    <int2:textHash int2:hashCode="iRYNuH1f/aWmaI" int2:id="ONGAh6Ph">
      <int2:state int2:type="spell" int2:value="Rejected"/>
    </int2:textHash>
    <int2:textHash int2:hashCode="c5HhFoHn82wrJU" int2:id="gPrkSQuI">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52">
    <w:nsid w:val="3559af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6b53fe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0dee0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d140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e13a1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6252a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16ade3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d2e7c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6c860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1d8711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0268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1881a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4f85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7cc077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c009b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f7b24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92b19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4bdc40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4be4a55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3">
    <w:nsid w:val="2e997dc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2">
    <w:nsid w:val="5147605b"/>
    <w:multiLevelType xmlns:w="http://schemas.openxmlformats.org/wordprocessingml/2006/main" w:val="hybridMultilevel"/>
    <w:lvl xmlns:w="http://schemas.openxmlformats.org/wordprocessingml/2006/main" w:ilvl="0">
      <w:start w:val="7"/>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31">
    <w:nsid w:val="3192588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0">
    <w:nsid w:val="29c3811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9">
    <w:nsid w:val="115b07d1"/>
    <w:multiLevelType xmlns:w="http://schemas.openxmlformats.org/wordprocessingml/2006/main" w:val="hybridMultilevel"/>
    <w:lvl xmlns:w="http://schemas.openxmlformats.org/wordprocessingml/2006/main" w:ilvl="0">
      <w:start w:val="5"/>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8">
    <w:nsid w:val="36c354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7">
    <w:nsid w:val="34ffeb81"/>
    <w:multiLevelType xmlns:w="http://schemas.openxmlformats.org/wordprocessingml/2006/main" w:val="hybridMultilevel"/>
    <w:lvl xmlns:w="http://schemas.openxmlformats.org/wordprocessingml/2006/main" w:ilvl="0">
      <w:start w:val="4"/>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6">
    <w:nsid w:val="1b4b55a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5">
    <w:nsid w:val="4abe07a4"/>
    <w:multiLevelType xmlns:w="http://schemas.openxmlformats.org/wordprocessingml/2006/main" w:val="hybridMultilevel"/>
    <w:lvl xmlns:w="http://schemas.openxmlformats.org/wordprocessingml/2006/main" w:ilvl="0">
      <w:start w:val="3"/>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4">
    <w:nsid w:val="10b82d4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3">
    <w:nsid w:val="6d2415a"/>
    <w:multiLevelType xmlns:w="http://schemas.openxmlformats.org/wordprocessingml/2006/main" w:val="hybridMultilevel"/>
    <w:lvl xmlns:w="http://schemas.openxmlformats.org/wordprocessingml/2006/main" w:ilvl="0">
      <w:start w:val="2"/>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2">
    <w:nsid w:val="621d7e3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1">
    <w:nsid w:val="5a06b1bf"/>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0">
    <w:nsid w:val="22cfa8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9">
    <w:nsid w:val="9af08e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8">
    <w:nsid w:val="791acad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7">
    <w:nsid w:val="60af9be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6">
    <w:nsid w:val="66fb1cb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5">
    <w:nsid w:val="1101fc3f"/>
    <w:multiLevelType xmlns:w="http://schemas.openxmlformats.org/wordprocessingml/2006/main" w:val="hybridMultilevel"/>
    <w:lvl xmlns:w="http://schemas.openxmlformats.org/wordprocessingml/2006/main" w:ilvl="0">
      <w:start w:val="4"/>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4">
    <w:nsid w:val="2b91fec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3">
    <w:nsid w:val="30999197"/>
    <w:multiLevelType xmlns:w="http://schemas.openxmlformats.org/wordprocessingml/2006/main" w:val="hybridMultilevel"/>
    <w:lvl xmlns:w="http://schemas.openxmlformats.org/wordprocessingml/2006/main" w:ilvl="0">
      <w:start w:val="4"/>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2">
    <w:nsid w:val="c45a40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1">
    <w:nsid w:val="5aebb4ef"/>
    <w:multiLevelType xmlns:w="http://schemas.openxmlformats.org/wordprocessingml/2006/main" w:val="hybridMultilevel"/>
    <w:lvl xmlns:w="http://schemas.openxmlformats.org/wordprocessingml/2006/main" w:ilvl="0">
      <w:start w:val="3"/>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10">
    <w:nsid w:val="54d25ed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9">
    <w:nsid w:val="1cd62b7e"/>
    <w:multiLevelType xmlns:w="http://schemas.openxmlformats.org/wordprocessingml/2006/main" w:val="hybridMultilevel"/>
    <w:lvl xmlns:w="http://schemas.openxmlformats.org/wordprocessingml/2006/main" w:ilvl="0">
      <w:start w:val="2"/>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8">
    <w:nsid w:val="ea4f3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
    <w:nsid w:val="6809e802"/>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6">
    <w:nsid w:val="41c09a2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5">
    <w:nsid w:val="33998f62"/>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4">
    <w:nsid w:val="59de253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
    <w:nsid w:val="15223b3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6d0e1e1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
    <w:nsid w:val="7534d9f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66D8D8"/>
    <w:rsid w:val="00517521"/>
    <w:rsid w:val="0140EBEB"/>
    <w:rsid w:val="023DFF51"/>
    <w:rsid w:val="04033CDF"/>
    <w:rsid w:val="04A3EA1A"/>
    <w:rsid w:val="05E6EFB9"/>
    <w:rsid w:val="05F25892"/>
    <w:rsid w:val="063326D5"/>
    <w:rsid w:val="07113104"/>
    <w:rsid w:val="071910B6"/>
    <w:rsid w:val="077B546C"/>
    <w:rsid w:val="07C809A5"/>
    <w:rsid w:val="07E2A723"/>
    <w:rsid w:val="086A363E"/>
    <w:rsid w:val="08A34AA1"/>
    <w:rsid w:val="08A5D2A8"/>
    <w:rsid w:val="0A054F08"/>
    <w:rsid w:val="0B49EF95"/>
    <w:rsid w:val="0B8054E8"/>
    <w:rsid w:val="0BF2A42D"/>
    <w:rsid w:val="0C7D2951"/>
    <w:rsid w:val="0C852FDE"/>
    <w:rsid w:val="0CBAFEDA"/>
    <w:rsid w:val="0D8128CD"/>
    <w:rsid w:val="0DC8C711"/>
    <w:rsid w:val="0E7902FC"/>
    <w:rsid w:val="0FC07FBE"/>
    <w:rsid w:val="0FD157EA"/>
    <w:rsid w:val="10B2D171"/>
    <w:rsid w:val="112CC79D"/>
    <w:rsid w:val="11CCD74E"/>
    <w:rsid w:val="1232325E"/>
    <w:rsid w:val="128E39F9"/>
    <w:rsid w:val="12A2CB03"/>
    <w:rsid w:val="12DBAD53"/>
    <w:rsid w:val="12F24AFC"/>
    <w:rsid w:val="133C4391"/>
    <w:rsid w:val="135E625D"/>
    <w:rsid w:val="13BB9EF3"/>
    <w:rsid w:val="151A30A5"/>
    <w:rsid w:val="15510583"/>
    <w:rsid w:val="155ADB51"/>
    <w:rsid w:val="168E29B6"/>
    <w:rsid w:val="175413AA"/>
    <w:rsid w:val="17DAC3C4"/>
    <w:rsid w:val="18DC966A"/>
    <w:rsid w:val="18E4CFD1"/>
    <w:rsid w:val="19DBE211"/>
    <w:rsid w:val="1B9D2A94"/>
    <w:rsid w:val="1C9FC2B0"/>
    <w:rsid w:val="1D7B49B1"/>
    <w:rsid w:val="1DF39A21"/>
    <w:rsid w:val="1E978C83"/>
    <w:rsid w:val="1EB51F1B"/>
    <w:rsid w:val="1F022F05"/>
    <w:rsid w:val="1F03BC4C"/>
    <w:rsid w:val="20459C33"/>
    <w:rsid w:val="20A25684"/>
    <w:rsid w:val="22691FA7"/>
    <w:rsid w:val="22F7439D"/>
    <w:rsid w:val="24F9ACDC"/>
    <w:rsid w:val="2569CB5D"/>
    <w:rsid w:val="25CC441B"/>
    <w:rsid w:val="27410A6C"/>
    <w:rsid w:val="277B54C4"/>
    <w:rsid w:val="27C2F489"/>
    <w:rsid w:val="27C63B3B"/>
    <w:rsid w:val="280F3AE9"/>
    <w:rsid w:val="286505E8"/>
    <w:rsid w:val="29C5908E"/>
    <w:rsid w:val="2A253943"/>
    <w:rsid w:val="2A66D8D8"/>
    <w:rsid w:val="2C3B1A03"/>
    <w:rsid w:val="2CEC1039"/>
    <w:rsid w:val="2D5E7763"/>
    <w:rsid w:val="2D6ADB08"/>
    <w:rsid w:val="2D95A4EF"/>
    <w:rsid w:val="2E229BEB"/>
    <w:rsid w:val="2F944FE0"/>
    <w:rsid w:val="2FC41106"/>
    <w:rsid w:val="30D950DB"/>
    <w:rsid w:val="30FB5C52"/>
    <w:rsid w:val="3204B12F"/>
    <w:rsid w:val="347565CF"/>
    <w:rsid w:val="34806F75"/>
    <w:rsid w:val="3494AADC"/>
    <w:rsid w:val="35231C40"/>
    <w:rsid w:val="3562B089"/>
    <w:rsid w:val="361816D9"/>
    <w:rsid w:val="370C2DFB"/>
    <w:rsid w:val="37309C75"/>
    <w:rsid w:val="3884AF2E"/>
    <w:rsid w:val="388E3CFC"/>
    <w:rsid w:val="38BEFDC4"/>
    <w:rsid w:val="392769B9"/>
    <w:rsid w:val="3934B98C"/>
    <w:rsid w:val="396EFABD"/>
    <w:rsid w:val="3A387DD0"/>
    <w:rsid w:val="3BD01918"/>
    <w:rsid w:val="3CF3EC95"/>
    <w:rsid w:val="3DD20F92"/>
    <w:rsid w:val="3E0B2F1B"/>
    <w:rsid w:val="3E5AAE1E"/>
    <w:rsid w:val="3ECF5B81"/>
    <w:rsid w:val="410F15A3"/>
    <w:rsid w:val="415A5040"/>
    <w:rsid w:val="41CE1A4F"/>
    <w:rsid w:val="420A3F7A"/>
    <w:rsid w:val="426070D9"/>
    <w:rsid w:val="426138EB"/>
    <w:rsid w:val="42DAD849"/>
    <w:rsid w:val="431FCFC5"/>
    <w:rsid w:val="4370878D"/>
    <w:rsid w:val="447059B4"/>
    <w:rsid w:val="4490DBFA"/>
    <w:rsid w:val="44A9D8F1"/>
    <w:rsid w:val="454BEFA2"/>
    <w:rsid w:val="45E89671"/>
    <w:rsid w:val="46DC89D9"/>
    <w:rsid w:val="473D98D8"/>
    <w:rsid w:val="485B829C"/>
    <w:rsid w:val="4967B74E"/>
    <w:rsid w:val="4ADF7689"/>
    <w:rsid w:val="4B2F069F"/>
    <w:rsid w:val="4B48B03D"/>
    <w:rsid w:val="4B581F5A"/>
    <w:rsid w:val="4B5CD4A6"/>
    <w:rsid w:val="4BF38522"/>
    <w:rsid w:val="4D8DDDC1"/>
    <w:rsid w:val="4DE80E39"/>
    <w:rsid w:val="4E2E6272"/>
    <w:rsid w:val="4F55F5AC"/>
    <w:rsid w:val="4FA7E62A"/>
    <w:rsid w:val="4FE4614D"/>
    <w:rsid w:val="50CA383C"/>
    <w:rsid w:val="538F25E8"/>
    <w:rsid w:val="53E8D7FE"/>
    <w:rsid w:val="5467E2A4"/>
    <w:rsid w:val="54F58ECA"/>
    <w:rsid w:val="553CB755"/>
    <w:rsid w:val="56512D8A"/>
    <w:rsid w:val="565CDA09"/>
    <w:rsid w:val="578EB619"/>
    <w:rsid w:val="57C463C2"/>
    <w:rsid w:val="57EDE690"/>
    <w:rsid w:val="58184A03"/>
    <w:rsid w:val="58CF5AFB"/>
    <w:rsid w:val="58D3C96C"/>
    <w:rsid w:val="5922C327"/>
    <w:rsid w:val="594C589E"/>
    <w:rsid w:val="5A6D1519"/>
    <w:rsid w:val="5AE43535"/>
    <w:rsid w:val="5AE5F0C9"/>
    <w:rsid w:val="5B61AD3F"/>
    <w:rsid w:val="5B6FCF31"/>
    <w:rsid w:val="5BD1B90F"/>
    <w:rsid w:val="5C3372EA"/>
    <w:rsid w:val="5CAF848C"/>
    <w:rsid w:val="5CBC3A3F"/>
    <w:rsid w:val="5DEE3B0B"/>
    <w:rsid w:val="5E7E50DF"/>
    <w:rsid w:val="5F16E500"/>
    <w:rsid w:val="5FB78381"/>
    <w:rsid w:val="5FBCDF72"/>
    <w:rsid w:val="60363189"/>
    <w:rsid w:val="6053760C"/>
    <w:rsid w:val="60C103D8"/>
    <w:rsid w:val="61720469"/>
    <w:rsid w:val="621CC856"/>
    <w:rsid w:val="62CD28DE"/>
    <w:rsid w:val="62E48759"/>
    <w:rsid w:val="63123961"/>
    <w:rsid w:val="63E082BE"/>
    <w:rsid w:val="648C04C9"/>
    <w:rsid w:val="64E17EA1"/>
    <w:rsid w:val="6559983D"/>
    <w:rsid w:val="65AF0FC4"/>
    <w:rsid w:val="65BD1ED9"/>
    <w:rsid w:val="65F275AF"/>
    <w:rsid w:val="6724F384"/>
    <w:rsid w:val="6839A909"/>
    <w:rsid w:val="6868CFC8"/>
    <w:rsid w:val="68D4837D"/>
    <w:rsid w:val="699B774A"/>
    <w:rsid w:val="69AF44B0"/>
    <w:rsid w:val="69B791B2"/>
    <w:rsid w:val="6B112DA8"/>
    <w:rsid w:val="6BCF34EF"/>
    <w:rsid w:val="6BF79D51"/>
    <w:rsid w:val="6C3A9E26"/>
    <w:rsid w:val="6C4DEFEC"/>
    <w:rsid w:val="6C51EF21"/>
    <w:rsid w:val="6C6AC8FB"/>
    <w:rsid w:val="6CE10B21"/>
    <w:rsid w:val="6D130E3B"/>
    <w:rsid w:val="6D705A77"/>
    <w:rsid w:val="6EFAAC77"/>
    <w:rsid w:val="70584735"/>
    <w:rsid w:val="72DB7FF3"/>
    <w:rsid w:val="731A38AB"/>
    <w:rsid w:val="7327C0CE"/>
    <w:rsid w:val="74245371"/>
    <w:rsid w:val="742B37DE"/>
    <w:rsid w:val="74445A66"/>
    <w:rsid w:val="7504678D"/>
    <w:rsid w:val="753981F0"/>
    <w:rsid w:val="758FF392"/>
    <w:rsid w:val="77A5B5EE"/>
    <w:rsid w:val="77D1704F"/>
    <w:rsid w:val="77E8B354"/>
    <w:rsid w:val="782F5C99"/>
    <w:rsid w:val="793F0E8C"/>
    <w:rsid w:val="798FCE7E"/>
    <w:rsid w:val="79925175"/>
    <w:rsid w:val="7AEE2A21"/>
    <w:rsid w:val="7B392F3B"/>
    <w:rsid w:val="7B7FD83E"/>
    <w:rsid w:val="7BBE4746"/>
    <w:rsid w:val="7C306F20"/>
    <w:rsid w:val="7D3C5DB5"/>
    <w:rsid w:val="7DD840CA"/>
    <w:rsid w:val="7E485F7D"/>
    <w:rsid w:val="7EBAF0C4"/>
    <w:rsid w:val="7FC32821"/>
    <w:rsid w:val="7FCA2A87"/>
    <w:rsid w:val="7FF7D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6D8D8"/>
  <w15:chartTrackingRefBased/>
  <w15:docId w15:val="{A1987DDA-25AA-4AC6-ADFC-CFB1DE34EB8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5510583"/>
    <w:pPr>
      <w:tabs>
        <w:tab w:val="center" w:leader="none" w:pos="4680"/>
        <w:tab w:val="right" w:leader="none" w:pos="9360"/>
      </w:tabs>
      <w:spacing w:after="0" w:line="240" w:lineRule="auto"/>
    </w:pPr>
  </w:style>
  <w:style w:type="paragraph" w:styleId="Footer">
    <w:uiPriority w:val="99"/>
    <w:name w:val="footer"/>
    <w:basedOn w:val="Normal"/>
    <w:unhideWhenUsed/>
    <w:rsid w:val="155105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47565CF"/>
    <w:pPr>
      <w:spacing/>
      <w:ind w:left="720"/>
      <w:contextualSpacing/>
    </w:pPr>
  </w:style>
  <w:style w:type="character" w:styleId="Hyperlink">
    <w:uiPriority w:val="99"/>
    <w:name w:val="Hyperlink"/>
    <w:basedOn w:val="DefaultParagraphFont"/>
    <w:unhideWhenUsed/>
    <w:rsid w:val="347565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74682505" /><Relationship Type="http://schemas.openxmlformats.org/officeDocument/2006/relationships/image" Target="/media/image2.png" Id="rId181618492" /><Relationship Type="http://schemas.openxmlformats.org/officeDocument/2006/relationships/header" Target="/word/header.xml" Id="Rc9a57cb353cf47d3" /><Relationship Type="http://schemas.openxmlformats.org/officeDocument/2006/relationships/footer" Target="/word/footer.xml" Id="R4397fcf97e1646d1" /><Relationship Type="http://schemas.openxmlformats.org/officeDocument/2006/relationships/numbering" Target="/word/numbering.xml" Id="R47f242491a0c40ba" /><Relationship Type="http://schemas.openxmlformats.org/officeDocument/2006/relationships/hyperlink" Target="https://www.thameswater.co.uk/about-us" TargetMode="External" Id="R2deb94cd2ab6479d" /><Relationship Type="http://schemas.openxmlformats.org/officeDocument/2006/relationships/hyperlink" Target="https://www.ofwat.gov.uk/" TargetMode="External" Id="R45bb6a4904ab471a" /><Relationship Type="http://schemas.openxmlformats.org/officeDocument/2006/relationships/hyperlink" Target="https://www.thameswater.co.uk/about-us/investors/annual-report" TargetMode="External" Id="R9276d1c9321041c8" /><Relationship Type="http://schemas.openxmlformats.org/officeDocument/2006/relationships/hyperlink" Target="https://www.thameswater.co.uk/about-us/our-organisation" TargetMode="External" Id="R2d6589508383491a" /><Relationship Type="http://schemas.openxmlformats.org/officeDocument/2006/relationships/hyperlink" Target="https://www.mckinsey.com/" TargetMode="External" Id="Rb8ecc6505c0c4dbb" /><Relationship Type="http://schemas.openxmlformats.org/officeDocument/2006/relationships/hyperlink" Target="https://www.mckinsey.com/" TargetMode="External" Id="R4c4f4055126947a7" /><Relationship Type="http://schemas.openxmlformats.org/officeDocument/2006/relationships/hyperlink" Target="https://www.ofwat.gov.uk/" TargetMode="External" Id="R23fa7b0b11324e54" /><Relationship Type="http://schemas.openxmlformats.org/officeDocument/2006/relationships/hyperlink" Target="https://www.thameswater.co.uk/about-us/investors/annual-report" TargetMode="External" Id="Rab29cf5e2a054179" /><Relationship Type="http://schemas.openxmlformats.org/officeDocument/2006/relationships/hyperlink" Target="https://www.thameswater.co.uk/about-us/our-organisation" TargetMode="External" Id="Rf93a68937f4b44cc" /><Relationship Type="http://schemas.microsoft.com/office/2020/10/relationships/intelligence" Target="/word/intelligence2.xml" Id="R39bb47ec39c54d5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Emmanuel Victor (2244619)</dc:creator>
  <keywords/>
  <dc:description/>
  <lastModifiedBy>Emmanuel Victor (2244619)</lastModifiedBy>
  <revision>5</revision>
  <dcterms:created xsi:type="dcterms:W3CDTF">2025-10-29T08:22:21.8499508Z</dcterms:created>
  <dcterms:modified xsi:type="dcterms:W3CDTF">2025-12-18T22:28:47.2139688Z</dcterms:modified>
</coreProperties>
</file>