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2F2F2" w:themeColor="background1" w:themeShade="F2"/>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4B31F1" w:rsidP="00DD5969" w:rsidRDefault="004B31F1" w14:paraId="123E6CB8" w14:textId="77777777">
      <w:pPr>
        <w:spacing w:before="212"/>
        <w:rPr>
          <w:rFonts w:ascii="Arial" w:hAnsi="Arial" w:cs="Arial"/>
          <w:b/>
          <w:sz w:val="48"/>
          <w:szCs w:val="48"/>
        </w:rPr>
      </w:pPr>
    </w:p>
    <w:p w:rsidRPr="004B31F1" w:rsidR="00DD5969" w:rsidP="5E9149B0" w:rsidRDefault="004B31F1" w14:paraId="5B9AE89A" w14:noSpellErr="1" w14:textId="45AB8030">
      <w:pPr>
        <w:spacing w:before="212"/>
        <w:rPr>
          <w:rFonts w:ascii="Arial" w:hAnsi="Arial" w:eastAsia="Arial" w:cs="Arial"/>
          <w:b w:val="1"/>
          <w:bCs w:val="1"/>
          <w:sz w:val="28"/>
          <w:szCs w:val="28"/>
        </w:rPr>
      </w:pPr>
      <w:r w:rsidRPr="466EBC59" w:rsidR="159164D0">
        <w:rPr>
          <w:rFonts w:ascii="Arial" w:hAnsi="Arial" w:eastAsia="Arial" w:cs="Arial"/>
          <w:b w:val="1"/>
          <w:bCs w:val="1"/>
          <w:sz w:val="28"/>
          <w:szCs w:val="28"/>
        </w:rPr>
        <w:t>Module Name:</w:t>
      </w:r>
      <w:r w:rsidRPr="466EBC59" w:rsidR="558D936C">
        <w:rPr>
          <w:rFonts w:ascii="Arial" w:hAnsi="Arial" w:eastAsia="Arial" w:cs="Arial"/>
          <w:b w:val="1"/>
          <w:bCs w:val="1"/>
          <w:sz w:val="28"/>
          <w:szCs w:val="28"/>
        </w:rPr>
        <w:t xml:space="preserve"> </w:t>
      </w:r>
      <w:r w:rsidRPr="466EBC59" w:rsidR="3A56CC4C">
        <w:rPr>
          <w:rFonts w:ascii="Arial" w:hAnsi="Arial" w:eastAsia="Arial" w:cs="Arial"/>
          <w:b w:val="1"/>
          <w:bCs w:val="1"/>
          <w:sz w:val="28"/>
          <w:szCs w:val="28"/>
        </w:rPr>
        <w:t xml:space="preserve"> Problem Solving and </w:t>
      </w:r>
      <w:r w:rsidRPr="466EBC59" w:rsidR="3A56CC4C">
        <w:rPr>
          <w:rFonts w:ascii="Arial" w:hAnsi="Arial" w:eastAsia="Arial" w:cs="Arial"/>
          <w:b w:val="1"/>
          <w:bCs w:val="1"/>
          <w:sz w:val="28"/>
          <w:szCs w:val="28"/>
        </w:rPr>
        <w:t>Invocation</w:t>
      </w:r>
    </w:p>
    <w:p w:rsidRPr="004B31F1" w:rsidR="00347EA1" w:rsidP="5E9149B0" w:rsidRDefault="004B31F1" w14:paraId="5051A2D5" w14:noSpellErr="1" w14:textId="5391FA3B">
      <w:pPr>
        <w:spacing w:before="212"/>
        <w:rPr>
          <w:rFonts w:ascii="Arial" w:hAnsi="Arial" w:eastAsia="Arial" w:cs="Arial"/>
          <w:sz w:val="28"/>
          <w:szCs w:val="28"/>
        </w:rPr>
      </w:pPr>
      <w:r w:rsidRPr="5E9149B0" w:rsidR="159164D0">
        <w:rPr>
          <w:rFonts w:ascii="Arial" w:hAnsi="Arial" w:eastAsia="Arial" w:cs="Arial"/>
          <w:b w:val="1"/>
          <w:bCs w:val="1"/>
          <w:sz w:val="28"/>
          <w:szCs w:val="28"/>
        </w:rPr>
        <w:t xml:space="preserve">Module Code:  </w:t>
      </w:r>
      <w:r w:rsidRPr="5E9149B0" w:rsidR="2EF8041F">
        <w:rPr>
          <w:rFonts w:ascii="Arial" w:hAnsi="Arial" w:eastAsia="Arial" w:cs="Arial"/>
          <w:sz w:val="28"/>
          <w:szCs w:val="28"/>
        </w:rPr>
        <w:t>BMSW401</w:t>
      </w:r>
      <w:r w:rsidRPr="5E9149B0" w:rsidR="042067F1">
        <w:rPr>
          <w:rFonts w:ascii="Arial" w:hAnsi="Arial" w:eastAsia="Arial" w:cs="Arial"/>
          <w:sz w:val="28"/>
          <w:szCs w:val="28"/>
        </w:rPr>
        <w:t>4</w:t>
      </w:r>
    </w:p>
    <w:p w:rsidRPr="004B31F1" w:rsidR="00DD5969" w:rsidP="5E9149B0" w:rsidRDefault="004B31F1" w14:noSpellErr="1" w14:paraId="04C92B15" w14:textId="420CF9EE">
      <w:pPr>
        <w:spacing w:before="212"/>
        <w:rPr>
          <w:rFonts w:ascii="Arial" w:hAnsi="Arial" w:eastAsia="Arial" w:cs="Arial"/>
          <w:b w:val="1"/>
          <w:bCs w:val="1"/>
          <w:sz w:val="28"/>
          <w:szCs w:val="28"/>
        </w:rPr>
      </w:pPr>
      <w:r w:rsidRPr="5E9149B0" w:rsidR="159164D0">
        <w:rPr>
          <w:rFonts w:ascii="Arial" w:hAnsi="Arial" w:eastAsia="Arial" w:cs="Arial"/>
          <w:b w:val="1"/>
          <w:bCs w:val="1"/>
          <w:sz w:val="28"/>
          <w:szCs w:val="28"/>
        </w:rPr>
        <w:t>Assignment Name:</w:t>
      </w:r>
      <w:r w:rsidRPr="5E9149B0" w:rsidR="2EF8041F">
        <w:rPr>
          <w:rFonts w:ascii="Arial" w:hAnsi="Arial" w:eastAsia="Arial" w:cs="Arial"/>
          <w:b w:val="1"/>
          <w:bCs w:val="1"/>
          <w:sz w:val="28"/>
          <w:szCs w:val="28"/>
        </w:rPr>
        <w:t xml:space="preserve"> </w:t>
      </w:r>
      <w:r w:rsidRPr="5E9149B0" w:rsidR="3486889B">
        <w:rPr>
          <w:rFonts w:ascii="Arial" w:hAnsi="Arial" w:eastAsia="Arial" w:cs="Arial"/>
          <w:b w:val="1"/>
          <w:bCs w:val="1"/>
          <w:sz w:val="28"/>
          <w:szCs w:val="28"/>
        </w:rPr>
        <w:t xml:space="preserve"> Greenwashing in the Automobile industry-A Root</w:t>
      </w:r>
      <w:r w:rsidRPr="5E9149B0" w:rsidR="567C7E15">
        <w:rPr>
          <w:rFonts w:ascii="Arial" w:hAnsi="Arial" w:eastAsia="Arial" w:cs="Arial"/>
          <w:b w:val="1"/>
          <w:bCs w:val="1"/>
          <w:sz w:val="28"/>
          <w:szCs w:val="28"/>
        </w:rPr>
        <w:t xml:space="preserve"> Cause Analysis.</w:t>
      </w:r>
    </w:p>
    <w:p w:rsidRPr="004B31F1" w:rsidR="00DD5969" w:rsidP="5E9149B0" w:rsidRDefault="004B31F1" w14:paraId="0D16D138" w14:textId="29A18B2A">
      <w:pPr>
        <w:spacing w:before="212"/>
        <w:rPr>
          <w:rFonts w:ascii="Arial" w:hAnsi="Arial" w:eastAsia="Arial" w:cs="Arial"/>
          <w:b w:val="1"/>
          <w:bCs w:val="1"/>
          <w:sz w:val="28"/>
          <w:szCs w:val="28"/>
        </w:rPr>
      </w:pPr>
      <w:r w:rsidRPr="5E9149B0" w:rsidR="3486889B">
        <w:rPr>
          <w:rFonts w:ascii="Arial" w:hAnsi="Arial" w:eastAsia="Arial" w:cs="Arial"/>
          <w:b w:val="1"/>
          <w:bCs w:val="1"/>
          <w:sz w:val="28"/>
          <w:szCs w:val="28"/>
        </w:rPr>
        <w:t xml:space="preserve"> </w:t>
      </w:r>
      <w:r w:rsidRPr="5E9149B0" w:rsidR="2E370707">
        <w:rPr>
          <w:rFonts w:ascii="Arial" w:hAnsi="Arial" w:eastAsia="Arial" w:cs="Arial"/>
          <w:b w:val="1"/>
          <w:bCs w:val="1"/>
          <w:sz w:val="28"/>
          <w:szCs w:val="28"/>
        </w:rPr>
        <w:t>St</w:t>
      </w:r>
      <w:r w:rsidRPr="5E9149B0" w:rsidR="159164D0">
        <w:rPr>
          <w:rFonts w:ascii="Arial" w:hAnsi="Arial" w:eastAsia="Arial" w:cs="Arial"/>
          <w:b w:val="1"/>
          <w:bCs w:val="1"/>
          <w:sz w:val="28"/>
          <w:szCs w:val="28"/>
        </w:rPr>
        <w:t>udent Name:</w:t>
      </w:r>
      <w:r w:rsidRPr="5E9149B0" w:rsidR="5F2EA6D3">
        <w:rPr>
          <w:rFonts w:ascii="Arial" w:hAnsi="Arial" w:eastAsia="Arial" w:cs="Arial"/>
          <w:b w:val="1"/>
          <w:bCs w:val="1"/>
          <w:sz w:val="28"/>
          <w:szCs w:val="28"/>
        </w:rPr>
        <w:t xml:space="preserve"> Patricia Chanda </w:t>
      </w:r>
    </w:p>
    <w:p w:rsidRPr="004B31F1" w:rsidR="00DD5969" w:rsidP="5E9149B0" w:rsidRDefault="004B31F1" w14:paraId="18107AFF" w14:noSpellErr="1" w14:textId="5ABD1BCD">
      <w:pPr>
        <w:shd w:val="clear" w:color="auto" w:fill="F5F5F5"/>
        <w:spacing w:before="0" w:beforeAutospacing="off" w:after="0" w:afterAutospacing="off"/>
        <w:jc w:val="both"/>
        <w:rPr>
          <w:rFonts w:ascii="Arial" w:hAnsi="Arial" w:eastAsia="Arial" w:cs="Arial"/>
          <w:b w:val="1"/>
          <w:bCs w:val="1"/>
          <w:sz w:val="28"/>
          <w:szCs w:val="28"/>
        </w:rPr>
      </w:pPr>
      <w:r w:rsidRPr="5E9149B0" w:rsidR="159164D0">
        <w:rPr>
          <w:rFonts w:ascii="Arial" w:hAnsi="Arial" w:eastAsia="Arial" w:cs="Arial"/>
          <w:b w:val="1"/>
          <w:bCs w:val="1"/>
          <w:sz w:val="28"/>
          <w:szCs w:val="28"/>
        </w:rPr>
        <w:t>Student Numbe</w:t>
      </w:r>
      <w:r w:rsidRPr="5E9149B0" w:rsidR="74F99FAF">
        <w:rPr>
          <w:rFonts w:ascii="Arial" w:hAnsi="Arial" w:eastAsia="Arial" w:cs="Arial"/>
          <w:b w:val="1"/>
          <w:bCs w:val="1"/>
          <w:sz w:val="28"/>
          <w:szCs w:val="28"/>
        </w:rPr>
        <w:t>r: 1350365</w:t>
      </w:r>
    </w:p>
    <w:p w:rsidRPr="004B31F1" w:rsidR="00DD5969" w:rsidP="5E9149B0" w:rsidRDefault="004B31F1" w14:paraId="4FD52B0A" w14:noSpellErr="1" w14:textId="11089183">
      <w:pPr>
        <w:rPr>
          <w:rFonts w:ascii="Arial" w:hAnsi="Arial" w:eastAsia="Arial" w:cs="Arial"/>
          <w:b w:val="1"/>
          <w:bCs w:val="1"/>
          <w:sz w:val="28"/>
          <w:szCs w:val="28"/>
        </w:rPr>
      </w:pPr>
      <w:r w:rsidRPr="5E9149B0" w:rsidR="159164D0">
        <w:rPr>
          <w:rFonts w:ascii="Arial" w:hAnsi="Arial" w:eastAsia="Arial" w:cs="Arial"/>
          <w:b w:val="1"/>
          <w:bCs w:val="1"/>
          <w:sz w:val="28"/>
          <w:szCs w:val="28"/>
        </w:rPr>
        <w:t>Lecturer:</w:t>
      </w:r>
      <w:r w:rsidRPr="5E9149B0" w:rsidR="2EF8041F">
        <w:rPr>
          <w:rFonts w:ascii="Arial" w:hAnsi="Arial" w:eastAsia="Arial" w:cs="Arial"/>
          <w:b w:val="1"/>
          <w:bCs w:val="1"/>
          <w:sz w:val="28"/>
          <w:szCs w:val="28"/>
        </w:rPr>
        <w:t xml:space="preserve"> </w:t>
      </w:r>
      <w:r w:rsidRPr="5E9149B0" w:rsidR="4C4D25A0">
        <w:rPr>
          <w:rFonts w:ascii="Arial" w:hAnsi="Arial" w:eastAsia="Arial" w:cs="Arial"/>
          <w:b w:val="1"/>
          <w:bCs w:val="1"/>
          <w:sz w:val="28"/>
          <w:szCs w:val="28"/>
        </w:rPr>
        <w:t xml:space="preserve"> </w:t>
      </w:r>
      <w:r w:rsidRPr="5E9149B0" w:rsidR="4C4D25A0">
        <w:rPr>
          <w:rFonts w:ascii="Arial" w:hAnsi="Arial" w:eastAsia="Arial" w:cs="Arial"/>
          <w:b w:val="1"/>
          <w:bCs w:val="1"/>
          <w:sz w:val="28"/>
          <w:szCs w:val="28"/>
        </w:rPr>
        <w:t>Arpu</w:t>
      </w:r>
      <w:r w:rsidRPr="5E9149B0" w:rsidR="4C4D25A0">
        <w:rPr>
          <w:rFonts w:ascii="Arial" w:hAnsi="Arial" w:eastAsia="Arial" w:cs="Arial"/>
          <w:b w:val="1"/>
          <w:bCs w:val="1"/>
          <w:sz w:val="28"/>
          <w:szCs w:val="28"/>
        </w:rPr>
        <w:t xml:space="preserve"> Kumar</w:t>
      </w:r>
      <w:r>
        <w:br/>
      </w:r>
      <w:r w:rsidRPr="5E9149B0" w:rsidR="159164D0">
        <w:rPr>
          <w:rFonts w:ascii="Arial" w:hAnsi="Arial" w:eastAsia="Arial" w:cs="Arial"/>
          <w:b w:val="1"/>
          <w:bCs w:val="1"/>
          <w:sz w:val="28"/>
          <w:szCs w:val="28"/>
        </w:rPr>
        <w:t>Deadline:</w:t>
      </w:r>
      <w:r w:rsidRPr="5E9149B0" w:rsidR="2EF8041F">
        <w:rPr>
          <w:rFonts w:ascii="Arial" w:hAnsi="Arial" w:eastAsia="Arial" w:cs="Arial"/>
          <w:b w:val="1"/>
          <w:bCs w:val="1"/>
          <w:sz w:val="28"/>
          <w:szCs w:val="28"/>
        </w:rPr>
        <w:t xml:space="preserve"> </w:t>
      </w:r>
      <w:r w:rsidRPr="5E9149B0" w:rsidR="11592CCC">
        <w:rPr>
          <w:rFonts w:ascii="Arial" w:hAnsi="Arial" w:eastAsia="Arial" w:cs="Arial"/>
          <w:sz w:val="28"/>
          <w:szCs w:val="28"/>
        </w:rPr>
        <w:t>Friday 14</w:t>
      </w:r>
      <w:r w:rsidRPr="5E9149B0" w:rsidR="11592CCC">
        <w:rPr>
          <w:rFonts w:ascii="Arial" w:hAnsi="Arial" w:eastAsia="Arial" w:cs="Arial"/>
          <w:sz w:val="28"/>
          <w:szCs w:val="28"/>
          <w:vertAlign w:val="superscript"/>
        </w:rPr>
        <w:t>th</w:t>
      </w:r>
      <w:r w:rsidRPr="5E9149B0" w:rsidR="11592CCC">
        <w:rPr>
          <w:rFonts w:ascii="Arial" w:hAnsi="Arial" w:eastAsia="Arial" w:cs="Arial"/>
          <w:sz w:val="28"/>
          <w:szCs w:val="28"/>
        </w:rPr>
        <w:t xml:space="preserve"> November 2025 </w:t>
      </w:r>
      <w:r w:rsidRPr="5E9149B0" w:rsidR="2EF8041F">
        <w:rPr>
          <w:rFonts w:ascii="Arial" w:hAnsi="Arial" w:eastAsia="Arial" w:cs="Arial"/>
          <w:sz w:val="28"/>
          <w:szCs w:val="28"/>
        </w:rPr>
        <w:t>23.59</w:t>
      </w:r>
    </w:p>
    <w:p w:rsidRPr="004B31F1" w:rsidR="004B31F1" w:rsidP="00347EA1" w:rsidRDefault="004B31F1" w14:paraId="7071582E" w14:textId="77777777">
      <w:pPr>
        <w:rPr>
          <w:rFonts w:ascii="Arial" w:hAnsi="Arial" w:cs="Arial"/>
          <w:b/>
          <w:sz w:val="32"/>
          <w:szCs w:val="32"/>
        </w:rPr>
      </w:pPr>
    </w:p>
    <w:p w:rsidRPr="004B31F1" w:rsidR="004B31F1" w:rsidP="00347EA1" w:rsidRDefault="004B31F1" w14:paraId="0351D91B" w14:textId="77777777">
      <w:pPr>
        <w:rPr>
          <w:rFonts w:ascii="Arial" w:hAnsi="Arial" w:cs="Arial"/>
          <w:b/>
          <w:sz w:val="32"/>
          <w:szCs w:val="32"/>
        </w:rPr>
      </w:pPr>
    </w:p>
    <w:p w:rsidR="004B31F1" w:rsidP="00347EA1" w:rsidRDefault="004B31F1" w14:paraId="6E53872D" w14:textId="77777777">
      <w:pPr>
        <w:rPr>
          <w:rFonts w:ascii="Arial" w:hAnsi="Arial" w:cs="Arial"/>
          <w:b/>
          <w:sz w:val="32"/>
          <w:szCs w:val="32"/>
        </w:rPr>
      </w:pPr>
    </w:p>
    <w:p w:rsidR="004B31F1" w:rsidP="5E9149B0" w:rsidRDefault="004B31F1" w14:paraId="6112CB5E" w14:textId="77777777" w14:noSpellErr="1">
      <w:pPr>
        <w:rPr>
          <w:rFonts w:ascii="Arial" w:hAnsi="Arial" w:cs="Arial"/>
          <w:b w:val="1"/>
          <w:bCs w:val="1"/>
          <w:sz w:val="32"/>
          <w:szCs w:val="32"/>
        </w:rPr>
      </w:pPr>
    </w:p>
    <w:p w:rsidR="5E9149B0" w:rsidP="5E9149B0" w:rsidRDefault="5E9149B0" w14:paraId="76D89C52" w14:textId="58C2B9CC">
      <w:pPr>
        <w:rPr>
          <w:rFonts w:ascii="Arial" w:hAnsi="Arial" w:cs="Arial"/>
          <w:b w:val="1"/>
          <w:bCs w:val="1"/>
          <w:sz w:val="32"/>
          <w:szCs w:val="32"/>
        </w:rPr>
      </w:pPr>
    </w:p>
    <w:p w:rsidR="5E9149B0" w:rsidP="5E9149B0" w:rsidRDefault="5E9149B0" w14:paraId="46DE2165" w14:textId="41F08DF7">
      <w:pPr>
        <w:rPr>
          <w:rFonts w:ascii="Arial" w:hAnsi="Arial" w:cs="Arial"/>
          <w:b w:val="1"/>
          <w:bCs w:val="1"/>
          <w:sz w:val="32"/>
          <w:szCs w:val="32"/>
        </w:rPr>
      </w:pPr>
    </w:p>
    <w:p w:rsidR="5E9149B0" w:rsidP="5E9149B0" w:rsidRDefault="5E9149B0" w14:paraId="6DA0934E" w14:textId="70C41C5C">
      <w:pPr>
        <w:rPr>
          <w:rFonts w:ascii="Arial" w:hAnsi="Arial" w:cs="Arial"/>
          <w:b w:val="1"/>
          <w:bCs w:val="1"/>
          <w:sz w:val="32"/>
          <w:szCs w:val="32"/>
        </w:rPr>
      </w:pPr>
    </w:p>
    <w:p w:rsidR="5E9149B0" w:rsidP="5E9149B0" w:rsidRDefault="5E9149B0" w14:paraId="72977764" w14:textId="6AF84349">
      <w:pPr>
        <w:rPr>
          <w:rFonts w:ascii="Arial" w:hAnsi="Arial" w:cs="Arial"/>
          <w:b w:val="1"/>
          <w:bCs w:val="1"/>
          <w:sz w:val="32"/>
          <w:szCs w:val="32"/>
        </w:rPr>
      </w:pPr>
    </w:p>
    <w:p w:rsidR="5E9149B0" w:rsidP="5E9149B0" w:rsidRDefault="5E9149B0" w14:paraId="4431A103" w14:textId="0D448ABC">
      <w:pPr>
        <w:pStyle w:val="Normal"/>
        <w:rPr>
          <w:rFonts w:ascii="Arial" w:hAnsi="Arial" w:cs="Arial"/>
          <w:b w:val="1"/>
          <w:bCs w:val="1"/>
          <w:sz w:val="32"/>
          <w:szCs w:val="32"/>
        </w:rPr>
      </w:pPr>
    </w:p>
    <w:p w:rsidR="004B31F1" w:rsidP="00347EA1" w:rsidRDefault="004B31F1" w14:paraId="01B6BED5" w14:textId="77777777">
      <w:pPr>
        <w:rPr>
          <w:rFonts w:ascii="Arial" w:hAnsi="Arial" w:cs="Arial"/>
          <w:b/>
          <w:sz w:val="32"/>
          <w:szCs w:val="32"/>
        </w:rPr>
      </w:pPr>
    </w:p>
    <w:p w:rsidR="00D33868" w:rsidP="74B02C96" w:rsidRDefault="00B103B9" w14:paraId="28171F09" w14:textId="374481C9">
      <w:pPr>
        <w:rPr>
          <w:b/>
          <w:bCs/>
          <w:sz w:val="32"/>
          <w:szCs w:val="32"/>
        </w:rPr>
      </w:pPr>
      <w:r w:rsidRPr="5E9149B0" w:rsidR="7238AE87">
        <w:rPr>
          <w:b w:val="1"/>
          <w:bCs w:val="1"/>
          <w:sz w:val="32"/>
          <w:szCs w:val="32"/>
        </w:rPr>
        <w:t>AI Acknowledgement</w:t>
      </w:r>
      <w:r w:rsidRPr="5E9149B0" w:rsidR="58871598">
        <w:rPr>
          <w:b w:val="1"/>
          <w:bCs w:val="1"/>
          <w:sz w:val="32"/>
          <w:szCs w:val="32"/>
        </w:rPr>
        <w:t xml:space="preserve">  </w:t>
      </w:r>
    </w:p>
    <w:p w:rsidRPr="00F1399D" w:rsidR="00C2550A" w:rsidP="74B02C96" w:rsidRDefault="00E243A8" w14:paraId="768557CB" w14:textId="6F6F237C">
      <w:pPr>
        <w:rPr>
          <w:rFonts w:ascii="Arial" w:hAnsi="Arial" w:cs="Arial"/>
        </w:rPr>
      </w:pPr>
      <w:r w:rsidRPr="00F1399D">
        <w:rPr>
          <w:rFonts w:ascii="Arial" w:hAnsi="Arial" w:cs="Arial"/>
        </w:rPr>
        <w:t xml:space="preserve">I confirm that I have not presented any AI generated materials as my own work. </w:t>
      </w:r>
    </w:p>
    <w:p w:rsidRPr="00F1399D" w:rsidR="0053246E" w:rsidP="00DD5969" w:rsidRDefault="00E243A8" w14:paraId="1113C735" w14:textId="61582B9D">
      <w:pPr>
        <w:rPr>
          <w:rFonts w:ascii="Arial" w:hAnsi="Arial" w:cs="Arial"/>
        </w:rPr>
        <w:sectPr w:rsidRPr="009A3D6F" w:rsidR="009A3D6F">
          <w:pgSz w:w="11906" w:h="16838" w:orient="portrait"/>
          <w:pgMar w:top="1440" w:right="1440" w:bottom="1440" w:left="1440" w:header="708" w:footer="708" w:gutter="0"/>
          <w:cols w:space="708"/>
          <w:docGrid w:linePitch="360"/>
        </w:sectPr>
      </w:pPr>
      <w:r w:rsidRPr="5E9149B0" w:rsidR="5365747D">
        <w:rPr>
          <w:rFonts w:ascii="Arial" w:hAnsi="Arial" w:cs="Arial"/>
        </w:rPr>
        <w:t xml:space="preserve">I confirm </w:t>
      </w:r>
      <w:r w:rsidRPr="5E9149B0" w:rsidR="67D5B976">
        <w:rPr>
          <w:rFonts w:ascii="Arial" w:hAnsi="Arial" w:cs="Arial"/>
        </w:rPr>
        <w:t xml:space="preserve">that </w:t>
      </w:r>
      <w:r w:rsidRPr="5E9149B0" w:rsidR="5365747D">
        <w:rPr>
          <w:rFonts w:ascii="Arial" w:hAnsi="Arial" w:cs="Arial"/>
        </w:rPr>
        <w:t>I have copies of my drafts, notes, and other resources I used, which I may be asked to provide in evidence.</w:t>
      </w:r>
    </w:p>
    <w:p w:rsidRPr="00F1399D" w:rsidR="000C541C" w:rsidP="466EBC59" w:rsidRDefault="000C541C" w14:paraId="0C4AA8C3" w14:textId="231AE3EC">
      <w:pPr>
        <w:shd w:val="clear" w:color="auto" w:fill="F5F5F5"/>
        <w:spacing w:before="0" w:beforeAutospacing="off" w:after="0" w:afterAutospacing="off"/>
        <w:jc w:val="both"/>
      </w:pPr>
      <w:r w:rsidRPr="466EBC59" w:rsidR="2E18E2BD">
        <w:rPr>
          <w:rFonts w:ascii="Arial" w:hAnsi="Arial" w:eastAsia="Arial" w:cs="Arial"/>
          <w:b w:val="1"/>
          <w:bCs w:val="1"/>
          <w:i w:val="0"/>
          <w:iCs w:val="0"/>
          <w:strike w:val="0"/>
          <w:dstrike w:val="0"/>
          <w:noProof w:val="0"/>
          <w:color w:val="404040" w:themeColor="text1" w:themeTint="BF" w:themeShade="FF"/>
          <w:sz w:val="24"/>
          <w:szCs w:val="24"/>
          <w:u w:val="none"/>
          <w:lang w:val="en-GB"/>
        </w:rPr>
        <w:t>The automotive industry is highly competitive and experiencing rapid growth. It is currently transitioning to more environmentally friendly practices. However, as electric vehicles and hybrid technologies continue to advance, competition within the industry may intensify, potentially leading companies to engage in unethical marketing practices such as greenwashing.</w:t>
      </w:r>
    </w:p>
    <w:p w:rsidRPr="00F1399D" w:rsidR="000C541C" w:rsidP="466EBC59" w:rsidRDefault="000C541C" w14:paraId="44257644" w14:textId="10051CEF">
      <w:pPr>
        <w:shd w:val="clear" w:color="auto" w:fill="F5F5F5"/>
        <w:spacing w:before="0" w:beforeAutospacing="off" w:after="0" w:afterAutospacing="off"/>
        <w:jc w:val="both"/>
      </w:pPr>
    </w:p>
    <w:p w:rsidRPr="00F1399D" w:rsidR="000C541C" w:rsidP="466EBC59" w:rsidRDefault="000C541C" w14:paraId="68102721" w14:textId="68CC1664">
      <w:pPr>
        <w:shd w:val="clear" w:color="auto" w:fill="F5F5F5"/>
        <w:spacing w:before="0" w:beforeAutospacing="off" w:after="0" w:afterAutospacing="off"/>
        <w:jc w:val="both"/>
      </w:pPr>
      <w:r w:rsidRPr="466EBC59" w:rsidR="2E18E2BD">
        <w:rPr>
          <w:rFonts w:ascii="Arial" w:hAnsi="Arial" w:eastAsia="Arial" w:cs="Arial"/>
          <w:b w:val="1"/>
          <w:bCs w:val="1"/>
          <w:i w:val="0"/>
          <w:iCs w:val="0"/>
          <w:strike w:val="0"/>
          <w:dstrike w:val="0"/>
          <w:noProof w:val="0"/>
          <w:color w:val="404040" w:themeColor="text1" w:themeTint="BF" w:themeShade="FF"/>
          <w:sz w:val="24"/>
          <w:szCs w:val="24"/>
          <w:u w:val="none"/>
          <w:lang w:val="en-GB"/>
        </w:rPr>
        <w:t>Awanis et al. (2020: 127) define greenwashing as "company actions or practices intended to create the impression that their products are environmentally friendly, without considering the overall environmental impact." This suggests that greenwashing occurs without a careful evaluation of the broader social and environmental consequences. According to Kapoor and Pandey (2021), greenwashing involves making false or misleading claims about the environmental benefits of a product or service to attract consumers concerned about sustainability.</w:t>
      </w:r>
    </w:p>
    <w:p w:rsidRPr="00F1399D" w:rsidR="000C541C" w:rsidP="466EBC59" w:rsidRDefault="000C541C" w14:paraId="39176FE5" w14:textId="1776348E">
      <w:pPr>
        <w:shd w:val="clear" w:color="auto" w:fill="F5F5F5"/>
        <w:spacing w:before="0" w:beforeAutospacing="off" w:after="0" w:afterAutospacing="off"/>
        <w:jc w:val="both"/>
      </w:pPr>
    </w:p>
    <w:p w:rsidRPr="00F1399D" w:rsidR="000C541C" w:rsidP="00DD5969" w:rsidRDefault="000C541C" w14:paraId="2898237E" w14:textId="50192DF3">
      <w:pPr/>
    </w:p>
    <w:p w:rsidRPr="00F1399D" w:rsidR="000C541C" w:rsidP="466EBC59" w:rsidRDefault="000C541C" w14:paraId="2EAE4280" w14:textId="5A4D463C">
      <w:pPr>
        <w:shd w:val="clear" w:color="auto" w:fill="F5F5F5"/>
        <w:spacing w:before="0" w:beforeAutospacing="off" w:after="0" w:afterAutospacing="off"/>
        <w:jc w:val="both"/>
      </w:pPr>
      <w:r w:rsidRPr="466EBC59" w:rsidR="2E18E2BD">
        <w:rPr>
          <w:rFonts w:ascii="Arial" w:hAnsi="Arial" w:eastAsia="Arial" w:cs="Arial"/>
          <w:b w:val="0"/>
          <w:bCs w:val="0"/>
          <w:i w:val="0"/>
          <w:iCs w:val="0"/>
          <w:strike w:val="0"/>
          <w:dstrike w:val="0"/>
          <w:noProof w:val="0"/>
          <w:color w:val="404040" w:themeColor="text1" w:themeTint="BF" w:themeShade="FF"/>
          <w:sz w:val="24"/>
          <w:szCs w:val="24"/>
          <w:u w:val="none"/>
          <w:lang w:val="en-GB"/>
        </w:rPr>
        <w:t xml:space="preserve">Root Cause Analysis: In September 2015, the U.S. Environmental Protection Agency (EPA) uncovered Volkswagen's intentional fraud. The company had installed "defeat device" software in 11 million diesel vehicles worldwide. This software was designed to detect when the cars were undergoing lab testing and activate full emissions controls during those tests. However, in real-world driving conditions, nitrogen oxide (NOx) emissions were found to exceed the legal limit by up to 40 times (Florio and Sproviero, 2021). It later emerged that Volkswagen had manipulated emissions tests using this software (Zhang, Atwal, and Kaiser, 2021). This “Dieselgate” scandal highlighted deceptive marketing practices in the automotive industry (Turna, 2022). </w:t>
      </w:r>
    </w:p>
    <w:p w:rsidRPr="00F1399D" w:rsidR="000C541C" w:rsidP="466EBC59" w:rsidRDefault="000C541C" w14:paraId="3BAE8A94" w14:textId="5927CA71">
      <w:pPr>
        <w:shd w:val="clear" w:color="auto" w:fill="F5F5F5"/>
        <w:spacing w:before="0" w:beforeAutospacing="off" w:after="0" w:afterAutospacing="off"/>
        <w:jc w:val="both"/>
      </w:pPr>
    </w:p>
    <w:p w:rsidRPr="00F1399D" w:rsidR="000C541C" w:rsidP="466EBC59" w:rsidRDefault="000C541C" w14:paraId="220F7D8F" w14:textId="1AA373C8">
      <w:pPr>
        <w:shd w:val="clear" w:color="auto" w:fill="F5F5F5"/>
        <w:spacing w:before="0" w:beforeAutospacing="off" w:after="0" w:afterAutospacing="off"/>
        <w:jc w:val="both"/>
      </w:pPr>
      <w:r w:rsidRPr="466EBC59" w:rsidR="2E18E2BD">
        <w:rPr>
          <w:rFonts w:ascii="Arial" w:hAnsi="Arial" w:eastAsia="Arial" w:cs="Arial"/>
          <w:b w:val="0"/>
          <w:bCs w:val="0"/>
          <w:i w:val="0"/>
          <w:iCs w:val="0"/>
          <w:strike w:val="0"/>
          <w:dstrike w:val="0"/>
          <w:noProof w:val="0"/>
          <w:color w:val="404040" w:themeColor="text1" w:themeTint="BF" w:themeShade="FF"/>
          <w:sz w:val="24"/>
          <w:szCs w:val="24"/>
          <w:u w:val="none"/>
          <w:lang w:val="en-GB"/>
        </w:rPr>
        <w:t>Additionally, in 2014, Tesla Corporation named its driving assistance feature "Autopilot," suggesting it required less human supervision (Kapoor &amp; Pandey, 2021). Some critics argued that the term "Autopilot" could lead to deadly accidents (Carsten and Martens, 2018), prompting the German government to request that Tesla stop using potentially misleading terminology.</w:t>
      </w:r>
    </w:p>
    <w:p w:rsidRPr="00F1399D" w:rsidR="000C541C" w:rsidP="00DD5969" w:rsidRDefault="000C541C" w14:paraId="47501588" w14:textId="1E8B7387">
      <w:pPr/>
    </w:p>
    <w:p w:rsidRPr="00F1399D" w:rsidR="000C541C" w:rsidP="00DD5969" w:rsidRDefault="000C541C" w14:paraId="006A6F52" w14:textId="07AC9064">
      <w:pPr/>
    </w:p>
    <w:p w:rsidRPr="00F1399D" w:rsidR="000C541C" w:rsidP="00DD5969" w:rsidRDefault="000C541C" w14:paraId="1D35B749" w14:textId="54BAD7EF">
      <w:pPr/>
    </w:p>
    <w:p w:rsidRPr="00F1399D" w:rsidR="000C541C" w:rsidP="00DD5969" w:rsidRDefault="000C541C" w14:paraId="581E7BE2" w14:textId="4D01E0D1">
      <w:pPr/>
    </w:p>
    <w:p w:rsidRPr="00F1399D" w:rsidR="000C541C" w:rsidP="00DD5969" w:rsidRDefault="000C541C" w14:paraId="17C633B2" w14:textId="65147FE1">
      <w:pPr/>
    </w:p>
    <w:p w:rsidRPr="00F1399D" w:rsidR="000C541C" w:rsidP="00DD5969" w:rsidRDefault="000C541C" w14:paraId="5DAFB00B" w14:textId="2CA01098">
      <w:pPr/>
    </w:p>
    <w:p w:rsidRPr="00F1399D" w:rsidR="000C541C" w:rsidP="466EBC59" w:rsidRDefault="000C541C" w14:paraId="308CF409" w14:textId="60524AFB">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 xml:space="preserve">The Volkswagen emissions scandal serves as a notable example of digital failure, arising from a complex interplay of strategic ambition, technological limitations, organisational culture, inadequate governance, and the regulatory environment. The root cause cannot be traced to a single factor; rather, it results from a systemic combination of pressures and weaknesses that make cheating both possible and tempting (World Economic Forum, 2020). </w:t>
      </w:r>
    </w:p>
    <w:p w:rsidRPr="00F1399D" w:rsidR="000C541C" w:rsidP="00DD5969" w:rsidRDefault="000C541C" w14:paraId="4FFE9CBC" w14:textId="65966E94">
      <w:pPr/>
    </w:p>
    <w:p w:rsidRPr="00F1399D" w:rsidR="000C541C" w:rsidP="466EBC59" w:rsidRDefault="000C541C" w14:paraId="1049FDDE" w14:textId="5285BBEA">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Digital greenwashing misleads consumers by distorting facts, ultimately manipulating their intentions and trust. It is crucial to identify and address digital greenwashing. The digital landscape requires accountability, transparency, and education.</w:t>
      </w:r>
    </w:p>
    <w:p w:rsidRPr="00F1399D" w:rsidR="000C541C" w:rsidP="00DD5969" w:rsidRDefault="000C541C" w14:paraId="50D5A893" w14:textId="179F8A2C">
      <w:pPr/>
    </w:p>
    <w:p w:rsidRPr="00F1399D" w:rsidR="000C541C" w:rsidP="466EBC59" w:rsidRDefault="000C541C" w14:paraId="464593AB" w14:textId="334EFD43">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For corporations, this scandal serves as a clear reminder that setting high-performance targets without adequate attention to engineering, governance, and corporate culture can lead to ethical failures. For regulators, it underscores the need for practical testing and effective oversight. Ultimately, preventing such crises requires a comprehensive alignment of strategy, technology, culture, governance, and the external environment.</w:t>
      </w:r>
    </w:p>
    <w:p w:rsidRPr="00F1399D" w:rsidR="000C541C" w:rsidP="00DD5969" w:rsidRDefault="000C541C" w14:paraId="7AAAE5EA" w14:textId="42B3D617">
      <w:pPr/>
    </w:p>
    <w:p w:rsidRPr="00F1399D" w:rsidR="000C541C" w:rsidP="466EBC59" w:rsidRDefault="000C541C" w14:paraId="10C48259" w14:textId="1C0823E4">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Bachmann et al. (2022) show that U.S. sales of Volkswagen and other German car producers declined following the scandal, revealing issues related to "group reputation externalities." Beyene et al. (2022) identify cross-sector spillovers, showing that consumer loans for diesel cars offered by independent banks faced higher interest rates following the scandal.</w:t>
      </w:r>
    </w:p>
    <w:p w:rsidRPr="00F1399D" w:rsidR="000C541C" w:rsidP="00DD5969" w:rsidRDefault="000C541C" w14:paraId="0630D2A0" w14:textId="233BF772">
      <w:pPr/>
    </w:p>
    <w:p w:rsidRPr="00F1399D" w:rsidR="000C541C" w:rsidP="00DD5969" w:rsidRDefault="000C541C" w14:paraId="25E83298" w14:textId="24034599">
      <w:pPr/>
    </w:p>
    <w:p w:rsidRPr="00F1399D" w:rsidR="000C541C" w:rsidP="466EBC59" w:rsidRDefault="000C541C" w14:paraId="0EA83D3E" w14:textId="42F30DD2">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000000" w:themeColor="text1" w:themeTint="FF" w:themeShade="FF"/>
          <w:sz w:val="24"/>
          <w:szCs w:val="24"/>
          <w:u w:val="none"/>
          <w:lang w:val="en-GB"/>
        </w:rPr>
        <w:t>In conclusion, the automotive industry frequently engages in unethical practices, such as making false claims about the fuel efficiency and emissions levels of their vehicles (Tanner, 2025). Companies aiming for short-term profits may exaggerate the automation capabilities of their systems in marketing materials to attract customers. This strategy can be risky, as potential users form their perceptions of these automated systems long before their first experience with them. These initial impressions significantly impact how users later interact with the system (Ekman et al., 2018).</w:t>
      </w:r>
    </w:p>
    <w:p w:rsidRPr="00F1399D" w:rsidR="000C541C" w:rsidP="00DD5969" w:rsidRDefault="000C541C" w14:paraId="5157170B" w14:textId="3B852050">
      <w:pPr/>
    </w:p>
    <w:p w:rsidRPr="00F1399D" w:rsidR="000C541C" w:rsidP="00DD5969" w:rsidRDefault="000C541C" w14:paraId="73FB980B" w14:textId="02255279">
      <w:pPr/>
    </w:p>
    <w:p w:rsidRPr="00F1399D" w:rsidR="000C541C" w:rsidP="00DD5969" w:rsidRDefault="000C541C" w14:paraId="34735C69" w14:textId="6D37D4B6">
      <w:pPr/>
    </w:p>
    <w:p w:rsidRPr="00F1399D" w:rsidR="000C541C" w:rsidP="00DD5969" w:rsidRDefault="000C541C" w14:paraId="0692F9B3" w14:textId="5A99FDDD">
      <w:pPr/>
    </w:p>
    <w:p w:rsidRPr="00F1399D" w:rsidR="000C541C" w:rsidP="00DD5969" w:rsidRDefault="000C541C" w14:paraId="59F2B4D6" w14:textId="7FF5F46F">
      <w:pPr/>
      <w:r w:rsidR="4FD4E35D">
        <w:rPr/>
        <w:t>Reference</w:t>
      </w:r>
    </w:p>
    <w:p w:rsidRPr="00F1399D" w:rsidR="000C541C" w:rsidP="466EBC59" w:rsidRDefault="000C541C" w14:paraId="1D989190" w14:textId="1B3857EA">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Awanis, S. S., Kurniawan, T., &amp; Amin, M. (2020). Greenwashing and Its Impact on Consumer Attitudes. *Jurnal Manajemen Pemasaran*, 14(2), 127-139.</w:t>
      </w:r>
    </w:p>
    <w:p w:rsidRPr="00F1399D" w:rsidR="000C541C" w:rsidP="00DD5969" w:rsidRDefault="000C541C" w14:paraId="5EE7039D" w14:textId="0AFBF59F">
      <w:pPr/>
    </w:p>
    <w:p w:rsidRPr="00F1399D" w:rsidR="000C541C" w:rsidP="466EBC59" w:rsidRDefault="000C541C" w14:paraId="46D059DE" w14:textId="0B230D2C">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Bachmann, R., Ehrlich, G., Fan, Y., Ruzic, D., &amp; Leard, B. (2022). Firms and Collective Reputation: A Study of the Volkswagen Emissions Scandal. *Journal of the European Economic Association*, 21(2), 484–525.</w:t>
      </w:r>
    </w:p>
    <w:p w:rsidRPr="00F1399D" w:rsidR="000C541C" w:rsidP="00DD5969" w:rsidRDefault="000C541C" w14:paraId="4543C500" w14:textId="1BCED9AC">
      <w:pPr/>
    </w:p>
    <w:p w:rsidRPr="00F1399D" w:rsidR="000C541C" w:rsidP="466EBC59" w:rsidRDefault="000C541C" w14:paraId="597386B2" w14:textId="5F4625A3">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Beyene, W., Delis, M., &amp; Ongena, S. (2022). Financial Institutions’ Exposures to Fossil Fuel Assets (Tech. Rep.). ECON Committee, European Parliament.</w:t>
      </w:r>
    </w:p>
    <w:p w:rsidRPr="00F1399D" w:rsidR="000C541C" w:rsidP="00DD5969" w:rsidRDefault="000C541C" w14:paraId="6559FDF2" w14:textId="6270C3B1">
      <w:pPr/>
    </w:p>
    <w:p w:rsidRPr="00F1399D" w:rsidR="000C541C" w:rsidP="466EBC59" w:rsidRDefault="000C541C" w14:paraId="180A05C8" w14:textId="2E38828F">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Ekman, F., Johansson, M., &amp; Sochor, J. (2018). Creating Appropriate Trust in Automated Vehicle Systems: A Framework for HMI Design. *IEEE Transactions on Human-Machine Systems*, 48(1), 95-101.</w:t>
      </w:r>
    </w:p>
    <w:p w:rsidRPr="00F1399D" w:rsidR="000C541C" w:rsidP="00DD5969" w:rsidRDefault="000C541C" w14:paraId="24187E1D" w14:textId="6EF7BDC9">
      <w:pPr/>
    </w:p>
    <w:p w:rsidRPr="00F1399D" w:rsidR="000C541C" w:rsidP="466EBC59" w:rsidRDefault="000C541C" w14:paraId="6B5066D3" w14:textId="2E489465">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Eriksson, P., &amp; Hallberg, N. (2022). Crisis Management as a Learning System: Understanding the Dynamics of Adaptation and Transformation Between Crises. *Safety Science*, 151, 105735.</w:t>
      </w:r>
    </w:p>
    <w:p w:rsidRPr="00F1399D" w:rsidR="000C541C" w:rsidP="00DD5969" w:rsidRDefault="000C541C" w14:paraId="6C24AA19" w14:textId="254246CF">
      <w:pPr/>
    </w:p>
    <w:p w:rsidRPr="00F1399D" w:rsidR="000C541C" w:rsidP="466EBC59" w:rsidRDefault="000C541C" w14:paraId="4C20F1FB" w14:textId="19C95B25">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Lebow, R. N. (1986). Nuclear Crisis Management: A Dangerous Illusion. *Bulletin of Peace Proposals*, 17(2), 107-112.</w:t>
      </w:r>
    </w:p>
    <w:p w:rsidRPr="00F1399D" w:rsidR="000C541C" w:rsidP="00DD5969" w:rsidRDefault="000C541C" w14:paraId="2BB4F82E" w14:textId="51E7A4C7">
      <w:pPr/>
    </w:p>
    <w:p w:rsidRPr="00F1399D" w:rsidR="000C541C" w:rsidP="466EBC59" w:rsidRDefault="000C541C" w14:paraId="606119C7" w14:textId="468862F6">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Florio, C., &amp; Sproviero, A. (2021). Repairing Legitimacy Through Disclosures: Insights from Volkswagen’s 2015 Diesel Scandal. *Meditari Accountancy Research*.</w:t>
      </w:r>
    </w:p>
    <w:p w:rsidRPr="00F1399D" w:rsidR="000C541C" w:rsidP="00DD5969" w:rsidRDefault="000C541C" w14:paraId="19DC330D" w14:textId="4BEE3D29">
      <w:pPr/>
    </w:p>
    <w:p w:rsidRPr="00F1399D" w:rsidR="000C541C" w:rsidP="466EBC59" w:rsidRDefault="000C541C" w14:paraId="69326E9B" w14:textId="57B5AFAB">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Kapoor, R., &amp; Pandey, K. (2021). Greenwashing: A Review of Literature and a Future Research Agenda. *Journal of Cleaner Production*, 280, 124144. doi: 10.1016/j.jclepro.2020.124144.</w:t>
      </w:r>
    </w:p>
    <w:p w:rsidRPr="00F1399D" w:rsidR="000C541C" w:rsidP="00DD5969" w:rsidRDefault="000C541C" w14:paraId="218BF7E8" w14:textId="265584A1">
      <w:pPr/>
    </w:p>
    <w:p w:rsidRPr="00F1399D" w:rsidR="000C541C" w:rsidP="466EBC59" w:rsidRDefault="000C541C" w14:paraId="3B66A621" w14:textId="6603BC22">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 xml:space="preserve">Tanner, C., &amp; Mansell, W. (2025). The Dynamics of Deception: Lessons from the Volkswagen Emissions Scandal. </w:t>
      </w:r>
      <w:hyperlink r:id="R29cb8f4f2bb34f7e">
        <w:r w:rsidRPr="466EBC59" w:rsidR="2E18E2BD">
          <w:rPr>
            <w:rStyle w:val="Hyperlink"/>
            <w:rFonts w:ascii="Arial" w:hAnsi="Arial" w:eastAsia="Arial" w:cs="Arial"/>
            <w:b w:val="0"/>
            <w:bCs w:val="0"/>
            <w:i w:val="0"/>
            <w:iCs w:val="0"/>
            <w:strike w:val="0"/>
            <w:dstrike w:val="0"/>
            <w:noProof w:val="0"/>
            <w:sz w:val="24"/>
            <w:szCs w:val="24"/>
            <w:lang w:val="en-GB"/>
          </w:rPr>
          <w:t>https://doi.org/10.2139/ssrn.4986485</w:t>
        </w:r>
      </w:hyperlink>
      <w:r w:rsidRPr="466EBC59" w:rsidR="2E18E2BD">
        <w:rPr>
          <w:rFonts w:ascii="Arial" w:hAnsi="Arial" w:eastAsia="Arial" w:cs="Arial"/>
          <w:b w:val="0"/>
          <w:bCs w:val="0"/>
          <w:i w:val="0"/>
          <w:iCs w:val="0"/>
          <w:strike w:val="0"/>
          <w:dstrike w:val="0"/>
          <w:noProof w:val="0"/>
          <w:color w:val="1F1F1F"/>
          <w:sz w:val="24"/>
          <w:szCs w:val="24"/>
          <w:u w:val="none"/>
          <w:lang w:val="en-GB"/>
        </w:rPr>
        <w:t>.</w:t>
      </w:r>
    </w:p>
    <w:p w:rsidRPr="00F1399D" w:rsidR="000C541C" w:rsidP="00DD5969" w:rsidRDefault="000C541C" w14:paraId="771A3510" w14:textId="28EBBC74">
      <w:pPr/>
    </w:p>
    <w:p w:rsidRPr="00F1399D" w:rsidR="000C541C" w:rsidP="466EBC59" w:rsidRDefault="000C541C" w14:paraId="64C73295" w14:textId="35EC7AF4">
      <w:pPr>
        <w:spacing w:before="0" w:beforeAutospacing="off" w:after="0" w:afterAutospacing="off"/>
        <w:jc w:val="both"/>
      </w:pPr>
      <w:r w:rsidRPr="466EBC59" w:rsidR="2E18E2BD">
        <w:rPr>
          <w:rFonts w:ascii="Arial" w:hAnsi="Arial" w:eastAsia="Arial" w:cs="Arial"/>
          <w:b w:val="0"/>
          <w:bCs w:val="0"/>
          <w:i w:val="0"/>
          <w:iCs w:val="0"/>
          <w:strike w:val="0"/>
          <w:dstrike w:val="0"/>
          <w:noProof w:val="0"/>
          <w:color w:val="1F1F1F"/>
          <w:sz w:val="24"/>
          <w:szCs w:val="24"/>
          <w:u w:val="none"/>
          <w:lang w:val="en-GB"/>
        </w:rPr>
        <w:t>Turna, G. (2022). How “</w:t>
      </w:r>
      <w:r w:rsidRPr="466EBC59" w:rsidR="2E18E2BD">
        <w:rPr>
          <w:rFonts w:ascii="Arial" w:hAnsi="Arial" w:eastAsia="Arial" w:cs="Arial"/>
          <w:b w:val="0"/>
          <w:bCs w:val="0"/>
          <w:i w:val="0"/>
          <w:iCs w:val="0"/>
          <w:strike w:val="0"/>
          <w:dstrike w:val="0"/>
          <w:noProof w:val="0"/>
          <w:color w:val="1F1F1F"/>
          <w:sz w:val="24"/>
          <w:szCs w:val="24"/>
          <w:u w:val="none"/>
          <w:lang w:val="en-GB"/>
        </w:rPr>
        <w:t>Dieselgate</w:t>
      </w:r>
      <w:r w:rsidRPr="466EBC59" w:rsidR="2E18E2BD">
        <w:rPr>
          <w:rFonts w:ascii="Arial" w:hAnsi="Arial" w:eastAsia="Arial" w:cs="Arial"/>
          <w:b w:val="0"/>
          <w:bCs w:val="0"/>
          <w:i w:val="0"/>
          <w:iCs w:val="0"/>
          <w:strike w:val="0"/>
          <w:dstrike w:val="0"/>
          <w:noProof w:val="0"/>
          <w:color w:val="1F1F1F"/>
          <w:sz w:val="24"/>
          <w:szCs w:val="24"/>
          <w:u w:val="none"/>
          <w:lang w:val="en-GB"/>
        </w:rPr>
        <w:t>” Changed Volkswagen: Rushing to Erase the Traces of Greenwashing.</w:t>
      </w:r>
    </w:p>
    <w:p w:rsidRPr="00F1399D" w:rsidR="000C541C" w:rsidP="466EBC59" w:rsidRDefault="000C541C" w14:paraId="0DEBD646" w14:textId="29619095">
      <w:pPr>
        <w:spacing w:before="0" w:beforeAutospacing="off" w:after="0" w:afterAutospacing="off"/>
        <w:jc w:val="both"/>
        <w:rPr>
          <w:rFonts w:ascii="Arial" w:hAnsi="Arial" w:eastAsia="Arial" w:cs="Arial"/>
          <w:b w:val="0"/>
          <w:bCs w:val="0"/>
          <w:i w:val="0"/>
          <w:iCs w:val="0"/>
          <w:strike w:val="0"/>
          <w:dstrike w:val="0"/>
          <w:noProof w:val="0"/>
          <w:color w:val="1F1F1F"/>
          <w:sz w:val="24"/>
          <w:szCs w:val="24"/>
          <w:u w:val="none"/>
          <w:lang w:val="en-GB"/>
        </w:rPr>
      </w:pPr>
    </w:p>
    <w:p w:rsidRPr="00F1399D" w:rsidR="000C541C" w:rsidP="466EBC59" w:rsidRDefault="000C541C" w14:paraId="000DBC22" w14:textId="37FB4BFD">
      <w:pPr>
        <w:pStyle w:val="Normal"/>
      </w:pPr>
      <w:r w:rsidRPr="466EBC59" w:rsidR="2E18E2BD">
        <w:rPr>
          <w:rFonts w:ascii="Arial" w:hAnsi="Arial" w:eastAsia="Arial" w:cs="Arial"/>
          <w:b w:val="0"/>
          <w:bCs w:val="0"/>
          <w:i w:val="0"/>
          <w:iCs w:val="0"/>
          <w:strike w:val="0"/>
          <w:dstrike w:val="0"/>
          <w:noProof w:val="0"/>
          <w:color w:val="1F1F1F"/>
          <w:sz w:val="24"/>
          <w:szCs w:val="24"/>
          <w:u w:val="none"/>
          <w:lang w:val="en-GB"/>
        </w:rPr>
        <w:t>World Economic Forum. (2020). Blockchain for Sustainable and Inclusive Digital Economies.</w:t>
      </w:r>
      <w:r w:rsidRPr="466EBC59" w:rsidR="2E18E2BD">
        <w:rPr>
          <w:rFonts w:ascii="Arial" w:hAnsi="Arial" w:eastAsia="Arial" w:cs="Arial"/>
          <w:b w:val="0"/>
          <w:bCs w:val="0"/>
          <w:i w:val="0"/>
          <w:iCs w:val="0"/>
          <w:strike w:val="0"/>
          <w:dstrike w:val="0"/>
          <w:noProof w:val="0"/>
          <w:color w:val="1F1F1F"/>
          <w:sz w:val="24"/>
          <w:szCs w:val="24"/>
          <w:u w:val="none"/>
          <w:lang w:val="en-GB"/>
        </w:rPr>
        <w:t xml:space="preserve">Zhang, M., Atwal, G., &amp; Kaiser, M. (2021). Corporate Social Irresponsibility and Stakeholder Ecosystems: The Case of the Volkswagen </w:t>
      </w:r>
      <w:r w:rsidRPr="466EBC59" w:rsidR="2E18E2BD">
        <w:rPr>
          <w:rFonts w:ascii="Arial" w:hAnsi="Arial" w:eastAsia="Arial" w:cs="Arial"/>
          <w:b w:val="0"/>
          <w:bCs w:val="0"/>
          <w:i w:val="0"/>
          <w:iCs w:val="0"/>
          <w:strike w:val="0"/>
          <w:dstrike w:val="0"/>
          <w:noProof w:val="0"/>
          <w:color w:val="1F1F1F"/>
          <w:sz w:val="24"/>
          <w:szCs w:val="24"/>
          <w:u w:val="none"/>
          <w:lang w:val="en-GB"/>
        </w:rPr>
        <w:t>Dieselgate</w:t>
      </w:r>
      <w:r w:rsidRPr="466EBC59" w:rsidR="2E18E2BD">
        <w:rPr>
          <w:rFonts w:ascii="Arial" w:hAnsi="Arial" w:eastAsia="Arial" w:cs="Arial"/>
          <w:b w:val="0"/>
          <w:bCs w:val="0"/>
          <w:i w:val="0"/>
          <w:iCs w:val="0"/>
          <w:strike w:val="0"/>
          <w:dstrike w:val="0"/>
          <w:noProof w:val="0"/>
          <w:color w:val="1F1F1F"/>
          <w:sz w:val="24"/>
          <w:szCs w:val="24"/>
          <w:u w:val="none"/>
          <w:lang w:val="en-GB"/>
        </w:rPr>
        <w:t xml:space="preserve"> Scandal. *Strategic Change*, 30(1), 79–85.</w:t>
      </w:r>
    </w:p>
    <w:p w:rsidRPr="00F1399D" w:rsidR="000C541C" w:rsidP="00DD5969" w:rsidRDefault="000C541C" w14:paraId="3CB51499" w14:textId="36497726">
      <w:pPr/>
    </w:p>
    <w:p w:rsidRPr="00F1399D" w:rsidR="000C541C" w:rsidP="00DD5969" w:rsidRDefault="000C541C" w14:paraId="349A3B0C" w14:textId="5F58DD4E">
      <w:pPr/>
    </w:p>
    <w:p w:rsidRPr="00F1399D" w:rsidR="000C541C" w:rsidP="00DD5969" w:rsidRDefault="000C541C" w14:paraId="5144E418" w14:textId="0D7E0AA1">
      <w:pPr>
        <w:rPr>
          <w:rFonts w:ascii="Arial" w:hAnsi="Arial" w:cs="Arial"/>
          <w:sz w:val="16"/>
          <w:szCs w:val="16"/>
        </w:rPr>
        <w:sectPr w:rsidRPr="00F1399D" w:rsidR="00F1399D">
          <w:pgSz w:w="11906" w:h="16838" w:orient="portrait"/>
          <w:pgMar w:top="1440" w:right="1440" w:bottom="1440" w:left="1440" w:header="708" w:footer="708" w:gutter="0"/>
          <w:cols w:space="708"/>
          <w:docGrid w:linePitch="360"/>
        </w:sectPr>
      </w:pPr>
    </w:p>
    <w:bookmarkStart w:name="_Toc198804605" w:id="6"/>
    <w:p w:rsidRPr="00F1399D" w:rsidR="00F1399D" w:rsidP="5E9149B0" w:rsidRDefault="00F1399D" w14:paraId="30705B1D" w14:textId="77777777" w14:noSpellErr="1">
      <w:pPr>
        <w:spacing w:before="100" w:beforeAutospacing="on" w:after="100" w:afterAutospacing="on" w:line="240" w:lineRule="auto"/>
        <w:outlineLvl w:val="2"/>
        <w:rPr>
          <w:rFonts w:ascii="Arial" w:hAnsi="Arial" w:eastAsia="Times New Roman" w:cs="Arial"/>
          <w:b w:val="1"/>
          <w:bCs w:val="1"/>
          <w:kern w:val="0"/>
          <w:sz w:val="27"/>
          <w:szCs w:val="27"/>
          <w14:ligatures w14:val="none"/>
        </w:rPr>
      </w:pPr>
    </w:p>
    <w:p w:rsidRPr="00F1399D" w:rsidR="00F1399D" w:rsidP="00F1399D" w:rsidRDefault="00F1399D" w14:paraId="5A3EBECF" w14:textId="77777777">
      <w:pPr>
        <w:spacing w:before="100" w:beforeAutospacing="1" w:after="100" w:afterAutospacing="1" w:line="240" w:lineRule="auto"/>
        <w:outlineLvl w:val="2"/>
        <w:rPr>
          <w:rFonts w:ascii="Arial" w:hAnsi="Arial" w:eastAsia="Times New Roman" w:cs="Arial"/>
          <w:b/>
          <w:bCs/>
          <w:kern w:val="0"/>
          <w:sz w:val="27"/>
          <w:szCs w:val="27"/>
          <w14:ligatures w14:val="none"/>
        </w:rPr>
      </w:pPr>
    </w:p>
    <w:p w:rsidR="00F1399D" w:rsidP="00DD2E8E" w:rsidRDefault="00F1399D" w14:paraId="3F21F5C5" w14:textId="77777777" w14:noSpellErr="1">
      <w:pPr>
        <w:spacing w:before="100" w:beforeAutospacing="on" w:after="100" w:afterAutospacing="on" w:line="240" w:lineRule="auto"/>
        <w:outlineLvl w:val="2"/>
        <w:rPr>
          <w:rFonts w:ascii="Arial" w:hAnsi="Arial" w:eastAsia="Times New Roman" w:cs="Arial"/>
          <w:b w:val="1"/>
          <w:bCs w:val="1"/>
          <w:kern w:val="0"/>
          <w:sz w:val="27"/>
          <w:szCs w:val="27"/>
          <w14:ligatures w14:val="none"/>
        </w:rPr>
        <w:sectPr w:rsidR="00F1399D">
          <w:pgSz w:w="11906" w:h="16838" w:orient="portrait"/>
          <w:pgMar w:top="1440" w:right="1440" w:bottom="1440" w:left="1440" w:header="708" w:footer="708" w:gutter="0"/>
          <w:cols w:space="708"/>
          <w:docGrid w:linePitch="360"/>
        </w:sectPr>
      </w:pPr>
      <w:bookmarkEnd w:id="6"/>
    </w:p>
    <w:p w:rsidRPr="00B103B9" w:rsidR="000C541C" w:rsidP="00DD5969" w:rsidRDefault="000C541C" w14:paraId="2AE1CF9A" w14:textId="77777777">
      <w:pPr>
        <w:rPr>
          <w:sz w:val="16"/>
          <w:szCs w:val="16"/>
        </w:rPr>
      </w:pPr>
    </w:p>
    <w:sectPr w:rsidRPr="00B103B9" w:rsidR="000C541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B27" w:rsidP="00F1399D" w:rsidRDefault="006F1B27" w14:paraId="743B860F" w14:textId="77777777">
      <w:pPr>
        <w:spacing w:after="0" w:line="240" w:lineRule="auto"/>
      </w:pPr>
      <w:r>
        <w:separator/>
      </w:r>
    </w:p>
  </w:endnote>
  <w:endnote w:type="continuationSeparator" w:id="0">
    <w:p w:rsidR="006F1B27" w:rsidP="00F1399D" w:rsidRDefault="006F1B27" w14:paraId="5D7842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B27" w:rsidP="00F1399D" w:rsidRDefault="006F1B27" w14:paraId="57FC36F7" w14:textId="77777777">
      <w:pPr>
        <w:spacing w:after="0" w:line="240" w:lineRule="auto"/>
      </w:pPr>
      <w:r>
        <w:separator/>
      </w:r>
    </w:p>
  </w:footnote>
  <w:footnote w:type="continuationSeparator" w:id="0">
    <w:p w:rsidR="006F1B27" w:rsidP="00F1399D" w:rsidRDefault="006F1B27" w14:paraId="76797BA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rbZZ4Op4AEyDns" int2:id="4MPCgXbQ">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423CB"/>
    <w:multiLevelType w:val="multilevel"/>
    <w:tmpl w:val="BEF68A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D824485"/>
    <w:multiLevelType w:val="hybridMultilevel"/>
    <w:tmpl w:val="E154F6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94660C"/>
    <w:multiLevelType w:val="multilevel"/>
    <w:tmpl w:val="2A00A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3ED3558A"/>
    <w:multiLevelType w:val="multilevel"/>
    <w:tmpl w:val="D3643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64584F04"/>
    <w:multiLevelType w:val="multilevel"/>
    <w:tmpl w:val="44E8E0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057896471">
    <w:abstractNumId w:val="4"/>
  </w:num>
  <w:num w:numId="2" w16cid:durableId="1766608665">
    <w:abstractNumId w:val="0"/>
  </w:num>
  <w:num w:numId="3" w16cid:durableId="632635170">
    <w:abstractNumId w:val="2"/>
  </w:num>
  <w:num w:numId="4" w16cid:durableId="994382463">
    <w:abstractNumId w:val="3"/>
  </w:num>
  <w:num w:numId="5" w16cid:durableId="17575540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B31F1"/>
    <w:rsid w:val="004D474C"/>
    <w:rsid w:val="0053246E"/>
    <w:rsid w:val="00536CFB"/>
    <w:rsid w:val="00543F5E"/>
    <w:rsid w:val="00584970"/>
    <w:rsid w:val="005913FB"/>
    <w:rsid w:val="005B783A"/>
    <w:rsid w:val="005F42D0"/>
    <w:rsid w:val="005F7C42"/>
    <w:rsid w:val="0062310A"/>
    <w:rsid w:val="00664B16"/>
    <w:rsid w:val="006B52C3"/>
    <w:rsid w:val="006F1B27"/>
    <w:rsid w:val="007203C3"/>
    <w:rsid w:val="007352C0"/>
    <w:rsid w:val="00735C2C"/>
    <w:rsid w:val="00743752"/>
    <w:rsid w:val="007D3AE1"/>
    <w:rsid w:val="007D777F"/>
    <w:rsid w:val="007E01E0"/>
    <w:rsid w:val="00803155"/>
    <w:rsid w:val="00840BEE"/>
    <w:rsid w:val="00851EDB"/>
    <w:rsid w:val="008D7180"/>
    <w:rsid w:val="008F1086"/>
    <w:rsid w:val="009060A0"/>
    <w:rsid w:val="0091355A"/>
    <w:rsid w:val="00917008"/>
    <w:rsid w:val="00935B8D"/>
    <w:rsid w:val="009A3D6F"/>
    <w:rsid w:val="009B164A"/>
    <w:rsid w:val="00A15883"/>
    <w:rsid w:val="00A23D6E"/>
    <w:rsid w:val="00A476E3"/>
    <w:rsid w:val="00AD7313"/>
    <w:rsid w:val="00AE2AA9"/>
    <w:rsid w:val="00AE3307"/>
    <w:rsid w:val="00AF66E7"/>
    <w:rsid w:val="00B028A8"/>
    <w:rsid w:val="00B103B9"/>
    <w:rsid w:val="00B42784"/>
    <w:rsid w:val="00B51B61"/>
    <w:rsid w:val="00B724BB"/>
    <w:rsid w:val="00BC7B60"/>
    <w:rsid w:val="00BE2A35"/>
    <w:rsid w:val="00BE3554"/>
    <w:rsid w:val="00C129B8"/>
    <w:rsid w:val="00C24461"/>
    <w:rsid w:val="00C2550A"/>
    <w:rsid w:val="00C4699D"/>
    <w:rsid w:val="00CF32AC"/>
    <w:rsid w:val="00D24ADF"/>
    <w:rsid w:val="00D26517"/>
    <w:rsid w:val="00D33868"/>
    <w:rsid w:val="00DC55F3"/>
    <w:rsid w:val="00DD2E8E"/>
    <w:rsid w:val="00DD5969"/>
    <w:rsid w:val="00E10797"/>
    <w:rsid w:val="00E243A8"/>
    <w:rsid w:val="00E6747C"/>
    <w:rsid w:val="00EA0B9A"/>
    <w:rsid w:val="00EA15D1"/>
    <w:rsid w:val="00EA6220"/>
    <w:rsid w:val="00EC1771"/>
    <w:rsid w:val="00F1399D"/>
    <w:rsid w:val="00F8089C"/>
    <w:rsid w:val="03D01122"/>
    <w:rsid w:val="042067F1"/>
    <w:rsid w:val="07D5B987"/>
    <w:rsid w:val="095D05C6"/>
    <w:rsid w:val="09AD0EBF"/>
    <w:rsid w:val="0C342452"/>
    <w:rsid w:val="0CBF09FF"/>
    <w:rsid w:val="11592CCC"/>
    <w:rsid w:val="15211E68"/>
    <w:rsid w:val="159164D0"/>
    <w:rsid w:val="166ABB76"/>
    <w:rsid w:val="16AD3673"/>
    <w:rsid w:val="18A02F5B"/>
    <w:rsid w:val="1A348457"/>
    <w:rsid w:val="1DDBC48A"/>
    <w:rsid w:val="1E4A7BD2"/>
    <w:rsid w:val="2146BFC6"/>
    <w:rsid w:val="2266B996"/>
    <w:rsid w:val="2271EB98"/>
    <w:rsid w:val="22EF0E43"/>
    <w:rsid w:val="231898B3"/>
    <w:rsid w:val="260C7FFA"/>
    <w:rsid w:val="26A58827"/>
    <w:rsid w:val="281B8C29"/>
    <w:rsid w:val="2837A147"/>
    <w:rsid w:val="2DEDA24E"/>
    <w:rsid w:val="2E18E2BD"/>
    <w:rsid w:val="2E370707"/>
    <w:rsid w:val="2E4539DB"/>
    <w:rsid w:val="2E65EEF6"/>
    <w:rsid w:val="2EF8041F"/>
    <w:rsid w:val="3063E992"/>
    <w:rsid w:val="3254295A"/>
    <w:rsid w:val="32845346"/>
    <w:rsid w:val="3486889B"/>
    <w:rsid w:val="34EB3115"/>
    <w:rsid w:val="3650C381"/>
    <w:rsid w:val="3A56CC4C"/>
    <w:rsid w:val="3AD57D53"/>
    <w:rsid w:val="3B4036FC"/>
    <w:rsid w:val="3D29A49D"/>
    <w:rsid w:val="3D31748E"/>
    <w:rsid w:val="3FA537ED"/>
    <w:rsid w:val="41B392A5"/>
    <w:rsid w:val="42286A39"/>
    <w:rsid w:val="431DA4C2"/>
    <w:rsid w:val="45A3794F"/>
    <w:rsid w:val="466EBC59"/>
    <w:rsid w:val="474C925A"/>
    <w:rsid w:val="4C4D25A0"/>
    <w:rsid w:val="4DCEBBB1"/>
    <w:rsid w:val="4FD4E35D"/>
    <w:rsid w:val="50B3257C"/>
    <w:rsid w:val="5215FC2D"/>
    <w:rsid w:val="5365747D"/>
    <w:rsid w:val="54AF5AF1"/>
    <w:rsid w:val="558D936C"/>
    <w:rsid w:val="567C7E15"/>
    <w:rsid w:val="58871598"/>
    <w:rsid w:val="5C2C46CF"/>
    <w:rsid w:val="5C88EE3A"/>
    <w:rsid w:val="5C8F85FE"/>
    <w:rsid w:val="5DA3134B"/>
    <w:rsid w:val="5E9149B0"/>
    <w:rsid w:val="5F2EA6D3"/>
    <w:rsid w:val="5F60CB9B"/>
    <w:rsid w:val="5F7B4CEB"/>
    <w:rsid w:val="61AAD288"/>
    <w:rsid w:val="61DBDC21"/>
    <w:rsid w:val="67C04345"/>
    <w:rsid w:val="67D5B976"/>
    <w:rsid w:val="67F6F270"/>
    <w:rsid w:val="68A97992"/>
    <w:rsid w:val="6A6F5BF0"/>
    <w:rsid w:val="70E29EFE"/>
    <w:rsid w:val="71074237"/>
    <w:rsid w:val="7238AE87"/>
    <w:rsid w:val="72ED3B43"/>
    <w:rsid w:val="74B02C96"/>
    <w:rsid w:val="74F99FAF"/>
    <w:rsid w:val="768EC27A"/>
    <w:rsid w:val="775F6070"/>
    <w:rsid w:val="77A4C21D"/>
    <w:rsid w:val="79D02451"/>
    <w:rsid w:val="7AD693AE"/>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styleId="HeaderChar" w:customStyle="1">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styleId="FooterChar" w:customStyle="1">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microsoft.com/office/2020/10/relationships/intelligence" Target="intelligence2.xml" Id="R0b59c2c5abb4464f" /><Relationship Type="http://schemas.openxmlformats.org/officeDocument/2006/relationships/hyperlink" Target="https://doi.org/10.2139/ssrn.4986485" TargetMode="External" Id="R29cb8f4f2bb34f7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Patricia Chanda (1350365)</lastModifiedBy>
  <revision>10</revision>
  <lastPrinted>2025-05-22T10:20:00.0000000Z</lastPrinted>
  <dcterms:created xsi:type="dcterms:W3CDTF">2025-04-15T10:58:00.0000000Z</dcterms:created>
  <dcterms:modified xsi:type="dcterms:W3CDTF">2025-11-14T01:45:31.8262319Z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