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1B1A" w:rsidRDefault="00921B1A">
      <w:pPr>
        <w:jc w:val="center"/>
        <w:rPr>
          <w:rFonts w:ascii="Times New Roman" w:hAnsi="Times New Roman" w:cs="Times New Roman"/>
          <w:b/>
          <w:bCs/>
          <w:color w:val="000000"/>
          <w:sz w:val="32"/>
          <w:szCs w:val="32"/>
        </w:rPr>
      </w:pPr>
    </w:p>
    <w:p w:rsidR="00921B1A" w:rsidRDefault="00921B1A">
      <w:pPr>
        <w:jc w:val="center"/>
        <w:rPr>
          <w:rFonts w:ascii="Times New Roman" w:hAnsi="Times New Roman" w:cs="Times New Roman"/>
          <w:b/>
          <w:bCs/>
          <w:color w:val="000000"/>
          <w:sz w:val="32"/>
          <w:szCs w:val="32"/>
        </w:rPr>
      </w:pPr>
    </w:p>
    <w:p w:rsidR="00921B1A" w:rsidRDefault="00127422">
      <w:pPr>
        <w:jc w:val="center"/>
        <w:rPr>
          <w:rFonts w:ascii="Times New Roman" w:hAnsi="Times New Roman" w:cs="Times New Roman"/>
          <w:b/>
          <w:bCs/>
          <w:color w:val="000000"/>
          <w:sz w:val="32"/>
          <w:szCs w:val="32"/>
        </w:rPr>
      </w:pPr>
      <w:r w:rsidRPr="00A406E5">
        <w:rPr>
          <w:rFonts w:ascii="Arial" w:hAnsi="Arial" w:cs="Arial"/>
          <w:noProof/>
          <w:lang w:val="en-IN" w:eastAsia="en-IN"/>
        </w:rPr>
        <w:drawing>
          <wp:anchor distT="0" distB="0" distL="114300" distR="114300" simplePos="0" relativeHeight="251659264" behindDoc="0" locked="0" layoutInCell="1" allowOverlap="1" wp14:anchorId="475439D2" wp14:editId="053B0C4D">
            <wp:simplePos x="0" y="0"/>
            <wp:positionH relativeFrom="margin">
              <wp:align>center</wp:align>
            </wp:positionH>
            <wp:positionV relativeFrom="paragraph">
              <wp:posOffset>235585</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00921B1A" w:rsidRDefault="00921B1A">
      <w:pPr>
        <w:jc w:val="center"/>
        <w:rPr>
          <w:rFonts w:ascii="Times New Roman" w:hAnsi="Times New Roman" w:cs="Times New Roman"/>
          <w:b/>
          <w:bCs/>
          <w:color w:val="000000"/>
          <w:sz w:val="32"/>
          <w:szCs w:val="32"/>
        </w:rPr>
      </w:pPr>
    </w:p>
    <w:p w:rsidR="00921B1A" w:rsidRDefault="00921B1A">
      <w:pPr>
        <w:jc w:val="center"/>
        <w:rPr>
          <w:rFonts w:ascii="Times New Roman" w:hAnsi="Times New Roman" w:cs="Times New Roman"/>
          <w:b/>
          <w:bCs/>
          <w:color w:val="000000"/>
          <w:sz w:val="32"/>
          <w:szCs w:val="32"/>
        </w:rPr>
      </w:pPr>
    </w:p>
    <w:p w:rsidR="00921B1A" w:rsidRDefault="00A8540D">
      <w:pPr>
        <w:spacing w:line="360" w:lineRule="auto"/>
        <w:jc w:val="center"/>
        <w:rPr>
          <w:rFonts w:ascii="Times New Roman" w:hAnsi="Times New Roman" w:cs="Times New Roman"/>
          <w:b/>
          <w:bCs/>
          <w:color w:val="000000"/>
          <w:sz w:val="32"/>
          <w:szCs w:val="32"/>
        </w:rPr>
      </w:pPr>
      <w:r>
        <w:rPr>
          <w:rFonts w:ascii="Times New Roman" w:hAnsi="Times New Roman" w:cs="Times New Roman"/>
          <w:b/>
          <w:bCs/>
          <w:color w:val="000000"/>
          <w:sz w:val="32"/>
          <w:szCs w:val="32"/>
        </w:rPr>
        <w:t>DATA SECURITY, GOVERNANCE AND COMPLIANCE BASED ON A GIVEN SCENARIO</w:t>
      </w:r>
    </w:p>
    <w:p w:rsidR="00921B1A" w:rsidRDefault="00A8540D">
      <w:pPr>
        <w:rPr>
          <w:rFonts w:ascii="Times New Roman" w:hAnsi="Times New Roman" w:cs="Times New Roman"/>
          <w:b/>
          <w:bCs/>
          <w:color w:val="000000"/>
          <w:sz w:val="32"/>
          <w:szCs w:val="32"/>
        </w:rPr>
      </w:pPr>
      <w:r>
        <w:rPr>
          <w:rFonts w:ascii="Times New Roman" w:hAnsi="Times New Roman" w:cs="Times New Roman"/>
          <w:b/>
          <w:bCs/>
          <w:color w:val="000000"/>
          <w:sz w:val="32"/>
          <w:szCs w:val="32"/>
        </w:rPr>
        <w:br w:type="page"/>
      </w:r>
    </w:p>
    <w:p w:rsidR="00921B1A" w:rsidRDefault="00B36B6B">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 xml:space="preserve"> </w:t>
      </w:r>
      <w:proofErr w:type="spellStart"/>
      <w:r>
        <w:rPr>
          <w:rFonts w:ascii="Times New Roman" w:hAnsi="Times New Roman" w:cs="Times New Roman"/>
          <w:b/>
          <w:bCs/>
          <w:sz w:val="24"/>
          <w:szCs w:val="24"/>
        </w:rPr>
        <w:t>ABSTRACT</w:t>
      </w:r>
      <w:proofErr w:type="spellEnd"/>
    </w:p>
    <w:p w:rsidR="00921B1A" w:rsidRDefault="00A8540D">
      <w:pPr>
        <w:spacing w:line="360" w:lineRule="auto"/>
        <w:jc w:val="both"/>
        <w:rPr>
          <w:rFonts w:ascii="Times New Roman" w:hAnsi="Times New Roman" w:cs="Times New Roman"/>
          <w:sz w:val="24"/>
          <w:szCs w:val="24"/>
        </w:rPr>
      </w:pPr>
      <w:r>
        <w:rPr>
          <w:rFonts w:ascii="Times New Roman" w:hAnsi="Times New Roman" w:cs="Times New Roman"/>
          <w:sz w:val="24"/>
          <w:szCs w:val="24"/>
        </w:rPr>
        <w:t>NatureGarden (NG), a worldwide known company in the sphere of health products, experiences growth in cybersecurity threats because of the use of the cloud services, a largely wireless network, and BYOD request. There is currently no structured information security policy in the company hence the organization is exposed to various risks concerning the client’s sensitive information and intellectual property. In this report, prior security frameworks and models, comprising of ITIL, ISO 27000, and the NIST Cybersecurity Frameworks are utilised to meet the security objectives of NG. An integrated strategy is identified to build up sustainable practices over governance, risk, policies, and compliance. Minuse the necessity of the update of regulations and standards concerning threats and new technologies is also mentioned. The discoveries seek to offer a sound information security plan that will support naturegarden’s sustainable performance and minimize risk on information security.</w:t>
      </w:r>
    </w:p>
    <w:p w:rsidR="00921B1A" w:rsidRDefault="00A8540D">
      <w:pPr>
        <w:rPr>
          <w:rFonts w:ascii="Times New Roman" w:hAnsi="Times New Roman" w:cs="Times New Roman"/>
          <w:sz w:val="24"/>
          <w:szCs w:val="24"/>
        </w:rPr>
      </w:pPr>
      <w:r>
        <w:rPr>
          <w:rFonts w:ascii="Times New Roman" w:hAnsi="Times New Roman" w:cs="Times New Roman"/>
          <w:sz w:val="24"/>
          <w:szCs w:val="24"/>
        </w:rPr>
        <w:br w:type="page"/>
      </w:r>
    </w:p>
    <w:p w:rsidR="00B36B6B" w:rsidRPr="00B36B6B" w:rsidRDefault="00B36B6B" w:rsidP="00B36B6B">
      <w:pPr>
        <w:pStyle w:val="TOCHeading"/>
        <w:spacing w:line="360" w:lineRule="auto"/>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lastRenderedPageBreak/>
        <w:t>Table of Contents</w:t>
      </w:r>
    </w:p>
    <w:p w:rsidR="00921B1A" w:rsidRDefault="00A8540D">
      <w:pPr>
        <w:pStyle w:val="TOC1"/>
        <w:tabs>
          <w:tab w:val="right" w:leader="dot" w:pos="9350"/>
        </w:tabs>
        <w:spacing w:line="360" w:lineRule="auto"/>
        <w:jc w:val="both"/>
        <w:rPr>
          <w:rFonts w:ascii="Times New Roman" w:eastAsia="SimSun" w:hAnsi="Times New Roman" w:cs="Times New Roman"/>
          <w:noProof/>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hyperlink w:anchor="_Toc186124130" w:history="1">
        <w:r>
          <w:rPr>
            <w:rStyle w:val="Hyperlink"/>
            <w:rFonts w:ascii="Times New Roman" w:hAnsi="Times New Roman" w:cs="Times New Roman"/>
            <w:noProof/>
            <w:sz w:val="24"/>
            <w:szCs w:val="24"/>
          </w:rPr>
          <w:t>Introduction</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_Toc186124130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Pr>
            <w:rFonts w:ascii="Times New Roman" w:hAnsi="Times New Roman" w:cs="Times New Roman"/>
            <w:noProof/>
            <w:webHidden/>
            <w:sz w:val="24"/>
            <w:szCs w:val="24"/>
          </w:rPr>
          <w:fldChar w:fldCharType="end"/>
        </w:r>
      </w:hyperlink>
    </w:p>
    <w:p w:rsidR="00921B1A" w:rsidRDefault="0054026D">
      <w:pPr>
        <w:pStyle w:val="TOC1"/>
        <w:tabs>
          <w:tab w:val="right" w:leader="dot" w:pos="9350"/>
        </w:tabs>
        <w:spacing w:line="360" w:lineRule="auto"/>
        <w:jc w:val="both"/>
        <w:rPr>
          <w:rFonts w:ascii="Times New Roman" w:eastAsia="SimSun" w:hAnsi="Times New Roman" w:cs="Times New Roman"/>
          <w:noProof/>
          <w:sz w:val="24"/>
          <w:szCs w:val="24"/>
        </w:rPr>
      </w:pPr>
      <w:hyperlink w:anchor="_Toc186124131" w:history="1">
        <w:r w:rsidR="00A8540D">
          <w:rPr>
            <w:rStyle w:val="Hyperlink"/>
            <w:rFonts w:ascii="Times New Roman" w:hAnsi="Times New Roman" w:cs="Times New Roman"/>
            <w:noProof/>
            <w:sz w:val="24"/>
            <w:szCs w:val="24"/>
          </w:rPr>
          <w:t>Research on Security Frameworks and Models</w:t>
        </w:r>
        <w:r w:rsidR="00A8540D">
          <w:rPr>
            <w:rFonts w:ascii="Times New Roman" w:hAnsi="Times New Roman" w:cs="Times New Roman"/>
            <w:noProof/>
            <w:webHidden/>
            <w:sz w:val="24"/>
            <w:szCs w:val="24"/>
          </w:rPr>
          <w:tab/>
        </w:r>
        <w:r w:rsidR="00A8540D">
          <w:rPr>
            <w:rFonts w:ascii="Times New Roman" w:hAnsi="Times New Roman" w:cs="Times New Roman"/>
            <w:noProof/>
            <w:webHidden/>
            <w:sz w:val="24"/>
            <w:szCs w:val="24"/>
          </w:rPr>
          <w:fldChar w:fldCharType="begin"/>
        </w:r>
        <w:r w:rsidR="00A8540D">
          <w:rPr>
            <w:rFonts w:ascii="Times New Roman" w:hAnsi="Times New Roman" w:cs="Times New Roman"/>
            <w:noProof/>
            <w:webHidden/>
            <w:sz w:val="24"/>
            <w:szCs w:val="24"/>
          </w:rPr>
          <w:instrText xml:space="preserve"> PAGEREF _Toc186124131 \h </w:instrText>
        </w:r>
        <w:r w:rsidR="00A8540D">
          <w:rPr>
            <w:rFonts w:ascii="Times New Roman" w:hAnsi="Times New Roman" w:cs="Times New Roman"/>
            <w:noProof/>
            <w:webHidden/>
            <w:sz w:val="24"/>
            <w:szCs w:val="24"/>
          </w:rPr>
        </w:r>
        <w:r w:rsidR="00A8540D">
          <w:rPr>
            <w:rFonts w:ascii="Times New Roman" w:hAnsi="Times New Roman" w:cs="Times New Roman"/>
            <w:noProof/>
            <w:webHidden/>
            <w:sz w:val="24"/>
            <w:szCs w:val="24"/>
          </w:rPr>
          <w:fldChar w:fldCharType="separate"/>
        </w:r>
        <w:r w:rsidR="00A8540D">
          <w:rPr>
            <w:rFonts w:ascii="Times New Roman" w:hAnsi="Times New Roman" w:cs="Times New Roman"/>
            <w:noProof/>
            <w:webHidden/>
            <w:sz w:val="24"/>
            <w:szCs w:val="24"/>
          </w:rPr>
          <w:t>4</w:t>
        </w:r>
        <w:r w:rsidR="00A8540D">
          <w:rPr>
            <w:rFonts w:ascii="Times New Roman" w:hAnsi="Times New Roman" w:cs="Times New Roman"/>
            <w:noProof/>
            <w:webHidden/>
            <w:sz w:val="24"/>
            <w:szCs w:val="24"/>
          </w:rPr>
          <w:fldChar w:fldCharType="end"/>
        </w:r>
      </w:hyperlink>
    </w:p>
    <w:p w:rsidR="00921B1A" w:rsidRDefault="0054026D">
      <w:pPr>
        <w:pStyle w:val="TOC1"/>
        <w:tabs>
          <w:tab w:val="right" w:leader="dot" w:pos="9350"/>
        </w:tabs>
        <w:spacing w:line="360" w:lineRule="auto"/>
        <w:jc w:val="both"/>
        <w:rPr>
          <w:rFonts w:ascii="Times New Roman" w:eastAsia="SimSun" w:hAnsi="Times New Roman" w:cs="Times New Roman"/>
          <w:noProof/>
          <w:sz w:val="24"/>
          <w:szCs w:val="24"/>
        </w:rPr>
      </w:pPr>
      <w:hyperlink w:anchor="_Toc186124132" w:history="1">
        <w:r w:rsidR="00A8540D">
          <w:rPr>
            <w:rStyle w:val="Hyperlink"/>
            <w:rFonts w:ascii="Times New Roman" w:hAnsi="Times New Roman" w:cs="Times New Roman"/>
            <w:noProof/>
            <w:sz w:val="24"/>
            <w:szCs w:val="24"/>
          </w:rPr>
          <w:t>Tailored Approach for NatureGarden</w:t>
        </w:r>
        <w:r w:rsidR="00A8540D">
          <w:rPr>
            <w:rFonts w:ascii="Times New Roman" w:hAnsi="Times New Roman" w:cs="Times New Roman"/>
            <w:noProof/>
            <w:webHidden/>
            <w:sz w:val="24"/>
            <w:szCs w:val="24"/>
          </w:rPr>
          <w:tab/>
        </w:r>
        <w:r w:rsidR="00A8540D">
          <w:rPr>
            <w:rFonts w:ascii="Times New Roman" w:hAnsi="Times New Roman" w:cs="Times New Roman"/>
            <w:noProof/>
            <w:webHidden/>
            <w:sz w:val="24"/>
            <w:szCs w:val="24"/>
          </w:rPr>
          <w:fldChar w:fldCharType="begin"/>
        </w:r>
        <w:r w:rsidR="00A8540D">
          <w:rPr>
            <w:rFonts w:ascii="Times New Roman" w:hAnsi="Times New Roman" w:cs="Times New Roman"/>
            <w:noProof/>
            <w:webHidden/>
            <w:sz w:val="24"/>
            <w:szCs w:val="24"/>
          </w:rPr>
          <w:instrText xml:space="preserve"> PAGEREF _Toc186124132 \h </w:instrText>
        </w:r>
        <w:r w:rsidR="00A8540D">
          <w:rPr>
            <w:rFonts w:ascii="Times New Roman" w:hAnsi="Times New Roman" w:cs="Times New Roman"/>
            <w:noProof/>
            <w:webHidden/>
            <w:sz w:val="24"/>
            <w:szCs w:val="24"/>
          </w:rPr>
        </w:r>
        <w:r w:rsidR="00A8540D">
          <w:rPr>
            <w:rFonts w:ascii="Times New Roman" w:hAnsi="Times New Roman" w:cs="Times New Roman"/>
            <w:noProof/>
            <w:webHidden/>
            <w:sz w:val="24"/>
            <w:szCs w:val="24"/>
          </w:rPr>
          <w:fldChar w:fldCharType="separate"/>
        </w:r>
        <w:r w:rsidR="00A8540D">
          <w:rPr>
            <w:rFonts w:ascii="Times New Roman" w:hAnsi="Times New Roman" w:cs="Times New Roman"/>
            <w:noProof/>
            <w:webHidden/>
            <w:sz w:val="24"/>
            <w:szCs w:val="24"/>
          </w:rPr>
          <w:t>6</w:t>
        </w:r>
        <w:r w:rsidR="00A8540D">
          <w:rPr>
            <w:rFonts w:ascii="Times New Roman" w:hAnsi="Times New Roman" w:cs="Times New Roman"/>
            <w:noProof/>
            <w:webHidden/>
            <w:sz w:val="24"/>
            <w:szCs w:val="24"/>
          </w:rPr>
          <w:fldChar w:fldCharType="end"/>
        </w:r>
      </w:hyperlink>
    </w:p>
    <w:p w:rsidR="00921B1A" w:rsidRDefault="0054026D">
      <w:pPr>
        <w:pStyle w:val="TOC1"/>
        <w:tabs>
          <w:tab w:val="right" w:leader="dot" w:pos="9350"/>
        </w:tabs>
        <w:spacing w:line="360" w:lineRule="auto"/>
        <w:jc w:val="both"/>
        <w:rPr>
          <w:rFonts w:ascii="Times New Roman" w:eastAsia="SimSun" w:hAnsi="Times New Roman" w:cs="Times New Roman"/>
          <w:noProof/>
          <w:sz w:val="24"/>
          <w:szCs w:val="24"/>
        </w:rPr>
      </w:pPr>
      <w:hyperlink w:anchor="_Toc186124133" w:history="1">
        <w:r w:rsidR="00A8540D">
          <w:rPr>
            <w:rStyle w:val="Hyperlink"/>
            <w:rFonts w:ascii="Times New Roman" w:hAnsi="Times New Roman" w:cs="Times New Roman"/>
            <w:noProof/>
            <w:sz w:val="24"/>
            <w:szCs w:val="24"/>
          </w:rPr>
          <w:t>Importance of Updated Regulations and Standards</w:t>
        </w:r>
        <w:r w:rsidR="00A8540D">
          <w:rPr>
            <w:rFonts w:ascii="Times New Roman" w:hAnsi="Times New Roman" w:cs="Times New Roman"/>
            <w:noProof/>
            <w:webHidden/>
            <w:sz w:val="24"/>
            <w:szCs w:val="24"/>
          </w:rPr>
          <w:tab/>
        </w:r>
        <w:r w:rsidR="00A8540D">
          <w:rPr>
            <w:rFonts w:ascii="Times New Roman" w:hAnsi="Times New Roman" w:cs="Times New Roman"/>
            <w:noProof/>
            <w:webHidden/>
            <w:sz w:val="24"/>
            <w:szCs w:val="24"/>
          </w:rPr>
          <w:fldChar w:fldCharType="begin"/>
        </w:r>
        <w:r w:rsidR="00A8540D">
          <w:rPr>
            <w:rFonts w:ascii="Times New Roman" w:hAnsi="Times New Roman" w:cs="Times New Roman"/>
            <w:noProof/>
            <w:webHidden/>
            <w:sz w:val="24"/>
            <w:szCs w:val="24"/>
          </w:rPr>
          <w:instrText xml:space="preserve"> PAGEREF _Toc186124133 \h </w:instrText>
        </w:r>
        <w:r w:rsidR="00A8540D">
          <w:rPr>
            <w:rFonts w:ascii="Times New Roman" w:hAnsi="Times New Roman" w:cs="Times New Roman"/>
            <w:noProof/>
            <w:webHidden/>
            <w:sz w:val="24"/>
            <w:szCs w:val="24"/>
          </w:rPr>
        </w:r>
        <w:r w:rsidR="00A8540D">
          <w:rPr>
            <w:rFonts w:ascii="Times New Roman" w:hAnsi="Times New Roman" w:cs="Times New Roman"/>
            <w:noProof/>
            <w:webHidden/>
            <w:sz w:val="24"/>
            <w:szCs w:val="24"/>
          </w:rPr>
          <w:fldChar w:fldCharType="separate"/>
        </w:r>
        <w:r w:rsidR="00A8540D">
          <w:rPr>
            <w:rFonts w:ascii="Times New Roman" w:hAnsi="Times New Roman" w:cs="Times New Roman"/>
            <w:noProof/>
            <w:webHidden/>
            <w:sz w:val="24"/>
            <w:szCs w:val="24"/>
          </w:rPr>
          <w:t>12</w:t>
        </w:r>
        <w:r w:rsidR="00A8540D">
          <w:rPr>
            <w:rFonts w:ascii="Times New Roman" w:hAnsi="Times New Roman" w:cs="Times New Roman"/>
            <w:noProof/>
            <w:webHidden/>
            <w:sz w:val="24"/>
            <w:szCs w:val="24"/>
          </w:rPr>
          <w:fldChar w:fldCharType="end"/>
        </w:r>
      </w:hyperlink>
    </w:p>
    <w:p w:rsidR="00921B1A" w:rsidRDefault="0054026D">
      <w:pPr>
        <w:pStyle w:val="TOC1"/>
        <w:tabs>
          <w:tab w:val="right" w:leader="dot" w:pos="9350"/>
        </w:tabs>
        <w:spacing w:line="360" w:lineRule="auto"/>
        <w:jc w:val="both"/>
        <w:rPr>
          <w:rFonts w:ascii="Times New Roman" w:eastAsia="SimSun" w:hAnsi="Times New Roman" w:cs="Times New Roman"/>
          <w:noProof/>
          <w:sz w:val="24"/>
          <w:szCs w:val="24"/>
        </w:rPr>
      </w:pPr>
      <w:hyperlink w:anchor="_Toc186124134" w:history="1">
        <w:r w:rsidR="00A8540D">
          <w:rPr>
            <w:rStyle w:val="Hyperlink"/>
            <w:rFonts w:ascii="Times New Roman" w:hAnsi="Times New Roman" w:cs="Times New Roman"/>
            <w:noProof/>
            <w:sz w:val="24"/>
            <w:szCs w:val="24"/>
          </w:rPr>
          <w:t>Critical Analysis and Discussion</w:t>
        </w:r>
        <w:r w:rsidR="00A8540D">
          <w:rPr>
            <w:rFonts w:ascii="Times New Roman" w:hAnsi="Times New Roman" w:cs="Times New Roman"/>
            <w:noProof/>
            <w:webHidden/>
            <w:sz w:val="24"/>
            <w:szCs w:val="24"/>
          </w:rPr>
          <w:tab/>
        </w:r>
        <w:r w:rsidR="00A8540D">
          <w:rPr>
            <w:rFonts w:ascii="Times New Roman" w:hAnsi="Times New Roman" w:cs="Times New Roman"/>
            <w:noProof/>
            <w:webHidden/>
            <w:sz w:val="24"/>
            <w:szCs w:val="24"/>
          </w:rPr>
          <w:fldChar w:fldCharType="begin"/>
        </w:r>
        <w:r w:rsidR="00A8540D">
          <w:rPr>
            <w:rFonts w:ascii="Times New Roman" w:hAnsi="Times New Roman" w:cs="Times New Roman"/>
            <w:noProof/>
            <w:webHidden/>
            <w:sz w:val="24"/>
            <w:szCs w:val="24"/>
          </w:rPr>
          <w:instrText xml:space="preserve"> PAGEREF _Toc186124134 \h </w:instrText>
        </w:r>
        <w:r w:rsidR="00A8540D">
          <w:rPr>
            <w:rFonts w:ascii="Times New Roman" w:hAnsi="Times New Roman" w:cs="Times New Roman"/>
            <w:noProof/>
            <w:webHidden/>
            <w:sz w:val="24"/>
            <w:szCs w:val="24"/>
          </w:rPr>
        </w:r>
        <w:r w:rsidR="00A8540D">
          <w:rPr>
            <w:rFonts w:ascii="Times New Roman" w:hAnsi="Times New Roman" w:cs="Times New Roman"/>
            <w:noProof/>
            <w:webHidden/>
            <w:sz w:val="24"/>
            <w:szCs w:val="24"/>
          </w:rPr>
          <w:fldChar w:fldCharType="separate"/>
        </w:r>
        <w:r w:rsidR="00A8540D">
          <w:rPr>
            <w:rFonts w:ascii="Times New Roman" w:hAnsi="Times New Roman" w:cs="Times New Roman"/>
            <w:noProof/>
            <w:webHidden/>
            <w:sz w:val="24"/>
            <w:szCs w:val="24"/>
          </w:rPr>
          <w:t>12</w:t>
        </w:r>
        <w:r w:rsidR="00A8540D">
          <w:rPr>
            <w:rFonts w:ascii="Times New Roman" w:hAnsi="Times New Roman" w:cs="Times New Roman"/>
            <w:noProof/>
            <w:webHidden/>
            <w:sz w:val="24"/>
            <w:szCs w:val="24"/>
          </w:rPr>
          <w:fldChar w:fldCharType="end"/>
        </w:r>
      </w:hyperlink>
    </w:p>
    <w:p w:rsidR="00921B1A" w:rsidRDefault="0054026D">
      <w:pPr>
        <w:pStyle w:val="TOC1"/>
        <w:tabs>
          <w:tab w:val="right" w:leader="dot" w:pos="9350"/>
        </w:tabs>
        <w:spacing w:line="360" w:lineRule="auto"/>
        <w:jc w:val="both"/>
        <w:rPr>
          <w:rFonts w:ascii="Times New Roman" w:eastAsia="SimSun" w:hAnsi="Times New Roman" w:cs="Times New Roman"/>
          <w:noProof/>
          <w:sz w:val="24"/>
          <w:szCs w:val="24"/>
        </w:rPr>
      </w:pPr>
      <w:hyperlink w:anchor="_Toc186124135" w:history="1">
        <w:r w:rsidR="00A8540D">
          <w:rPr>
            <w:rStyle w:val="Hyperlink"/>
            <w:rFonts w:ascii="Times New Roman" w:hAnsi="Times New Roman" w:cs="Times New Roman"/>
            <w:noProof/>
            <w:sz w:val="24"/>
            <w:szCs w:val="24"/>
          </w:rPr>
          <w:t>Conclusion</w:t>
        </w:r>
        <w:r w:rsidR="00A8540D">
          <w:rPr>
            <w:rFonts w:ascii="Times New Roman" w:hAnsi="Times New Roman" w:cs="Times New Roman"/>
            <w:noProof/>
            <w:webHidden/>
            <w:sz w:val="24"/>
            <w:szCs w:val="24"/>
          </w:rPr>
          <w:tab/>
        </w:r>
        <w:r w:rsidR="00A8540D">
          <w:rPr>
            <w:rFonts w:ascii="Times New Roman" w:hAnsi="Times New Roman" w:cs="Times New Roman"/>
            <w:noProof/>
            <w:webHidden/>
            <w:sz w:val="24"/>
            <w:szCs w:val="24"/>
          </w:rPr>
          <w:fldChar w:fldCharType="begin"/>
        </w:r>
        <w:r w:rsidR="00A8540D">
          <w:rPr>
            <w:rFonts w:ascii="Times New Roman" w:hAnsi="Times New Roman" w:cs="Times New Roman"/>
            <w:noProof/>
            <w:webHidden/>
            <w:sz w:val="24"/>
            <w:szCs w:val="24"/>
          </w:rPr>
          <w:instrText xml:space="preserve"> PAGEREF _Toc186124135 \h </w:instrText>
        </w:r>
        <w:r w:rsidR="00A8540D">
          <w:rPr>
            <w:rFonts w:ascii="Times New Roman" w:hAnsi="Times New Roman" w:cs="Times New Roman"/>
            <w:noProof/>
            <w:webHidden/>
            <w:sz w:val="24"/>
            <w:szCs w:val="24"/>
          </w:rPr>
        </w:r>
        <w:r w:rsidR="00A8540D">
          <w:rPr>
            <w:rFonts w:ascii="Times New Roman" w:hAnsi="Times New Roman" w:cs="Times New Roman"/>
            <w:noProof/>
            <w:webHidden/>
            <w:sz w:val="24"/>
            <w:szCs w:val="24"/>
          </w:rPr>
          <w:fldChar w:fldCharType="separate"/>
        </w:r>
        <w:r w:rsidR="00A8540D">
          <w:rPr>
            <w:rFonts w:ascii="Times New Roman" w:hAnsi="Times New Roman" w:cs="Times New Roman"/>
            <w:noProof/>
            <w:webHidden/>
            <w:sz w:val="24"/>
            <w:szCs w:val="24"/>
          </w:rPr>
          <w:t>13</w:t>
        </w:r>
        <w:r w:rsidR="00A8540D">
          <w:rPr>
            <w:rFonts w:ascii="Times New Roman" w:hAnsi="Times New Roman" w:cs="Times New Roman"/>
            <w:noProof/>
            <w:webHidden/>
            <w:sz w:val="24"/>
            <w:szCs w:val="24"/>
          </w:rPr>
          <w:fldChar w:fldCharType="end"/>
        </w:r>
      </w:hyperlink>
    </w:p>
    <w:p w:rsidR="00921B1A" w:rsidRDefault="0054026D">
      <w:pPr>
        <w:pStyle w:val="TOC1"/>
        <w:tabs>
          <w:tab w:val="right" w:leader="dot" w:pos="9350"/>
        </w:tabs>
        <w:spacing w:line="360" w:lineRule="auto"/>
        <w:jc w:val="both"/>
        <w:rPr>
          <w:rFonts w:ascii="Times New Roman" w:eastAsia="SimSun" w:hAnsi="Times New Roman" w:cs="Times New Roman"/>
          <w:noProof/>
          <w:sz w:val="24"/>
          <w:szCs w:val="24"/>
        </w:rPr>
      </w:pPr>
      <w:hyperlink w:anchor="_Toc186124136" w:history="1">
        <w:r w:rsidR="00A8540D">
          <w:rPr>
            <w:rStyle w:val="Hyperlink"/>
            <w:rFonts w:ascii="Times New Roman" w:hAnsi="Times New Roman" w:cs="Times New Roman"/>
            <w:noProof/>
            <w:sz w:val="24"/>
            <w:szCs w:val="24"/>
          </w:rPr>
          <w:t>References</w:t>
        </w:r>
        <w:r w:rsidR="00A8540D">
          <w:rPr>
            <w:rFonts w:ascii="Times New Roman" w:hAnsi="Times New Roman" w:cs="Times New Roman"/>
            <w:noProof/>
            <w:webHidden/>
            <w:sz w:val="24"/>
            <w:szCs w:val="24"/>
          </w:rPr>
          <w:tab/>
        </w:r>
        <w:r w:rsidR="00A8540D">
          <w:rPr>
            <w:rFonts w:ascii="Times New Roman" w:hAnsi="Times New Roman" w:cs="Times New Roman"/>
            <w:noProof/>
            <w:webHidden/>
            <w:sz w:val="24"/>
            <w:szCs w:val="24"/>
          </w:rPr>
          <w:fldChar w:fldCharType="begin"/>
        </w:r>
        <w:r w:rsidR="00A8540D">
          <w:rPr>
            <w:rFonts w:ascii="Times New Roman" w:hAnsi="Times New Roman" w:cs="Times New Roman"/>
            <w:noProof/>
            <w:webHidden/>
            <w:sz w:val="24"/>
            <w:szCs w:val="24"/>
          </w:rPr>
          <w:instrText xml:space="preserve"> PAGEREF _Toc186124136 \h </w:instrText>
        </w:r>
        <w:r w:rsidR="00A8540D">
          <w:rPr>
            <w:rFonts w:ascii="Times New Roman" w:hAnsi="Times New Roman" w:cs="Times New Roman"/>
            <w:noProof/>
            <w:webHidden/>
            <w:sz w:val="24"/>
            <w:szCs w:val="24"/>
          </w:rPr>
        </w:r>
        <w:r w:rsidR="00A8540D">
          <w:rPr>
            <w:rFonts w:ascii="Times New Roman" w:hAnsi="Times New Roman" w:cs="Times New Roman"/>
            <w:noProof/>
            <w:webHidden/>
            <w:sz w:val="24"/>
            <w:szCs w:val="24"/>
          </w:rPr>
          <w:fldChar w:fldCharType="separate"/>
        </w:r>
        <w:r w:rsidR="00A8540D">
          <w:rPr>
            <w:rFonts w:ascii="Times New Roman" w:hAnsi="Times New Roman" w:cs="Times New Roman"/>
            <w:noProof/>
            <w:webHidden/>
            <w:sz w:val="24"/>
            <w:szCs w:val="24"/>
          </w:rPr>
          <w:t>14</w:t>
        </w:r>
        <w:r w:rsidR="00A8540D">
          <w:rPr>
            <w:rFonts w:ascii="Times New Roman" w:hAnsi="Times New Roman" w:cs="Times New Roman"/>
            <w:noProof/>
            <w:webHidden/>
            <w:sz w:val="24"/>
            <w:szCs w:val="24"/>
          </w:rPr>
          <w:fldChar w:fldCharType="end"/>
        </w:r>
      </w:hyperlink>
    </w:p>
    <w:p w:rsidR="00921B1A" w:rsidRDefault="00A8540D">
      <w:pPr>
        <w:spacing w:line="360" w:lineRule="auto"/>
        <w:jc w:val="both"/>
        <w:rPr>
          <w:rFonts w:ascii="Times New Roman" w:hAnsi="Times New Roman" w:cs="Times New Roman"/>
          <w:sz w:val="24"/>
          <w:szCs w:val="24"/>
        </w:rPr>
      </w:pPr>
      <w:r>
        <w:rPr>
          <w:rFonts w:ascii="Times New Roman" w:hAnsi="Times New Roman" w:cs="Times New Roman"/>
          <w:b/>
          <w:bCs/>
          <w:noProof/>
          <w:sz w:val="24"/>
          <w:szCs w:val="24"/>
        </w:rPr>
        <w:fldChar w:fldCharType="end"/>
      </w:r>
    </w:p>
    <w:p w:rsidR="00921B1A" w:rsidRDefault="00921B1A">
      <w:pPr>
        <w:spacing w:line="360" w:lineRule="auto"/>
        <w:jc w:val="both"/>
        <w:rPr>
          <w:rFonts w:ascii="Times New Roman" w:hAnsi="Times New Roman" w:cs="Times New Roman"/>
          <w:sz w:val="24"/>
          <w:szCs w:val="24"/>
        </w:rPr>
      </w:pPr>
    </w:p>
    <w:p w:rsidR="00921B1A" w:rsidRDefault="00A8540D">
      <w:pPr>
        <w:rPr>
          <w:rFonts w:ascii="Times New Roman" w:hAnsi="Times New Roman" w:cs="Times New Roman"/>
          <w:b/>
          <w:bCs/>
          <w:sz w:val="24"/>
          <w:szCs w:val="24"/>
        </w:rPr>
      </w:pPr>
      <w:r>
        <w:rPr>
          <w:rFonts w:ascii="Times New Roman" w:hAnsi="Times New Roman" w:cs="Times New Roman"/>
          <w:b/>
          <w:bCs/>
          <w:sz w:val="24"/>
          <w:szCs w:val="24"/>
        </w:rPr>
        <w:br w:type="page"/>
      </w:r>
    </w:p>
    <w:p w:rsidR="00921B1A" w:rsidRDefault="00A8540D">
      <w:pPr>
        <w:pStyle w:val="Heading1"/>
      </w:pPr>
      <w:bookmarkStart w:id="0" w:name="_Toc186124130"/>
      <w:r>
        <w:lastRenderedPageBreak/>
        <w:t>Introduction</w:t>
      </w:r>
      <w:bookmarkEnd w:id="0"/>
    </w:p>
    <w:p w:rsidR="00921B1A" w:rsidRDefault="00A8540D">
      <w:pPr>
        <w:spacing w:line="360" w:lineRule="auto"/>
        <w:jc w:val="both"/>
        <w:rPr>
          <w:rFonts w:ascii="Times New Roman" w:hAnsi="Times New Roman" w:cs="Times New Roman"/>
          <w:sz w:val="24"/>
          <w:szCs w:val="24"/>
        </w:rPr>
      </w:pPr>
      <w:r>
        <w:rPr>
          <w:rFonts w:ascii="Times New Roman" w:hAnsi="Times New Roman" w:cs="Times New Roman"/>
          <w:sz w:val="24"/>
          <w:szCs w:val="24"/>
        </w:rPr>
        <w:t>Though the recent advancement in the digital world has brought substantive benefits for the firm it also poses new threats for security. The internet-enhanced operational systems make organizations exposed to complex cyber threats as they continue to develop. NatureGarden (NG) a global leading health product company is one of the organizations that has shown increased focus in developing its IT infrastructure. Due to the huge usage of wireless networks, cloud and social networks, and employee pressure to permit usage of own gadgets in the company, risks to the company have risen significantly. Some of these include; protection of employees and customers data which is quite sensitive for any organization, and protection of firms’ property which goes for about billions of dollars.</w:t>
      </w:r>
    </w:p>
    <w:p w:rsidR="00921B1A" w:rsidRDefault="00A8540D">
      <w:pPr>
        <w:spacing w:line="360" w:lineRule="auto"/>
        <w:jc w:val="both"/>
        <w:rPr>
          <w:rFonts w:ascii="Times New Roman" w:hAnsi="Times New Roman" w:cs="Times New Roman"/>
          <w:sz w:val="24"/>
          <w:szCs w:val="24"/>
        </w:rPr>
      </w:pPr>
      <w:r>
        <w:rPr>
          <w:rFonts w:ascii="Times New Roman" w:hAnsi="Times New Roman" w:cs="Times New Roman"/>
          <w:sz w:val="24"/>
          <w:szCs w:val="24"/>
        </w:rPr>
        <w:t>At the moment, NG does not have a coherent system for information security policies and thus remains vulnerable. Hence this report seeks to explore on other security frameworks and models which can suite the challenges facing NG.</w:t>
      </w:r>
    </w:p>
    <w:p w:rsidR="00921B1A" w:rsidRDefault="00A8540D">
      <w:pPr>
        <w:spacing w:line="360" w:lineRule="auto"/>
        <w:jc w:val="both"/>
        <w:rPr>
          <w:rFonts w:ascii="Times New Roman" w:hAnsi="Times New Roman" w:cs="Times New Roman"/>
          <w:sz w:val="24"/>
          <w:szCs w:val="24"/>
        </w:rPr>
      </w:pPr>
      <w:r>
        <w:rPr>
          <w:rFonts w:ascii="Times New Roman" w:hAnsi="Times New Roman" w:cs="Times New Roman"/>
          <w:sz w:val="24"/>
          <w:szCs w:val="24"/>
        </w:rPr>
        <w:t>The objectives of the report are:</w:t>
      </w:r>
    </w:p>
    <w:p w:rsidR="00921B1A" w:rsidRDefault="00A8540D">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To conduct research on established security frameworks such as ITIL, ISO 27000, and the NIST Cybersecurity Framework</w:t>
      </w:r>
    </w:p>
    <w:p w:rsidR="00921B1A" w:rsidRDefault="00A8540D">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To design a tailored approach to meet the company’s information system security, governance, and compliance needs</w:t>
      </w:r>
    </w:p>
    <w:p w:rsidR="00921B1A" w:rsidRDefault="00A8540D">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To critique and analyze the necessity of updated regulations and standards to ensure sustainable cybersecurity.</w:t>
      </w:r>
    </w:p>
    <w:p w:rsidR="00B36B6B" w:rsidRDefault="00B36B6B">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Research on Security Frameworks and Models</w:t>
      </w:r>
    </w:p>
    <w:p w:rsidR="00921B1A" w:rsidRDefault="00B36B6B">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ITIL (Information Technology Infrastructure Library])</w:t>
      </w:r>
      <w:bookmarkStart w:id="1" w:name="_GoBack"/>
      <w:bookmarkEnd w:id="1"/>
    </w:p>
    <w:p w:rsidR="00921B1A" w:rsidRDefault="00A854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ITIL is a known framework in the practice of IT service management, promoting discipline in the provision of secure and effective IT services. It aligns security management with service provision, and spans topics like security incident management, security change management, and IT service design. Incident management fast identifies and addresses threats to IT security while Change management allows for proper implementation of an update. Functionality offering and protection is a key area of service design basic for organizations like NG running wireless and cloud-based </w:t>
      </w:r>
      <w:r>
        <w:rPr>
          <w:rFonts w:ascii="Times New Roman" w:hAnsi="Times New Roman" w:cs="Times New Roman"/>
          <w:sz w:val="24"/>
          <w:szCs w:val="24"/>
        </w:rPr>
        <w:lastRenderedPageBreak/>
        <w:t>networks. Particularly salient to NG’s security requirements is the emphasis on the integration of ITIL with the objectives of the existing organization.</w:t>
      </w:r>
    </w:p>
    <w:p w:rsidR="00921B1A" w:rsidRDefault="00A8540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ISO 27000 Series</w:t>
      </w:r>
    </w:p>
    <w:p w:rsidR="00921B1A" w:rsidRDefault="00A8540D">
      <w:pPr>
        <w:spacing w:line="360" w:lineRule="auto"/>
        <w:jc w:val="both"/>
        <w:rPr>
          <w:rFonts w:ascii="Times New Roman" w:hAnsi="Times New Roman" w:cs="Times New Roman"/>
          <w:sz w:val="24"/>
          <w:szCs w:val="24"/>
        </w:rPr>
      </w:pPr>
      <w:r>
        <w:rPr>
          <w:rFonts w:ascii="Times New Roman" w:hAnsi="Times New Roman" w:cs="Times New Roman"/>
          <w:sz w:val="24"/>
          <w:szCs w:val="24"/>
        </w:rPr>
        <w:t>ISO 27000 is the collection of standards addressing information security management, while ISO 27001 gives the guidelines on how to set up, implement and review an Information Security Management System (ISMS). The current framework focuses on risk analysis, accreditation, and polices, which are very important to organizations that deal with sensitive information. ISO 27001 will help NG systematically manage its security risks; thus, customer and employee information, and intellectual capital, are safeguarded. The standard equally ensures that the company can achieve compliance with the international data protection laws especially to a company like NG that has operations worldwide.</w:t>
      </w:r>
    </w:p>
    <w:p w:rsidR="00921B1A" w:rsidRDefault="00A8540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NIST Cybersecurity Framework</w:t>
      </w:r>
    </w:p>
    <w:p w:rsidR="00921B1A" w:rsidRDefault="00A8540D">
      <w:pPr>
        <w:spacing w:line="360" w:lineRule="auto"/>
        <w:jc w:val="both"/>
        <w:rPr>
          <w:rFonts w:ascii="Times New Roman" w:hAnsi="Times New Roman" w:cs="Times New Roman"/>
          <w:sz w:val="24"/>
          <w:szCs w:val="24"/>
        </w:rPr>
      </w:pPr>
      <w:r>
        <w:rPr>
          <w:rFonts w:ascii="Times New Roman" w:hAnsi="Times New Roman" w:cs="Times New Roman"/>
          <w:sz w:val="24"/>
          <w:szCs w:val="24"/>
        </w:rPr>
        <w:t>The NIST Cybersecurity Framework organizes cybersecurity activities into five core functions: P-C A/R is focused on five positive and proactive objectives: identification, protection, detection, response and recovery. The identify function involves the identification of areas of risks and then prioritizing the resources needed to protect an organization, whereas, the protect function deals with measures like data encryption and user authentication on an organization’s ass</w:t>
      </w:r>
      <w:r w:rsidR="002E4B93">
        <w:rPr>
          <w:rFonts w:ascii="Times New Roman" w:hAnsi="Times New Roman" w:cs="Times New Roman"/>
          <w:sz w:val="24"/>
          <w:szCs w:val="24"/>
        </w:rPr>
        <w:t xml:space="preserve">ets critical to its functioning [1]. </w:t>
      </w:r>
      <w:proofErr w:type="gramStart"/>
      <w:r>
        <w:rPr>
          <w:rFonts w:ascii="Times New Roman" w:hAnsi="Times New Roman" w:cs="Times New Roman"/>
          <w:sz w:val="24"/>
          <w:szCs w:val="24"/>
        </w:rPr>
        <w:t xml:space="preserve">The </w:t>
      </w:r>
      <w:r w:rsidR="002E4B93">
        <w:rPr>
          <w:rFonts w:ascii="Times New Roman" w:hAnsi="Times New Roman" w:cs="Times New Roman"/>
          <w:sz w:val="24"/>
          <w:szCs w:val="24"/>
        </w:rPr>
        <w:t xml:space="preserve"> </w:t>
      </w:r>
      <w:r>
        <w:rPr>
          <w:rFonts w:ascii="Times New Roman" w:hAnsi="Times New Roman" w:cs="Times New Roman"/>
          <w:sz w:val="24"/>
          <w:szCs w:val="24"/>
        </w:rPr>
        <w:t>detect</w:t>
      </w:r>
      <w:proofErr w:type="gramEnd"/>
      <w:r>
        <w:rPr>
          <w:rFonts w:ascii="Times New Roman" w:hAnsi="Times New Roman" w:cs="Times New Roman"/>
          <w:sz w:val="24"/>
          <w:szCs w:val="24"/>
        </w:rPr>
        <w:t xml:space="preserve"> function is aimed to permanently monitor system for any irregularity, while the respond and recover functions will help to contain the breach and to proceed operation without interruption. This makes NIST relevant especially for organizations with complex requirements such as NG which has varied wireless and cloud challenges.</w:t>
      </w:r>
    </w:p>
    <w:p w:rsidR="00921B1A" w:rsidRDefault="00A8540D">
      <w:pPr>
        <w:rPr>
          <w:rFonts w:ascii="Times New Roman" w:hAnsi="Times New Roman" w:cs="Times New Roman"/>
          <w:b/>
          <w:bCs/>
          <w:sz w:val="24"/>
          <w:szCs w:val="24"/>
        </w:rPr>
      </w:pPr>
      <w:r>
        <w:rPr>
          <w:rFonts w:ascii="Times New Roman" w:hAnsi="Times New Roman" w:cs="Times New Roman"/>
          <w:b/>
          <w:bCs/>
          <w:sz w:val="24"/>
          <w:szCs w:val="24"/>
        </w:rPr>
        <w:t>Zero Trust Model</w:t>
      </w:r>
    </w:p>
    <w:p w:rsidR="00921B1A" w:rsidRDefault="00A8540D">
      <w:pPr>
        <w:spacing w:line="360" w:lineRule="auto"/>
        <w:jc w:val="both"/>
        <w:rPr>
          <w:rFonts w:ascii="Times New Roman" w:hAnsi="Times New Roman" w:cs="Times New Roman"/>
          <w:sz w:val="24"/>
          <w:szCs w:val="24"/>
        </w:rPr>
      </w:pPr>
      <w:r>
        <w:rPr>
          <w:rFonts w:ascii="Times New Roman" w:hAnsi="Times New Roman" w:cs="Times New Roman"/>
          <w:sz w:val="24"/>
          <w:szCs w:val="24"/>
        </w:rPr>
        <w:t>The Zero Trust Model is an approach to cybersecurity that is distinguished by the motto ‘Never Trust and Continuously Validate.’ The above strategy is well suited for the NG organization given that BYOD policies as well as wireless networks pose a very huge risk to the organization. Zero Trust reduces risk as it does not allow any type of permissions and rights except the ones authorized by a user’s profile. Through Zero Trust, NG can reduce risks likely to emanate from the internal environment due to developing insider threats.</w:t>
      </w:r>
    </w:p>
    <w:p w:rsidR="00921B1A" w:rsidRDefault="00A8540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Comparison of Frameworks</w:t>
      </w:r>
    </w:p>
    <w:p w:rsidR="00921B1A" w:rsidRDefault="00A8540D">
      <w:pPr>
        <w:spacing w:line="360" w:lineRule="auto"/>
        <w:jc w:val="both"/>
        <w:rPr>
          <w:rFonts w:ascii="Times New Roman" w:hAnsi="Times New Roman" w:cs="Times New Roman"/>
          <w:sz w:val="24"/>
          <w:szCs w:val="24"/>
        </w:rPr>
      </w:pPr>
      <w:r>
        <w:rPr>
          <w:rFonts w:ascii="Times New Roman" w:hAnsi="Times New Roman" w:cs="Times New Roman"/>
          <w:sz w:val="24"/>
          <w:szCs w:val="24"/>
        </w:rPr>
        <w:t>Comparing these frameworks the author concludes that each of them has its advantages. ITIL is centered on services, ISO 27001 is about risks, NIST is all about scale, and Zero Trust is all about check. Therefore, the best security solution for NG can be gotten from a blended application of these models.</w:t>
      </w:r>
    </w:p>
    <w:p w:rsidR="00921B1A" w:rsidRDefault="00A8540D">
      <w:pPr>
        <w:pStyle w:val="Heading1"/>
      </w:pPr>
      <w:bookmarkStart w:id="2" w:name="_Toc186124132"/>
      <w:r>
        <w:t>Tailored Approach for NatureGarden</w:t>
      </w:r>
      <w:bookmarkEnd w:id="2"/>
    </w:p>
    <w:p w:rsidR="00921B1A" w:rsidRDefault="00A8540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Governance</w:t>
      </w:r>
    </w:p>
    <w:p w:rsidR="00921B1A" w:rsidRDefault="00A8540D">
      <w:pPr>
        <w:spacing w:line="360" w:lineRule="auto"/>
        <w:jc w:val="both"/>
        <w:rPr>
          <w:rFonts w:ascii="Times New Roman" w:hAnsi="Times New Roman" w:cs="Times New Roman"/>
          <w:sz w:val="24"/>
          <w:szCs w:val="24"/>
        </w:rPr>
      </w:pPr>
      <w:r>
        <w:rPr>
          <w:rFonts w:ascii="Times New Roman" w:hAnsi="Times New Roman" w:cs="Times New Roman"/>
          <w:sz w:val="24"/>
          <w:szCs w:val="24"/>
        </w:rPr>
        <w:t>NatureGarden needs a strong governance framework to support the security of information within the organization. Implementing organizational change in the form of a Security Governance Board clarifies who is responsible and who will be making decisions. Through the synthesis of the ITIL and the ISO 27001, NG can develop a governance frame working that serve the organization daily operati</w:t>
      </w:r>
      <w:r w:rsidR="002E4B93">
        <w:rPr>
          <w:rFonts w:ascii="Times New Roman" w:hAnsi="Times New Roman" w:cs="Times New Roman"/>
          <w:sz w:val="24"/>
          <w:szCs w:val="24"/>
        </w:rPr>
        <w:t>ons and security goals [2]</w:t>
      </w:r>
      <w:r>
        <w:rPr>
          <w:rFonts w:ascii="Times New Roman" w:hAnsi="Times New Roman" w:cs="Times New Roman"/>
          <w:sz w:val="24"/>
          <w:szCs w:val="24"/>
        </w:rPr>
        <w:t>. This governance structure can also establish the basic structure to evaluate and enhance compliance and sustain the adherence for the constant improvement.</w:t>
      </w:r>
    </w:p>
    <w:p w:rsidR="00921B1A" w:rsidRDefault="00A8540D">
      <w:pPr>
        <w:spacing w:line="360" w:lineRule="auto"/>
        <w:jc w:val="both"/>
        <w:rPr>
          <w:rFonts w:ascii="Times New Roman" w:hAnsi="Times New Roman" w:cs="Times New Roman"/>
          <w:sz w:val="24"/>
          <w:szCs w:val="24"/>
        </w:rPr>
      </w:pPr>
      <w:r>
        <w:rPr>
          <w:rFonts w:ascii="Times New Roman" w:hAnsi="Times New Roman" w:cs="Times New Roman"/>
          <w:sz w:val="24"/>
          <w:szCs w:val="24"/>
        </w:rPr>
        <w:t>While information security is a relatively recent concept in the Bulgarian context, a solid governance structure is critical for managing and leading this type of activities. By the formation of the Security Governance Board, it would be very easy for NatureGarden to set strategic ventures, measure adherence and perform risk assessments. The mentioned board should include IT leaders, security officers, and legal counsel members. The governance framework needs to be contextually sound which includes maintaining and strengthening accountability and improvement. Examples of the governance activities are policy making, defining the security responsibilities and security auditing. These activities provide the principals of consistently implementing and improving security practices based on the current threats.</w:t>
      </w:r>
      <w:r>
        <w:rPr>
          <w:rFonts w:ascii="Times New Roman" w:hAnsi="Times New Roman" w:cs="Times New Roman"/>
          <w:sz w:val="24"/>
          <w:szCs w:val="24"/>
        </w:rPr>
        <w:br w:type="page"/>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68"/>
        <w:gridCol w:w="3218"/>
        <w:gridCol w:w="3564"/>
      </w:tblGrid>
      <w:tr w:rsidR="00921B1A">
        <w:trPr>
          <w:tblHeader/>
          <w:tblCellSpacing w:w="15" w:type="dxa"/>
          <w:jc w:val="center"/>
        </w:trPr>
        <w:tc>
          <w:tcPr>
            <w:tcW w:w="0" w:type="auto"/>
            <w:vAlign w:val="center"/>
            <w:hideMark/>
          </w:tcPr>
          <w:p w:rsidR="00921B1A" w:rsidRDefault="00A8540D">
            <w:pPr>
              <w:spacing w:after="0" w:line="240" w:lineRule="auto"/>
              <w:jc w:val="center"/>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lastRenderedPageBreak/>
              <w:t>Governance Component</w:t>
            </w:r>
          </w:p>
        </w:tc>
        <w:tc>
          <w:tcPr>
            <w:tcW w:w="0" w:type="auto"/>
            <w:vAlign w:val="center"/>
            <w:hideMark/>
          </w:tcPr>
          <w:p w:rsidR="00921B1A" w:rsidRDefault="00A8540D">
            <w:pPr>
              <w:spacing w:after="0" w:line="240" w:lineRule="auto"/>
              <w:jc w:val="center"/>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t>Description</w:t>
            </w:r>
          </w:p>
        </w:tc>
        <w:tc>
          <w:tcPr>
            <w:tcW w:w="0" w:type="auto"/>
            <w:vAlign w:val="center"/>
            <w:hideMark/>
          </w:tcPr>
          <w:p w:rsidR="00921B1A" w:rsidRDefault="00A8540D">
            <w:pPr>
              <w:spacing w:after="0" w:line="240" w:lineRule="auto"/>
              <w:jc w:val="center"/>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t>Implementation at NG</w:t>
            </w:r>
          </w:p>
        </w:tc>
      </w:tr>
      <w:tr w:rsidR="00921B1A">
        <w:trPr>
          <w:tblCellSpacing w:w="15" w:type="dxa"/>
          <w:jc w:val="center"/>
        </w:trPr>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Strategic Objectives</w:t>
            </w:r>
          </w:p>
        </w:tc>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Define security goals aligned with business needs</w:t>
            </w:r>
          </w:p>
        </w:tc>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Protect intellectual property and client data</w:t>
            </w:r>
          </w:p>
        </w:tc>
      </w:tr>
      <w:tr w:rsidR="00921B1A">
        <w:trPr>
          <w:tblCellSpacing w:w="15" w:type="dxa"/>
          <w:jc w:val="center"/>
        </w:trPr>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Roles and Responsibilities</w:t>
            </w:r>
          </w:p>
        </w:tc>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Assign clear roles for data security and compliance</w:t>
            </w:r>
          </w:p>
        </w:tc>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Appoint a Chief Information Security Officer (CISO)</w:t>
            </w:r>
          </w:p>
        </w:tc>
      </w:tr>
      <w:tr w:rsidR="00921B1A">
        <w:trPr>
          <w:tblCellSpacing w:w="15" w:type="dxa"/>
          <w:jc w:val="center"/>
        </w:trPr>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Audit and Compliance Monitoring</w:t>
            </w:r>
          </w:p>
        </w:tc>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Conduct periodic reviews of security practices</w:t>
            </w:r>
          </w:p>
        </w:tc>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Perform quarterly security audits</w:t>
            </w:r>
          </w:p>
        </w:tc>
      </w:tr>
      <w:tr w:rsidR="00921B1A">
        <w:trPr>
          <w:tblCellSpacing w:w="15" w:type="dxa"/>
          <w:jc w:val="center"/>
        </w:trPr>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Continuous Improvement</w:t>
            </w:r>
          </w:p>
        </w:tc>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Evolve policies to address emerging threats</w:t>
            </w:r>
          </w:p>
        </w:tc>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Use lessons learned from incidents</w:t>
            </w:r>
          </w:p>
        </w:tc>
      </w:tr>
    </w:tbl>
    <w:p w:rsidR="00921B1A" w:rsidRDefault="00A8540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Table 1: Governance activities</w:t>
      </w:r>
    </w:p>
    <w:p w:rsidR="00921B1A" w:rsidRDefault="00A8540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Security Policies</w:t>
      </w:r>
    </w:p>
    <w:p w:rsidR="00921B1A" w:rsidRDefault="00A8540D">
      <w:pPr>
        <w:spacing w:line="360" w:lineRule="auto"/>
        <w:jc w:val="both"/>
        <w:rPr>
          <w:rFonts w:ascii="Times New Roman" w:hAnsi="Times New Roman" w:cs="Times New Roman"/>
          <w:sz w:val="24"/>
          <w:szCs w:val="24"/>
        </w:rPr>
      </w:pPr>
      <w:r>
        <w:rPr>
          <w:rFonts w:ascii="Times New Roman" w:hAnsi="Times New Roman" w:cs="Times New Roman"/>
          <w:sz w:val="24"/>
          <w:szCs w:val="24"/>
        </w:rPr>
        <w:t>As a result, NG needs adequate security policies to overcome the problems arising from BYOD and wireless infrastructure. Any BYOD policy must require that encryption, secure VPNs and device management software should be used. Furthermore, data classification should address handling of the data as part of the protocols for the classifying data. Other measures include policy on password, network access and control, and training of employees; human error is one of the major causes of security breaches. There should be policies in cases of password usage, the provisions of physical and logical a</w:t>
      </w:r>
      <w:r w:rsidR="002E4B93">
        <w:rPr>
          <w:rFonts w:ascii="Times New Roman" w:hAnsi="Times New Roman" w:cs="Times New Roman"/>
          <w:sz w:val="24"/>
          <w:szCs w:val="24"/>
        </w:rPr>
        <w:t>ccess, and user conduct [3]</w:t>
      </w:r>
      <w:r>
        <w:rPr>
          <w:rFonts w:ascii="Times New Roman" w:hAnsi="Times New Roman" w:cs="Times New Roman"/>
          <w:sz w:val="24"/>
          <w:szCs w:val="24"/>
        </w:rPr>
        <w:t>. In order to be compliant with these policies employees need to have training on their obligations in relation to them. Another important aspect is a definite incident management policy to address the responses on a breach and damage control.</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26"/>
        <w:gridCol w:w="3174"/>
        <w:gridCol w:w="4150"/>
      </w:tblGrid>
      <w:tr w:rsidR="00921B1A">
        <w:trPr>
          <w:tblHeader/>
          <w:tblCellSpacing w:w="15" w:type="dxa"/>
          <w:jc w:val="center"/>
        </w:trPr>
        <w:tc>
          <w:tcPr>
            <w:tcW w:w="0" w:type="auto"/>
            <w:vAlign w:val="center"/>
            <w:hideMark/>
          </w:tcPr>
          <w:p w:rsidR="00921B1A" w:rsidRDefault="00A8540D">
            <w:pPr>
              <w:spacing w:after="0" w:line="240" w:lineRule="auto"/>
              <w:jc w:val="center"/>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t>Policy Type</w:t>
            </w:r>
          </w:p>
        </w:tc>
        <w:tc>
          <w:tcPr>
            <w:tcW w:w="0" w:type="auto"/>
            <w:vAlign w:val="center"/>
            <w:hideMark/>
          </w:tcPr>
          <w:p w:rsidR="00921B1A" w:rsidRDefault="00A8540D">
            <w:pPr>
              <w:spacing w:after="0" w:line="240" w:lineRule="auto"/>
              <w:jc w:val="center"/>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t>Objective</w:t>
            </w:r>
          </w:p>
        </w:tc>
        <w:tc>
          <w:tcPr>
            <w:tcW w:w="0" w:type="auto"/>
            <w:vAlign w:val="center"/>
            <w:hideMark/>
          </w:tcPr>
          <w:p w:rsidR="00921B1A" w:rsidRDefault="00A8540D">
            <w:pPr>
              <w:spacing w:after="0" w:line="240" w:lineRule="auto"/>
              <w:jc w:val="center"/>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t>Examples of Enforced Measures</w:t>
            </w:r>
          </w:p>
        </w:tc>
      </w:tr>
      <w:tr w:rsidR="00921B1A">
        <w:trPr>
          <w:tblCellSpacing w:w="15" w:type="dxa"/>
          <w:jc w:val="center"/>
        </w:trPr>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BYOD Policy</w:t>
            </w:r>
          </w:p>
        </w:tc>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Ensure secure access for personal devices</w:t>
            </w:r>
          </w:p>
        </w:tc>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Encryption, VPNs, device management software</w:t>
            </w:r>
          </w:p>
        </w:tc>
      </w:tr>
      <w:tr w:rsidR="00921B1A">
        <w:trPr>
          <w:tblCellSpacing w:w="15" w:type="dxa"/>
          <w:jc w:val="center"/>
        </w:trPr>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Data Classification</w:t>
            </w:r>
          </w:p>
        </w:tc>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Safeguard sensitive information</w:t>
            </w:r>
          </w:p>
        </w:tc>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Labels for public, confidential, and restricted data</w:t>
            </w:r>
          </w:p>
        </w:tc>
      </w:tr>
      <w:tr w:rsidR="00921B1A">
        <w:trPr>
          <w:tblCellSpacing w:w="15" w:type="dxa"/>
          <w:jc w:val="center"/>
        </w:trPr>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Incident Management</w:t>
            </w:r>
          </w:p>
        </w:tc>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Minimize the impact of security breaches</w:t>
            </w:r>
          </w:p>
        </w:tc>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Defined response protocols and reporting timelines</w:t>
            </w:r>
          </w:p>
        </w:tc>
      </w:tr>
      <w:tr w:rsidR="00921B1A">
        <w:trPr>
          <w:tblCellSpacing w:w="15" w:type="dxa"/>
          <w:jc w:val="center"/>
        </w:trPr>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Password Management</w:t>
            </w:r>
          </w:p>
        </w:tc>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Reduce unauthorized access risks</w:t>
            </w:r>
          </w:p>
        </w:tc>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Enforce complex passwords, periodic updates, and MFA</w:t>
            </w:r>
          </w:p>
        </w:tc>
      </w:tr>
    </w:tbl>
    <w:p w:rsidR="00921B1A" w:rsidRDefault="00A8540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Table 2: Management Policy</w:t>
      </w:r>
    </w:p>
    <w:p w:rsidR="00921B1A" w:rsidRDefault="00921B1A">
      <w:pPr>
        <w:spacing w:line="360" w:lineRule="auto"/>
        <w:jc w:val="both"/>
        <w:rPr>
          <w:rFonts w:ascii="Times New Roman" w:hAnsi="Times New Roman" w:cs="Times New Roman"/>
          <w:sz w:val="24"/>
          <w:szCs w:val="24"/>
        </w:rPr>
      </w:pPr>
    </w:p>
    <w:p w:rsidR="00921B1A" w:rsidRDefault="00A8540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Security Policies is a part of governance that lies next to the governance framework enabling the establishment of specific guidelines concerning security requirements. For instance, while adopting the BYOD Policy, users are forced to meet the encryption and secure access</w:t>
      </w:r>
      <w:r w:rsidR="002E4B93">
        <w:rPr>
          <w:rFonts w:ascii="Times New Roman" w:hAnsi="Times New Roman" w:cs="Times New Roman"/>
          <w:sz w:val="24"/>
          <w:szCs w:val="24"/>
        </w:rPr>
        <w:t xml:space="preserve"> standards [4]</w:t>
      </w:r>
      <w:r>
        <w:rPr>
          <w:rFonts w:ascii="Times New Roman" w:hAnsi="Times New Roman" w:cs="Times New Roman"/>
          <w:sz w:val="24"/>
          <w:szCs w:val="24"/>
        </w:rPr>
        <w:t>. The Data Classification Policy assists in the organization’s ability to properly categorize information, such that only those who have permission can access the materials. The Incident Management Policy covers how they respond to an incident to avoid a prolonged duration of downtime on the attacked systems or exposing the organization’s data to more harm. The Password Management Policy also requires compliance with the almost untouchable passwords and required MFA besides regular password change.</w:t>
      </w:r>
    </w:p>
    <w:p w:rsidR="00921B1A" w:rsidRDefault="00A8540D">
      <w:pPr>
        <w:spacing w:line="360" w:lineRule="auto"/>
        <w:jc w:val="both"/>
        <w:rPr>
          <w:rFonts w:ascii="Times New Roman" w:hAnsi="Times New Roman" w:cs="Times New Roman"/>
          <w:sz w:val="24"/>
          <w:szCs w:val="24"/>
        </w:rPr>
      </w:pPr>
      <w:r>
        <w:rPr>
          <w:rFonts w:ascii="Times New Roman" w:hAnsi="Times New Roman" w:cs="Times New Roman"/>
          <w:b/>
          <w:bCs/>
          <w:sz w:val="24"/>
          <w:szCs w:val="24"/>
        </w:rPr>
        <w:t>Risk Management</w:t>
      </w:r>
    </w:p>
    <w:p w:rsidR="00921B1A" w:rsidRDefault="00A854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Another important assessment is to perform risk assessments periodically in order to establish risks in NG’s IT. These assessments should be done based on the risks’ probable consequences. For instance, phishing attack and the unauthorized access represent high impact threats which necessitate quick action to be taken. For NG, risk assessment appears as a rather straightforward task; however, a Risk Assessment Matrix assists in visualizing and prioritizing these threats as a way of addressing the threats </w:t>
      </w:r>
      <w:r w:rsidR="002E4B93">
        <w:rPr>
          <w:rFonts w:ascii="Times New Roman" w:hAnsi="Times New Roman" w:cs="Times New Roman"/>
          <w:sz w:val="24"/>
          <w:szCs w:val="24"/>
        </w:rPr>
        <w:t>to vulnerabilities [5]</w:t>
      </w:r>
      <w:r>
        <w:rPr>
          <w:rFonts w:ascii="Times New Roman" w:hAnsi="Times New Roman" w:cs="Times New Roman"/>
          <w:sz w:val="24"/>
          <w:szCs w:val="24"/>
        </w:rPr>
        <w:t>. It means that NatureGarden has to be very serious about the process of the risk’s identification, assessment, and management. A Risk Assessment Matrix allows for ranking of risks with a view of determining the probability of occurrence and the seriousness of the implied impact. For instance, phishing, malicious software, and unauthorized access to information and ideas for consideration as high-risk threats. These measures consist of: general knowledge programming for the workers, utilize of MFA and periodic concern scanning.</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81"/>
        <w:gridCol w:w="1188"/>
        <w:gridCol w:w="814"/>
        <w:gridCol w:w="4967"/>
      </w:tblGrid>
      <w:tr w:rsidR="00921B1A">
        <w:trPr>
          <w:tblHeader/>
          <w:tblCellSpacing w:w="15" w:type="dxa"/>
          <w:jc w:val="center"/>
        </w:trPr>
        <w:tc>
          <w:tcPr>
            <w:tcW w:w="0" w:type="auto"/>
            <w:vAlign w:val="center"/>
            <w:hideMark/>
          </w:tcPr>
          <w:p w:rsidR="00921B1A" w:rsidRDefault="00A8540D">
            <w:pPr>
              <w:spacing w:after="0" w:line="240" w:lineRule="auto"/>
              <w:jc w:val="center"/>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t>Risk Type</w:t>
            </w:r>
          </w:p>
        </w:tc>
        <w:tc>
          <w:tcPr>
            <w:tcW w:w="0" w:type="auto"/>
            <w:vAlign w:val="center"/>
            <w:hideMark/>
          </w:tcPr>
          <w:p w:rsidR="00921B1A" w:rsidRDefault="00A8540D">
            <w:pPr>
              <w:spacing w:after="0" w:line="240" w:lineRule="auto"/>
              <w:jc w:val="center"/>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t>Likelihood</w:t>
            </w:r>
          </w:p>
        </w:tc>
        <w:tc>
          <w:tcPr>
            <w:tcW w:w="0" w:type="auto"/>
            <w:vAlign w:val="center"/>
            <w:hideMark/>
          </w:tcPr>
          <w:p w:rsidR="00921B1A" w:rsidRDefault="00A8540D">
            <w:pPr>
              <w:spacing w:after="0" w:line="240" w:lineRule="auto"/>
              <w:jc w:val="center"/>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t>Impact</w:t>
            </w:r>
          </w:p>
        </w:tc>
        <w:tc>
          <w:tcPr>
            <w:tcW w:w="0" w:type="auto"/>
            <w:vAlign w:val="center"/>
            <w:hideMark/>
          </w:tcPr>
          <w:p w:rsidR="00921B1A" w:rsidRDefault="00A8540D">
            <w:pPr>
              <w:spacing w:after="0" w:line="240" w:lineRule="auto"/>
              <w:jc w:val="center"/>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t>Proposed Mitigation Strategy</w:t>
            </w:r>
          </w:p>
        </w:tc>
      </w:tr>
      <w:tr w:rsidR="00921B1A">
        <w:trPr>
          <w:tblCellSpacing w:w="15" w:type="dxa"/>
          <w:jc w:val="center"/>
        </w:trPr>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Phishing Attacks</w:t>
            </w:r>
          </w:p>
        </w:tc>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High</w:t>
            </w:r>
          </w:p>
        </w:tc>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High</w:t>
            </w:r>
          </w:p>
        </w:tc>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Conduct employee training and deploy anti-phishing solutions</w:t>
            </w:r>
          </w:p>
        </w:tc>
      </w:tr>
      <w:tr w:rsidR="00921B1A">
        <w:trPr>
          <w:tblCellSpacing w:w="15" w:type="dxa"/>
          <w:jc w:val="center"/>
        </w:trPr>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Unauthorized Access</w:t>
            </w:r>
          </w:p>
        </w:tc>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Medium</w:t>
            </w:r>
          </w:p>
        </w:tc>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High</w:t>
            </w:r>
          </w:p>
        </w:tc>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Implement MFA and restrict access using role-based controls</w:t>
            </w:r>
          </w:p>
        </w:tc>
      </w:tr>
      <w:tr w:rsidR="00921B1A">
        <w:trPr>
          <w:tblCellSpacing w:w="15" w:type="dxa"/>
          <w:jc w:val="center"/>
        </w:trPr>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Data Breaches</w:t>
            </w:r>
          </w:p>
        </w:tc>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Medium</w:t>
            </w:r>
          </w:p>
        </w:tc>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High</w:t>
            </w:r>
          </w:p>
        </w:tc>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Encrypt sensitive data and monitor network traffic</w:t>
            </w:r>
          </w:p>
        </w:tc>
      </w:tr>
      <w:tr w:rsidR="00921B1A">
        <w:trPr>
          <w:tblCellSpacing w:w="15" w:type="dxa"/>
          <w:jc w:val="center"/>
        </w:trPr>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Malware and Ransomware</w:t>
            </w:r>
          </w:p>
        </w:tc>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High</w:t>
            </w:r>
          </w:p>
        </w:tc>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High</w:t>
            </w:r>
          </w:p>
        </w:tc>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Use advanced endpoint protection and secure backups</w:t>
            </w:r>
          </w:p>
        </w:tc>
      </w:tr>
    </w:tbl>
    <w:p w:rsidR="00921B1A" w:rsidRDefault="00A8540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Table 3: Risk Type</w:t>
      </w:r>
      <w:r>
        <w:rPr>
          <w:rFonts w:ascii="Times New Roman" w:hAnsi="Times New Roman" w:cs="Times New Roman"/>
          <w:b/>
          <w:bCs/>
          <w:sz w:val="24"/>
          <w:szCs w:val="24"/>
        </w:rPr>
        <w:br w:type="page"/>
      </w:r>
    </w:p>
    <w:p w:rsidR="00921B1A" w:rsidRDefault="00A8540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Protection Mechanisms</w:t>
      </w:r>
    </w:p>
    <w:p w:rsidR="00921B1A" w:rsidRDefault="00A8540D">
      <w:pPr>
        <w:spacing w:line="360" w:lineRule="auto"/>
        <w:jc w:val="both"/>
        <w:rPr>
          <w:rFonts w:ascii="Times New Roman" w:hAnsi="Times New Roman" w:cs="Times New Roman"/>
          <w:sz w:val="24"/>
          <w:szCs w:val="24"/>
        </w:rPr>
      </w:pPr>
      <w:r>
        <w:rPr>
          <w:rFonts w:ascii="Times New Roman" w:hAnsi="Times New Roman" w:cs="Times New Roman"/>
          <w:sz w:val="24"/>
          <w:szCs w:val="24"/>
        </w:rPr>
        <w:t>The last defense measures have to be established as a way of securing the data and systems of NG. End-point protection solutions including Ant-Virus, and Intrusion Detection and Prevention Systems can offer maximum security against malware and unauthorized access. SIEM tools help track and analyze the security activities continuously thus, NG is able to counter acts that may lead to insecurity. The issue of encryption and secure configuration of wireless networks play a major role of protecting data which has to meet minimal standards of confidentiality and integrity. Due to NatureGarden’s wireless and cloud-based systems, strong measures to protect information and networks are necessary to maintain data privacy and system health. The organization must put IT security measures for the endpoints which connect to the network like, antivirus, intrusion detection systems among othe</w:t>
      </w:r>
      <w:r w:rsidR="002E4B93">
        <w:rPr>
          <w:rFonts w:ascii="Times New Roman" w:hAnsi="Times New Roman" w:cs="Times New Roman"/>
          <w:sz w:val="24"/>
          <w:szCs w:val="24"/>
        </w:rPr>
        <w:t>rs [6]</w:t>
      </w:r>
      <w:r>
        <w:rPr>
          <w:rFonts w:ascii="Times New Roman" w:hAnsi="Times New Roman" w:cs="Times New Roman"/>
          <w:sz w:val="24"/>
          <w:szCs w:val="24"/>
        </w:rPr>
        <w:t>. Real time security solution on an organization’s network can be well addressed through the use of Security Information and Event Management (SIEM) tools. Standard protocols for encryption should be established and provided to safeguard data for data in storage and moving. Furthermore, for wireless configurations, firewalls and intrusion prevention that can reduce the risks of unauthorized access.</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35"/>
        <w:gridCol w:w="3114"/>
        <w:gridCol w:w="4301"/>
      </w:tblGrid>
      <w:tr w:rsidR="00921B1A">
        <w:trPr>
          <w:tblHeader/>
          <w:tblCellSpacing w:w="15" w:type="dxa"/>
          <w:jc w:val="center"/>
        </w:trPr>
        <w:tc>
          <w:tcPr>
            <w:tcW w:w="0" w:type="auto"/>
            <w:vAlign w:val="center"/>
            <w:hideMark/>
          </w:tcPr>
          <w:p w:rsidR="00921B1A" w:rsidRDefault="00A8540D">
            <w:pPr>
              <w:spacing w:after="0" w:line="240" w:lineRule="auto"/>
              <w:jc w:val="center"/>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t>Protection Mechanism</w:t>
            </w:r>
          </w:p>
        </w:tc>
        <w:tc>
          <w:tcPr>
            <w:tcW w:w="0" w:type="auto"/>
            <w:vAlign w:val="center"/>
            <w:hideMark/>
          </w:tcPr>
          <w:p w:rsidR="00921B1A" w:rsidRDefault="00A8540D">
            <w:pPr>
              <w:spacing w:after="0" w:line="240" w:lineRule="auto"/>
              <w:jc w:val="center"/>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t>Objective</w:t>
            </w:r>
          </w:p>
        </w:tc>
        <w:tc>
          <w:tcPr>
            <w:tcW w:w="0" w:type="auto"/>
            <w:vAlign w:val="center"/>
            <w:hideMark/>
          </w:tcPr>
          <w:p w:rsidR="00921B1A" w:rsidRDefault="00A8540D">
            <w:pPr>
              <w:spacing w:after="0" w:line="240" w:lineRule="auto"/>
              <w:jc w:val="center"/>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t>Implementation for NG</w:t>
            </w:r>
          </w:p>
        </w:tc>
      </w:tr>
      <w:tr w:rsidR="00921B1A">
        <w:trPr>
          <w:tblCellSpacing w:w="15" w:type="dxa"/>
          <w:jc w:val="center"/>
        </w:trPr>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Endpoint Protection</w:t>
            </w:r>
          </w:p>
        </w:tc>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Defend devices against malware and threats</w:t>
            </w:r>
          </w:p>
        </w:tc>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Deploy antivirus and endpoint detection tools</w:t>
            </w:r>
          </w:p>
        </w:tc>
      </w:tr>
      <w:tr w:rsidR="00921B1A">
        <w:trPr>
          <w:tblCellSpacing w:w="15" w:type="dxa"/>
          <w:jc w:val="center"/>
        </w:trPr>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SIEM Tools</w:t>
            </w:r>
          </w:p>
        </w:tc>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Monitor and analyze security events</w:t>
            </w:r>
          </w:p>
        </w:tc>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Use real-time event monitoring and alerts</w:t>
            </w:r>
          </w:p>
        </w:tc>
      </w:tr>
      <w:tr w:rsidR="00921B1A">
        <w:trPr>
          <w:tblCellSpacing w:w="15" w:type="dxa"/>
          <w:jc w:val="center"/>
        </w:trPr>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Data Encryption</w:t>
            </w:r>
          </w:p>
        </w:tc>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Ensure confidentiality of sensitive data</w:t>
            </w:r>
          </w:p>
        </w:tc>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Encrypt files, emails, and databases</w:t>
            </w:r>
          </w:p>
        </w:tc>
      </w:tr>
      <w:tr w:rsidR="00921B1A">
        <w:trPr>
          <w:tblCellSpacing w:w="15" w:type="dxa"/>
          <w:jc w:val="center"/>
        </w:trPr>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Wireless Security</w:t>
            </w:r>
          </w:p>
        </w:tc>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Secure wireless network infrastructure</w:t>
            </w:r>
          </w:p>
        </w:tc>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Implement WPA3 encryption and intrusion prevention systems</w:t>
            </w:r>
          </w:p>
        </w:tc>
      </w:tr>
    </w:tbl>
    <w:p w:rsidR="00921B1A" w:rsidRDefault="00A8540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Table 4: Secure configurations for wireless networks</w:t>
      </w:r>
    </w:p>
    <w:p w:rsidR="00921B1A" w:rsidRDefault="00A8540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Contingency Planning</w:t>
      </w:r>
    </w:p>
    <w:p w:rsidR="00921B1A" w:rsidRDefault="00A8540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Contingency planning therefore helps NG ensure it can quickly rise and bounce back from security problems with minimal effect on its operations. A Disaster Recovery Plan being a sub-plan of Business Continuity Planning should contain procedures for the revival of vital IT operations where an IT Disaster Recovery Plan (IT-DRP) should detail the means of regaining operational IT </w:t>
      </w:r>
      <w:r>
        <w:rPr>
          <w:rFonts w:ascii="Times New Roman" w:hAnsi="Times New Roman" w:cs="Times New Roman"/>
          <w:sz w:val="24"/>
          <w:szCs w:val="24"/>
        </w:rPr>
        <w:lastRenderedPageBreak/>
        <w:t>services d</w:t>
      </w:r>
      <w:r w:rsidR="002E4B93">
        <w:rPr>
          <w:rFonts w:ascii="Times New Roman" w:hAnsi="Times New Roman" w:cs="Times New Roman"/>
          <w:sz w:val="24"/>
          <w:szCs w:val="24"/>
        </w:rPr>
        <w:t>uring disasters [7]</w:t>
      </w:r>
      <w:r>
        <w:rPr>
          <w:rFonts w:ascii="Times New Roman" w:hAnsi="Times New Roman" w:cs="Times New Roman"/>
          <w:sz w:val="24"/>
          <w:szCs w:val="24"/>
        </w:rPr>
        <w:t>. These plans should be rehearsed and rerecorded with regards to new risks and changes within NG’s Information Technology framework.</w:t>
      </w:r>
    </w:p>
    <w:p w:rsidR="00921B1A" w:rsidRDefault="00A8540D">
      <w:pPr>
        <w:spacing w:line="360" w:lineRule="auto"/>
        <w:jc w:val="both"/>
        <w:rPr>
          <w:rFonts w:ascii="Times New Roman" w:hAnsi="Times New Roman" w:cs="Times New Roman"/>
          <w:sz w:val="24"/>
          <w:szCs w:val="24"/>
        </w:rPr>
      </w:pPr>
      <w:r>
        <w:rPr>
          <w:rFonts w:ascii="Times New Roman" w:hAnsi="Times New Roman" w:cs="Times New Roman"/>
          <w:sz w:val="24"/>
          <w:szCs w:val="24"/>
        </w:rPr>
        <w:t>Both plans must be exercised often through practice exercises in order to achieve their goals and objectives. This preventive approach reduces time losses and costs of business interruption during calamities.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02"/>
        <w:gridCol w:w="3142"/>
        <w:gridCol w:w="4306"/>
      </w:tblGrid>
      <w:tr w:rsidR="00921B1A">
        <w:trPr>
          <w:tblHeader/>
          <w:tblCellSpacing w:w="15" w:type="dxa"/>
        </w:trPr>
        <w:tc>
          <w:tcPr>
            <w:tcW w:w="0" w:type="auto"/>
            <w:vAlign w:val="center"/>
            <w:hideMark/>
          </w:tcPr>
          <w:p w:rsidR="00921B1A" w:rsidRDefault="00A8540D">
            <w:pPr>
              <w:spacing w:after="0" w:line="240" w:lineRule="auto"/>
              <w:jc w:val="center"/>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t>Plan</w:t>
            </w:r>
          </w:p>
        </w:tc>
        <w:tc>
          <w:tcPr>
            <w:tcW w:w="0" w:type="auto"/>
            <w:vAlign w:val="center"/>
            <w:hideMark/>
          </w:tcPr>
          <w:p w:rsidR="00921B1A" w:rsidRDefault="00A8540D">
            <w:pPr>
              <w:spacing w:after="0" w:line="240" w:lineRule="auto"/>
              <w:jc w:val="center"/>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t>Objective</w:t>
            </w:r>
          </w:p>
        </w:tc>
        <w:tc>
          <w:tcPr>
            <w:tcW w:w="0" w:type="auto"/>
            <w:vAlign w:val="center"/>
            <w:hideMark/>
          </w:tcPr>
          <w:p w:rsidR="00921B1A" w:rsidRDefault="00A8540D">
            <w:pPr>
              <w:spacing w:after="0" w:line="240" w:lineRule="auto"/>
              <w:jc w:val="center"/>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t>Key Components</w:t>
            </w:r>
          </w:p>
        </w:tc>
      </w:tr>
      <w:tr w:rsidR="00921B1A">
        <w:trPr>
          <w:tblCellSpacing w:w="15" w:type="dxa"/>
        </w:trPr>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Disaster Recovery Plan</w:t>
            </w:r>
          </w:p>
        </w:tc>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Restore IT systems after a disaster</w:t>
            </w:r>
          </w:p>
        </w:tc>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Backup systems, RTOs, RPOs, and restoration protocols</w:t>
            </w:r>
          </w:p>
        </w:tc>
      </w:tr>
      <w:tr w:rsidR="00921B1A">
        <w:trPr>
          <w:tblCellSpacing w:w="15" w:type="dxa"/>
        </w:trPr>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Business Continuity Plan</w:t>
            </w:r>
          </w:p>
        </w:tc>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Maintain critical business functions during crises</w:t>
            </w:r>
          </w:p>
        </w:tc>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Prioritized functions, communication plans, and contingency roles</w:t>
            </w:r>
          </w:p>
        </w:tc>
      </w:tr>
    </w:tbl>
    <w:p w:rsidR="00921B1A" w:rsidRDefault="00A8540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Table 5: Plans with their effectiveness</w:t>
      </w:r>
    </w:p>
    <w:p w:rsidR="00921B1A" w:rsidRDefault="00A8540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Compliance and Laws</w:t>
      </w:r>
    </w:p>
    <w:p w:rsidR="00921B1A" w:rsidRDefault="00A8540D">
      <w:pPr>
        <w:spacing w:line="360" w:lineRule="auto"/>
        <w:jc w:val="both"/>
        <w:rPr>
          <w:rFonts w:ascii="Times New Roman" w:hAnsi="Times New Roman" w:cs="Times New Roman"/>
          <w:sz w:val="24"/>
          <w:szCs w:val="24"/>
        </w:rPr>
      </w:pPr>
      <w:r>
        <w:rPr>
          <w:rFonts w:ascii="Times New Roman" w:hAnsi="Times New Roman" w:cs="Times New Roman"/>
          <w:sz w:val="24"/>
          <w:szCs w:val="24"/>
        </w:rPr>
        <w:t>There is always the strict necessity to adhere to the international laws and ethical practices for NatureGarden. Adapting to GDPR makes the company serve its clients’ interest by protecting their privacy while diminishing legal consequences. Issues of ethics like the privacy of the data, and consent in them also improv</w:t>
      </w:r>
      <w:r w:rsidR="002E4B93">
        <w:rPr>
          <w:rFonts w:ascii="Times New Roman" w:hAnsi="Times New Roman" w:cs="Times New Roman"/>
          <w:sz w:val="24"/>
          <w:szCs w:val="24"/>
        </w:rPr>
        <w:t>e the stakeholder trust [8]</w:t>
      </w:r>
      <w:r>
        <w:rPr>
          <w:rFonts w:ascii="Times New Roman" w:hAnsi="Times New Roman" w:cs="Times New Roman"/>
          <w:sz w:val="24"/>
          <w:szCs w:val="24"/>
        </w:rPr>
        <w:t>. Compliance should be audited often in order to discover compliance deficiencies and compliance with regulations. This also shows that NatureGarden can gain customer trust and improve its brand if it follows the court’s instructions regarding legal standards.</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59"/>
        <w:gridCol w:w="3282"/>
        <w:gridCol w:w="3809"/>
      </w:tblGrid>
      <w:tr w:rsidR="00921B1A">
        <w:trPr>
          <w:tblHeader/>
          <w:tblCellSpacing w:w="15" w:type="dxa"/>
          <w:jc w:val="center"/>
        </w:trPr>
        <w:tc>
          <w:tcPr>
            <w:tcW w:w="0" w:type="auto"/>
            <w:vAlign w:val="center"/>
            <w:hideMark/>
          </w:tcPr>
          <w:p w:rsidR="00921B1A" w:rsidRDefault="00A8540D">
            <w:pPr>
              <w:spacing w:after="0" w:line="240" w:lineRule="auto"/>
              <w:jc w:val="center"/>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t>Compliance Area</w:t>
            </w:r>
          </w:p>
        </w:tc>
        <w:tc>
          <w:tcPr>
            <w:tcW w:w="0" w:type="auto"/>
            <w:vAlign w:val="center"/>
            <w:hideMark/>
          </w:tcPr>
          <w:p w:rsidR="00921B1A" w:rsidRDefault="00A8540D">
            <w:pPr>
              <w:spacing w:after="0" w:line="240" w:lineRule="auto"/>
              <w:jc w:val="center"/>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t>Requirement</w:t>
            </w:r>
          </w:p>
        </w:tc>
        <w:tc>
          <w:tcPr>
            <w:tcW w:w="0" w:type="auto"/>
            <w:vAlign w:val="center"/>
            <w:hideMark/>
          </w:tcPr>
          <w:p w:rsidR="00921B1A" w:rsidRDefault="00A8540D">
            <w:pPr>
              <w:spacing w:after="0" w:line="240" w:lineRule="auto"/>
              <w:jc w:val="center"/>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bCs/>
                <w:kern w:val="0"/>
                <w:sz w:val="24"/>
                <w:szCs w:val="24"/>
                <w14:ligatures w14:val="none"/>
              </w:rPr>
              <w:t>Implementation for NG</w:t>
            </w:r>
          </w:p>
        </w:tc>
      </w:tr>
      <w:tr w:rsidR="00921B1A">
        <w:trPr>
          <w:tblCellSpacing w:w="15" w:type="dxa"/>
          <w:jc w:val="center"/>
        </w:trPr>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Data Protection (GDPR)</w:t>
            </w:r>
          </w:p>
        </w:tc>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Ensure customer data privacy</w:t>
            </w:r>
          </w:p>
        </w:tc>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Obtain consent, encrypt personal data</w:t>
            </w:r>
          </w:p>
        </w:tc>
      </w:tr>
      <w:tr w:rsidR="00921B1A">
        <w:trPr>
          <w:tblCellSpacing w:w="15" w:type="dxa"/>
          <w:jc w:val="center"/>
        </w:trPr>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Ethical Data Practices</w:t>
            </w:r>
          </w:p>
        </w:tc>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Uphold transparency and fair usage</w:t>
            </w:r>
          </w:p>
        </w:tc>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Implement clear data usage policies</w:t>
            </w:r>
          </w:p>
        </w:tc>
      </w:tr>
      <w:tr w:rsidR="00921B1A">
        <w:trPr>
          <w:tblCellSpacing w:w="15" w:type="dxa"/>
          <w:jc w:val="center"/>
        </w:trPr>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Cross-Border Compliance</w:t>
            </w:r>
          </w:p>
        </w:tc>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Navigate international data transfer laws</w:t>
            </w:r>
          </w:p>
        </w:tc>
        <w:tc>
          <w:tcPr>
            <w:tcW w:w="0" w:type="auto"/>
            <w:vAlign w:val="center"/>
            <w:hideMark/>
          </w:tcPr>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Use data localization strategies where required</w:t>
            </w:r>
          </w:p>
        </w:tc>
      </w:tr>
    </w:tbl>
    <w:p w:rsidR="00921B1A" w:rsidRDefault="00A8540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Table 6: Legal Standards</w:t>
      </w:r>
    </w:p>
    <w:p w:rsidR="00921B1A" w:rsidRDefault="00921B1A">
      <w:pPr>
        <w:spacing w:line="360" w:lineRule="auto"/>
        <w:jc w:val="both"/>
        <w:rPr>
          <w:rFonts w:ascii="Times New Roman" w:hAnsi="Times New Roman" w:cs="Times New Roman"/>
          <w:sz w:val="24"/>
          <w:szCs w:val="24"/>
        </w:rPr>
      </w:pPr>
    </w:p>
    <w:p w:rsidR="00921B1A" w:rsidRDefault="00A8540D">
      <w:pPr>
        <w:rPr>
          <w:rFonts w:ascii="Times New Roman" w:hAnsi="Times New Roman" w:cs="Times New Roman"/>
          <w:b/>
          <w:bCs/>
          <w:sz w:val="24"/>
          <w:szCs w:val="24"/>
        </w:rPr>
      </w:pPr>
      <w:r>
        <w:rPr>
          <w:rFonts w:ascii="Times New Roman" w:hAnsi="Times New Roman" w:cs="Times New Roman"/>
          <w:b/>
          <w:bCs/>
          <w:sz w:val="24"/>
          <w:szCs w:val="24"/>
        </w:rPr>
        <w:br w:type="page"/>
      </w:r>
    </w:p>
    <w:p w:rsidR="00921B1A" w:rsidRDefault="00A8540D">
      <w:pPr>
        <w:rPr>
          <w:rFonts w:ascii="Times New Roman" w:hAnsi="Times New Roman" w:cs="Times New Roman"/>
          <w:b/>
          <w:bCs/>
          <w:sz w:val="24"/>
          <w:szCs w:val="24"/>
        </w:rPr>
      </w:pPr>
      <w:r>
        <w:rPr>
          <w:rFonts w:ascii="Times New Roman" w:hAnsi="Times New Roman" w:cs="Times New Roman"/>
          <w:b/>
          <w:bCs/>
          <w:sz w:val="24"/>
          <w:szCs w:val="24"/>
        </w:rPr>
        <w:lastRenderedPageBreak/>
        <w:t>Diagram of the Approach</w:t>
      </w:r>
    </w:p>
    <w:p w:rsidR="00921B1A" w:rsidRDefault="00921B1A">
      <w:pPr>
        <w:spacing w:after="0" w:line="240" w:lineRule="auto"/>
        <w:rPr>
          <w:rFonts w:ascii="Times New Roman" w:eastAsia="Times New Roman" w:hAnsi="Times New Roman" w:cs="Times New Roman"/>
          <w:kern w:val="0"/>
          <w:sz w:val="24"/>
          <w:szCs w:val="24"/>
          <w14:ligatures w14:val="none"/>
        </w:rPr>
      </w:pPr>
    </w:p>
    <w:p w:rsidR="00921B1A" w:rsidRDefault="00921B1A">
      <w:pPr>
        <w:spacing w:after="0" w:line="240" w:lineRule="auto"/>
        <w:rPr>
          <w:rFonts w:ascii="Times New Roman" w:eastAsia="Times New Roman" w:hAnsi="Times New Roman" w:cs="Times New Roman"/>
          <w:kern w:val="0"/>
          <w:sz w:val="24"/>
          <w:szCs w:val="24"/>
          <w14:ligatures w14:val="none"/>
        </w:rPr>
      </w:pPr>
    </w:p>
    <w:p w:rsidR="00921B1A" w:rsidRDefault="00A8540D">
      <w:pPr>
        <w:spacing w:after="0" w:line="24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noProof/>
          <w:kern w:val="0"/>
          <w:sz w:val="24"/>
          <w:szCs w:val="24"/>
          <w:lang w:val="en-IN" w:eastAsia="en-IN"/>
        </w:rPr>
        <w:drawing>
          <wp:inline distT="0" distB="0" distL="0" distR="0">
            <wp:extent cx="5943600" cy="1520190"/>
            <wp:effectExtent l="0" t="0" r="0" b="3810"/>
            <wp:docPr id="1026"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0" cstate="print"/>
                    <a:srcRect/>
                    <a:stretch/>
                  </pic:blipFill>
                  <pic:spPr>
                    <a:xfrm>
                      <a:off x="0" y="0"/>
                      <a:ext cx="5943600" cy="1520190"/>
                    </a:xfrm>
                    <a:prstGeom prst="rect">
                      <a:avLst/>
                    </a:prstGeom>
                  </pic:spPr>
                </pic:pic>
              </a:graphicData>
            </a:graphic>
          </wp:inline>
        </w:drawing>
      </w:r>
    </w:p>
    <w:p w:rsidR="00921B1A" w:rsidRDefault="00A8540D">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Figure 1: Information Security and Governance Framework for NatureGarden</w:t>
      </w:r>
    </w:p>
    <w:p w:rsidR="00921B1A" w:rsidRDefault="00A8540D">
      <w:pPr>
        <w:spacing w:after="0" w:line="36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The diagram depicts a comprehensive plan for the security, governance and compliance of information system of NatureGarden. The center is the Governance Framework, which consist of tactical goals, responsibilities, audit and compliance monitoring, and enhancement. This structure establishes and provides guidance on the implementation of Security Policies and makes certain that the organisation has adequate procedures in place for the use of BYOD devices, identification of data types, method of addressing security incidents and password standards. Endpoint Protection, Data Encryption, SIEM tools and Wireless security are other corporate policies that impact on Protection Mechanisms – safeguarding the organization</w:t>
      </w:r>
      <w:r w:rsidR="002E4B93">
        <w:rPr>
          <w:rFonts w:ascii="Times New Roman" w:eastAsia="Times New Roman" w:hAnsi="Times New Roman" w:cs="Times New Roman"/>
          <w:kern w:val="0"/>
          <w:sz w:val="24"/>
          <w:szCs w:val="24"/>
          <w14:ligatures w14:val="none"/>
        </w:rPr>
        <w:t>’s IT framework [9]</w:t>
      </w:r>
      <w:r>
        <w:rPr>
          <w:rFonts w:ascii="Times New Roman" w:eastAsia="Times New Roman" w:hAnsi="Times New Roman" w:cs="Times New Roman"/>
          <w:kern w:val="0"/>
          <w:sz w:val="24"/>
          <w:szCs w:val="24"/>
          <w14:ligatures w14:val="none"/>
        </w:rPr>
        <w:t>.</w:t>
      </w:r>
    </w:p>
    <w:p w:rsidR="00921B1A" w:rsidRDefault="00A8540D">
      <w:pPr>
        <w:spacing w:after="0" w:line="36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In the Risk Management component, risks are recognized, evaluated using the risk assessment matrix and managed to m</w:t>
      </w:r>
      <w:r w:rsidR="002E4B93">
        <w:rPr>
          <w:rFonts w:ascii="Times New Roman" w:eastAsia="Times New Roman" w:hAnsi="Times New Roman" w:cs="Times New Roman"/>
          <w:kern w:val="0"/>
          <w:sz w:val="24"/>
          <w:szCs w:val="24"/>
          <w14:ligatures w14:val="none"/>
        </w:rPr>
        <w:t>inimize threats [10]</w:t>
      </w:r>
      <w:r>
        <w:rPr>
          <w:rFonts w:ascii="Times New Roman" w:eastAsia="Times New Roman" w:hAnsi="Times New Roman" w:cs="Times New Roman"/>
          <w:kern w:val="0"/>
          <w:sz w:val="24"/>
          <w:szCs w:val="24"/>
          <w14:ligatures w14:val="none"/>
        </w:rPr>
        <w:t>. This risk management process also assists in the improvement of protection and in making early assessments to achieve compliance with protection mechanisms. Contingency Planning also a part of the framework which contains the Business Continuity Plan (BCP) &amp; Disaster Recovery Plan (DRP) for enterprise sustainability in an event of disruption or security breach.</w:t>
      </w:r>
    </w:p>
    <w:p w:rsidR="00921B1A" w:rsidRDefault="00A8540D">
      <w:pPr>
        <w:spacing w:after="0" w:line="36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Lastly, the Compliance element ensures that data is collected, used and managed in a manner that is compliant with all global policies, including GDPR, ethical data use practices, and other cross-border compliance needs, thereby reducing legal risks that can affect stakeholder relations. Relations between governance, policies, protection, risks management, and compliance constitute an integrated model of NatureGarden’s approach to secure highly sensitive information and IT equipment.</w:t>
      </w:r>
      <w:r>
        <w:rPr>
          <w:rFonts w:ascii="Times New Roman" w:hAnsi="Times New Roman" w:cs="Times New Roman"/>
          <w:b/>
          <w:bCs/>
          <w:sz w:val="24"/>
          <w:szCs w:val="24"/>
        </w:rPr>
        <w:br w:type="page"/>
      </w:r>
    </w:p>
    <w:p w:rsidR="00921B1A" w:rsidRDefault="00A8540D">
      <w:pPr>
        <w:pStyle w:val="Heading1"/>
      </w:pPr>
      <w:bookmarkStart w:id="3" w:name="_Toc186124133"/>
      <w:r>
        <w:lastRenderedPageBreak/>
        <w:t>Importance of Updated Regulations and Standards</w:t>
      </w:r>
      <w:bookmarkEnd w:id="3"/>
    </w:p>
    <w:p w:rsidR="00921B1A" w:rsidRDefault="00A8540D">
      <w:pPr>
        <w:spacing w:line="360" w:lineRule="auto"/>
        <w:jc w:val="both"/>
        <w:rPr>
          <w:rFonts w:ascii="Times New Roman" w:hAnsi="Times New Roman" w:cs="Times New Roman"/>
          <w:sz w:val="24"/>
          <w:szCs w:val="24"/>
        </w:rPr>
      </w:pPr>
      <w:r>
        <w:rPr>
          <w:rFonts w:ascii="Times New Roman" w:hAnsi="Times New Roman" w:cs="Times New Roman"/>
          <w:sz w:val="24"/>
          <w:szCs w:val="24"/>
        </w:rPr>
        <w:t>Cybersecurity threats are like a dynamic process that calls for constant vigilance since they emerge every other day. Dynamic regulations and standards are inclusive in resolving these challenges meaningfully. New rules assist in reducing evolved threats by communicating that a company’s protection tools can be effective once again. New technologies ushered in by IoT and artificial intelligence pose some unique security risks. Adaptive standards are effective for a company to put into use new technologies yet still ensure the security of their systems and functions.</w:t>
      </w:r>
    </w:p>
    <w:p w:rsidR="00921B1A" w:rsidRDefault="00A8540D">
      <w:pPr>
        <w:spacing w:line="360" w:lineRule="auto"/>
        <w:jc w:val="both"/>
        <w:rPr>
          <w:rFonts w:ascii="Times New Roman" w:hAnsi="Times New Roman" w:cs="Times New Roman"/>
          <w:sz w:val="24"/>
          <w:szCs w:val="24"/>
        </w:rPr>
      </w:pPr>
      <w:r>
        <w:rPr>
          <w:rFonts w:ascii="Times New Roman" w:hAnsi="Times New Roman" w:cs="Times New Roman"/>
          <w:sz w:val="24"/>
          <w:szCs w:val="24"/>
        </w:rPr>
        <w:t>International compliance is especially relevant for companies such as NG that act in various countries. Standardization of international operations eliminates both disruptions and avoidable penalties relating to non-adherence to regulatory compliance measures. Further, new standards contribute to increased level of organizational trust because they prove an organization is concerne</w:t>
      </w:r>
      <w:r w:rsidR="002E4B93">
        <w:rPr>
          <w:rFonts w:ascii="Times New Roman" w:hAnsi="Times New Roman" w:cs="Times New Roman"/>
          <w:sz w:val="24"/>
          <w:szCs w:val="24"/>
        </w:rPr>
        <w:t>d about data protection [11]</w:t>
      </w:r>
      <w:r>
        <w:rPr>
          <w:rFonts w:ascii="Times New Roman" w:hAnsi="Times New Roman" w:cs="Times New Roman"/>
          <w:sz w:val="24"/>
          <w:szCs w:val="24"/>
        </w:rPr>
        <w:t>. Consumers and business partners prefer to transact with organizations who have standardized cybersecurity standards and anti-ethical practices measures. An organization should ensure that its security policies are up to date hence the need to conduct regular audits of them from time to time.</w:t>
      </w:r>
    </w:p>
    <w:p w:rsidR="00921B1A" w:rsidRDefault="00A8540D">
      <w:pPr>
        <w:pStyle w:val="Heading1"/>
      </w:pPr>
      <w:bookmarkStart w:id="4" w:name="_Toc186124134"/>
      <w:r>
        <w:t>Critical Analysis and Discussion</w:t>
      </w:r>
      <w:bookmarkEnd w:id="4"/>
    </w:p>
    <w:p w:rsidR="00921B1A" w:rsidRDefault="00A8540D">
      <w:pPr>
        <w:spacing w:line="360" w:lineRule="auto"/>
        <w:jc w:val="both"/>
        <w:rPr>
          <w:rFonts w:ascii="Times New Roman" w:hAnsi="Times New Roman" w:cs="Times New Roman"/>
          <w:sz w:val="24"/>
          <w:szCs w:val="24"/>
        </w:rPr>
      </w:pPr>
      <w:r>
        <w:rPr>
          <w:rFonts w:ascii="Times New Roman" w:hAnsi="Times New Roman" w:cs="Times New Roman"/>
          <w:sz w:val="24"/>
          <w:szCs w:val="24"/>
        </w:rPr>
        <w:t>ITIL, ISO 27001, and the NIST Cybersecurity Framework are employed as a basis for the proposed approach to NG, and the solution provides a balanced strategy for overcoming the security issues of the company. ITIL deals with services and service management and rhymes well with ISO 27001 which is centered around management of risks, and NIST can be used for agile mitigation of threats. Another addition that strengthens that security factor is the Zero Trust Model to specifically cater for the challenges that come with BY</w:t>
      </w:r>
      <w:r w:rsidR="002E4B93">
        <w:rPr>
          <w:rFonts w:ascii="Times New Roman" w:hAnsi="Times New Roman" w:cs="Times New Roman"/>
          <w:sz w:val="24"/>
          <w:szCs w:val="24"/>
        </w:rPr>
        <w:t>OD and wireless networks [12]</w:t>
      </w:r>
      <w:r>
        <w:rPr>
          <w:rFonts w:ascii="Times New Roman" w:hAnsi="Times New Roman" w:cs="Times New Roman"/>
          <w:sz w:val="24"/>
          <w:szCs w:val="24"/>
        </w:rPr>
        <w:t>.</w:t>
      </w:r>
    </w:p>
    <w:p w:rsidR="00921B1A" w:rsidRDefault="00A8540D">
      <w:pPr>
        <w:spacing w:line="360" w:lineRule="auto"/>
        <w:jc w:val="both"/>
        <w:rPr>
          <w:rFonts w:ascii="Times New Roman" w:hAnsi="Times New Roman" w:cs="Times New Roman"/>
          <w:sz w:val="24"/>
          <w:szCs w:val="24"/>
        </w:rPr>
      </w:pPr>
      <w:r>
        <w:rPr>
          <w:rFonts w:ascii="Times New Roman" w:hAnsi="Times New Roman" w:cs="Times New Roman"/>
          <w:sz w:val="24"/>
          <w:szCs w:val="24"/>
        </w:rPr>
        <w:t>Other frameworks like COBIT or PCI DSS might also be useful, but their oriented either to particular industries or to particular functions, which may not well fit to broad range of operations in NG. Decision-makers should be aware of the following risks when undertaking the proposed solution: Costs and Integrational issues and people. However, these challenges can be dampened by; phased implementation, stakeholders’ engagement, and excellent training programs.</w:t>
      </w:r>
    </w:p>
    <w:p w:rsidR="00921B1A" w:rsidRDefault="00A8540D">
      <w:pPr>
        <w:rPr>
          <w:rFonts w:ascii="Times New Roman" w:hAnsi="Times New Roman" w:cs="Times New Roman"/>
          <w:b/>
          <w:bCs/>
          <w:sz w:val="24"/>
          <w:szCs w:val="24"/>
        </w:rPr>
      </w:pPr>
      <w:r>
        <w:rPr>
          <w:rFonts w:ascii="Times New Roman" w:hAnsi="Times New Roman" w:cs="Times New Roman"/>
          <w:b/>
          <w:bCs/>
          <w:sz w:val="24"/>
          <w:szCs w:val="24"/>
        </w:rPr>
        <w:br w:type="page"/>
      </w:r>
    </w:p>
    <w:p w:rsidR="00921B1A" w:rsidRDefault="00A8540D">
      <w:pPr>
        <w:pStyle w:val="Heading1"/>
      </w:pPr>
      <w:bookmarkStart w:id="5" w:name="_Toc186124135"/>
      <w:r>
        <w:lastRenderedPageBreak/>
        <w:t>Conclusion</w:t>
      </w:r>
      <w:bookmarkEnd w:id="5"/>
    </w:p>
    <w:p w:rsidR="00921B1A" w:rsidRDefault="00A8540D">
      <w:pPr>
        <w:spacing w:line="360" w:lineRule="auto"/>
        <w:jc w:val="both"/>
        <w:rPr>
          <w:rFonts w:ascii="Times New Roman" w:hAnsi="Times New Roman" w:cs="Times New Roman"/>
          <w:sz w:val="24"/>
          <w:szCs w:val="24"/>
        </w:rPr>
      </w:pPr>
      <w:r>
        <w:rPr>
          <w:rFonts w:ascii="Times New Roman" w:hAnsi="Times New Roman" w:cs="Times New Roman"/>
          <w:sz w:val="24"/>
          <w:szCs w:val="24"/>
        </w:rPr>
        <w:t>Information security is a significant concern for NatureGarden since it depends on WiFi networks and cloud solutions. Therefore, it is recommended that this company adopt an integrated plan that includes; ITIL, ISO 27001, NIST and the Zero Trust security model for the organization’s uniqueness. As the focus is put on the improvement of the key aspects of company’s governance, risk management, and compliance, the proposed solution provides the highest level of data and intellectual property protection and acceptable level of organizational performance. This is important to stress that regulations and standards should be refreshed with certain frequency in order to meet the threats and novelties at certain period of time. By so doing, NG can develop a secure and sustainable operational strategy that can be implement in the organization.</w:t>
      </w:r>
    </w:p>
    <w:p w:rsidR="00921B1A" w:rsidRDefault="00A8540D">
      <w:pPr>
        <w:rPr>
          <w:rFonts w:ascii="Times New Roman" w:hAnsi="Times New Roman" w:cs="Times New Roman"/>
          <w:sz w:val="24"/>
          <w:szCs w:val="24"/>
        </w:rPr>
      </w:pPr>
      <w:r>
        <w:rPr>
          <w:rFonts w:ascii="Times New Roman" w:hAnsi="Times New Roman" w:cs="Times New Roman"/>
          <w:sz w:val="24"/>
          <w:szCs w:val="24"/>
        </w:rPr>
        <w:br w:type="page"/>
      </w:r>
    </w:p>
    <w:p w:rsidR="00921B1A" w:rsidRDefault="00A8540D">
      <w:pPr>
        <w:pStyle w:val="Heading1"/>
      </w:pPr>
      <w:bookmarkStart w:id="6" w:name="_Toc186124136"/>
      <w:r>
        <w:lastRenderedPageBreak/>
        <w:t>References</w:t>
      </w:r>
      <w:bookmarkEnd w:id="6"/>
    </w:p>
    <w:p w:rsidR="002E4B93" w:rsidRDefault="002E4B93" w:rsidP="002E4B93"/>
    <w:p w:rsidR="002E4B93" w:rsidRDefault="002E4B93" w:rsidP="002E4B93">
      <w:pPr>
        <w:spacing w:before="100" w:beforeAutospacing="1" w:after="100" w:afterAutospacing="1" w:line="240" w:lineRule="auto"/>
        <w:rPr>
          <w:rFonts w:ascii="Times New Roman" w:eastAsia="Times New Roman" w:hAnsi="Times New Roman" w:cs="Times New Roman"/>
          <w:kern w:val="0"/>
          <w:sz w:val="24"/>
          <w:szCs w:val="24"/>
          <w:lang w:val="en-IN" w:eastAsia="en-IN"/>
          <w14:ligatures w14:val="none"/>
        </w:rPr>
      </w:pPr>
      <w:r>
        <w:rPr>
          <w:rFonts w:ascii="Times New Roman" w:eastAsia="Times New Roman" w:hAnsi="Times New Roman" w:cs="Times New Roman"/>
          <w:kern w:val="0"/>
          <w:sz w:val="24"/>
          <w:szCs w:val="24"/>
          <w:lang w:val="en-IN" w:eastAsia="en-IN"/>
          <w14:ligatures w14:val="none"/>
        </w:rPr>
        <w:t>[1]</w:t>
      </w:r>
      <w:r w:rsidRPr="002E4B93">
        <w:rPr>
          <w:rFonts w:ascii="Times New Roman" w:eastAsia="Times New Roman" w:hAnsi="Times New Roman" w:cs="Times New Roman"/>
          <w:kern w:val="0"/>
          <w:sz w:val="24"/>
          <w:szCs w:val="24"/>
          <w:lang w:val="en-IN" w:eastAsia="en-IN"/>
          <w14:ligatures w14:val="none"/>
        </w:rPr>
        <w:t xml:space="preserve"> S. T. Hossain, T. </w:t>
      </w:r>
      <w:proofErr w:type="spellStart"/>
      <w:r w:rsidRPr="002E4B93">
        <w:rPr>
          <w:rFonts w:ascii="Times New Roman" w:eastAsia="Times New Roman" w:hAnsi="Times New Roman" w:cs="Times New Roman"/>
          <w:kern w:val="0"/>
          <w:sz w:val="24"/>
          <w:szCs w:val="24"/>
          <w:lang w:val="en-IN" w:eastAsia="en-IN"/>
          <w14:ligatures w14:val="none"/>
        </w:rPr>
        <w:t>Yigitcanlar</w:t>
      </w:r>
      <w:proofErr w:type="spellEnd"/>
      <w:r w:rsidRPr="002E4B93">
        <w:rPr>
          <w:rFonts w:ascii="Times New Roman" w:eastAsia="Times New Roman" w:hAnsi="Times New Roman" w:cs="Times New Roman"/>
          <w:kern w:val="0"/>
          <w:sz w:val="24"/>
          <w:szCs w:val="24"/>
          <w:lang w:val="en-IN" w:eastAsia="en-IN"/>
          <w14:ligatures w14:val="none"/>
        </w:rPr>
        <w:t xml:space="preserve">, K. Nguyen, and Y. Xu, "Local government cybersecurity landscape: A systematic review and conceptual framework," </w:t>
      </w:r>
      <w:r w:rsidRPr="002E4B93">
        <w:rPr>
          <w:rFonts w:ascii="Times New Roman" w:eastAsia="Times New Roman" w:hAnsi="Times New Roman" w:cs="Times New Roman"/>
          <w:i/>
          <w:iCs/>
          <w:kern w:val="0"/>
          <w:sz w:val="24"/>
          <w:szCs w:val="24"/>
          <w:lang w:val="en-IN" w:eastAsia="en-IN"/>
          <w14:ligatures w14:val="none"/>
        </w:rPr>
        <w:t>Applied Sciences</w:t>
      </w:r>
      <w:r w:rsidRPr="002E4B93">
        <w:rPr>
          <w:rFonts w:ascii="Times New Roman" w:eastAsia="Times New Roman" w:hAnsi="Times New Roman" w:cs="Times New Roman"/>
          <w:kern w:val="0"/>
          <w:sz w:val="24"/>
          <w:szCs w:val="24"/>
          <w:lang w:val="en-IN" w:eastAsia="en-IN"/>
          <w14:ligatures w14:val="none"/>
        </w:rPr>
        <w:t>, vol. 14, no. 13, p. 5501, 2024.</w:t>
      </w:r>
    </w:p>
    <w:p w:rsidR="002E4B93" w:rsidRDefault="002E4B93" w:rsidP="002E4B93">
      <w:pPr>
        <w:spacing w:before="100" w:beforeAutospacing="1" w:after="100" w:afterAutospacing="1" w:line="240" w:lineRule="auto"/>
        <w:rPr>
          <w:rFonts w:ascii="Times New Roman" w:eastAsia="Times New Roman" w:hAnsi="Times New Roman" w:cs="Times New Roman"/>
          <w:kern w:val="0"/>
          <w:sz w:val="24"/>
          <w:szCs w:val="24"/>
          <w:lang w:val="en-IN" w:eastAsia="en-IN"/>
          <w14:ligatures w14:val="none"/>
        </w:rPr>
      </w:pPr>
      <w:r w:rsidRPr="002E4B93">
        <w:rPr>
          <w:rFonts w:ascii="Times New Roman" w:eastAsia="Times New Roman" w:hAnsi="Times New Roman" w:cs="Times New Roman"/>
          <w:kern w:val="0"/>
          <w:sz w:val="24"/>
          <w:szCs w:val="24"/>
          <w:lang w:val="en-IN" w:eastAsia="en-IN"/>
          <w14:ligatures w14:val="none"/>
        </w:rPr>
        <w:t xml:space="preserve">[2] S. W. A. </w:t>
      </w:r>
      <w:proofErr w:type="spellStart"/>
      <w:r w:rsidRPr="002E4B93">
        <w:rPr>
          <w:rFonts w:ascii="Times New Roman" w:eastAsia="Times New Roman" w:hAnsi="Times New Roman" w:cs="Times New Roman"/>
          <w:kern w:val="0"/>
          <w:sz w:val="24"/>
          <w:szCs w:val="24"/>
          <w:lang w:val="en-IN" w:eastAsia="en-IN"/>
          <w14:ligatures w14:val="none"/>
        </w:rPr>
        <w:t>Hamdani</w:t>
      </w:r>
      <w:proofErr w:type="spellEnd"/>
      <w:r w:rsidRPr="002E4B93">
        <w:rPr>
          <w:rFonts w:ascii="Times New Roman" w:eastAsia="Times New Roman" w:hAnsi="Times New Roman" w:cs="Times New Roman"/>
          <w:kern w:val="0"/>
          <w:sz w:val="24"/>
          <w:szCs w:val="24"/>
          <w:lang w:val="en-IN" w:eastAsia="en-IN"/>
          <w14:ligatures w14:val="none"/>
        </w:rPr>
        <w:t xml:space="preserve">, H. Abbas, A. R. </w:t>
      </w:r>
      <w:proofErr w:type="spellStart"/>
      <w:r w:rsidRPr="002E4B93">
        <w:rPr>
          <w:rFonts w:ascii="Times New Roman" w:eastAsia="Times New Roman" w:hAnsi="Times New Roman" w:cs="Times New Roman"/>
          <w:kern w:val="0"/>
          <w:sz w:val="24"/>
          <w:szCs w:val="24"/>
          <w:lang w:val="en-IN" w:eastAsia="en-IN"/>
          <w14:ligatures w14:val="none"/>
        </w:rPr>
        <w:t>Janjua</w:t>
      </w:r>
      <w:proofErr w:type="spellEnd"/>
      <w:r w:rsidRPr="002E4B93">
        <w:rPr>
          <w:rFonts w:ascii="Times New Roman" w:eastAsia="Times New Roman" w:hAnsi="Times New Roman" w:cs="Times New Roman"/>
          <w:kern w:val="0"/>
          <w:sz w:val="24"/>
          <w:szCs w:val="24"/>
          <w:lang w:val="en-IN" w:eastAsia="en-IN"/>
          <w14:ligatures w14:val="none"/>
        </w:rPr>
        <w:t xml:space="preserve">, W. B. </w:t>
      </w:r>
      <w:proofErr w:type="spellStart"/>
      <w:r w:rsidRPr="002E4B93">
        <w:rPr>
          <w:rFonts w:ascii="Times New Roman" w:eastAsia="Times New Roman" w:hAnsi="Times New Roman" w:cs="Times New Roman"/>
          <w:kern w:val="0"/>
          <w:sz w:val="24"/>
          <w:szCs w:val="24"/>
          <w:lang w:val="en-IN" w:eastAsia="en-IN"/>
          <w14:ligatures w14:val="none"/>
        </w:rPr>
        <w:t>Shahid</w:t>
      </w:r>
      <w:proofErr w:type="spellEnd"/>
      <w:r w:rsidRPr="002E4B93">
        <w:rPr>
          <w:rFonts w:ascii="Times New Roman" w:eastAsia="Times New Roman" w:hAnsi="Times New Roman" w:cs="Times New Roman"/>
          <w:kern w:val="0"/>
          <w:sz w:val="24"/>
          <w:szCs w:val="24"/>
          <w:lang w:val="en-IN" w:eastAsia="en-IN"/>
          <w14:ligatures w14:val="none"/>
        </w:rPr>
        <w:t xml:space="preserve">, M. F. </w:t>
      </w:r>
      <w:proofErr w:type="spellStart"/>
      <w:r w:rsidRPr="002E4B93">
        <w:rPr>
          <w:rFonts w:ascii="Times New Roman" w:eastAsia="Times New Roman" w:hAnsi="Times New Roman" w:cs="Times New Roman"/>
          <w:kern w:val="0"/>
          <w:sz w:val="24"/>
          <w:szCs w:val="24"/>
          <w:lang w:val="en-IN" w:eastAsia="en-IN"/>
          <w14:ligatures w14:val="none"/>
        </w:rPr>
        <w:t>Amjad</w:t>
      </w:r>
      <w:proofErr w:type="spellEnd"/>
      <w:r w:rsidRPr="002E4B93">
        <w:rPr>
          <w:rFonts w:ascii="Times New Roman" w:eastAsia="Times New Roman" w:hAnsi="Times New Roman" w:cs="Times New Roman"/>
          <w:kern w:val="0"/>
          <w:sz w:val="24"/>
          <w:szCs w:val="24"/>
          <w:lang w:val="en-IN" w:eastAsia="en-IN"/>
          <w14:ligatures w14:val="none"/>
        </w:rPr>
        <w:t xml:space="preserve">, J. Malik, M. H. </w:t>
      </w:r>
      <w:proofErr w:type="spellStart"/>
      <w:r w:rsidRPr="002E4B93">
        <w:rPr>
          <w:rFonts w:ascii="Times New Roman" w:eastAsia="Times New Roman" w:hAnsi="Times New Roman" w:cs="Times New Roman"/>
          <w:kern w:val="0"/>
          <w:sz w:val="24"/>
          <w:szCs w:val="24"/>
          <w:lang w:val="en-IN" w:eastAsia="en-IN"/>
          <w14:ligatures w14:val="none"/>
        </w:rPr>
        <w:t>Murtaza</w:t>
      </w:r>
      <w:proofErr w:type="spellEnd"/>
      <w:r w:rsidRPr="002E4B93">
        <w:rPr>
          <w:rFonts w:ascii="Times New Roman" w:eastAsia="Times New Roman" w:hAnsi="Times New Roman" w:cs="Times New Roman"/>
          <w:kern w:val="0"/>
          <w:sz w:val="24"/>
          <w:szCs w:val="24"/>
          <w:lang w:val="en-IN" w:eastAsia="en-IN"/>
          <w14:ligatures w14:val="none"/>
        </w:rPr>
        <w:t xml:space="preserve">, M. </w:t>
      </w:r>
      <w:proofErr w:type="spellStart"/>
      <w:r w:rsidRPr="002E4B93">
        <w:rPr>
          <w:rFonts w:ascii="Times New Roman" w:eastAsia="Times New Roman" w:hAnsi="Times New Roman" w:cs="Times New Roman"/>
          <w:kern w:val="0"/>
          <w:sz w:val="24"/>
          <w:szCs w:val="24"/>
          <w:lang w:val="en-IN" w:eastAsia="en-IN"/>
          <w14:ligatures w14:val="none"/>
        </w:rPr>
        <w:t>Atiquzzaman</w:t>
      </w:r>
      <w:proofErr w:type="spellEnd"/>
      <w:r w:rsidRPr="002E4B93">
        <w:rPr>
          <w:rFonts w:ascii="Times New Roman" w:eastAsia="Times New Roman" w:hAnsi="Times New Roman" w:cs="Times New Roman"/>
          <w:kern w:val="0"/>
          <w:sz w:val="24"/>
          <w:szCs w:val="24"/>
          <w:lang w:val="en-IN" w:eastAsia="en-IN"/>
          <w14:ligatures w14:val="none"/>
        </w:rPr>
        <w:t xml:space="preserve">, and A. W. Khan, "Cybersecurity standards in the context of operating system: Practical aspects, analysis, and comparisons," </w:t>
      </w:r>
      <w:r w:rsidRPr="002E4B93">
        <w:rPr>
          <w:rFonts w:ascii="Times New Roman" w:eastAsia="Times New Roman" w:hAnsi="Times New Roman" w:cs="Times New Roman"/>
          <w:i/>
          <w:iCs/>
          <w:kern w:val="0"/>
          <w:sz w:val="24"/>
          <w:szCs w:val="24"/>
          <w:lang w:val="en-IN" w:eastAsia="en-IN"/>
          <w14:ligatures w14:val="none"/>
        </w:rPr>
        <w:t xml:space="preserve">ACM </w:t>
      </w:r>
      <w:proofErr w:type="spellStart"/>
      <w:r w:rsidRPr="002E4B93">
        <w:rPr>
          <w:rFonts w:ascii="Times New Roman" w:eastAsia="Times New Roman" w:hAnsi="Times New Roman" w:cs="Times New Roman"/>
          <w:i/>
          <w:iCs/>
          <w:kern w:val="0"/>
          <w:sz w:val="24"/>
          <w:szCs w:val="24"/>
          <w:lang w:val="en-IN" w:eastAsia="en-IN"/>
          <w14:ligatures w14:val="none"/>
        </w:rPr>
        <w:t>Comput</w:t>
      </w:r>
      <w:proofErr w:type="spellEnd"/>
      <w:r w:rsidRPr="002E4B93">
        <w:rPr>
          <w:rFonts w:ascii="Times New Roman" w:eastAsia="Times New Roman" w:hAnsi="Times New Roman" w:cs="Times New Roman"/>
          <w:i/>
          <w:iCs/>
          <w:kern w:val="0"/>
          <w:sz w:val="24"/>
          <w:szCs w:val="24"/>
          <w:lang w:val="en-IN" w:eastAsia="en-IN"/>
          <w14:ligatures w14:val="none"/>
        </w:rPr>
        <w:t>. Surveys (CSUR)</w:t>
      </w:r>
      <w:r w:rsidRPr="002E4B93">
        <w:rPr>
          <w:rFonts w:ascii="Times New Roman" w:eastAsia="Times New Roman" w:hAnsi="Times New Roman" w:cs="Times New Roman"/>
          <w:kern w:val="0"/>
          <w:sz w:val="24"/>
          <w:szCs w:val="24"/>
          <w:lang w:val="en-IN" w:eastAsia="en-IN"/>
          <w14:ligatures w14:val="none"/>
        </w:rPr>
        <w:t>, vol. 54, no. 3, pp. 1-36, 2021.</w:t>
      </w:r>
    </w:p>
    <w:p w:rsidR="002E4B93" w:rsidRPr="002E4B93" w:rsidRDefault="002E4B93" w:rsidP="002E4B93">
      <w:pPr>
        <w:spacing w:before="100" w:beforeAutospacing="1" w:after="100" w:afterAutospacing="1" w:line="240" w:lineRule="auto"/>
        <w:rPr>
          <w:rFonts w:ascii="Times New Roman" w:eastAsia="Times New Roman" w:hAnsi="Times New Roman" w:cs="Times New Roman"/>
          <w:kern w:val="0"/>
          <w:sz w:val="24"/>
          <w:szCs w:val="24"/>
          <w:lang w:val="en-IN" w:eastAsia="en-IN"/>
          <w14:ligatures w14:val="none"/>
        </w:rPr>
      </w:pPr>
      <w:r>
        <w:rPr>
          <w:rFonts w:ascii="Times New Roman" w:eastAsia="Times New Roman" w:hAnsi="Times New Roman" w:cs="Times New Roman"/>
          <w:kern w:val="0"/>
          <w:sz w:val="24"/>
          <w:szCs w:val="24"/>
          <w:lang w:val="en-IN" w:eastAsia="en-IN"/>
          <w14:ligatures w14:val="none"/>
        </w:rPr>
        <w:t>[3</w:t>
      </w:r>
      <w:r w:rsidRPr="002E4B93">
        <w:rPr>
          <w:rFonts w:ascii="Times New Roman" w:eastAsia="Times New Roman" w:hAnsi="Times New Roman" w:cs="Times New Roman"/>
          <w:kern w:val="0"/>
          <w:sz w:val="24"/>
          <w:szCs w:val="24"/>
          <w:lang w:val="en-IN" w:eastAsia="en-IN"/>
          <w14:ligatures w14:val="none"/>
        </w:rPr>
        <w:t xml:space="preserve">] A. A. Nasser, N. K. A. Al </w:t>
      </w:r>
      <w:proofErr w:type="spellStart"/>
      <w:r w:rsidRPr="002E4B93">
        <w:rPr>
          <w:rFonts w:ascii="Times New Roman" w:eastAsia="Times New Roman" w:hAnsi="Times New Roman" w:cs="Times New Roman"/>
          <w:kern w:val="0"/>
          <w:sz w:val="24"/>
          <w:szCs w:val="24"/>
          <w:lang w:val="en-IN" w:eastAsia="en-IN"/>
          <w14:ligatures w14:val="none"/>
        </w:rPr>
        <w:t>Ansi</w:t>
      </w:r>
      <w:proofErr w:type="spellEnd"/>
      <w:r w:rsidRPr="002E4B93">
        <w:rPr>
          <w:rFonts w:ascii="Times New Roman" w:eastAsia="Times New Roman" w:hAnsi="Times New Roman" w:cs="Times New Roman"/>
          <w:kern w:val="0"/>
          <w:sz w:val="24"/>
          <w:szCs w:val="24"/>
          <w:lang w:val="en-IN" w:eastAsia="en-IN"/>
          <w14:ligatures w14:val="none"/>
        </w:rPr>
        <w:t xml:space="preserve">, and N. A. Al </w:t>
      </w:r>
      <w:proofErr w:type="spellStart"/>
      <w:r w:rsidRPr="002E4B93">
        <w:rPr>
          <w:rFonts w:ascii="Times New Roman" w:eastAsia="Times New Roman" w:hAnsi="Times New Roman" w:cs="Times New Roman"/>
          <w:kern w:val="0"/>
          <w:sz w:val="24"/>
          <w:szCs w:val="24"/>
          <w:lang w:val="en-IN" w:eastAsia="en-IN"/>
          <w14:ligatures w14:val="none"/>
        </w:rPr>
        <w:t>Sharabi</w:t>
      </w:r>
      <w:proofErr w:type="spellEnd"/>
      <w:r w:rsidRPr="002E4B93">
        <w:rPr>
          <w:rFonts w:ascii="Times New Roman" w:eastAsia="Times New Roman" w:hAnsi="Times New Roman" w:cs="Times New Roman"/>
          <w:kern w:val="0"/>
          <w:sz w:val="24"/>
          <w:szCs w:val="24"/>
          <w:lang w:val="en-IN" w:eastAsia="en-IN"/>
          <w14:ligatures w14:val="none"/>
        </w:rPr>
        <w:t xml:space="preserve">, "On the standardization practices of the information security operations in banking sector: evidence from Yemen," </w:t>
      </w:r>
      <w:r w:rsidRPr="002E4B93">
        <w:rPr>
          <w:rFonts w:ascii="Times New Roman" w:eastAsia="Times New Roman" w:hAnsi="Times New Roman" w:cs="Times New Roman"/>
          <w:i/>
          <w:iCs/>
          <w:kern w:val="0"/>
          <w:sz w:val="24"/>
          <w:szCs w:val="24"/>
          <w:lang w:val="en-IN" w:eastAsia="en-IN"/>
          <w14:ligatures w14:val="none"/>
        </w:rPr>
        <w:t xml:space="preserve">Int. J. Sci. Res. </w:t>
      </w:r>
      <w:proofErr w:type="spellStart"/>
      <w:r w:rsidRPr="002E4B93">
        <w:rPr>
          <w:rFonts w:ascii="Times New Roman" w:eastAsia="Times New Roman" w:hAnsi="Times New Roman" w:cs="Times New Roman"/>
          <w:i/>
          <w:iCs/>
          <w:kern w:val="0"/>
          <w:sz w:val="24"/>
          <w:szCs w:val="24"/>
          <w:lang w:val="en-IN" w:eastAsia="en-IN"/>
          <w14:ligatures w14:val="none"/>
        </w:rPr>
        <w:t>Comput</w:t>
      </w:r>
      <w:proofErr w:type="spellEnd"/>
      <w:r w:rsidRPr="002E4B93">
        <w:rPr>
          <w:rFonts w:ascii="Times New Roman" w:eastAsia="Times New Roman" w:hAnsi="Times New Roman" w:cs="Times New Roman"/>
          <w:i/>
          <w:iCs/>
          <w:kern w:val="0"/>
          <w:sz w:val="24"/>
          <w:szCs w:val="24"/>
          <w:lang w:val="en-IN" w:eastAsia="en-IN"/>
          <w14:ligatures w14:val="none"/>
        </w:rPr>
        <w:t>. Sci. Eng.</w:t>
      </w:r>
      <w:r w:rsidRPr="002E4B93">
        <w:rPr>
          <w:rFonts w:ascii="Times New Roman" w:eastAsia="Times New Roman" w:hAnsi="Times New Roman" w:cs="Times New Roman"/>
          <w:kern w:val="0"/>
          <w:sz w:val="24"/>
          <w:szCs w:val="24"/>
          <w:lang w:val="en-IN" w:eastAsia="en-IN"/>
          <w14:ligatures w14:val="none"/>
        </w:rPr>
        <w:t>, vol. 8, no. 6, 2020.</w:t>
      </w:r>
    </w:p>
    <w:p w:rsidR="002E4B93" w:rsidRPr="002E4B93" w:rsidRDefault="002E4B93" w:rsidP="002E4B93">
      <w:pPr>
        <w:spacing w:before="100" w:beforeAutospacing="1" w:after="100" w:afterAutospacing="1" w:line="240" w:lineRule="auto"/>
        <w:rPr>
          <w:rFonts w:ascii="Times New Roman" w:eastAsia="Times New Roman" w:hAnsi="Times New Roman" w:cs="Times New Roman"/>
          <w:kern w:val="0"/>
          <w:sz w:val="24"/>
          <w:szCs w:val="24"/>
          <w:lang w:val="en-IN" w:eastAsia="en-IN"/>
          <w14:ligatures w14:val="none"/>
        </w:rPr>
      </w:pPr>
      <w:r>
        <w:rPr>
          <w:rFonts w:ascii="Times New Roman" w:eastAsia="Times New Roman" w:hAnsi="Times New Roman" w:cs="Times New Roman"/>
          <w:kern w:val="0"/>
          <w:sz w:val="24"/>
          <w:szCs w:val="24"/>
          <w:lang w:val="en-IN" w:eastAsia="en-IN"/>
          <w14:ligatures w14:val="none"/>
        </w:rPr>
        <w:t>[4</w:t>
      </w:r>
      <w:r w:rsidRPr="002E4B93">
        <w:rPr>
          <w:rFonts w:ascii="Times New Roman" w:eastAsia="Times New Roman" w:hAnsi="Times New Roman" w:cs="Times New Roman"/>
          <w:kern w:val="0"/>
          <w:sz w:val="24"/>
          <w:szCs w:val="24"/>
          <w:lang w:val="en-IN" w:eastAsia="en-IN"/>
          <w14:ligatures w14:val="none"/>
        </w:rPr>
        <w:t xml:space="preserve">] S. A. </w:t>
      </w:r>
      <w:proofErr w:type="spellStart"/>
      <w:r w:rsidRPr="002E4B93">
        <w:rPr>
          <w:rFonts w:ascii="Times New Roman" w:eastAsia="Times New Roman" w:hAnsi="Times New Roman" w:cs="Times New Roman"/>
          <w:kern w:val="0"/>
          <w:sz w:val="24"/>
          <w:szCs w:val="24"/>
          <w:lang w:val="en-IN" w:eastAsia="en-IN"/>
          <w14:ligatures w14:val="none"/>
        </w:rPr>
        <w:t>Pitchay</w:t>
      </w:r>
      <w:proofErr w:type="spellEnd"/>
      <w:r w:rsidRPr="002E4B93">
        <w:rPr>
          <w:rFonts w:ascii="Times New Roman" w:eastAsia="Times New Roman" w:hAnsi="Times New Roman" w:cs="Times New Roman"/>
          <w:kern w:val="0"/>
          <w:sz w:val="24"/>
          <w:szCs w:val="24"/>
          <w:lang w:val="en-IN" w:eastAsia="en-IN"/>
          <w14:ligatures w14:val="none"/>
        </w:rPr>
        <w:t xml:space="preserve"> and Y. T. Dun, "Systematic Literature Review on IT Asset Management Framework in Security Operation </w:t>
      </w:r>
      <w:proofErr w:type="spellStart"/>
      <w:r w:rsidRPr="002E4B93">
        <w:rPr>
          <w:rFonts w:ascii="Times New Roman" w:eastAsia="Times New Roman" w:hAnsi="Times New Roman" w:cs="Times New Roman"/>
          <w:kern w:val="0"/>
          <w:sz w:val="24"/>
          <w:szCs w:val="24"/>
          <w:lang w:val="en-IN" w:eastAsia="en-IN"/>
          <w14:ligatures w14:val="none"/>
        </w:rPr>
        <w:t>Center</w:t>
      </w:r>
      <w:proofErr w:type="spellEnd"/>
      <w:r w:rsidRPr="002E4B93">
        <w:rPr>
          <w:rFonts w:ascii="Times New Roman" w:eastAsia="Times New Roman" w:hAnsi="Times New Roman" w:cs="Times New Roman"/>
          <w:kern w:val="0"/>
          <w:sz w:val="24"/>
          <w:szCs w:val="24"/>
          <w:lang w:val="en-IN" w:eastAsia="en-IN"/>
          <w14:ligatures w14:val="none"/>
        </w:rPr>
        <w:t xml:space="preserve">," </w:t>
      </w:r>
      <w:r w:rsidRPr="002E4B93">
        <w:rPr>
          <w:rFonts w:ascii="Times New Roman" w:eastAsia="Times New Roman" w:hAnsi="Times New Roman" w:cs="Times New Roman"/>
          <w:i/>
          <w:iCs/>
          <w:kern w:val="0"/>
          <w:sz w:val="24"/>
          <w:szCs w:val="24"/>
          <w:lang w:val="en-IN" w:eastAsia="en-IN"/>
          <w14:ligatures w14:val="none"/>
        </w:rPr>
        <w:t xml:space="preserve">Malaysian J. Inf. </w:t>
      </w:r>
      <w:proofErr w:type="spellStart"/>
      <w:r w:rsidRPr="002E4B93">
        <w:rPr>
          <w:rFonts w:ascii="Times New Roman" w:eastAsia="Times New Roman" w:hAnsi="Times New Roman" w:cs="Times New Roman"/>
          <w:i/>
          <w:iCs/>
          <w:kern w:val="0"/>
          <w:sz w:val="24"/>
          <w:szCs w:val="24"/>
          <w:lang w:val="en-IN" w:eastAsia="en-IN"/>
          <w14:ligatures w14:val="none"/>
        </w:rPr>
        <w:t>Commun</w:t>
      </w:r>
      <w:proofErr w:type="spellEnd"/>
      <w:r w:rsidRPr="002E4B93">
        <w:rPr>
          <w:rFonts w:ascii="Times New Roman" w:eastAsia="Times New Roman" w:hAnsi="Times New Roman" w:cs="Times New Roman"/>
          <w:i/>
          <w:iCs/>
          <w:kern w:val="0"/>
          <w:sz w:val="24"/>
          <w:szCs w:val="24"/>
          <w:lang w:val="en-IN" w:eastAsia="en-IN"/>
          <w14:ligatures w14:val="none"/>
        </w:rPr>
        <w:t>. Technol. (</w:t>
      </w:r>
      <w:proofErr w:type="spellStart"/>
      <w:r w:rsidRPr="002E4B93">
        <w:rPr>
          <w:rFonts w:ascii="Times New Roman" w:eastAsia="Times New Roman" w:hAnsi="Times New Roman" w:cs="Times New Roman"/>
          <w:i/>
          <w:iCs/>
          <w:kern w:val="0"/>
          <w:sz w:val="24"/>
          <w:szCs w:val="24"/>
          <w:lang w:val="en-IN" w:eastAsia="en-IN"/>
          <w14:ligatures w14:val="none"/>
        </w:rPr>
        <w:t>MyJICT</w:t>
      </w:r>
      <w:proofErr w:type="spellEnd"/>
      <w:r w:rsidRPr="002E4B93">
        <w:rPr>
          <w:rFonts w:ascii="Times New Roman" w:eastAsia="Times New Roman" w:hAnsi="Times New Roman" w:cs="Times New Roman"/>
          <w:i/>
          <w:iCs/>
          <w:kern w:val="0"/>
          <w:sz w:val="24"/>
          <w:szCs w:val="24"/>
          <w:lang w:val="en-IN" w:eastAsia="en-IN"/>
          <w14:ligatures w14:val="none"/>
        </w:rPr>
        <w:t>)</w:t>
      </w:r>
      <w:r w:rsidRPr="002E4B93">
        <w:rPr>
          <w:rFonts w:ascii="Times New Roman" w:eastAsia="Times New Roman" w:hAnsi="Times New Roman" w:cs="Times New Roman"/>
          <w:kern w:val="0"/>
          <w:sz w:val="24"/>
          <w:szCs w:val="24"/>
          <w:lang w:val="en-IN" w:eastAsia="en-IN"/>
          <w14:ligatures w14:val="none"/>
        </w:rPr>
        <w:t>, pp. 82-97, 2022.</w:t>
      </w:r>
    </w:p>
    <w:p w:rsidR="002E4B93" w:rsidRDefault="002E4B93" w:rsidP="002E4B93">
      <w:pPr>
        <w:spacing w:before="100" w:beforeAutospacing="1" w:after="100" w:afterAutospacing="1" w:line="240" w:lineRule="auto"/>
        <w:rPr>
          <w:rFonts w:ascii="Times New Roman" w:eastAsia="Times New Roman" w:hAnsi="Times New Roman" w:cs="Times New Roman"/>
          <w:kern w:val="0"/>
          <w:sz w:val="24"/>
          <w:szCs w:val="24"/>
          <w:lang w:val="en-IN" w:eastAsia="en-IN"/>
          <w14:ligatures w14:val="none"/>
        </w:rPr>
      </w:pPr>
      <w:r w:rsidRPr="002E4B93">
        <w:rPr>
          <w:rFonts w:ascii="Times New Roman" w:eastAsia="Times New Roman" w:hAnsi="Times New Roman" w:cs="Times New Roman"/>
          <w:kern w:val="0"/>
          <w:sz w:val="24"/>
          <w:szCs w:val="24"/>
          <w:lang w:val="en-IN" w:eastAsia="en-IN"/>
          <w14:ligatures w14:val="none"/>
        </w:rPr>
        <w:t xml:space="preserve">[5] A. </w:t>
      </w:r>
      <w:proofErr w:type="spellStart"/>
      <w:r w:rsidRPr="002E4B93">
        <w:rPr>
          <w:rFonts w:ascii="Times New Roman" w:eastAsia="Times New Roman" w:hAnsi="Times New Roman" w:cs="Times New Roman"/>
          <w:kern w:val="0"/>
          <w:sz w:val="24"/>
          <w:szCs w:val="24"/>
          <w:lang w:val="en-IN" w:eastAsia="en-IN"/>
          <w14:ligatures w14:val="none"/>
        </w:rPr>
        <w:t>Kavak</w:t>
      </w:r>
      <w:proofErr w:type="spellEnd"/>
      <w:r w:rsidRPr="002E4B93">
        <w:rPr>
          <w:rFonts w:ascii="Times New Roman" w:eastAsia="Times New Roman" w:hAnsi="Times New Roman" w:cs="Times New Roman"/>
          <w:kern w:val="0"/>
          <w:sz w:val="24"/>
          <w:szCs w:val="24"/>
          <w:lang w:val="en-IN" w:eastAsia="en-IN"/>
          <w14:ligatures w14:val="none"/>
        </w:rPr>
        <w:t xml:space="preserve">, "Privacy of Information and Data: Policies, Threats, and Solutions," in </w:t>
      </w:r>
      <w:r w:rsidRPr="002E4B93">
        <w:rPr>
          <w:rFonts w:ascii="Times New Roman" w:eastAsia="Times New Roman" w:hAnsi="Times New Roman" w:cs="Times New Roman"/>
          <w:i/>
          <w:iCs/>
          <w:kern w:val="0"/>
          <w:sz w:val="24"/>
          <w:szCs w:val="24"/>
          <w:lang w:val="en-IN" w:eastAsia="en-IN"/>
          <w14:ligatures w14:val="none"/>
        </w:rPr>
        <w:t>Creating and Sustaining an Information Governance Program</w:t>
      </w:r>
      <w:r w:rsidRPr="002E4B93">
        <w:rPr>
          <w:rFonts w:ascii="Times New Roman" w:eastAsia="Times New Roman" w:hAnsi="Times New Roman" w:cs="Times New Roman"/>
          <w:kern w:val="0"/>
          <w:sz w:val="24"/>
          <w:szCs w:val="24"/>
          <w:lang w:val="en-IN" w:eastAsia="en-IN"/>
          <w14:ligatures w14:val="none"/>
        </w:rPr>
        <w:t>, IGI Global, 2024, pp. 155-187.</w:t>
      </w:r>
    </w:p>
    <w:p w:rsidR="002E4B93" w:rsidRPr="002E4B93" w:rsidRDefault="002E4B93" w:rsidP="002E4B93">
      <w:pPr>
        <w:spacing w:before="100" w:beforeAutospacing="1" w:after="100" w:afterAutospacing="1" w:line="240" w:lineRule="auto"/>
        <w:rPr>
          <w:rFonts w:ascii="Times New Roman" w:eastAsia="Times New Roman" w:hAnsi="Times New Roman" w:cs="Times New Roman"/>
          <w:kern w:val="0"/>
          <w:sz w:val="24"/>
          <w:szCs w:val="24"/>
          <w:lang w:val="en-IN" w:eastAsia="en-IN"/>
          <w14:ligatures w14:val="none"/>
        </w:rPr>
      </w:pPr>
      <w:r w:rsidRPr="002E4B93">
        <w:rPr>
          <w:rFonts w:ascii="Times New Roman" w:eastAsia="Times New Roman" w:hAnsi="Times New Roman" w:cs="Times New Roman"/>
          <w:kern w:val="0"/>
          <w:sz w:val="24"/>
          <w:szCs w:val="24"/>
          <w:lang w:val="en-IN" w:eastAsia="en-IN"/>
          <w14:ligatures w14:val="none"/>
        </w:rPr>
        <w:t xml:space="preserve">[6] K. </w:t>
      </w:r>
      <w:proofErr w:type="spellStart"/>
      <w:r w:rsidRPr="002E4B93">
        <w:rPr>
          <w:rFonts w:ascii="Times New Roman" w:eastAsia="Times New Roman" w:hAnsi="Times New Roman" w:cs="Times New Roman"/>
          <w:kern w:val="0"/>
          <w:sz w:val="24"/>
          <w:szCs w:val="24"/>
          <w:lang w:val="en-IN" w:eastAsia="en-IN"/>
          <w14:ligatures w14:val="none"/>
        </w:rPr>
        <w:t>Kepuska</w:t>
      </w:r>
      <w:proofErr w:type="spellEnd"/>
      <w:r w:rsidRPr="002E4B93">
        <w:rPr>
          <w:rFonts w:ascii="Times New Roman" w:eastAsia="Times New Roman" w:hAnsi="Times New Roman" w:cs="Times New Roman"/>
          <w:kern w:val="0"/>
          <w:sz w:val="24"/>
          <w:szCs w:val="24"/>
          <w:lang w:val="en-IN" w:eastAsia="en-IN"/>
          <w14:ligatures w14:val="none"/>
        </w:rPr>
        <w:t xml:space="preserve"> and M. </w:t>
      </w:r>
      <w:proofErr w:type="spellStart"/>
      <w:r w:rsidRPr="002E4B93">
        <w:rPr>
          <w:rFonts w:ascii="Times New Roman" w:eastAsia="Times New Roman" w:hAnsi="Times New Roman" w:cs="Times New Roman"/>
          <w:kern w:val="0"/>
          <w:sz w:val="24"/>
          <w:szCs w:val="24"/>
          <w:lang w:val="en-IN" w:eastAsia="en-IN"/>
          <w14:ligatures w14:val="none"/>
        </w:rPr>
        <w:t>Tomasevic</w:t>
      </w:r>
      <w:proofErr w:type="spellEnd"/>
      <w:r w:rsidRPr="002E4B93">
        <w:rPr>
          <w:rFonts w:ascii="Times New Roman" w:eastAsia="Times New Roman" w:hAnsi="Times New Roman" w:cs="Times New Roman"/>
          <w:kern w:val="0"/>
          <w:sz w:val="24"/>
          <w:szCs w:val="24"/>
          <w:lang w:val="en-IN" w:eastAsia="en-IN"/>
          <w14:ligatures w14:val="none"/>
        </w:rPr>
        <w:t xml:space="preserve">, "A lightweight framework for cyber risk management in Western Balkan higher education institutions," </w:t>
      </w:r>
      <w:proofErr w:type="spellStart"/>
      <w:r w:rsidRPr="002E4B93">
        <w:rPr>
          <w:rFonts w:ascii="Times New Roman" w:eastAsia="Times New Roman" w:hAnsi="Times New Roman" w:cs="Times New Roman"/>
          <w:i/>
          <w:iCs/>
          <w:kern w:val="0"/>
          <w:sz w:val="24"/>
          <w:szCs w:val="24"/>
          <w:lang w:val="en-IN" w:eastAsia="en-IN"/>
          <w14:ligatures w14:val="none"/>
        </w:rPr>
        <w:t>PeerJ</w:t>
      </w:r>
      <w:proofErr w:type="spellEnd"/>
      <w:r w:rsidRPr="002E4B93">
        <w:rPr>
          <w:rFonts w:ascii="Times New Roman" w:eastAsia="Times New Roman" w:hAnsi="Times New Roman" w:cs="Times New Roman"/>
          <w:i/>
          <w:iCs/>
          <w:kern w:val="0"/>
          <w:sz w:val="24"/>
          <w:szCs w:val="24"/>
          <w:lang w:val="en-IN" w:eastAsia="en-IN"/>
          <w14:ligatures w14:val="none"/>
        </w:rPr>
        <w:t xml:space="preserve"> </w:t>
      </w:r>
      <w:proofErr w:type="spellStart"/>
      <w:r w:rsidRPr="002E4B93">
        <w:rPr>
          <w:rFonts w:ascii="Times New Roman" w:eastAsia="Times New Roman" w:hAnsi="Times New Roman" w:cs="Times New Roman"/>
          <w:i/>
          <w:iCs/>
          <w:kern w:val="0"/>
          <w:sz w:val="24"/>
          <w:szCs w:val="24"/>
          <w:lang w:val="en-IN" w:eastAsia="en-IN"/>
          <w14:ligatures w14:val="none"/>
        </w:rPr>
        <w:t>Comput</w:t>
      </w:r>
      <w:proofErr w:type="spellEnd"/>
      <w:r w:rsidRPr="002E4B93">
        <w:rPr>
          <w:rFonts w:ascii="Times New Roman" w:eastAsia="Times New Roman" w:hAnsi="Times New Roman" w:cs="Times New Roman"/>
          <w:i/>
          <w:iCs/>
          <w:kern w:val="0"/>
          <w:sz w:val="24"/>
          <w:szCs w:val="24"/>
          <w:lang w:val="en-IN" w:eastAsia="en-IN"/>
          <w14:ligatures w14:val="none"/>
        </w:rPr>
        <w:t>. Sci.</w:t>
      </w:r>
      <w:r w:rsidRPr="002E4B93">
        <w:rPr>
          <w:rFonts w:ascii="Times New Roman" w:eastAsia="Times New Roman" w:hAnsi="Times New Roman" w:cs="Times New Roman"/>
          <w:kern w:val="0"/>
          <w:sz w:val="24"/>
          <w:szCs w:val="24"/>
          <w:lang w:val="en-IN" w:eastAsia="en-IN"/>
          <w14:ligatures w14:val="none"/>
        </w:rPr>
        <w:t>, vol. 10, p. e1958, 2024.</w:t>
      </w:r>
    </w:p>
    <w:p w:rsidR="002E4B93" w:rsidRPr="002E4B93" w:rsidRDefault="002E4B93" w:rsidP="002E4B93">
      <w:pPr>
        <w:spacing w:before="100" w:beforeAutospacing="1" w:after="100" w:afterAutospacing="1" w:line="240" w:lineRule="auto"/>
        <w:rPr>
          <w:rFonts w:ascii="Times New Roman" w:eastAsia="Times New Roman" w:hAnsi="Times New Roman" w:cs="Times New Roman"/>
          <w:kern w:val="0"/>
          <w:sz w:val="24"/>
          <w:szCs w:val="24"/>
          <w:lang w:val="en-IN" w:eastAsia="en-IN"/>
          <w14:ligatures w14:val="none"/>
        </w:rPr>
      </w:pPr>
      <w:r>
        <w:rPr>
          <w:rFonts w:ascii="Times New Roman" w:eastAsia="Times New Roman" w:hAnsi="Times New Roman" w:cs="Times New Roman"/>
          <w:kern w:val="0"/>
          <w:sz w:val="24"/>
          <w:szCs w:val="24"/>
          <w:lang w:val="en-IN" w:eastAsia="en-IN"/>
          <w14:ligatures w14:val="none"/>
        </w:rPr>
        <w:t>[7</w:t>
      </w:r>
      <w:r w:rsidRPr="002E4B93">
        <w:rPr>
          <w:rFonts w:ascii="Times New Roman" w:eastAsia="Times New Roman" w:hAnsi="Times New Roman" w:cs="Times New Roman"/>
          <w:kern w:val="0"/>
          <w:sz w:val="24"/>
          <w:szCs w:val="24"/>
          <w:lang w:val="en-IN" w:eastAsia="en-IN"/>
          <w14:ligatures w14:val="none"/>
        </w:rPr>
        <w:t xml:space="preserve">] K. E. </w:t>
      </w:r>
      <w:proofErr w:type="spellStart"/>
      <w:r w:rsidRPr="002E4B93">
        <w:rPr>
          <w:rFonts w:ascii="Times New Roman" w:eastAsia="Times New Roman" w:hAnsi="Times New Roman" w:cs="Times New Roman"/>
          <w:kern w:val="0"/>
          <w:sz w:val="24"/>
          <w:szCs w:val="24"/>
          <w:lang w:val="en-IN" w:eastAsia="en-IN"/>
          <w14:ligatures w14:val="none"/>
        </w:rPr>
        <w:t>Sassaman</w:t>
      </w:r>
      <w:proofErr w:type="spellEnd"/>
      <w:r w:rsidRPr="002E4B93">
        <w:rPr>
          <w:rFonts w:ascii="Times New Roman" w:eastAsia="Times New Roman" w:hAnsi="Times New Roman" w:cs="Times New Roman"/>
          <w:kern w:val="0"/>
          <w:sz w:val="24"/>
          <w:szCs w:val="24"/>
          <w:lang w:val="en-IN" w:eastAsia="en-IN"/>
          <w14:ligatures w14:val="none"/>
        </w:rPr>
        <w:t xml:space="preserve">, "Information Security Planning," in </w:t>
      </w:r>
      <w:r w:rsidRPr="002E4B93">
        <w:rPr>
          <w:rFonts w:ascii="Times New Roman" w:eastAsia="Times New Roman" w:hAnsi="Times New Roman" w:cs="Times New Roman"/>
          <w:i/>
          <w:iCs/>
          <w:kern w:val="0"/>
          <w:sz w:val="24"/>
          <w:szCs w:val="24"/>
          <w:lang w:val="en-IN" w:eastAsia="en-IN"/>
          <w14:ligatures w14:val="none"/>
        </w:rPr>
        <w:t>Implementing Information Security in Healthcare</w:t>
      </w:r>
      <w:r w:rsidRPr="002E4B93">
        <w:rPr>
          <w:rFonts w:ascii="Times New Roman" w:eastAsia="Times New Roman" w:hAnsi="Times New Roman" w:cs="Times New Roman"/>
          <w:kern w:val="0"/>
          <w:sz w:val="24"/>
          <w:szCs w:val="24"/>
          <w:lang w:val="en-IN" w:eastAsia="en-IN"/>
          <w14:ligatures w14:val="none"/>
        </w:rPr>
        <w:t>, HIMSS Publishing, 2020, pp. 19-26.</w:t>
      </w:r>
    </w:p>
    <w:p w:rsidR="002E4B93" w:rsidRPr="002E4B93" w:rsidRDefault="002E4B93" w:rsidP="002E4B93">
      <w:pPr>
        <w:spacing w:before="100" w:beforeAutospacing="1" w:after="100" w:afterAutospacing="1" w:line="240" w:lineRule="auto"/>
        <w:rPr>
          <w:rFonts w:ascii="Times New Roman" w:eastAsia="Times New Roman" w:hAnsi="Times New Roman" w:cs="Times New Roman"/>
          <w:kern w:val="0"/>
          <w:sz w:val="24"/>
          <w:szCs w:val="24"/>
          <w:lang w:val="en-IN" w:eastAsia="en-IN"/>
          <w14:ligatures w14:val="none"/>
        </w:rPr>
      </w:pPr>
      <w:r>
        <w:rPr>
          <w:rFonts w:ascii="Times New Roman" w:eastAsia="Times New Roman" w:hAnsi="Times New Roman" w:cs="Times New Roman"/>
          <w:kern w:val="0"/>
          <w:sz w:val="24"/>
          <w:szCs w:val="24"/>
          <w:lang w:val="en-IN" w:eastAsia="en-IN"/>
          <w14:ligatures w14:val="none"/>
        </w:rPr>
        <w:t>[8</w:t>
      </w:r>
      <w:r w:rsidRPr="002E4B93">
        <w:rPr>
          <w:rFonts w:ascii="Times New Roman" w:eastAsia="Times New Roman" w:hAnsi="Times New Roman" w:cs="Times New Roman"/>
          <w:kern w:val="0"/>
          <w:sz w:val="24"/>
          <w:szCs w:val="24"/>
          <w:lang w:val="en-IN" w:eastAsia="en-IN"/>
          <w14:ligatures w14:val="none"/>
        </w:rPr>
        <w:t xml:space="preserve">] A. A. </w:t>
      </w:r>
      <w:proofErr w:type="spellStart"/>
      <w:r w:rsidRPr="002E4B93">
        <w:rPr>
          <w:rFonts w:ascii="Times New Roman" w:eastAsia="Times New Roman" w:hAnsi="Times New Roman" w:cs="Times New Roman"/>
          <w:kern w:val="0"/>
          <w:sz w:val="24"/>
          <w:szCs w:val="24"/>
          <w:lang w:val="en-IN" w:eastAsia="en-IN"/>
          <w14:ligatures w14:val="none"/>
        </w:rPr>
        <w:t>Alrehili</w:t>
      </w:r>
      <w:proofErr w:type="spellEnd"/>
      <w:r w:rsidRPr="002E4B93">
        <w:rPr>
          <w:rFonts w:ascii="Times New Roman" w:eastAsia="Times New Roman" w:hAnsi="Times New Roman" w:cs="Times New Roman"/>
          <w:kern w:val="0"/>
          <w:sz w:val="24"/>
          <w:szCs w:val="24"/>
          <w:lang w:val="en-IN" w:eastAsia="en-IN"/>
          <w14:ligatures w14:val="none"/>
        </w:rPr>
        <w:t xml:space="preserve"> and O. H. </w:t>
      </w:r>
      <w:proofErr w:type="spellStart"/>
      <w:r w:rsidRPr="002E4B93">
        <w:rPr>
          <w:rFonts w:ascii="Times New Roman" w:eastAsia="Times New Roman" w:hAnsi="Times New Roman" w:cs="Times New Roman"/>
          <w:kern w:val="0"/>
          <w:sz w:val="24"/>
          <w:szCs w:val="24"/>
          <w:lang w:val="en-IN" w:eastAsia="en-IN"/>
          <w14:ligatures w14:val="none"/>
        </w:rPr>
        <w:t>Alhazmi</w:t>
      </w:r>
      <w:proofErr w:type="spellEnd"/>
      <w:r w:rsidRPr="002E4B93">
        <w:rPr>
          <w:rFonts w:ascii="Times New Roman" w:eastAsia="Times New Roman" w:hAnsi="Times New Roman" w:cs="Times New Roman"/>
          <w:kern w:val="0"/>
          <w:sz w:val="24"/>
          <w:szCs w:val="24"/>
          <w:lang w:val="en-IN" w:eastAsia="en-IN"/>
          <w14:ligatures w14:val="none"/>
        </w:rPr>
        <w:t xml:space="preserve">, "ISO/IEC 27001 Standard: Analytical and Comparative Overview," in </w:t>
      </w:r>
      <w:r w:rsidRPr="002E4B93">
        <w:rPr>
          <w:rFonts w:ascii="Times New Roman" w:eastAsia="Times New Roman" w:hAnsi="Times New Roman" w:cs="Times New Roman"/>
          <w:i/>
          <w:iCs/>
          <w:kern w:val="0"/>
          <w:sz w:val="24"/>
          <w:szCs w:val="24"/>
          <w:lang w:val="en-IN" w:eastAsia="en-IN"/>
          <w14:ligatures w14:val="none"/>
        </w:rPr>
        <w:t>Proc. Int. Conf. on Advances in Data-driven Computing and Intelligent Systems</w:t>
      </w:r>
      <w:r w:rsidRPr="002E4B93">
        <w:rPr>
          <w:rFonts w:ascii="Times New Roman" w:eastAsia="Times New Roman" w:hAnsi="Times New Roman" w:cs="Times New Roman"/>
          <w:kern w:val="0"/>
          <w:sz w:val="24"/>
          <w:szCs w:val="24"/>
          <w:lang w:val="en-IN" w:eastAsia="en-IN"/>
          <w14:ligatures w14:val="none"/>
        </w:rPr>
        <w:t>, Singapore, Sep. 2023, pp. 143-156.</w:t>
      </w:r>
    </w:p>
    <w:p w:rsidR="002E4B93" w:rsidRDefault="002E4B93" w:rsidP="002E4B93">
      <w:pPr>
        <w:spacing w:before="100" w:beforeAutospacing="1" w:after="100" w:afterAutospacing="1" w:line="240" w:lineRule="auto"/>
        <w:rPr>
          <w:rFonts w:ascii="Times New Roman" w:eastAsia="Times New Roman" w:hAnsi="Times New Roman" w:cs="Times New Roman"/>
          <w:kern w:val="0"/>
          <w:sz w:val="24"/>
          <w:szCs w:val="24"/>
          <w:lang w:val="en-IN" w:eastAsia="en-IN"/>
          <w14:ligatures w14:val="none"/>
        </w:rPr>
      </w:pPr>
      <w:r>
        <w:rPr>
          <w:rFonts w:ascii="Times New Roman" w:eastAsia="Times New Roman" w:hAnsi="Times New Roman" w:cs="Times New Roman"/>
          <w:kern w:val="0"/>
          <w:sz w:val="24"/>
          <w:szCs w:val="24"/>
          <w:lang w:val="en-IN" w:eastAsia="en-IN"/>
          <w14:ligatures w14:val="none"/>
        </w:rPr>
        <w:t>[9</w:t>
      </w:r>
      <w:r w:rsidRPr="002E4B93">
        <w:rPr>
          <w:rFonts w:ascii="Times New Roman" w:eastAsia="Times New Roman" w:hAnsi="Times New Roman" w:cs="Times New Roman"/>
          <w:kern w:val="0"/>
          <w:sz w:val="24"/>
          <w:szCs w:val="24"/>
          <w:lang w:val="en-IN" w:eastAsia="en-IN"/>
          <w14:ligatures w14:val="none"/>
        </w:rPr>
        <w:t xml:space="preserve">] S. S. </w:t>
      </w:r>
      <w:proofErr w:type="spellStart"/>
      <w:r w:rsidRPr="002E4B93">
        <w:rPr>
          <w:rFonts w:ascii="Times New Roman" w:eastAsia="Times New Roman" w:hAnsi="Times New Roman" w:cs="Times New Roman"/>
          <w:kern w:val="0"/>
          <w:sz w:val="24"/>
          <w:szCs w:val="24"/>
          <w:lang w:val="en-IN" w:eastAsia="en-IN"/>
          <w14:ligatures w14:val="none"/>
        </w:rPr>
        <w:t>Hermanus</w:t>
      </w:r>
      <w:proofErr w:type="spellEnd"/>
      <w:r w:rsidRPr="002E4B93">
        <w:rPr>
          <w:rFonts w:ascii="Times New Roman" w:eastAsia="Times New Roman" w:hAnsi="Times New Roman" w:cs="Times New Roman"/>
          <w:kern w:val="0"/>
          <w:sz w:val="24"/>
          <w:szCs w:val="24"/>
          <w:lang w:val="en-IN" w:eastAsia="en-IN"/>
          <w14:ligatures w14:val="none"/>
        </w:rPr>
        <w:t>, "Information system security vulnerabilities: Implications for South African financial firms in Cape Town," 2023.</w:t>
      </w:r>
    </w:p>
    <w:p w:rsidR="002E4B93" w:rsidRPr="002E4B93" w:rsidRDefault="002E4B93" w:rsidP="002E4B93">
      <w:pPr>
        <w:spacing w:before="100" w:beforeAutospacing="1" w:after="100" w:afterAutospacing="1" w:line="240" w:lineRule="auto"/>
        <w:rPr>
          <w:rFonts w:ascii="Times New Roman" w:eastAsia="Times New Roman" w:hAnsi="Times New Roman" w:cs="Times New Roman"/>
          <w:kern w:val="0"/>
          <w:sz w:val="24"/>
          <w:szCs w:val="24"/>
          <w:lang w:val="en-IN" w:eastAsia="en-IN"/>
          <w14:ligatures w14:val="none"/>
        </w:rPr>
      </w:pPr>
      <w:r>
        <w:rPr>
          <w:rFonts w:ascii="Times New Roman" w:eastAsia="Times New Roman" w:hAnsi="Times New Roman" w:cs="Times New Roman"/>
          <w:kern w:val="0"/>
          <w:sz w:val="24"/>
          <w:szCs w:val="24"/>
          <w:lang w:val="en-IN" w:eastAsia="en-IN"/>
          <w14:ligatures w14:val="none"/>
        </w:rPr>
        <w:t>[10</w:t>
      </w:r>
      <w:r w:rsidRPr="002E4B93">
        <w:rPr>
          <w:rFonts w:ascii="Times New Roman" w:eastAsia="Times New Roman" w:hAnsi="Times New Roman" w:cs="Times New Roman"/>
          <w:kern w:val="0"/>
          <w:sz w:val="24"/>
          <w:szCs w:val="24"/>
          <w:lang w:val="en-IN" w:eastAsia="en-IN"/>
          <w14:ligatures w14:val="none"/>
        </w:rPr>
        <w:t xml:space="preserve">] R. J. Robinson, "Cybersecurity Compliance Frameworks-a pragmatic view with an IT outsourcing company case study," </w:t>
      </w:r>
      <w:r w:rsidRPr="002E4B93">
        <w:rPr>
          <w:rFonts w:ascii="Times New Roman" w:eastAsia="Times New Roman" w:hAnsi="Times New Roman" w:cs="Times New Roman"/>
          <w:i/>
          <w:iCs/>
          <w:kern w:val="0"/>
          <w:sz w:val="24"/>
          <w:szCs w:val="24"/>
          <w:lang w:val="en-IN" w:eastAsia="en-IN"/>
          <w14:ligatures w14:val="none"/>
        </w:rPr>
        <w:t>Social Lens</w:t>
      </w:r>
      <w:r w:rsidRPr="002E4B93">
        <w:rPr>
          <w:rFonts w:ascii="Times New Roman" w:eastAsia="Times New Roman" w:hAnsi="Times New Roman" w:cs="Times New Roman"/>
          <w:kern w:val="0"/>
          <w:sz w:val="24"/>
          <w:szCs w:val="24"/>
          <w:lang w:val="en-IN" w:eastAsia="en-IN"/>
          <w14:ligatures w14:val="none"/>
        </w:rPr>
        <w:t>, vol. 1, no. 1, 2024.</w:t>
      </w:r>
    </w:p>
    <w:p w:rsidR="002E4B93" w:rsidRPr="002E4B93" w:rsidRDefault="002E4B93" w:rsidP="002E4B93">
      <w:pPr>
        <w:spacing w:before="100" w:beforeAutospacing="1" w:after="100" w:afterAutospacing="1" w:line="240" w:lineRule="auto"/>
        <w:rPr>
          <w:rFonts w:ascii="Times New Roman" w:eastAsia="Times New Roman" w:hAnsi="Times New Roman" w:cs="Times New Roman"/>
          <w:kern w:val="0"/>
          <w:sz w:val="24"/>
          <w:szCs w:val="24"/>
          <w:lang w:val="en-IN" w:eastAsia="en-IN"/>
          <w14:ligatures w14:val="none"/>
        </w:rPr>
      </w:pPr>
      <w:r>
        <w:rPr>
          <w:rFonts w:ascii="Times New Roman" w:eastAsia="Times New Roman" w:hAnsi="Times New Roman" w:cs="Times New Roman"/>
          <w:kern w:val="0"/>
          <w:sz w:val="24"/>
          <w:szCs w:val="24"/>
          <w:lang w:val="en-IN" w:eastAsia="en-IN"/>
          <w14:ligatures w14:val="none"/>
        </w:rPr>
        <w:t>[11</w:t>
      </w:r>
      <w:r w:rsidRPr="002E4B93">
        <w:rPr>
          <w:rFonts w:ascii="Times New Roman" w:eastAsia="Times New Roman" w:hAnsi="Times New Roman" w:cs="Times New Roman"/>
          <w:kern w:val="0"/>
          <w:sz w:val="24"/>
          <w:szCs w:val="24"/>
          <w:lang w:val="en-IN" w:eastAsia="en-IN"/>
          <w14:ligatures w14:val="none"/>
        </w:rPr>
        <w:t xml:space="preserve">] N. A. A. Othman, A. A. Norman, and M. L. M. </w:t>
      </w:r>
      <w:proofErr w:type="spellStart"/>
      <w:r w:rsidRPr="002E4B93">
        <w:rPr>
          <w:rFonts w:ascii="Times New Roman" w:eastAsia="Times New Roman" w:hAnsi="Times New Roman" w:cs="Times New Roman"/>
          <w:kern w:val="0"/>
          <w:sz w:val="24"/>
          <w:szCs w:val="24"/>
          <w:lang w:val="en-IN" w:eastAsia="en-IN"/>
          <w14:ligatures w14:val="none"/>
        </w:rPr>
        <w:t>Kiah</w:t>
      </w:r>
      <w:proofErr w:type="spellEnd"/>
      <w:r w:rsidRPr="002E4B93">
        <w:rPr>
          <w:rFonts w:ascii="Times New Roman" w:eastAsia="Times New Roman" w:hAnsi="Times New Roman" w:cs="Times New Roman"/>
          <w:kern w:val="0"/>
          <w:sz w:val="24"/>
          <w:szCs w:val="24"/>
          <w:lang w:val="en-IN" w:eastAsia="en-IN"/>
          <w14:ligatures w14:val="none"/>
        </w:rPr>
        <w:t xml:space="preserve">, "Information system audit for mobile device security assessment," in </w:t>
      </w:r>
      <w:r w:rsidRPr="002E4B93">
        <w:rPr>
          <w:rFonts w:ascii="Times New Roman" w:eastAsia="Times New Roman" w:hAnsi="Times New Roman" w:cs="Times New Roman"/>
          <w:i/>
          <w:iCs/>
          <w:kern w:val="0"/>
          <w:sz w:val="24"/>
          <w:szCs w:val="24"/>
          <w:lang w:val="en-IN" w:eastAsia="en-IN"/>
          <w14:ligatures w14:val="none"/>
        </w:rPr>
        <w:t>Proc. 3rd Int. Cyber Resilience Conf. (CRC)</w:t>
      </w:r>
      <w:r w:rsidRPr="002E4B93">
        <w:rPr>
          <w:rFonts w:ascii="Times New Roman" w:eastAsia="Times New Roman" w:hAnsi="Times New Roman" w:cs="Times New Roman"/>
          <w:kern w:val="0"/>
          <w:sz w:val="24"/>
          <w:szCs w:val="24"/>
          <w:lang w:val="en-IN" w:eastAsia="en-IN"/>
          <w14:ligatures w14:val="none"/>
        </w:rPr>
        <w:t>, 2021, pp. 1-6.</w:t>
      </w:r>
    </w:p>
    <w:p w:rsidR="002E4B93" w:rsidRPr="002E4B93" w:rsidRDefault="002E4B93" w:rsidP="002E4B93">
      <w:pPr>
        <w:spacing w:before="100" w:beforeAutospacing="1" w:after="100" w:afterAutospacing="1" w:line="240" w:lineRule="auto"/>
        <w:rPr>
          <w:rFonts w:ascii="Times New Roman" w:eastAsia="Times New Roman" w:hAnsi="Times New Roman" w:cs="Times New Roman"/>
          <w:kern w:val="0"/>
          <w:sz w:val="24"/>
          <w:szCs w:val="24"/>
          <w:lang w:val="en-IN" w:eastAsia="en-IN"/>
          <w14:ligatures w14:val="none"/>
        </w:rPr>
      </w:pPr>
      <w:r>
        <w:rPr>
          <w:rFonts w:ascii="Times New Roman" w:eastAsia="Times New Roman" w:hAnsi="Times New Roman" w:cs="Times New Roman"/>
          <w:kern w:val="0"/>
          <w:sz w:val="24"/>
          <w:szCs w:val="24"/>
          <w:lang w:val="en-IN" w:eastAsia="en-IN"/>
          <w14:ligatures w14:val="none"/>
        </w:rPr>
        <w:t>[12</w:t>
      </w:r>
      <w:r w:rsidRPr="002E4B93">
        <w:rPr>
          <w:rFonts w:ascii="Times New Roman" w:eastAsia="Times New Roman" w:hAnsi="Times New Roman" w:cs="Times New Roman"/>
          <w:kern w:val="0"/>
          <w:sz w:val="24"/>
          <w:szCs w:val="24"/>
          <w:lang w:val="en-IN" w:eastAsia="en-IN"/>
          <w14:ligatures w14:val="none"/>
        </w:rPr>
        <w:t xml:space="preserve">] Y. </w:t>
      </w:r>
      <w:proofErr w:type="spellStart"/>
      <w:r w:rsidRPr="002E4B93">
        <w:rPr>
          <w:rFonts w:ascii="Times New Roman" w:eastAsia="Times New Roman" w:hAnsi="Times New Roman" w:cs="Times New Roman"/>
          <w:kern w:val="0"/>
          <w:sz w:val="24"/>
          <w:szCs w:val="24"/>
          <w:lang w:val="en-IN" w:eastAsia="en-IN"/>
          <w14:ligatures w14:val="none"/>
        </w:rPr>
        <w:t>Maleh</w:t>
      </w:r>
      <w:proofErr w:type="spellEnd"/>
      <w:r w:rsidRPr="002E4B93">
        <w:rPr>
          <w:rFonts w:ascii="Times New Roman" w:eastAsia="Times New Roman" w:hAnsi="Times New Roman" w:cs="Times New Roman"/>
          <w:kern w:val="0"/>
          <w:sz w:val="24"/>
          <w:szCs w:val="24"/>
          <w:lang w:val="en-IN" w:eastAsia="en-IN"/>
          <w14:ligatures w14:val="none"/>
        </w:rPr>
        <w:t xml:space="preserve">, A. </w:t>
      </w:r>
      <w:proofErr w:type="spellStart"/>
      <w:r w:rsidRPr="002E4B93">
        <w:rPr>
          <w:rFonts w:ascii="Times New Roman" w:eastAsia="Times New Roman" w:hAnsi="Times New Roman" w:cs="Times New Roman"/>
          <w:kern w:val="0"/>
          <w:sz w:val="24"/>
          <w:szCs w:val="24"/>
          <w:lang w:val="en-IN" w:eastAsia="en-IN"/>
          <w14:ligatures w14:val="none"/>
        </w:rPr>
        <w:t>Sahid</w:t>
      </w:r>
      <w:proofErr w:type="spellEnd"/>
      <w:r w:rsidRPr="002E4B93">
        <w:rPr>
          <w:rFonts w:ascii="Times New Roman" w:eastAsia="Times New Roman" w:hAnsi="Times New Roman" w:cs="Times New Roman"/>
          <w:kern w:val="0"/>
          <w:sz w:val="24"/>
          <w:szCs w:val="24"/>
          <w:lang w:val="en-IN" w:eastAsia="en-IN"/>
          <w14:ligatures w14:val="none"/>
        </w:rPr>
        <w:t xml:space="preserve">, M. </w:t>
      </w:r>
      <w:proofErr w:type="spellStart"/>
      <w:r w:rsidRPr="002E4B93">
        <w:rPr>
          <w:rFonts w:ascii="Times New Roman" w:eastAsia="Times New Roman" w:hAnsi="Times New Roman" w:cs="Times New Roman"/>
          <w:kern w:val="0"/>
          <w:sz w:val="24"/>
          <w:szCs w:val="24"/>
          <w:lang w:val="en-IN" w:eastAsia="en-IN"/>
          <w14:ligatures w14:val="none"/>
        </w:rPr>
        <w:t>Alazab</w:t>
      </w:r>
      <w:proofErr w:type="spellEnd"/>
      <w:r w:rsidRPr="002E4B93">
        <w:rPr>
          <w:rFonts w:ascii="Times New Roman" w:eastAsia="Times New Roman" w:hAnsi="Times New Roman" w:cs="Times New Roman"/>
          <w:kern w:val="0"/>
          <w:sz w:val="24"/>
          <w:szCs w:val="24"/>
          <w:lang w:val="en-IN" w:eastAsia="en-IN"/>
          <w14:ligatures w14:val="none"/>
        </w:rPr>
        <w:t xml:space="preserve">, and M. </w:t>
      </w:r>
      <w:proofErr w:type="spellStart"/>
      <w:r w:rsidRPr="002E4B93">
        <w:rPr>
          <w:rFonts w:ascii="Times New Roman" w:eastAsia="Times New Roman" w:hAnsi="Times New Roman" w:cs="Times New Roman"/>
          <w:kern w:val="0"/>
          <w:sz w:val="24"/>
          <w:szCs w:val="24"/>
          <w:lang w:val="en-IN" w:eastAsia="en-IN"/>
          <w14:ligatures w14:val="none"/>
        </w:rPr>
        <w:t>Belaissaoui</w:t>
      </w:r>
      <w:proofErr w:type="spellEnd"/>
      <w:r w:rsidRPr="002E4B93">
        <w:rPr>
          <w:rFonts w:ascii="Times New Roman" w:eastAsia="Times New Roman" w:hAnsi="Times New Roman" w:cs="Times New Roman"/>
          <w:kern w:val="0"/>
          <w:sz w:val="24"/>
          <w:szCs w:val="24"/>
          <w:lang w:val="en-IN" w:eastAsia="en-IN"/>
          <w14:ligatures w14:val="none"/>
        </w:rPr>
        <w:t>, "IT governance and information security: Guides, standards, and frameworks," CRC Press, 2021.</w:t>
      </w:r>
    </w:p>
    <w:p w:rsidR="00921B1A" w:rsidRDefault="00921B1A">
      <w:pPr>
        <w:rPr>
          <w:rFonts w:ascii="Times New Roman" w:hAnsi="Times New Roman" w:cs="Times New Roman"/>
          <w:sz w:val="24"/>
          <w:szCs w:val="24"/>
        </w:rPr>
      </w:pPr>
    </w:p>
    <w:sectPr w:rsidR="00921B1A">
      <w:headerReference w:type="default" r:id="rId11"/>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026D" w:rsidRDefault="0054026D">
      <w:pPr>
        <w:spacing w:after="0" w:line="240" w:lineRule="auto"/>
      </w:pPr>
      <w:r>
        <w:separator/>
      </w:r>
    </w:p>
  </w:endnote>
  <w:endnote w:type="continuationSeparator" w:id="0">
    <w:p w:rsidR="0054026D" w:rsidRDefault="005402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1B1A" w:rsidRDefault="00A8540D">
    <w:pPr>
      <w:pStyle w:val="Footer"/>
      <w:jc w:val="righ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 MERGEFORMAT </w:instrText>
    </w:r>
    <w:r>
      <w:rPr>
        <w:rFonts w:ascii="Times New Roman" w:hAnsi="Times New Roman" w:cs="Times New Roman"/>
        <w:sz w:val="20"/>
        <w:szCs w:val="20"/>
      </w:rPr>
      <w:fldChar w:fldCharType="separate"/>
    </w:r>
    <w:r w:rsidR="002D67FE">
      <w:rPr>
        <w:rFonts w:ascii="Times New Roman" w:hAnsi="Times New Roman" w:cs="Times New Roman"/>
        <w:noProof/>
        <w:sz w:val="20"/>
        <w:szCs w:val="20"/>
      </w:rPr>
      <w:t>5</w:t>
    </w:r>
    <w:r>
      <w:rPr>
        <w:rFonts w:ascii="Times New Roman" w:hAnsi="Times New Roman" w:cs="Times New Roman"/>
        <w:noProof/>
        <w:sz w:val="20"/>
        <w:szCs w:val="20"/>
      </w:rPr>
      <w:fldChar w:fldCharType="end"/>
    </w:r>
  </w:p>
  <w:p w:rsidR="00921B1A" w:rsidRDefault="00921B1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026D" w:rsidRDefault="0054026D">
      <w:pPr>
        <w:spacing w:after="0" w:line="240" w:lineRule="auto"/>
      </w:pPr>
      <w:r>
        <w:separator/>
      </w:r>
    </w:p>
  </w:footnote>
  <w:footnote w:type="continuationSeparator" w:id="0">
    <w:p w:rsidR="0054026D" w:rsidRDefault="005402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7422" w:rsidRPr="00127422" w:rsidRDefault="00127422" w:rsidP="00127422">
    <w:pPr>
      <w:spacing w:before="120" w:after="120"/>
      <w:rPr>
        <w:rFonts w:ascii="Arial" w:hAnsi="Arial" w:cs="Arial"/>
        <w:b/>
      </w:rPr>
    </w:pPr>
    <w:r w:rsidRPr="00127422">
      <w:rPr>
        <w:b/>
      </w:rPr>
      <w:t>2409818</w:t>
    </w:r>
    <w:r w:rsidRPr="00127422">
      <w:rPr>
        <w:b/>
      </w:rPr>
      <w:ptab w:relativeTo="margin" w:alignment="center" w:leader="none"/>
    </w:r>
    <w:r w:rsidRPr="00127422">
      <w:rPr>
        <w:b/>
      </w:rPr>
      <w:t>SNEHA BABARIYA</w:t>
    </w:r>
    <w:r w:rsidRPr="00127422">
      <w:rPr>
        <w:b/>
      </w:rPr>
      <w:ptab w:relativeTo="margin" w:alignment="right" w:leader="none"/>
    </w:r>
    <w:r w:rsidRPr="00127422">
      <w:rPr>
        <w:rFonts w:ascii="Arial" w:hAnsi="Arial" w:cs="Arial"/>
        <w:b/>
      </w:rPr>
      <w:t>ACCA7028</w:t>
    </w:r>
  </w:p>
  <w:p w:rsidR="00127422" w:rsidRDefault="0012742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F07FF6"/>
    <w:multiLevelType w:val="hybridMultilevel"/>
    <w:tmpl w:val="8A508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B1A"/>
    <w:rsid w:val="00127422"/>
    <w:rsid w:val="001B2BD0"/>
    <w:rsid w:val="002D67FE"/>
    <w:rsid w:val="002E4B93"/>
    <w:rsid w:val="0054026D"/>
    <w:rsid w:val="00921B1A"/>
    <w:rsid w:val="00A8540D"/>
    <w:rsid w:val="00B36B6B"/>
    <w:rsid w:val="00B5563D"/>
    <w:rsid w:val="00EA20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B95D1D"/>
  <w15:docId w15:val="{686BD614-8155-49B2-B97A-8813F99E0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SimSun"/>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line="360" w:lineRule="auto"/>
      <w:jc w:val="both"/>
      <w:outlineLvl w:val="0"/>
    </w:pPr>
    <w:rPr>
      <w:rFonts w:ascii="Times New Roman" w:eastAsia="SimSun" w:hAnsi="Times New Roman"/>
      <w:b/>
      <w:color w:val="000000"/>
      <w:sz w:val="24"/>
      <w:szCs w:val="32"/>
    </w:rPr>
  </w:style>
  <w:style w:type="paragraph" w:styleId="Heading4">
    <w:name w:val="heading 4"/>
    <w:basedOn w:val="Normal"/>
    <w:link w:val="Heading4Char"/>
    <w:uiPriority w:val="9"/>
    <w:qFormat/>
    <w:pPr>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Heading4Char">
    <w:name w:val="Heading 4 Char"/>
    <w:basedOn w:val="DefaultParagraphFont"/>
    <w:link w:val="Heading4"/>
    <w:uiPriority w:val="9"/>
    <w:rPr>
      <w:rFonts w:ascii="Times New Roman" w:eastAsia="Times New Roman" w:hAnsi="Times New Roman" w:cs="Times New Roman"/>
      <w:b/>
      <w:bCs/>
      <w:kern w:val="0"/>
      <w:sz w:val="24"/>
      <w:szCs w:val="24"/>
      <w14:ligatures w14:val="none"/>
    </w:rPr>
  </w:style>
  <w:style w:type="character" w:styleId="Strong">
    <w:name w:val="Strong"/>
    <w:basedOn w:val="DefaultParagraphFont"/>
    <w:uiPriority w:val="22"/>
    <w:qFormat/>
    <w:rPr>
      <w:b/>
      <w:bCs/>
    </w:rPr>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Pr>
      <w:rFonts w:ascii="Times New Roman" w:eastAsia="SimSun" w:hAnsi="Times New Roman" w:cs="SimSun"/>
      <w:b/>
      <w:color w:val="000000"/>
      <w:sz w:val="24"/>
      <w:szCs w:val="32"/>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TOCHeading">
    <w:name w:val="TOC Heading"/>
    <w:basedOn w:val="Heading1"/>
    <w:next w:val="Normal"/>
    <w:uiPriority w:val="39"/>
    <w:qFormat/>
    <w:pPr>
      <w:spacing w:line="259" w:lineRule="auto"/>
      <w:jc w:val="left"/>
      <w:outlineLvl w:val="9"/>
    </w:pPr>
    <w:rPr>
      <w:rFonts w:ascii="Cambria" w:hAnsi="Cambria"/>
      <w:b w:val="0"/>
      <w:color w:val="365F91"/>
      <w:kern w:val="0"/>
      <w:sz w:val="32"/>
      <w14:ligatures w14:val="none"/>
    </w:rPr>
  </w:style>
  <w:style w:type="paragraph" w:styleId="TOC1">
    <w:name w:val="toc 1"/>
    <w:basedOn w:val="Normal"/>
    <w:next w:val="Normal"/>
    <w:uiPriority w:val="39"/>
    <w:pPr>
      <w:spacing w:after="100"/>
    </w:pPr>
  </w:style>
  <w:style w:type="character" w:styleId="Hyperlink">
    <w:name w:val="Hyperlink"/>
    <w:basedOn w:val="DefaultParagraphFont"/>
    <w:uiPriority w:val="99"/>
    <w:rPr>
      <w:color w:val="0000FF"/>
      <w:u w:val="single"/>
    </w:rPr>
  </w:style>
  <w:style w:type="character" w:styleId="Emphasis">
    <w:name w:val="Emphasis"/>
    <w:basedOn w:val="DefaultParagraphFont"/>
    <w:uiPriority w:val="20"/>
    <w:qFormat/>
    <w:rsid w:val="002E4B9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282164">
      <w:bodyDiv w:val="1"/>
      <w:marLeft w:val="0"/>
      <w:marRight w:val="0"/>
      <w:marTop w:val="0"/>
      <w:marBottom w:val="0"/>
      <w:divBdr>
        <w:top w:val="none" w:sz="0" w:space="0" w:color="auto"/>
        <w:left w:val="none" w:sz="0" w:space="0" w:color="auto"/>
        <w:bottom w:val="none" w:sz="0" w:space="0" w:color="auto"/>
        <w:right w:val="none" w:sz="0" w:space="0" w:color="auto"/>
      </w:divBdr>
    </w:div>
    <w:div w:id="469978275">
      <w:bodyDiv w:val="1"/>
      <w:marLeft w:val="0"/>
      <w:marRight w:val="0"/>
      <w:marTop w:val="0"/>
      <w:marBottom w:val="0"/>
      <w:divBdr>
        <w:top w:val="none" w:sz="0" w:space="0" w:color="auto"/>
        <w:left w:val="none" w:sz="0" w:space="0" w:color="auto"/>
        <w:bottom w:val="none" w:sz="0" w:space="0" w:color="auto"/>
        <w:right w:val="none" w:sz="0" w:space="0" w:color="auto"/>
      </w:divBdr>
    </w:div>
    <w:div w:id="560404797">
      <w:bodyDiv w:val="1"/>
      <w:marLeft w:val="0"/>
      <w:marRight w:val="0"/>
      <w:marTop w:val="0"/>
      <w:marBottom w:val="0"/>
      <w:divBdr>
        <w:top w:val="none" w:sz="0" w:space="0" w:color="auto"/>
        <w:left w:val="none" w:sz="0" w:space="0" w:color="auto"/>
        <w:bottom w:val="none" w:sz="0" w:space="0" w:color="auto"/>
        <w:right w:val="none" w:sz="0" w:space="0" w:color="auto"/>
      </w:divBdr>
    </w:div>
    <w:div w:id="730471098">
      <w:bodyDiv w:val="1"/>
      <w:marLeft w:val="0"/>
      <w:marRight w:val="0"/>
      <w:marTop w:val="0"/>
      <w:marBottom w:val="0"/>
      <w:divBdr>
        <w:top w:val="none" w:sz="0" w:space="0" w:color="auto"/>
        <w:left w:val="none" w:sz="0" w:space="0" w:color="auto"/>
        <w:bottom w:val="none" w:sz="0" w:space="0" w:color="auto"/>
        <w:right w:val="none" w:sz="0" w:space="0" w:color="auto"/>
      </w:divBdr>
    </w:div>
    <w:div w:id="827478611">
      <w:bodyDiv w:val="1"/>
      <w:marLeft w:val="0"/>
      <w:marRight w:val="0"/>
      <w:marTop w:val="0"/>
      <w:marBottom w:val="0"/>
      <w:divBdr>
        <w:top w:val="none" w:sz="0" w:space="0" w:color="auto"/>
        <w:left w:val="none" w:sz="0" w:space="0" w:color="auto"/>
        <w:bottom w:val="none" w:sz="0" w:space="0" w:color="auto"/>
        <w:right w:val="none" w:sz="0" w:space="0" w:color="auto"/>
      </w:divBdr>
    </w:div>
    <w:div w:id="931746264">
      <w:bodyDiv w:val="1"/>
      <w:marLeft w:val="0"/>
      <w:marRight w:val="0"/>
      <w:marTop w:val="0"/>
      <w:marBottom w:val="0"/>
      <w:divBdr>
        <w:top w:val="none" w:sz="0" w:space="0" w:color="auto"/>
        <w:left w:val="none" w:sz="0" w:space="0" w:color="auto"/>
        <w:bottom w:val="none" w:sz="0" w:space="0" w:color="auto"/>
        <w:right w:val="none" w:sz="0" w:space="0" w:color="auto"/>
      </w:divBdr>
    </w:div>
    <w:div w:id="1054500704">
      <w:bodyDiv w:val="1"/>
      <w:marLeft w:val="0"/>
      <w:marRight w:val="0"/>
      <w:marTop w:val="0"/>
      <w:marBottom w:val="0"/>
      <w:divBdr>
        <w:top w:val="none" w:sz="0" w:space="0" w:color="auto"/>
        <w:left w:val="none" w:sz="0" w:space="0" w:color="auto"/>
        <w:bottom w:val="none" w:sz="0" w:space="0" w:color="auto"/>
        <w:right w:val="none" w:sz="0" w:space="0" w:color="auto"/>
      </w:divBdr>
    </w:div>
    <w:div w:id="1386493838">
      <w:bodyDiv w:val="1"/>
      <w:marLeft w:val="0"/>
      <w:marRight w:val="0"/>
      <w:marTop w:val="0"/>
      <w:marBottom w:val="0"/>
      <w:divBdr>
        <w:top w:val="none" w:sz="0" w:space="0" w:color="auto"/>
        <w:left w:val="none" w:sz="0" w:space="0" w:color="auto"/>
        <w:bottom w:val="none" w:sz="0" w:space="0" w:color="auto"/>
        <w:right w:val="none" w:sz="0" w:space="0" w:color="auto"/>
      </w:divBdr>
    </w:div>
    <w:div w:id="1408721284">
      <w:bodyDiv w:val="1"/>
      <w:marLeft w:val="0"/>
      <w:marRight w:val="0"/>
      <w:marTop w:val="0"/>
      <w:marBottom w:val="0"/>
      <w:divBdr>
        <w:top w:val="none" w:sz="0" w:space="0" w:color="auto"/>
        <w:left w:val="none" w:sz="0" w:space="0" w:color="auto"/>
        <w:bottom w:val="none" w:sz="0" w:space="0" w:color="auto"/>
        <w:right w:val="none" w:sz="0" w:space="0" w:color="auto"/>
      </w:divBdr>
    </w:div>
    <w:div w:id="1594321512">
      <w:bodyDiv w:val="1"/>
      <w:marLeft w:val="0"/>
      <w:marRight w:val="0"/>
      <w:marTop w:val="0"/>
      <w:marBottom w:val="0"/>
      <w:divBdr>
        <w:top w:val="none" w:sz="0" w:space="0" w:color="auto"/>
        <w:left w:val="none" w:sz="0" w:space="0" w:color="auto"/>
        <w:bottom w:val="none" w:sz="0" w:space="0" w:color="auto"/>
        <w:right w:val="none" w:sz="0" w:space="0" w:color="auto"/>
      </w:divBdr>
    </w:div>
    <w:div w:id="1678381613">
      <w:bodyDiv w:val="1"/>
      <w:marLeft w:val="0"/>
      <w:marRight w:val="0"/>
      <w:marTop w:val="0"/>
      <w:marBottom w:val="0"/>
      <w:divBdr>
        <w:top w:val="none" w:sz="0" w:space="0" w:color="auto"/>
        <w:left w:val="none" w:sz="0" w:space="0" w:color="auto"/>
        <w:bottom w:val="none" w:sz="0" w:space="0" w:color="auto"/>
        <w:right w:val="none" w:sz="0" w:space="0" w:color="auto"/>
      </w:divBdr>
    </w:div>
    <w:div w:id="20109087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E10131-3575-445C-B56E-B22F0B63E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15</Pages>
  <Words>3501</Words>
  <Characters>19959</Characters>
  <Application>Microsoft Office Word</Application>
  <DocSecurity>0</DocSecurity>
  <Lines>166</Lines>
  <Paragraphs>46</Paragraphs>
  <ScaleCrop>false</ScaleCrop>
  <Company/>
  <LinksUpToDate>false</LinksUpToDate>
  <CharactersWithSpaces>23414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LENOVO</cp:lastModifiedBy>
  <cp:revision>61</cp:revision>
  <dcterms:created xsi:type="dcterms:W3CDTF">2024-12-26T07:34:00Z</dcterms:created>
  <dcterms:modified xsi:type="dcterms:W3CDTF">2025-01-04T19:07:00Z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87369bb34c894c2d9d2c04c227c0ea04</vt:lpwstr>
  </property>
</Properties>
</file>