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DB3F3" w14:textId="77777777" w:rsidR="00CD6EFF" w:rsidRPr="00C61ACB" w:rsidRDefault="00CD6EFF" w:rsidP="00CD6EFF">
      <w:pPr>
        <w:spacing w:line="360" w:lineRule="auto"/>
        <w:jc w:val="center"/>
        <w:rPr>
          <w:rFonts w:ascii="Arial" w:hAnsi="Arial" w:cs="Arial"/>
          <w:sz w:val="22"/>
          <w:szCs w:val="22"/>
        </w:rPr>
      </w:pPr>
    </w:p>
    <w:p w14:paraId="655D3B4E" w14:textId="77777777" w:rsidR="00CD6EFF" w:rsidRPr="00C61ACB" w:rsidRDefault="00CD6EFF" w:rsidP="00CD6EFF">
      <w:pPr>
        <w:spacing w:line="360" w:lineRule="auto"/>
        <w:jc w:val="center"/>
        <w:rPr>
          <w:rFonts w:ascii="Arial" w:hAnsi="Arial" w:cs="Arial"/>
          <w:sz w:val="22"/>
          <w:szCs w:val="22"/>
        </w:rPr>
      </w:pPr>
    </w:p>
    <w:p w14:paraId="44B90ADC" w14:textId="77777777" w:rsidR="00CD6EFF" w:rsidRPr="00C61ACB" w:rsidRDefault="00CD6EFF" w:rsidP="00CD6EFF">
      <w:pPr>
        <w:spacing w:line="360" w:lineRule="auto"/>
        <w:jc w:val="center"/>
        <w:rPr>
          <w:rFonts w:ascii="Arial" w:hAnsi="Arial" w:cs="Arial"/>
          <w:b/>
          <w:bCs/>
          <w:sz w:val="22"/>
          <w:szCs w:val="22"/>
        </w:rPr>
      </w:pPr>
      <w:r w:rsidRPr="00C61ACB">
        <w:rPr>
          <w:rFonts w:ascii="Arial" w:eastAsia="Arial" w:hAnsi="Arial" w:cs="Arial"/>
          <w:b/>
          <w:bCs/>
          <w:sz w:val="22"/>
          <w:szCs w:val="22"/>
        </w:rPr>
        <w:t>BMHP5019_BIRM – Introduction to Independent Research Skills</w:t>
      </w:r>
    </w:p>
    <w:p w14:paraId="09E26681" w14:textId="77777777" w:rsidR="00CD6EFF" w:rsidRPr="00C61ACB" w:rsidRDefault="00CD6EFF" w:rsidP="00CD6EFF">
      <w:pPr>
        <w:spacing w:line="360" w:lineRule="auto"/>
        <w:jc w:val="center"/>
        <w:rPr>
          <w:rFonts w:ascii="Arial" w:hAnsi="Arial" w:cs="Arial"/>
          <w:b/>
          <w:bCs/>
          <w:sz w:val="22"/>
          <w:szCs w:val="22"/>
        </w:rPr>
      </w:pPr>
      <w:r w:rsidRPr="00C61ACB">
        <w:rPr>
          <w:rFonts w:ascii="Arial" w:eastAsia="Arial" w:hAnsi="Arial" w:cs="Arial"/>
          <w:b/>
          <w:bCs/>
          <w:sz w:val="22"/>
          <w:szCs w:val="22"/>
        </w:rPr>
        <w:t>Component 1 Template.</w:t>
      </w:r>
    </w:p>
    <w:p w14:paraId="4D830867" w14:textId="77777777" w:rsidR="00CD6EFF" w:rsidRPr="00C61ACB" w:rsidRDefault="00CD6EFF" w:rsidP="00CD6EFF">
      <w:pPr>
        <w:spacing w:line="360" w:lineRule="auto"/>
        <w:jc w:val="center"/>
        <w:rPr>
          <w:rFonts w:ascii="Arial" w:hAnsi="Arial" w:cs="Arial"/>
          <w:b/>
          <w:bCs/>
          <w:sz w:val="22"/>
          <w:szCs w:val="22"/>
        </w:rPr>
      </w:pPr>
      <w:r w:rsidRPr="00C61ACB">
        <w:rPr>
          <w:rFonts w:ascii="Arial" w:eastAsia="Arial" w:hAnsi="Arial" w:cs="Arial"/>
          <w:b/>
          <w:bCs/>
          <w:sz w:val="22"/>
          <w:szCs w:val="22"/>
        </w:rPr>
        <w:t>400-word Scoping review proposal.</w:t>
      </w:r>
    </w:p>
    <w:p w14:paraId="36E63155" w14:textId="77777777" w:rsidR="00CD6EFF" w:rsidRPr="00C61ACB" w:rsidRDefault="00CD6EFF" w:rsidP="00CD6EFF">
      <w:pPr>
        <w:spacing w:line="360" w:lineRule="auto"/>
        <w:jc w:val="center"/>
        <w:rPr>
          <w:rFonts w:ascii="Arial" w:hAnsi="Arial" w:cs="Arial"/>
          <w:b/>
          <w:bCs/>
          <w:sz w:val="22"/>
          <w:szCs w:val="22"/>
        </w:rPr>
      </w:pPr>
    </w:p>
    <w:p w14:paraId="37FF6285" w14:textId="77777777" w:rsidR="00CD6EFF" w:rsidRPr="00C61ACB" w:rsidRDefault="00CD6EFF" w:rsidP="00CD6EFF">
      <w:pPr>
        <w:spacing w:line="360" w:lineRule="auto"/>
        <w:jc w:val="center"/>
        <w:rPr>
          <w:rFonts w:ascii="Arial" w:hAnsi="Arial" w:cs="Arial"/>
          <w:b/>
          <w:bCs/>
          <w:sz w:val="22"/>
          <w:szCs w:val="22"/>
        </w:rPr>
      </w:pPr>
    </w:p>
    <w:p w14:paraId="5B735D95" w14:textId="77777777" w:rsidR="00CD6EFF" w:rsidRPr="00C61ACB" w:rsidRDefault="00CD6EFF" w:rsidP="00CD6EFF">
      <w:pPr>
        <w:spacing w:line="360" w:lineRule="auto"/>
        <w:jc w:val="center"/>
        <w:rPr>
          <w:rFonts w:ascii="Arial" w:hAnsi="Arial" w:cs="Arial"/>
          <w:b/>
          <w:bCs/>
          <w:sz w:val="22"/>
          <w:szCs w:val="22"/>
        </w:rPr>
      </w:pPr>
      <w:r>
        <w:rPr>
          <w:rFonts w:ascii="Arial" w:eastAsia="Arial" w:hAnsi="Arial"/>
          <w:sz w:val="22"/>
        </w:rPr>
        <w:t>Student Name: Kristina Masih</w:t>
      </w:r>
    </w:p>
    <w:p w14:paraId="73DA1217" w14:textId="77777777" w:rsidR="00CD6EFF" w:rsidRPr="00C61ACB" w:rsidRDefault="00CD6EFF" w:rsidP="00CD6EFF">
      <w:pPr>
        <w:spacing w:line="360" w:lineRule="auto"/>
        <w:jc w:val="center"/>
        <w:rPr>
          <w:rFonts w:ascii="Arial" w:hAnsi="Arial" w:cs="Arial"/>
          <w:b/>
          <w:bCs/>
          <w:sz w:val="22"/>
          <w:szCs w:val="22"/>
        </w:rPr>
      </w:pPr>
      <w:r>
        <w:rPr>
          <w:rFonts w:ascii="Arial" w:eastAsia="Arial" w:hAnsi="Arial"/>
          <w:sz w:val="22"/>
        </w:rPr>
        <w:t>Student Number: 2419848</w:t>
      </w:r>
    </w:p>
    <w:p w14:paraId="0FF4EAF4" w14:textId="77777777" w:rsidR="00CD6EFF" w:rsidRPr="00C61ACB" w:rsidRDefault="00CD6EFF" w:rsidP="00CD6EFF">
      <w:pPr>
        <w:spacing w:line="360" w:lineRule="auto"/>
        <w:rPr>
          <w:rFonts w:ascii="Arial" w:hAnsi="Arial" w:cs="Arial"/>
          <w:sz w:val="22"/>
          <w:szCs w:val="22"/>
        </w:rPr>
      </w:pPr>
    </w:p>
    <w:p w14:paraId="41E64A03" w14:textId="77777777" w:rsidR="00CD6EFF" w:rsidRPr="00C61ACB" w:rsidRDefault="00CD6EFF" w:rsidP="00CD6EFF">
      <w:pPr>
        <w:spacing w:line="360" w:lineRule="auto"/>
        <w:jc w:val="center"/>
        <w:rPr>
          <w:rFonts w:ascii="Arial" w:hAnsi="Arial" w:cs="Arial"/>
          <w:sz w:val="22"/>
          <w:szCs w:val="22"/>
        </w:rPr>
      </w:pPr>
    </w:p>
    <w:p w14:paraId="3AB237D9" w14:textId="77777777" w:rsidR="00CD6EFF" w:rsidRPr="00C61ACB" w:rsidRDefault="00CD6EFF" w:rsidP="00CD6EFF">
      <w:pPr>
        <w:spacing w:line="360" w:lineRule="auto"/>
        <w:jc w:val="center"/>
        <w:rPr>
          <w:rFonts w:ascii="Arial" w:hAnsi="Arial" w:cs="Arial"/>
          <w:sz w:val="22"/>
          <w:szCs w:val="22"/>
        </w:rPr>
      </w:pPr>
    </w:p>
    <w:p w14:paraId="621542BE" w14:textId="77777777" w:rsidR="00CD6EFF" w:rsidRPr="00C61ACB" w:rsidRDefault="00CD6EFF" w:rsidP="00CD6EFF">
      <w:pPr>
        <w:spacing w:line="360" w:lineRule="auto"/>
        <w:jc w:val="center"/>
        <w:rPr>
          <w:rFonts w:ascii="Arial" w:hAnsi="Arial" w:cs="Arial"/>
          <w:sz w:val="22"/>
          <w:szCs w:val="22"/>
        </w:rPr>
      </w:pPr>
    </w:p>
    <w:p w14:paraId="64AE54BA" w14:textId="77777777" w:rsidR="00CD6EFF" w:rsidRPr="00C61ACB" w:rsidRDefault="00CD6EFF" w:rsidP="00CD6EFF">
      <w:pPr>
        <w:spacing w:line="360" w:lineRule="auto"/>
        <w:jc w:val="center"/>
        <w:rPr>
          <w:rFonts w:ascii="Arial" w:hAnsi="Arial" w:cs="Arial"/>
          <w:b/>
          <w:bCs/>
          <w:sz w:val="22"/>
          <w:szCs w:val="22"/>
          <w:u w:val="single"/>
        </w:rPr>
      </w:pPr>
      <w:r w:rsidRPr="00C61ACB">
        <w:rPr>
          <w:rFonts w:ascii="Arial" w:eastAsia="Arial" w:hAnsi="Arial" w:cs="Arial"/>
          <w:b/>
          <w:bCs/>
          <w:sz w:val="22"/>
          <w:szCs w:val="22"/>
          <w:u w:val="single"/>
        </w:rPr>
        <w:t>Title</w:t>
      </w:r>
    </w:p>
    <w:p w14:paraId="0EF55E62" w14:textId="77777777" w:rsidR="00CD6EFF" w:rsidRPr="00C61ACB" w:rsidRDefault="00CD6EFF" w:rsidP="00CD6EFF">
      <w:pPr>
        <w:spacing w:line="360" w:lineRule="auto"/>
        <w:jc w:val="center"/>
        <w:rPr>
          <w:rFonts w:ascii="Arial" w:hAnsi="Arial" w:cs="Arial"/>
          <w:sz w:val="22"/>
          <w:szCs w:val="22"/>
        </w:rPr>
      </w:pPr>
    </w:p>
    <w:p w14:paraId="76327DE9" w14:textId="77777777" w:rsidR="00CD6EFF" w:rsidRPr="00C61ACB" w:rsidRDefault="00CD6EFF" w:rsidP="00CD6EFF">
      <w:pPr>
        <w:spacing w:line="360" w:lineRule="auto"/>
        <w:jc w:val="center"/>
        <w:rPr>
          <w:rFonts w:ascii="Arial" w:hAnsi="Arial" w:cs="Arial"/>
          <w:sz w:val="22"/>
          <w:szCs w:val="22"/>
        </w:rPr>
      </w:pPr>
      <w:r>
        <w:rPr>
          <w:rFonts w:ascii="Arial" w:eastAsia="Arial" w:hAnsi="Arial"/>
          <w:sz w:val="22"/>
        </w:rPr>
        <w:t>The Impact of Long Waiting Times for NHS Appointments and Treatment on Patients in the UK: A Scoping Review</w:t>
      </w:r>
    </w:p>
    <w:p w14:paraId="0A154936" w14:textId="77777777" w:rsidR="00CD6EFF" w:rsidRPr="00C61ACB" w:rsidRDefault="00CD6EFF" w:rsidP="00CD6EFF">
      <w:pPr>
        <w:spacing w:line="360" w:lineRule="auto"/>
        <w:rPr>
          <w:rFonts w:ascii="Arial" w:hAnsi="Arial" w:cs="Arial"/>
          <w:sz w:val="22"/>
          <w:szCs w:val="22"/>
        </w:rPr>
      </w:pPr>
    </w:p>
    <w:p w14:paraId="6DA64FF1" w14:textId="77777777" w:rsidR="00CD6EFF" w:rsidRPr="00C61ACB" w:rsidRDefault="00CD6EFF" w:rsidP="00CD6EFF">
      <w:pPr>
        <w:spacing w:line="360" w:lineRule="auto"/>
        <w:rPr>
          <w:rFonts w:ascii="Arial" w:hAnsi="Arial" w:cs="Arial"/>
          <w:sz w:val="22"/>
          <w:szCs w:val="22"/>
        </w:rPr>
      </w:pPr>
    </w:p>
    <w:p w14:paraId="2055BAA7" w14:textId="77777777" w:rsidR="00CD6EFF" w:rsidRPr="00C61ACB" w:rsidRDefault="00CD6EFF" w:rsidP="00CD6EFF">
      <w:pPr>
        <w:spacing w:line="360" w:lineRule="auto"/>
        <w:rPr>
          <w:rFonts w:ascii="Arial" w:hAnsi="Arial" w:cs="Arial"/>
          <w:sz w:val="22"/>
          <w:szCs w:val="22"/>
        </w:rPr>
      </w:pPr>
    </w:p>
    <w:p w14:paraId="13E653F0" w14:textId="77777777" w:rsidR="00CD6EFF" w:rsidRPr="00C61ACB" w:rsidRDefault="00CD6EFF" w:rsidP="00CD6EFF">
      <w:pPr>
        <w:spacing w:line="360" w:lineRule="auto"/>
        <w:rPr>
          <w:rFonts w:ascii="Arial" w:hAnsi="Arial" w:cs="Arial"/>
          <w:sz w:val="22"/>
          <w:szCs w:val="22"/>
        </w:rPr>
      </w:pPr>
    </w:p>
    <w:p w14:paraId="062EEBAB" w14:textId="77777777" w:rsidR="00CD6EFF" w:rsidRPr="00C61ACB" w:rsidRDefault="00CD6EFF" w:rsidP="00CD6EFF">
      <w:pPr>
        <w:spacing w:line="360" w:lineRule="auto"/>
        <w:rPr>
          <w:rFonts w:ascii="Arial" w:hAnsi="Arial" w:cs="Arial"/>
          <w:sz w:val="22"/>
          <w:szCs w:val="22"/>
        </w:rPr>
      </w:pPr>
    </w:p>
    <w:p w14:paraId="5113AB8E" w14:textId="77777777" w:rsidR="00CD6EFF" w:rsidRDefault="00CD6EFF" w:rsidP="00CD6EFF">
      <w:pPr>
        <w:spacing w:line="360" w:lineRule="auto"/>
        <w:rPr>
          <w:rFonts w:ascii="Arial" w:hAnsi="Arial" w:cs="Arial"/>
          <w:sz w:val="22"/>
          <w:szCs w:val="22"/>
        </w:rPr>
      </w:pPr>
    </w:p>
    <w:p w14:paraId="7342BB54" w14:textId="77777777" w:rsidR="00D26865" w:rsidRDefault="00D26865" w:rsidP="00CD6EFF">
      <w:pPr>
        <w:spacing w:line="360" w:lineRule="auto"/>
        <w:rPr>
          <w:rFonts w:ascii="Arial" w:hAnsi="Arial" w:cs="Arial"/>
          <w:sz w:val="22"/>
          <w:szCs w:val="22"/>
        </w:rPr>
      </w:pPr>
    </w:p>
    <w:p w14:paraId="0465E10C" w14:textId="77777777" w:rsidR="00D26865" w:rsidRDefault="00D26865" w:rsidP="00CD6EFF">
      <w:pPr>
        <w:spacing w:line="360" w:lineRule="auto"/>
        <w:rPr>
          <w:rFonts w:ascii="Arial" w:hAnsi="Arial" w:cs="Arial"/>
          <w:sz w:val="22"/>
          <w:szCs w:val="22"/>
        </w:rPr>
      </w:pPr>
    </w:p>
    <w:p w14:paraId="21E9BDF5" w14:textId="77777777" w:rsidR="00D26865" w:rsidRDefault="00D26865" w:rsidP="00CD6EFF">
      <w:pPr>
        <w:spacing w:line="360" w:lineRule="auto"/>
        <w:rPr>
          <w:rFonts w:ascii="Arial" w:hAnsi="Arial" w:cs="Arial"/>
          <w:sz w:val="22"/>
          <w:szCs w:val="22"/>
        </w:rPr>
      </w:pPr>
    </w:p>
    <w:p w14:paraId="7AA93568" w14:textId="77777777" w:rsidR="00CD6EFF" w:rsidRPr="00C61ACB" w:rsidRDefault="00CD6EFF" w:rsidP="0030352E">
      <w:pPr>
        <w:spacing w:line="360" w:lineRule="auto"/>
        <w:rPr>
          <w:rFonts w:ascii="Arial" w:hAnsi="Arial" w:cs="Arial"/>
          <w:b/>
          <w:bCs/>
          <w:sz w:val="22"/>
          <w:szCs w:val="22"/>
          <w:u w:val="single"/>
        </w:rPr>
      </w:pPr>
      <w:r w:rsidRPr="00C61ACB">
        <w:rPr>
          <w:rFonts w:ascii="Arial" w:eastAsia="Arial" w:hAnsi="Arial" w:cs="Arial"/>
          <w:b/>
          <w:bCs/>
          <w:sz w:val="22"/>
          <w:szCs w:val="22"/>
          <w:u w:val="single"/>
        </w:rPr>
        <w:lastRenderedPageBreak/>
        <w:t>Background and Rationale</w:t>
      </w:r>
    </w:p>
    <w:p w14:paraId="4872DA48" w14:textId="77777777" w:rsidR="00CD6EFF" w:rsidRDefault="00CD6EFF" w:rsidP="0030352E">
      <w:pPr>
        <w:spacing w:line="360" w:lineRule="auto"/>
        <w:rPr>
          <w:rFonts w:ascii="Arial" w:hAnsi="Arial" w:cs="Arial"/>
          <w:sz w:val="22"/>
          <w:szCs w:val="22"/>
        </w:rPr>
      </w:pPr>
      <w:r>
        <w:rPr>
          <w:rFonts w:ascii="Arial" w:eastAsia="Arial" w:hAnsi="Arial"/>
          <w:sz w:val="22"/>
        </w:rPr>
        <w:t>Long waiting times for NHS appointments and treatment remain an important health and social care concern in the United Kingdom. Delays may prolong pain, reduce quality of life and cause anxiety or uncertainty for patients. Although NHS waiting lists have fallen, millions of treatment pathways remain on waiting lists (NHS England, 2026). Research has examined additional healthcare use while patients wait for elective treatment (James, Denholm and Wood, 2024), patients’ experiences of waiting for orthopaedic care (Chan et al., 2025), and barriers experienced by disabled people from minoritised ethnic groups (Rivas et al., 2025). These studies illustrate that waiting may affect patients in different ways. A scoping review is appropriate because it can map the range and nature of available evidence, identify recurring themes and highlight gaps without restricting the review to one study design (Arksey and O’Malley, 2005).</w:t>
      </w:r>
    </w:p>
    <w:p w14:paraId="792CCD9A" w14:textId="77777777" w:rsidR="00CD6EFF" w:rsidRPr="00C61ACB" w:rsidRDefault="00CD6EFF" w:rsidP="0030352E">
      <w:pPr>
        <w:spacing w:line="360" w:lineRule="auto"/>
        <w:rPr>
          <w:rFonts w:ascii="Arial" w:hAnsi="Arial" w:cs="Arial"/>
          <w:sz w:val="22"/>
          <w:szCs w:val="22"/>
        </w:rPr>
      </w:pPr>
    </w:p>
    <w:p w14:paraId="46D877CB" w14:textId="77777777" w:rsidR="00CD6EFF" w:rsidRPr="00E130D5" w:rsidRDefault="00CD6EFF" w:rsidP="0030352E">
      <w:pPr>
        <w:spacing w:line="360" w:lineRule="auto"/>
        <w:rPr>
          <w:rFonts w:ascii="Arial" w:hAnsi="Arial" w:cs="Arial"/>
          <w:b/>
          <w:bCs/>
          <w:sz w:val="22"/>
          <w:szCs w:val="22"/>
          <w:u w:val="single"/>
        </w:rPr>
      </w:pPr>
      <w:r w:rsidRPr="00C61ACB">
        <w:rPr>
          <w:rFonts w:ascii="Arial" w:eastAsia="Arial" w:hAnsi="Arial" w:cs="Arial"/>
          <w:b/>
          <w:bCs/>
          <w:sz w:val="22"/>
          <w:szCs w:val="22"/>
          <w:u w:val="single"/>
        </w:rPr>
        <w:t>Research Aim and Objectives</w:t>
      </w:r>
    </w:p>
    <w:p w14:paraId="7978817B" w14:textId="77777777" w:rsidR="00CD6EFF" w:rsidRPr="00C61ACB" w:rsidRDefault="00CD6EFF" w:rsidP="0030352E">
      <w:pPr>
        <w:spacing w:line="360" w:lineRule="auto"/>
        <w:rPr>
          <w:rFonts w:ascii="Arial" w:hAnsi="Arial" w:cs="Arial"/>
          <w:sz w:val="22"/>
          <w:szCs w:val="22"/>
        </w:rPr>
      </w:pPr>
      <w:r>
        <w:rPr>
          <w:rFonts w:ascii="Arial" w:eastAsia="Arial" w:hAnsi="Arial"/>
          <w:sz w:val="22"/>
        </w:rPr>
        <w:t>The aim is to map existing evidence about the impact of long NHS waiting times on patients in the UK. The objectives are to:</w:t>
      </w:r>
    </w:p>
    <w:p w14:paraId="1F0C4A9D" w14:textId="77777777" w:rsidR="00CD6EFF" w:rsidRPr="00C61ACB" w:rsidRDefault="00CD6EFF" w:rsidP="0030352E">
      <w:pPr>
        <w:numPr>
          <w:ilvl w:val="0"/>
          <w:numId w:val="2"/>
        </w:numPr>
        <w:spacing w:line="360" w:lineRule="auto"/>
        <w:rPr>
          <w:rFonts w:ascii="Arial" w:hAnsi="Arial" w:cs="Arial"/>
          <w:sz w:val="22"/>
          <w:szCs w:val="22"/>
        </w:rPr>
      </w:pPr>
      <w:r>
        <w:rPr>
          <w:rFonts w:ascii="Arial" w:eastAsia="Arial" w:hAnsi="Arial"/>
          <w:sz w:val="22"/>
        </w:rPr>
        <w:t>Identify reported effects on physical health, mental wellbeing and quality of life.</w:t>
      </w:r>
    </w:p>
    <w:p w14:paraId="3597377C" w14:textId="77777777" w:rsidR="00CD6EFF" w:rsidRPr="00C61ACB" w:rsidRDefault="00CD6EFF" w:rsidP="0030352E">
      <w:pPr>
        <w:numPr>
          <w:ilvl w:val="0"/>
          <w:numId w:val="2"/>
        </w:numPr>
        <w:spacing w:line="360" w:lineRule="auto"/>
        <w:rPr>
          <w:rFonts w:ascii="Arial" w:hAnsi="Arial" w:cs="Arial"/>
          <w:sz w:val="22"/>
          <w:szCs w:val="22"/>
        </w:rPr>
      </w:pPr>
      <w:r>
        <w:rPr>
          <w:rFonts w:ascii="Arial" w:eastAsia="Arial" w:hAnsi="Arial"/>
          <w:sz w:val="22"/>
        </w:rPr>
        <w:t>Explore patients’ experiences and perceptions of waiting for appointments and treatment.</w:t>
      </w:r>
    </w:p>
    <w:p w14:paraId="053870B5" w14:textId="77777777" w:rsidR="00CD6EFF" w:rsidRDefault="00CD6EFF" w:rsidP="0030352E">
      <w:pPr>
        <w:numPr>
          <w:ilvl w:val="0"/>
          <w:numId w:val="2"/>
        </w:numPr>
        <w:spacing w:line="360" w:lineRule="auto"/>
        <w:rPr>
          <w:rFonts w:ascii="Arial" w:hAnsi="Arial" w:cs="Arial"/>
          <w:sz w:val="22"/>
          <w:szCs w:val="22"/>
        </w:rPr>
      </w:pPr>
      <w:r>
        <w:rPr>
          <w:rFonts w:ascii="Arial" w:eastAsia="Arial" w:hAnsi="Arial"/>
          <w:sz w:val="22"/>
        </w:rPr>
        <w:t>Identify evidence gaps and implications for health and social care practice.</w:t>
      </w:r>
    </w:p>
    <w:p w14:paraId="61488F5E" w14:textId="77777777" w:rsidR="00CD6EFF" w:rsidRPr="00C61ACB" w:rsidRDefault="00CD6EFF" w:rsidP="0030352E">
      <w:pPr>
        <w:spacing w:line="360" w:lineRule="auto"/>
        <w:ind w:left="720"/>
        <w:rPr>
          <w:rFonts w:ascii="Arial" w:hAnsi="Arial" w:cs="Arial"/>
          <w:sz w:val="22"/>
          <w:szCs w:val="22"/>
        </w:rPr>
      </w:pPr>
    </w:p>
    <w:p w14:paraId="37B0EB28" w14:textId="77777777" w:rsidR="00CD6EFF" w:rsidRPr="00C61ACB" w:rsidRDefault="00CD6EFF" w:rsidP="0030352E">
      <w:pPr>
        <w:spacing w:line="360" w:lineRule="auto"/>
        <w:rPr>
          <w:rFonts w:ascii="Arial" w:hAnsi="Arial" w:cs="Arial"/>
          <w:b/>
          <w:bCs/>
          <w:sz w:val="22"/>
          <w:szCs w:val="22"/>
          <w:u w:val="single"/>
        </w:rPr>
      </w:pPr>
      <w:r w:rsidRPr="00C61ACB">
        <w:rPr>
          <w:rFonts w:ascii="Arial" w:eastAsia="Arial" w:hAnsi="Arial" w:cs="Arial"/>
          <w:b/>
          <w:bCs/>
          <w:sz w:val="22"/>
          <w:szCs w:val="22"/>
          <w:u w:val="single"/>
        </w:rPr>
        <w:t>Methodology</w:t>
      </w:r>
    </w:p>
    <w:p w14:paraId="193A277D" w14:textId="77777777" w:rsidR="00CD6EFF" w:rsidRPr="00C61ACB" w:rsidRDefault="00CD6EFF" w:rsidP="0030352E">
      <w:pPr>
        <w:spacing w:line="360" w:lineRule="auto"/>
        <w:rPr>
          <w:rFonts w:ascii="Arial" w:hAnsi="Arial" w:cs="Arial"/>
          <w:b/>
          <w:bCs/>
          <w:sz w:val="22"/>
          <w:szCs w:val="22"/>
        </w:rPr>
      </w:pPr>
      <w:r w:rsidRPr="00C61ACB">
        <w:rPr>
          <w:rFonts w:ascii="Arial" w:eastAsia="Arial" w:hAnsi="Arial" w:cs="Arial"/>
          <w:b/>
          <w:bCs/>
          <w:sz w:val="22"/>
          <w:szCs w:val="22"/>
        </w:rPr>
        <w:t>Scoping Review Framework</w:t>
      </w:r>
    </w:p>
    <w:p w14:paraId="6709A499" w14:textId="77777777" w:rsidR="00CD6EFF" w:rsidRPr="00C61ACB" w:rsidRDefault="00CD6EFF" w:rsidP="0030352E">
      <w:pPr>
        <w:spacing w:line="360" w:lineRule="auto"/>
        <w:rPr>
          <w:rFonts w:ascii="Arial" w:hAnsi="Arial" w:cs="Arial"/>
          <w:sz w:val="22"/>
          <w:szCs w:val="22"/>
        </w:rPr>
      </w:pPr>
      <w:r>
        <w:rPr>
          <w:rFonts w:ascii="Arial" w:eastAsia="Arial" w:hAnsi="Arial"/>
          <w:sz w:val="22"/>
        </w:rPr>
        <w:t>The review will follow Arksey and O’Malley’s (2005) scoping review framework: identifying the research question, locating relevant studies, selecting studies, charting data, and collating and reporting findings. The search and selection process will be documented transparently.</w:t>
      </w:r>
    </w:p>
    <w:p w14:paraId="77FC78A4" w14:textId="77777777" w:rsidR="00CD6EFF" w:rsidRPr="00C61ACB" w:rsidRDefault="00CD6EFF" w:rsidP="0030352E">
      <w:pPr>
        <w:spacing w:line="360" w:lineRule="auto"/>
        <w:rPr>
          <w:rFonts w:ascii="Arial" w:hAnsi="Arial" w:cs="Arial"/>
          <w:b/>
          <w:bCs/>
          <w:sz w:val="22"/>
          <w:szCs w:val="22"/>
        </w:rPr>
      </w:pPr>
      <w:r w:rsidRPr="00C61ACB">
        <w:rPr>
          <w:rFonts w:ascii="Arial" w:eastAsia="Arial" w:hAnsi="Arial" w:cs="Arial"/>
          <w:b/>
          <w:bCs/>
          <w:sz w:val="22"/>
          <w:szCs w:val="22"/>
        </w:rPr>
        <w:t>Research Question</w:t>
      </w:r>
    </w:p>
    <w:p w14:paraId="2BAD1D78" w14:textId="77777777" w:rsidR="00CD6EFF" w:rsidRPr="00C61ACB" w:rsidRDefault="00CD6EFF" w:rsidP="0030352E">
      <w:pPr>
        <w:spacing w:line="360" w:lineRule="auto"/>
        <w:rPr>
          <w:rFonts w:ascii="Arial" w:hAnsi="Arial" w:cs="Arial"/>
          <w:sz w:val="22"/>
          <w:szCs w:val="22"/>
        </w:rPr>
      </w:pPr>
      <w:r>
        <w:rPr>
          <w:rFonts w:ascii="Arial" w:eastAsia="Arial" w:hAnsi="Arial"/>
          <w:sz w:val="22"/>
        </w:rPr>
        <w:t>What is known about the impact of long waiting times for NHS appointments and treatment on patients’ health outcomes and experiences in the UK?</w:t>
      </w:r>
    </w:p>
    <w:p w14:paraId="2B506208" w14:textId="77777777" w:rsidR="00CD6EFF" w:rsidRPr="00C61ACB" w:rsidRDefault="00CD6EFF" w:rsidP="0030352E">
      <w:pPr>
        <w:spacing w:line="360" w:lineRule="auto"/>
        <w:rPr>
          <w:rFonts w:ascii="Arial" w:hAnsi="Arial" w:cs="Arial"/>
          <w:b/>
          <w:bCs/>
          <w:sz w:val="22"/>
          <w:szCs w:val="22"/>
        </w:rPr>
      </w:pPr>
      <w:r w:rsidRPr="00C61ACB">
        <w:rPr>
          <w:rFonts w:ascii="Arial" w:eastAsia="Arial" w:hAnsi="Arial" w:cs="Arial"/>
          <w:b/>
          <w:bCs/>
          <w:sz w:val="22"/>
          <w:szCs w:val="22"/>
        </w:rPr>
        <w:t>Inclusion and Exclusion Criteria</w:t>
      </w:r>
    </w:p>
    <w:p w14:paraId="45CD93CA" w14:textId="77777777" w:rsidR="00CD6EFF" w:rsidRPr="00C61ACB" w:rsidRDefault="00CD6EFF" w:rsidP="0030352E">
      <w:pPr>
        <w:spacing w:line="360" w:lineRule="auto"/>
        <w:rPr>
          <w:rFonts w:ascii="Arial" w:hAnsi="Arial" w:cs="Arial"/>
          <w:sz w:val="22"/>
          <w:szCs w:val="22"/>
        </w:rPr>
      </w:pPr>
    </w:p>
    <w:p w14:paraId="7AAB7FC6" w14:textId="77777777" w:rsidR="00CD6EFF" w:rsidRPr="00C61ACB" w:rsidRDefault="00CD6EFF" w:rsidP="0030352E">
      <w:pPr>
        <w:numPr>
          <w:ilvl w:val="0"/>
          <w:numId w:val="3"/>
        </w:numPr>
        <w:spacing w:line="360" w:lineRule="auto"/>
        <w:rPr>
          <w:rFonts w:ascii="Arial" w:hAnsi="Arial" w:cs="Arial"/>
          <w:sz w:val="22"/>
          <w:szCs w:val="22"/>
        </w:rPr>
      </w:pPr>
      <w:r>
        <w:rPr>
          <w:rFonts w:ascii="Arial" w:eastAsia="Arial" w:hAnsi="Arial"/>
          <w:sz w:val="22"/>
        </w:rPr>
        <w:t>Inclusion: peer-reviewed studies published in English from 2016 to 2026 that examine NHS waiting times and patient outcomes or experiences in the UK.</w:t>
      </w:r>
    </w:p>
    <w:p w14:paraId="2051D581" w14:textId="77777777" w:rsidR="00CD6EFF" w:rsidRPr="00C61ACB" w:rsidRDefault="00CD6EFF" w:rsidP="0030352E">
      <w:pPr>
        <w:numPr>
          <w:ilvl w:val="0"/>
          <w:numId w:val="3"/>
        </w:numPr>
        <w:spacing w:line="360" w:lineRule="auto"/>
        <w:rPr>
          <w:rFonts w:ascii="Arial" w:hAnsi="Arial" w:cs="Arial"/>
          <w:sz w:val="22"/>
          <w:szCs w:val="22"/>
        </w:rPr>
      </w:pPr>
      <w:r>
        <w:rPr>
          <w:rFonts w:ascii="Arial" w:eastAsia="Arial" w:hAnsi="Arial"/>
          <w:sz w:val="22"/>
        </w:rPr>
        <w:t>Exclusion: studies outside the UK, studies not focused on NHS waiting, non-peer-reviewed material, and publications that do not address patient outcomes or experiences.</w:t>
      </w:r>
      <w:r>
        <w:rPr>
          <w:rFonts w:ascii="Arial" w:eastAsia="Arial" w:hAnsi="Arial"/>
          <w:sz w:val="22"/>
        </w:rPr>
        <w:br/>
      </w:r>
    </w:p>
    <w:p w14:paraId="7E787207" w14:textId="77777777" w:rsidR="00CD6EFF" w:rsidRPr="00E130D5" w:rsidRDefault="00CD6EFF" w:rsidP="0030352E">
      <w:pPr>
        <w:spacing w:line="360" w:lineRule="auto"/>
        <w:rPr>
          <w:rFonts w:ascii="Arial" w:hAnsi="Arial" w:cs="Arial"/>
          <w:b/>
          <w:bCs/>
          <w:sz w:val="22"/>
          <w:szCs w:val="22"/>
        </w:rPr>
      </w:pPr>
      <w:r w:rsidRPr="00C61ACB">
        <w:rPr>
          <w:rFonts w:ascii="Arial" w:eastAsia="Arial" w:hAnsi="Arial" w:cs="Arial"/>
          <w:b/>
          <w:bCs/>
          <w:sz w:val="22"/>
          <w:szCs w:val="22"/>
        </w:rPr>
        <w:t>Data Collection and Analysis</w:t>
      </w:r>
    </w:p>
    <w:p w14:paraId="6DBB7146" w14:textId="77777777" w:rsidR="00CD6EFF" w:rsidRPr="00E130D5" w:rsidRDefault="00CD6EFF" w:rsidP="0030352E">
      <w:pPr>
        <w:numPr>
          <w:ilvl w:val="0"/>
          <w:numId w:val="4"/>
        </w:numPr>
        <w:spacing w:line="360" w:lineRule="auto"/>
        <w:rPr>
          <w:rFonts w:ascii="Arial" w:hAnsi="Arial" w:cs="Arial"/>
          <w:sz w:val="22"/>
          <w:szCs w:val="22"/>
        </w:rPr>
      </w:pPr>
      <w:r>
        <w:rPr>
          <w:rFonts w:ascii="Arial" w:eastAsia="Arial" w:hAnsi="Arial"/>
          <w:sz w:val="22"/>
        </w:rPr>
        <w:t xml:space="preserve">Search Strategy: CINAHL, MEDLINE, PubMed and Scopus will be searched using combinations of the terms in the table below. Boolean operators will be adapted to </w:t>
      </w:r>
      <w:r w:rsidRPr="00E130D5">
        <w:rPr>
          <w:rFonts w:ascii="Arial" w:eastAsia="Arial" w:hAnsi="Arial"/>
          <w:sz w:val="22"/>
          <w:szCs w:val="22"/>
        </w:rPr>
        <w:t>each database.</w:t>
      </w:r>
    </w:p>
    <w:tbl>
      <w:tblPr>
        <w:tblW w:w="0" w:type="auto"/>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4505"/>
        <w:gridCol w:w="4505"/>
      </w:tblGrid>
      <w:tr w:rsidR="00CD6EFF" w:rsidRPr="00E130D5" w14:paraId="2ED59A2F" w14:textId="77777777" w:rsidTr="008A67C5">
        <w:tc>
          <w:tcPr>
            <w:tcW w:w="4513" w:type="dxa"/>
          </w:tcPr>
          <w:p w14:paraId="4AF578A6" w14:textId="77777777" w:rsidR="00CD6EFF" w:rsidRPr="00E130D5" w:rsidRDefault="00CD6EFF" w:rsidP="0030352E">
            <w:pPr>
              <w:spacing w:line="360" w:lineRule="auto"/>
              <w:rPr>
                <w:sz w:val="22"/>
                <w:szCs w:val="22"/>
              </w:rPr>
            </w:pPr>
            <w:r w:rsidRPr="00E130D5">
              <w:rPr>
                <w:rFonts w:ascii="Arial" w:eastAsia="Arial" w:hAnsi="Arial"/>
                <w:sz w:val="22"/>
                <w:szCs w:val="22"/>
              </w:rPr>
              <w:t>Databases</w:t>
            </w:r>
          </w:p>
        </w:tc>
        <w:tc>
          <w:tcPr>
            <w:tcW w:w="4513" w:type="dxa"/>
          </w:tcPr>
          <w:p w14:paraId="462259A3" w14:textId="77777777" w:rsidR="00CD6EFF" w:rsidRPr="00E130D5" w:rsidRDefault="00CD6EFF" w:rsidP="0030352E">
            <w:pPr>
              <w:spacing w:line="360" w:lineRule="auto"/>
              <w:rPr>
                <w:sz w:val="22"/>
                <w:szCs w:val="22"/>
              </w:rPr>
            </w:pPr>
            <w:r w:rsidRPr="00E130D5">
              <w:rPr>
                <w:rFonts w:ascii="Arial" w:eastAsia="Arial" w:hAnsi="Arial"/>
                <w:sz w:val="22"/>
                <w:szCs w:val="22"/>
              </w:rPr>
              <w:t>Key search terms</w:t>
            </w:r>
          </w:p>
        </w:tc>
      </w:tr>
      <w:tr w:rsidR="00CD6EFF" w:rsidRPr="00E130D5" w14:paraId="175A62CF" w14:textId="77777777" w:rsidTr="008A67C5">
        <w:tc>
          <w:tcPr>
            <w:tcW w:w="4513" w:type="dxa"/>
          </w:tcPr>
          <w:p w14:paraId="5388B9FD" w14:textId="77777777" w:rsidR="00CD6EFF" w:rsidRPr="00E130D5" w:rsidRDefault="00CD6EFF" w:rsidP="0030352E">
            <w:pPr>
              <w:spacing w:line="360" w:lineRule="auto"/>
              <w:rPr>
                <w:sz w:val="22"/>
                <w:szCs w:val="22"/>
              </w:rPr>
            </w:pPr>
            <w:r w:rsidRPr="00E130D5">
              <w:rPr>
                <w:rFonts w:ascii="Arial" w:eastAsia="Arial" w:hAnsi="Arial"/>
                <w:sz w:val="22"/>
                <w:szCs w:val="22"/>
              </w:rPr>
              <w:t>CINAHL, MEDLINE, PubMed and Scopus</w:t>
            </w:r>
          </w:p>
        </w:tc>
        <w:tc>
          <w:tcPr>
            <w:tcW w:w="4513" w:type="dxa"/>
          </w:tcPr>
          <w:p w14:paraId="3F54129A" w14:textId="77777777" w:rsidR="00CD6EFF" w:rsidRPr="00E130D5" w:rsidRDefault="00CD6EFF" w:rsidP="0030352E">
            <w:pPr>
              <w:spacing w:line="360" w:lineRule="auto"/>
              <w:rPr>
                <w:sz w:val="22"/>
                <w:szCs w:val="22"/>
              </w:rPr>
            </w:pPr>
            <w:r w:rsidRPr="00E130D5">
              <w:rPr>
                <w:rFonts w:ascii="Arial" w:eastAsia="Arial" w:hAnsi="Arial"/>
                <w:sz w:val="22"/>
                <w:szCs w:val="22"/>
              </w:rPr>
              <w:t>(NHS OR “National Health Service”) AND (“waiting time*” OR “waiting list*” OR delay*) AND (patient* OR experience* OR outcome* OR wellbeing OR “quality of life”) AND (UK OR “United Kingdom”)</w:t>
            </w:r>
          </w:p>
        </w:tc>
      </w:tr>
    </w:tbl>
    <w:p w14:paraId="018D4FE8" w14:textId="77777777" w:rsidR="00CD6EFF" w:rsidRPr="00C61ACB" w:rsidRDefault="00CD6EFF" w:rsidP="0030352E">
      <w:pPr>
        <w:numPr>
          <w:ilvl w:val="0"/>
          <w:numId w:val="4"/>
        </w:numPr>
        <w:spacing w:line="360" w:lineRule="auto"/>
        <w:rPr>
          <w:rFonts w:ascii="Arial" w:hAnsi="Arial" w:cs="Arial"/>
          <w:sz w:val="22"/>
          <w:szCs w:val="22"/>
        </w:rPr>
      </w:pPr>
      <w:r>
        <w:rPr>
          <w:rFonts w:ascii="Arial" w:eastAsia="Arial" w:hAnsi="Arial"/>
          <w:sz w:val="22"/>
        </w:rPr>
        <w:t>Analysis: Aveyard’s (2014) simplified thematic analysis will guide the identification of recurring patterns. Findings will be charted in a data-extraction table, grouped by topic, and compared to develop themes and identify evidence gaps.</w:t>
      </w:r>
    </w:p>
    <w:p w14:paraId="253F2D4E" w14:textId="77777777" w:rsidR="00CD6EFF" w:rsidRPr="00C61ACB" w:rsidRDefault="00CD6EFF" w:rsidP="0030352E">
      <w:pPr>
        <w:numPr>
          <w:ilvl w:val="1"/>
          <w:numId w:val="5"/>
        </w:numPr>
        <w:spacing w:line="360" w:lineRule="auto"/>
        <w:rPr>
          <w:rFonts w:ascii="Arial" w:hAnsi="Arial" w:cs="Arial"/>
          <w:sz w:val="22"/>
          <w:szCs w:val="22"/>
        </w:rPr>
      </w:pPr>
      <w:r>
        <w:rPr>
          <w:rFonts w:ascii="Arial" w:eastAsia="Arial" w:hAnsi="Arial"/>
          <w:sz w:val="22"/>
        </w:rPr>
        <w:t>Extract study details, design, population and key findings.</w:t>
      </w:r>
    </w:p>
    <w:p w14:paraId="03B9E1C2" w14:textId="77777777" w:rsidR="00CD6EFF" w:rsidRPr="00C61ACB" w:rsidRDefault="00CD6EFF" w:rsidP="0030352E">
      <w:pPr>
        <w:numPr>
          <w:ilvl w:val="1"/>
          <w:numId w:val="5"/>
        </w:numPr>
        <w:spacing w:line="360" w:lineRule="auto"/>
        <w:rPr>
          <w:rFonts w:ascii="Arial" w:hAnsi="Arial" w:cs="Arial"/>
          <w:sz w:val="22"/>
          <w:szCs w:val="22"/>
        </w:rPr>
      </w:pPr>
      <w:r>
        <w:rPr>
          <w:rFonts w:ascii="Arial" w:eastAsia="Arial" w:hAnsi="Arial"/>
          <w:sz w:val="22"/>
        </w:rPr>
        <w:t>Code findings relating to health outcomes and patient experiences.</w:t>
      </w:r>
    </w:p>
    <w:p w14:paraId="0D1674FB" w14:textId="77777777" w:rsidR="00CD6EFF" w:rsidRPr="00E130D5" w:rsidRDefault="00CD6EFF" w:rsidP="0030352E">
      <w:pPr>
        <w:numPr>
          <w:ilvl w:val="1"/>
          <w:numId w:val="5"/>
        </w:numPr>
        <w:spacing w:line="360" w:lineRule="auto"/>
        <w:rPr>
          <w:rFonts w:ascii="Arial" w:hAnsi="Arial" w:cs="Arial"/>
          <w:sz w:val="22"/>
          <w:szCs w:val="22"/>
        </w:rPr>
      </w:pPr>
      <w:r>
        <w:rPr>
          <w:rFonts w:ascii="Arial" w:eastAsia="Arial" w:hAnsi="Arial"/>
          <w:sz w:val="22"/>
        </w:rPr>
        <w:t>Group similar codes into themes and report patterns and gaps.</w:t>
      </w:r>
      <w:r>
        <w:rPr>
          <w:rFonts w:ascii="Arial" w:hAnsi="Arial" w:cs="Arial"/>
          <w:sz w:val="22"/>
          <w:szCs w:val="22"/>
        </w:rPr>
        <w:br/>
      </w:r>
    </w:p>
    <w:p w14:paraId="3192846F" w14:textId="77777777" w:rsidR="00CD6EFF" w:rsidRPr="00E130D5" w:rsidRDefault="00CD6EFF" w:rsidP="0030352E">
      <w:pPr>
        <w:spacing w:line="360" w:lineRule="auto"/>
        <w:rPr>
          <w:rFonts w:ascii="Arial" w:hAnsi="Arial" w:cs="Arial"/>
          <w:b/>
          <w:bCs/>
          <w:sz w:val="22"/>
          <w:szCs w:val="22"/>
          <w:u w:val="single"/>
        </w:rPr>
      </w:pPr>
      <w:r w:rsidRPr="00C61ACB">
        <w:rPr>
          <w:rFonts w:ascii="Arial" w:eastAsia="Arial" w:hAnsi="Arial" w:cs="Arial"/>
          <w:b/>
          <w:bCs/>
          <w:sz w:val="22"/>
          <w:szCs w:val="22"/>
          <w:u w:val="single"/>
        </w:rPr>
        <w:t>Expected Outcomes</w:t>
      </w:r>
    </w:p>
    <w:p w14:paraId="5CEF5DD8" w14:textId="77777777" w:rsidR="00CD6EFF" w:rsidRPr="00C61ACB" w:rsidRDefault="00CD6EFF" w:rsidP="0030352E">
      <w:pPr>
        <w:spacing w:line="360" w:lineRule="auto"/>
        <w:rPr>
          <w:rFonts w:ascii="Arial" w:hAnsi="Arial" w:cs="Arial"/>
          <w:sz w:val="22"/>
          <w:szCs w:val="22"/>
        </w:rPr>
      </w:pPr>
      <w:r>
        <w:rPr>
          <w:rFonts w:ascii="Arial" w:eastAsia="Arial" w:hAnsi="Arial"/>
          <w:sz w:val="22"/>
        </w:rPr>
        <w:t>The review is expected to produce a thematic overview of how waiting affects patients’ health and experiences, alongside evidence gaps and practical implications for improving communication and support during waits.</w:t>
      </w:r>
      <w:r>
        <w:rPr>
          <w:rFonts w:ascii="Arial" w:hAnsi="Arial" w:cs="Arial"/>
          <w:sz w:val="22"/>
          <w:szCs w:val="22"/>
        </w:rPr>
        <w:br/>
      </w:r>
    </w:p>
    <w:p w14:paraId="65EFFC8C" w14:textId="77777777" w:rsidR="00CD6EFF" w:rsidRPr="00E130D5" w:rsidRDefault="00CD6EFF" w:rsidP="0030352E">
      <w:pPr>
        <w:spacing w:line="360" w:lineRule="auto"/>
        <w:rPr>
          <w:rFonts w:ascii="Arial" w:hAnsi="Arial" w:cs="Arial"/>
          <w:b/>
          <w:bCs/>
          <w:sz w:val="22"/>
          <w:szCs w:val="22"/>
          <w:u w:val="single"/>
        </w:rPr>
      </w:pPr>
      <w:r w:rsidRPr="00C61ACB">
        <w:rPr>
          <w:rFonts w:ascii="Arial" w:eastAsia="Arial" w:hAnsi="Arial" w:cs="Arial"/>
          <w:b/>
          <w:bCs/>
          <w:sz w:val="22"/>
          <w:szCs w:val="22"/>
          <w:u w:val="single"/>
        </w:rPr>
        <w:t>Ethical Considerations</w:t>
      </w:r>
      <w:r>
        <w:rPr>
          <w:rFonts w:ascii="Arial" w:hAnsi="Arial" w:cs="Arial"/>
          <w:b/>
          <w:bCs/>
          <w:sz w:val="22"/>
          <w:szCs w:val="22"/>
          <w:u w:val="single"/>
        </w:rPr>
        <w:br/>
      </w:r>
      <w:r>
        <w:rPr>
          <w:rFonts w:ascii="Arial" w:eastAsia="Arial" w:hAnsi="Arial"/>
          <w:sz w:val="22"/>
        </w:rPr>
        <w:t xml:space="preserve">As this is secondary research using published studies, direct participant recruitment is not </w:t>
      </w:r>
      <w:r>
        <w:rPr>
          <w:rFonts w:ascii="Arial" w:eastAsia="Arial" w:hAnsi="Arial"/>
          <w:sz w:val="22"/>
        </w:rPr>
        <w:lastRenderedPageBreak/>
        <w:t>required. Ethical practice will involve accurate representation of findings, proper Harvard referencing, transparent methods and avoiding plagiarism or selective reporting.</w:t>
      </w:r>
    </w:p>
    <w:p w14:paraId="42B87D8C" w14:textId="77777777" w:rsidR="00CD6EFF" w:rsidRPr="00C61ACB" w:rsidRDefault="00CD6EFF" w:rsidP="0030352E">
      <w:pPr>
        <w:spacing w:line="360" w:lineRule="auto"/>
        <w:rPr>
          <w:rFonts w:ascii="Arial" w:hAnsi="Arial" w:cs="Arial"/>
          <w:sz w:val="22"/>
          <w:szCs w:val="22"/>
          <w:u w:val="single"/>
        </w:rPr>
      </w:pPr>
    </w:p>
    <w:p w14:paraId="3AB532E9" w14:textId="77777777" w:rsidR="00CD6EFF" w:rsidRPr="00BD37B1" w:rsidRDefault="00CD6EFF" w:rsidP="0030352E">
      <w:pPr>
        <w:spacing w:line="360" w:lineRule="auto"/>
        <w:rPr>
          <w:rFonts w:ascii="Arial" w:hAnsi="Arial" w:cs="Arial"/>
          <w:b/>
          <w:bCs/>
          <w:sz w:val="22"/>
          <w:szCs w:val="22"/>
          <w:u w:val="single"/>
        </w:rPr>
      </w:pPr>
      <w:r w:rsidRPr="00BD37B1">
        <w:rPr>
          <w:rFonts w:ascii="Arial" w:eastAsia="Arial" w:hAnsi="Arial" w:cs="Arial"/>
          <w:b/>
          <w:bCs/>
          <w:sz w:val="22"/>
          <w:szCs w:val="22"/>
          <w:u w:val="single"/>
        </w:rPr>
        <w:t>References</w:t>
      </w:r>
    </w:p>
    <w:p w14:paraId="546EE052" w14:textId="77777777" w:rsidR="00CD6EFF" w:rsidRPr="00BD37B1" w:rsidRDefault="00CD6EFF" w:rsidP="0030352E">
      <w:pPr>
        <w:spacing w:line="360" w:lineRule="auto"/>
        <w:rPr>
          <w:rFonts w:ascii="Arial" w:hAnsi="Arial" w:cs="Arial"/>
          <w:sz w:val="22"/>
          <w:szCs w:val="22"/>
        </w:rPr>
      </w:pPr>
      <w:r w:rsidRPr="00BD37B1">
        <w:rPr>
          <w:rFonts w:ascii="Arial" w:hAnsi="Arial" w:cs="Arial"/>
          <w:sz w:val="22"/>
          <w:szCs w:val="22"/>
        </w:rPr>
        <w:t xml:space="preserve">Arksey, H. and O’Malley, L. (2005) ‘Scoping studies: towards a methodological framework’, </w:t>
      </w:r>
      <w:r w:rsidRPr="00BD37B1">
        <w:rPr>
          <w:rFonts w:ascii="Arial" w:hAnsi="Arial" w:cs="Arial"/>
          <w:i/>
          <w:iCs/>
          <w:sz w:val="22"/>
          <w:szCs w:val="22"/>
        </w:rPr>
        <w:t>International Journal of Social Research Methodology</w:t>
      </w:r>
      <w:r w:rsidRPr="00BD37B1">
        <w:rPr>
          <w:rFonts w:ascii="Arial" w:hAnsi="Arial" w:cs="Arial"/>
          <w:sz w:val="22"/>
          <w:szCs w:val="22"/>
        </w:rPr>
        <w:t xml:space="preserve">, 8(1), pp. 19–32. Available at: </w:t>
      </w:r>
      <w:hyperlink r:id="rId5" w:history="1">
        <w:r w:rsidRPr="00BD37B1">
          <w:rPr>
            <w:rStyle w:val="Hyperlink"/>
            <w:rFonts w:ascii="Arial" w:hAnsi="Arial" w:cs="Arial"/>
            <w:sz w:val="22"/>
            <w:szCs w:val="22"/>
          </w:rPr>
          <w:t>https://doi.org/10.1080/1364557032000119616</w:t>
        </w:r>
      </w:hyperlink>
      <w:r w:rsidRPr="00BD37B1">
        <w:rPr>
          <w:rFonts w:ascii="Arial" w:hAnsi="Arial" w:cs="Arial"/>
          <w:sz w:val="22"/>
          <w:szCs w:val="22"/>
        </w:rPr>
        <w:t>.</w:t>
      </w:r>
    </w:p>
    <w:p w14:paraId="3CA09529" w14:textId="77777777" w:rsidR="00CD6EFF" w:rsidRPr="00BD37B1" w:rsidRDefault="00CD6EFF" w:rsidP="0030352E">
      <w:pPr>
        <w:spacing w:line="360" w:lineRule="auto"/>
        <w:rPr>
          <w:rFonts w:ascii="Arial" w:hAnsi="Arial" w:cs="Arial"/>
          <w:sz w:val="22"/>
          <w:szCs w:val="22"/>
        </w:rPr>
      </w:pPr>
      <w:r w:rsidRPr="00BD37B1">
        <w:rPr>
          <w:rFonts w:ascii="Arial" w:hAnsi="Arial" w:cs="Arial"/>
          <w:sz w:val="22"/>
          <w:szCs w:val="22"/>
        </w:rPr>
        <w:t xml:space="preserve">Aveyard, H. (2014) </w:t>
      </w:r>
      <w:r w:rsidRPr="00BD37B1">
        <w:rPr>
          <w:rFonts w:ascii="Arial" w:hAnsi="Arial" w:cs="Arial"/>
          <w:i/>
          <w:iCs/>
          <w:sz w:val="22"/>
          <w:szCs w:val="22"/>
        </w:rPr>
        <w:t>Doing a Literature Review in Health and Social Care: A Practical Guide</w:t>
      </w:r>
      <w:r w:rsidRPr="00BD37B1">
        <w:rPr>
          <w:rFonts w:ascii="Arial" w:hAnsi="Arial" w:cs="Arial"/>
          <w:sz w:val="22"/>
          <w:szCs w:val="22"/>
        </w:rPr>
        <w:t xml:space="preserve">. 3rd </w:t>
      </w:r>
      <w:proofErr w:type="spellStart"/>
      <w:r w:rsidRPr="00BD37B1">
        <w:rPr>
          <w:rFonts w:ascii="Arial" w:hAnsi="Arial" w:cs="Arial"/>
          <w:sz w:val="22"/>
          <w:szCs w:val="22"/>
        </w:rPr>
        <w:t>edn</w:t>
      </w:r>
      <w:proofErr w:type="spellEnd"/>
      <w:r w:rsidRPr="00BD37B1">
        <w:rPr>
          <w:rFonts w:ascii="Arial" w:hAnsi="Arial" w:cs="Arial"/>
          <w:sz w:val="22"/>
          <w:szCs w:val="22"/>
        </w:rPr>
        <w:t>. Maidenhead: Open University Press.</w:t>
      </w:r>
    </w:p>
    <w:p w14:paraId="77872AE5" w14:textId="77777777" w:rsidR="00CD6EFF" w:rsidRPr="00BD37B1" w:rsidRDefault="00CD6EFF" w:rsidP="0030352E">
      <w:pPr>
        <w:spacing w:line="360" w:lineRule="auto"/>
        <w:rPr>
          <w:rFonts w:ascii="Arial" w:hAnsi="Arial" w:cs="Arial"/>
          <w:sz w:val="22"/>
          <w:szCs w:val="22"/>
        </w:rPr>
      </w:pPr>
      <w:r w:rsidRPr="00BD37B1">
        <w:rPr>
          <w:rFonts w:ascii="Arial" w:hAnsi="Arial" w:cs="Arial"/>
          <w:sz w:val="22"/>
          <w:szCs w:val="22"/>
        </w:rPr>
        <w:t xml:space="preserve">Chan, J. et al. (2025) ‘Patient experiences of waiting for orthopaedic care and priorities for “waiting well”: a qualitative study in a London NHS trust’, </w:t>
      </w:r>
      <w:r w:rsidRPr="00BD37B1">
        <w:rPr>
          <w:rFonts w:ascii="Arial" w:hAnsi="Arial" w:cs="Arial"/>
          <w:i/>
          <w:iCs/>
          <w:sz w:val="22"/>
          <w:szCs w:val="22"/>
        </w:rPr>
        <w:t>Archives of Public Health</w:t>
      </w:r>
      <w:r w:rsidRPr="00BD37B1">
        <w:rPr>
          <w:rFonts w:ascii="Arial" w:hAnsi="Arial" w:cs="Arial"/>
          <w:sz w:val="22"/>
          <w:szCs w:val="22"/>
        </w:rPr>
        <w:t xml:space="preserve">, 83, article 95. Available at: </w:t>
      </w:r>
      <w:hyperlink r:id="rId6" w:history="1">
        <w:r w:rsidRPr="00BD37B1">
          <w:rPr>
            <w:rStyle w:val="Hyperlink"/>
            <w:rFonts w:ascii="Arial" w:hAnsi="Arial" w:cs="Arial"/>
            <w:sz w:val="22"/>
            <w:szCs w:val="22"/>
          </w:rPr>
          <w:t>https://doi.org/10.1186/s13690-025-01578-4</w:t>
        </w:r>
      </w:hyperlink>
      <w:r w:rsidRPr="00BD37B1">
        <w:rPr>
          <w:rFonts w:ascii="Arial" w:hAnsi="Arial" w:cs="Arial"/>
          <w:sz w:val="22"/>
          <w:szCs w:val="22"/>
        </w:rPr>
        <w:t>.</w:t>
      </w:r>
    </w:p>
    <w:p w14:paraId="17858DB4" w14:textId="77777777" w:rsidR="00CD6EFF" w:rsidRPr="00BD37B1" w:rsidRDefault="00CD6EFF" w:rsidP="0030352E">
      <w:pPr>
        <w:spacing w:line="360" w:lineRule="auto"/>
        <w:rPr>
          <w:rFonts w:ascii="Arial" w:hAnsi="Arial" w:cs="Arial"/>
          <w:sz w:val="22"/>
          <w:szCs w:val="22"/>
        </w:rPr>
      </w:pPr>
      <w:r w:rsidRPr="00BD37B1">
        <w:rPr>
          <w:rFonts w:ascii="Arial" w:hAnsi="Arial" w:cs="Arial"/>
          <w:sz w:val="22"/>
          <w:szCs w:val="22"/>
        </w:rPr>
        <w:t xml:space="preserve">James, C., Denholm, R. and Wood, R. (2024) ‘The cost of keeping patients waiting: retrospective treatment-control study of additional healthcare utilisation for UK patients awaiting elective treatment’, </w:t>
      </w:r>
      <w:r w:rsidRPr="00BD37B1">
        <w:rPr>
          <w:rFonts w:ascii="Arial" w:hAnsi="Arial" w:cs="Arial"/>
          <w:i/>
          <w:iCs/>
          <w:sz w:val="22"/>
          <w:szCs w:val="22"/>
        </w:rPr>
        <w:t>BMC Health Services Research</w:t>
      </w:r>
      <w:r w:rsidRPr="00BD37B1">
        <w:rPr>
          <w:rFonts w:ascii="Arial" w:hAnsi="Arial" w:cs="Arial"/>
          <w:sz w:val="22"/>
          <w:szCs w:val="22"/>
        </w:rPr>
        <w:t xml:space="preserve">, 24, article 556. Available at: </w:t>
      </w:r>
      <w:hyperlink r:id="rId7" w:history="1">
        <w:r w:rsidRPr="00BD37B1">
          <w:rPr>
            <w:rStyle w:val="Hyperlink"/>
            <w:rFonts w:ascii="Arial" w:hAnsi="Arial" w:cs="Arial"/>
            <w:sz w:val="22"/>
            <w:szCs w:val="22"/>
          </w:rPr>
          <w:t>https://doi.org/10.1186/s12913-024-10931-2</w:t>
        </w:r>
      </w:hyperlink>
      <w:r w:rsidRPr="00BD37B1">
        <w:rPr>
          <w:rFonts w:ascii="Arial" w:hAnsi="Arial" w:cs="Arial"/>
          <w:sz w:val="22"/>
          <w:szCs w:val="22"/>
        </w:rPr>
        <w:t>.</w:t>
      </w:r>
    </w:p>
    <w:p w14:paraId="7999E544" w14:textId="77777777" w:rsidR="00CD6EFF" w:rsidRPr="00BD37B1" w:rsidRDefault="00CD6EFF" w:rsidP="0030352E">
      <w:pPr>
        <w:spacing w:line="360" w:lineRule="auto"/>
        <w:rPr>
          <w:rFonts w:ascii="Arial" w:hAnsi="Arial" w:cs="Arial"/>
          <w:sz w:val="22"/>
          <w:szCs w:val="22"/>
        </w:rPr>
      </w:pPr>
      <w:r w:rsidRPr="00BD37B1">
        <w:rPr>
          <w:rFonts w:ascii="Arial" w:hAnsi="Arial" w:cs="Arial"/>
          <w:sz w:val="22"/>
          <w:szCs w:val="22"/>
        </w:rPr>
        <w:t xml:space="preserve">NHS England (2026) ‘“Huge moment” as the health service hits 18-week target amid half-a-million waiting list drop’. Available at: </w:t>
      </w:r>
      <w:hyperlink r:id="rId8" w:history="1">
        <w:r w:rsidRPr="00BD37B1">
          <w:rPr>
            <w:rStyle w:val="Hyperlink"/>
            <w:rFonts w:ascii="Arial" w:hAnsi="Arial" w:cs="Arial"/>
            <w:sz w:val="22"/>
            <w:szCs w:val="22"/>
          </w:rPr>
          <w:t>https://www.england.nhs.uk/2026/05/health-service-hits-18-week-target-amid-half-million-waiting-list-drop/</w:t>
        </w:r>
      </w:hyperlink>
      <w:r w:rsidRPr="00BD37B1">
        <w:rPr>
          <w:rFonts w:ascii="Arial" w:hAnsi="Arial" w:cs="Arial"/>
          <w:sz w:val="22"/>
          <w:szCs w:val="22"/>
        </w:rPr>
        <w:t xml:space="preserve"> (Accessed: 10 October 2026).</w:t>
      </w:r>
    </w:p>
    <w:p w14:paraId="1FFD485B" w14:textId="77777777" w:rsidR="00CD6EFF" w:rsidRPr="00BD37B1" w:rsidRDefault="00CD6EFF" w:rsidP="0030352E">
      <w:pPr>
        <w:spacing w:line="360" w:lineRule="auto"/>
        <w:rPr>
          <w:rFonts w:ascii="Arial" w:hAnsi="Arial" w:cs="Arial"/>
          <w:sz w:val="22"/>
          <w:szCs w:val="22"/>
        </w:rPr>
      </w:pPr>
      <w:r w:rsidRPr="00BD37B1">
        <w:rPr>
          <w:rFonts w:ascii="Arial" w:hAnsi="Arial" w:cs="Arial"/>
          <w:sz w:val="22"/>
          <w:szCs w:val="22"/>
        </w:rPr>
        <w:t xml:space="preserve">Rivas, C. et al. (2025) ‘Towards a better understanding of NHS secondary and social care backlogs: qualitative perspectives on waiting lists, deferrals and delays by disabled people from minoritised ethnic groups’, </w:t>
      </w:r>
      <w:r w:rsidRPr="00BD37B1">
        <w:rPr>
          <w:rFonts w:ascii="Arial" w:hAnsi="Arial" w:cs="Arial"/>
          <w:i/>
          <w:iCs/>
          <w:sz w:val="22"/>
          <w:szCs w:val="22"/>
        </w:rPr>
        <w:t>BMJ Open</w:t>
      </w:r>
      <w:r w:rsidRPr="00BD37B1">
        <w:rPr>
          <w:rFonts w:ascii="Arial" w:hAnsi="Arial" w:cs="Arial"/>
          <w:sz w:val="22"/>
          <w:szCs w:val="22"/>
        </w:rPr>
        <w:t xml:space="preserve">, 15(4), article e091182. Available at: </w:t>
      </w:r>
      <w:hyperlink r:id="rId9" w:history="1">
        <w:r w:rsidRPr="00BD37B1">
          <w:rPr>
            <w:rStyle w:val="Hyperlink"/>
            <w:rFonts w:ascii="Arial" w:hAnsi="Arial" w:cs="Arial"/>
            <w:sz w:val="22"/>
            <w:szCs w:val="22"/>
          </w:rPr>
          <w:t>https://doi.org/10.1136/bmjopen-2024-091182</w:t>
        </w:r>
      </w:hyperlink>
      <w:r w:rsidRPr="00BD37B1">
        <w:rPr>
          <w:rFonts w:ascii="Arial" w:hAnsi="Arial" w:cs="Arial"/>
          <w:sz w:val="22"/>
          <w:szCs w:val="22"/>
        </w:rPr>
        <w:t>.</w:t>
      </w:r>
    </w:p>
    <w:p w14:paraId="52CD9F34" w14:textId="77777777" w:rsidR="00CD6EFF" w:rsidRPr="00BD37B1" w:rsidRDefault="00CD6EFF" w:rsidP="0030352E">
      <w:pPr>
        <w:spacing w:line="360" w:lineRule="auto"/>
        <w:rPr>
          <w:sz w:val="22"/>
          <w:szCs w:val="22"/>
        </w:rPr>
      </w:pPr>
    </w:p>
    <w:p w14:paraId="3561670E" w14:textId="77777777" w:rsidR="00CD6EFF" w:rsidRPr="00BD37B1" w:rsidRDefault="00CD6EFF" w:rsidP="0030352E">
      <w:pPr>
        <w:spacing w:line="360" w:lineRule="auto"/>
        <w:rPr>
          <w:rFonts w:ascii="Arial" w:hAnsi="Arial" w:cs="Arial"/>
          <w:sz w:val="22"/>
          <w:szCs w:val="22"/>
        </w:rPr>
      </w:pPr>
    </w:p>
    <w:p w14:paraId="353FB7F5" w14:textId="77777777" w:rsidR="002B5860" w:rsidRDefault="002B5860" w:rsidP="0030352E">
      <w:pPr>
        <w:spacing w:line="360" w:lineRule="auto"/>
      </w:pPr>
    </w:p>
    <w:sectPr w:rsidR="002B5860" w:rsidSect="00CD6E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018CC"/>
    <w:multiLevelType w:val="multilevel"/>
    <w:tmpl w:val="098821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046518"/>
    <w:multiLevelType w:val="multilevel"/>
    <w:tmpl w:val="3C946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9769011">
    <w:abstractNumId w:val="3"/>
  </w:num>
  <w:num w:numId="2" w16cid:durableId="2090687978">
    <w:abstractNumId w:val="2"/>
  </w:num>
  <w:num w:numId="3" w16cid:durableId="1913393191">
    <w:abstractNumId w:val="0"/>
  </w:num>
  <w:num w:numId="4" w16cid:durableId="1016731017">
    <w:abstractNumId w:val="4"/>
  </w:num>
  <w:num w:numId="5" w16cid:durableId="296491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860"/>
    <w:rsid w:val="002410CA"/>
    <w:rsid w:val="002B5860"/>
    <w:rsid w:val="002E7A4A"/>
    <w:rsid w:val="0030352E"/>
    <w:rsid w:val="003F381B"/>
    <w:rsid w:val="004265B8"/>
    <w:rsid w:val="00712169"/>
    <w:rsid w:val="00973094"/>
    <w:rsid w:val="00A12B44"/>
    <w:rsid w:val="00B03A87"/>
    <w:rsid w:val="00CD6EFF"/>
    <w:rsid w:val="00D26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50F68"/>
  <w15:chartTrackingRefBased/>
  <w15:docId w15:val="{F07F0BA8-E022-4FC7-B30B-DD6C5279B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EFF"/>
  </w:style>
  <w:style w:type="paragraph" w:styleId="Heading1">
    <w:name w:val="heading 1"/>
    <w:basedOn w:val="Normal"/>
    <w:next w:val="Normal"/>
    <w:link w:val="Heading1Char"/>
    <w:uiPriority w:val="9"/>
    <w:qFormat/>
    <w:rsid w:val="002B58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58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8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8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8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8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8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8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8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8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58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8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8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8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8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8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8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860"/>
    <w:rPr>
      <w:rFonts w:eastAsiaTheme="majorEastAsia" w:cstheme="majorBidi"/>
      <w:color w:val="272727" w:themeColor="text1" w:themeTint="D8"/>
    </w:rPr>
  </w:style>
  <w:style w:type="paragraph" w:styleId="Title">
    <w:name w:val="Title"/>
    <w:basedOn w:val="Normal"/>
    <w:next w:val="Normal"/>
    <w:link w:val="TitleChar"/>
    <w:uiPriority w:val="10"/>
    <w:qFormat/>
    <w:rsid w:val="002B58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8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8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8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860"/>
    <w:pPr>
      <w:spacing w:before="160"/>
      <w:jc w:val="center"/>
    </w:pPr>
    <w:rPr>
      <w:i/>
      <w:iCs/>
      <w:color w:val="404040" w:themeColor="text1" w:themeTint="BF"/>
    </w:rPr>
  </w:style>
  <w:style w:type="character" w:customStyle="1" w:styleId="QuoteChar">
    <w:name w:val="Quote Char"/>
    <w:basedOn w:val="DefaultParagraphFont"/>
    <w:link w:val="Quote"/>
    <w:uiPriority w:val="29"/>
    <w:rsid w:val="002B5860"/>
    <w:rPr>
      <w:i/>
      <w:iCs/>
      <w:color w:val="404040" w:themeColor="text1" w:themeTint="BF"/>
    </w:rPr>
  </w:style>
  <w:style w:type="paragraph" w:styleId="ListParagraph">
    <w:name w:val="List Paragraph"/>
    <w:basedOn w:val="Normal"/>
    <w:uiPriority w:val="34"/>
    <w:qFormat/>
    <w:rsid w:val="002B5860"/>
    <w:pPr>
      <w:ind w:left="720"/>
      <w:contextualSpacing/>
    </w:pPr>
  </w:style>
  <w:style w:type="character" w:styleId="IntenseEmphasis">
    <w:name w:val="Intense Emphasis"/>
    <w:basedOn w:val="DefaultParagraphFont"/>
    <w:uiPriority w:val="21"/>
    <w:qFormat/>
    <w:rsid w:val="002B5860"/>
    <w:rPr>
      <w:i/>
      <w:iCs/>
      <w:color w:val="0F4761" w:themeColor="accent1" w:themeShade="BF"/>
    </w:rPr>
  </w:style>
  <w:style w:type="paragraph" w:styleId="IntenseQuote">
    <w:name w:val="Intense Quote"/>
    <w:basedOn w:val="Normal"/>
    <w:next w:val="Normal"/>
    <w:link w:val="IntenseQuoteChar"/>
    <w:uiPriority w:val="30"/>
    <w:qFormat/>
    <w:rsid w:val="002B58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860"/>
    <w:rPr>
      <w:i/>
      <w:iCs/>
      <w:color w:val="0F4761" w:themeColor="accent1" w:themeShade="BF"/>
    </w:rPr>
  </w:style>
  <w:style w:type="character" w:styleId="IntenseReference">
    <w:name w:val="Intense Reference"/>
    <w:basedOn w:val="DefaultParagraphFont"/>
    <w:uiPriority w:val="32"/>
    <w:qFormat/>
    <w:rsid w:val="002B5860"/>
    <w:rPr>
      <w:b/>
      <w:bCs/>
      <w:smallCaps/>
      <w:color w:val="0F4761" w:themeColor="accent1" w:themeShade="BF"/>
      <w:spacing w:val="5"/>
    </w:rPr>
  </w:style>
  <w:style w:type="character" w:styleId="Hyperlink">
    <w:name w:val="Hyperlink"/>
    <w:basedOn w:val="DefaultParagraphFont"/>
    <w:uiPriority w:val="99"/>
    <w:unhideWhenUsed/>
    <w:rsid w:val="002B5860"/>
    <w:rPr>
      <w:color w:val="467886" w:themeColor="hyperlink"/>
      <w:u w:val="single"/>
    </w:rPr>
  </w:style>
  <w:style w:type="table" w:styleId="TableGrid">
    <w:name w:val="Table Grid"/>
    <w:basedOn w:val="TableNormal"/>
    <w:uiPriority w:val="39"/>
    <w:rsid w:val="002B58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73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2026/05/health-service-hits-18-week-target-amid-half-million-waiting-list-drop/" TargetMode="External"/><Relationship Id="rId3" Type="http://schemas.openxmlformats.org/officeDocument/2006/relationships/settings" Target="settings.xml"/><Relationship Id="rId7" Type="http://schemas.openxmlformats.org/officeDocument/2006/relationships/hyperlink" Target="https://doi.org/10.1186/s12913-024-10931-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86/s13690-025-01578-4" TargetMode="External"/><Relationship Id="rId11" Type="http://schemas.openxmlformats.org/officeDocument/2006/relationships/theme" Target="theme/theme1.xml"/><Relationship Id="rId5" Type="http://schemas.openxmlformats.org/officeDocument/2006/relationships/hyperlink" Target="https://doi.org/10.1080/1364557032000119616"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36/bmjopen-2024-0911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861</Words>
  <Characters>4908</Characters>
  <Application>Microsoft Office Word</Application>
  <DocSecurity>0</DocSecurity>
  <Lines>40</Lines>
  <Paragraphs>11</Paragraphs>
  <ScaleCrop>false</ScaleCrop>
  <Company/>
  <LinksUpToDate>false</LinksUpToDate>
  <CharactersWithSpaces>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Masih</dc:creator>
  <cp:keywords/>
  <dc:description/>
  <cp:lastModifiedBy>Kristina Masih</cp:lastModifiedBy>
  <cp:revision>11</cp:revision>
  <dcterms:created xsi:type="dcterms:W3CDTF">2026-10-12T20:07:00Z</dcterms:created>
  <dcterms:modified xsi:type="dcterms:W3CDTF">2026-10-12T21:12:00Z</dcterms:modified>
</cp:coreProperties>
</file>