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615B06" w14:textId="77777777" w:rsidR="00C44F77" w:rsidRDefault="000C17E4">
      <w:pPr>
        <w:jc w:val="center"/>
      </w:pPr>
      <w:r>
        <w:rPr>
          <w:b/>
          <w:noProof/>
        </w:rPr>
        <w:drawing>
          <wp:inline distT="0" distB="0" distL="0" distR="0" wp14:anchorId="4BF04130" wp14:editId="5B01BC6E">
            <wp:extent cx="2212975" cy="743585"/>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12975" cy="743585"/>
                    </a:xfrm>
                    <a:prstGeom prst="rect">
                      <a:avLst/>
                    </a:prstGeom>
                    <a:ln/>
                  </pic:spPr>
                </pic:pic>
              </a:graphicData>
            </a:graphic>
          </wp:inline>
        </w:drawing>
      </w:r>
    </w:p>
    <w:p w14:paraId="0BEDB28D" w14:textId="77777777" w:rsidR="00C44F77" w:rsidRDefault="00C44F77">
      <w:pPr>
        <w:rPr>
          <w:u w:val="single"/>
        </w:rPr>
      </w:pPr>
    </w:p>
    <w:p w14:paraId="38E775A2" w14:textId="77777777" w:rsidR="00C44F77" w:rsidRDefault="000C17E4">
      <w:pPr>
        <w:spacing w:after="165"/>
        <w:jc w:val="center"/>
        <w:rPr>
          <w:rFonts w:ascii="Tahoma" w:eastAsia="Tahoma" w:hAnsi="Tahoma" w:cs="Tahoma"/>
          <w:color w:val="000000"/>
          <w:sz w:val="40"/>
          <w:szCs w:val="40"/>
        </w:rPr>
      </w:pPr>
      <w:r>
        <w:rPr>
          <w:rFonts w:ascii="Tahoma" w:eastAsia="Tahoma" w:hAnsi="Tahoma" w:cs="Tahoma"/>
          <w:color w:val="000000"/>
          <w:sz w:val="40"/>
          <w:szCs w:val="40"/>
        </w:rPr>
        <w:t xml:space="preserve">Module Assignment Submission </w:t>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438"/>
        <w:gridCol w:w="6055"/>
      </w:tblGrid>
      <w:tr w:rsidR="00C44F77" w14:paraId="1025A491"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tcPr>
          <w:p w14:paraId="22989A5A" w14:textId="77777777" w:rsidR="00C44F77" w:rsidRDefault="000C17E4">
            <w:pPr>
              <w:spacing w:before="120" w:after="120"/>
              <w:rPr>
                <w:rFonts w:ascii="Tahoma" w:eastAsia="Tahoma" w:hAnsi="Tahoma" w:cs="Tahoma"/>
                <w:sz w:val="32"/>
                <w:szCs w:val="32"/>
              </w:rPr>
            </w:pPr>
            <w:r>
              <w:rPr>
                <w:rFonts w:ascii="Tahoma" w:eastAsia="Tahoma" w:hAnsi="Tahoma" w:cs="Tahoma"/>
                <w:sz w:val="32"/>
                <w:szCs w:val="32"/>
              </w:rPr>
              <w:t>Student Name:</w:t>
            </w:r>
          </w:p>
        </w:tc>
        <w:tc>
          <w:tcPr>
            <w:tcW w:w="6055" w:type="dxa"/>
            <w:tcBorders>
              <w:top w:val="single" w:sz="4" w:space="0" w:color="000000"/>
              <w:left w:val="single" w:sz="4" w:space="0" w:color="000000"/>
              <w:bottom w:val="single" w:sz="4" w:space="0" w:color="000000"/>
              <w:right w:val="single" w:sz="4" w:space="0" w:color="000000"/>
            </w:tcBorders>
          </w:tcPr>
          <w:p w14:paraId="536621A5" w14:textId="7EC0E7DE" w:rsidR="00C44F77" w:rsidRDefault="007C1172">
            <w:pPr>
              <w:spacing w:before="120" w:after="120"/>
              <w:rPr>
                <w:rFonts w:ascii="Tahoma" w:eastAsia="Tahoma" w:hAnsi="Tahoma" w:cs="Tahoma"/>
                <w:sz w:val="32"/>
                <w:szCs w:val="32"/>
              </w:rPr>
            </w:pPr>
            <w:r>
              <w:rPr>
                <w:rFonts w:ascii="Tahoma" w:eastAsia="Tahoma" w:hAnsi="Tahoma" w:cs="Tahoma"/>
                <w:sz w:val="32"/>
                <w:szCs w:val="32"/>
              </w:rPr>
              <w:t>Kostadin Dimitrov Kostov</w:t>
            </w:r>
          </w:p>
        </w:tc>
      </w:tr>
      <w:tr w:rsidR="00C44F77" w14:paraId="1B90050A"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tcPr>
          <w:p w14:paraId="0F26F830" w14:textId="77777777" w:rsidR="00C44F77" w:rsidRDefault="000C17E4">
            <w:pPr>
              <w:spacing w:before="120" w:after="120"/>
              <w:rPr>
                <w:rFonts w:ascii="Tahoma" w:eastAsia="Tahoma" w:hAnsi="Tahoma" w:cs="Tahoma"/>
                <w:sz w:val="32"/>
                <w:szCs w:val="32"/>
              </w:rPr>
            </w:pPr>
            <w:r>
              <w:rPr>
                <w:rFonts w:ascii="Tahoma" w:eastAsia="Tahoma" w:hAnsi="Tahoma" w:cs="Tahoma"/>
                <w:sz w:val="32"/>
                <w:szCs w:val="32"/>
              </w:rPr>
              <w:t>Student Number:</w:t>
            </w:r>
          </w:p>
        </w:tc>
        <w:tc>
          <w:tcPr>
            <w:tcW w:w="6055" w:type="dxa"/>
            <w:tcBorders>
              <w:top w:val="single" w:sz="4" w:space="0" w:color="000000"/>
              <w:left w:val="single" w:sz="4" w:space="0" w:color="000000"/>
              <w:bottom w:val="single" w:sz="4" w:space="0" w:color="000000"/>
              <w:right w:val="single" w:sz="4" w:space="0" w:color="000000"/>
            </w:tcBorders>
          </w:tcPr>
          <w:p w14:paraId="650C150A" w14:textId="61528BB3" w:rsidR="00C44F77" w:rsidRDefault="007C1172">
            <w:pPr>
              <w:spacing w:before="120" w:after="120"/>
              <w:rPr>
                <w:rFonts w:ascii="Tahoma" w:eastAsia="Tahoma" w:hAnsi="Tahoma" w:cs="Tahoma"/>
                <w:sz w:val="32"/>
                <w:szCs w:val="32"/>
              </w:rPr>
            </w:pPr>
            <w:r>
              <w:rPr>
                <w:rFonts w:ascii="Tahoma" w:eastAsia="Tahoma" w:hAnsi="Tahoma" w:cs="Tahoma"/>
                <w:sz w:val="32"/>
                <w:szCs w:val="32"/>
              </w:rPr>
              <w:t>2115193</w:t>
            </w:r>
          </w:p>
        </w:tc>
      </w:tr>
      <w:tr w:rsidR="00C44F77" w14:paraId="4A6ED4B4"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tcPr>
          <w:p w14:paraId="7F1E1364" w14:textId="77777777" w:rsidR="00C44F77" w:rsidRDefault="000C17E4">
            <w:pPr>
              <w:spacing w:before="120" w:after="120"/>
              <w:rPr>
                <w:rFonts w:ascii="Tahoma" w:eastAsia="Tahoma" w:hAnsi="Tahoma" w:cs="Tahoma"/>
                <w:sz w:val="32"/>
                <w:szCs w:val="32"/>
              </w:rPr>
            </w:pPr>
            <w:r>
              <w:rPr>
                <w:rFonts w:ascii="Tahoma" w:eastAsia="Tahoma" w:hAnsi="Tahoma" w:cs="Tahoma"/>
                <w:sz w:val="32"/>
                <w:szCs w:val="32"/>
              </w:rPr>
              <w:t>Module No:</w:t>
            </w:r>
          </w:p>
        </w:tc>
        <w:tc>
          <w:tcPr>
            <w:tcW w:w="6055" w:type="dxa"/>
            <w:tcBorders>
              <w:top w:val="single" w:sz="4" w:space="0" w:color="000000"/>
              <w:left w:val="single" w:sz="4" w:space="0" w:color="000000"/>
              <w:bottom w:val="single" w:sz="4" w:space="0" w:color="000000"/>
              <w:right w:val="single" w:sz="4" w:space="0" w:color="000000"/>
            </w:tcBorders>
          </w:tcPr>
          <w:p w14:paraId="3FDADD76" w14:textId="21A31E7D" w:rsidR="00C44F77" w:rsidRDefault="007C1172">
            <w:pPr>
              <w:spacing w:before="120" w:after="120"/>
              <w:rPr>
                <w:rFonts w:ascii="Tahoma" w:eastAsia="Tahoma" w:hAnsi="Tahoma" w:cs="Tahoma"/>
                <w:color w:val="FF0000"/>
                <w:sz w:val="32"/>
                <w:szCs w:val="32"/>
              </w:rPr>
            </w:pPr>
            <w:r w:rsidRPr="007C1172">
              <w:rPr>
                <w:rFonts w:ascii="Tahoma" w:eastAsia="Tahoma" w:hAnsi="Tahoma" w:cs="Tahoma"/>
                <w:sz w:val="32"/>
                <w:szCs w:val="32"/>
              </w:rPr>
              <w:t>LCBB4002</w:t>
            </w:r>
          </w:p>
        </w:tc>
      </w:tr>
      <w:tr w:rsidR="00C44F77" w14:paraId="3648443F" w14:textId="77777777">
        <w:trPr>
          <w:trHeight w:val="400"/>
        </w:trPr>
        <w:tc>
          <w:tcPr>
            <w:tcW w:w="3438" w:type="dxa"/>
            <w:tcBorders>
              <w:top w:val="single" w:sz="4" w:space="0" w:color="000000"/>
              <w:left w:val="single" w:sz="4" w:space="0" w:color="000000"/>
              <w:bottom w:val="single" w:sz="4" w:space="0" w:color="000000"/>
              <w:right w:val="single" w:sz="4" w:space="0" w:color="000000"/>
            </w:tcBorders>
            <w:shd w:val="clear" w:color="auto" w:fill="D9D9D9"/>
          </w:tcPr>
          <w:p w14:paraId="18E2D941" w14:textId="77777777" w:rsidR="00C44F77" w:rsidRDefault="000C17E4">
            <w:pPr>
              <w:spacing w:before="120" w:after="120"/>
              <w:rPr>
                <w:rFonts w:ascii="Tahoma" w:eastAsia="Tahoma" w:hAnsi="Tahoma" w:cs="Tahoma"/>
                <w:sz w:val="32"/>
                <w:szCs w:val="32"/>
              </w:rPr>
            </w:pPr>
            <w:r>
              <w:rPr>
                <w:rFonts w:ascii="Tahoma" w:eastAsia="Tahoma" w:hAnsi="Tahoma" w:cs="Tahoma"/>
                <w:sz w:val="32"/>
                <w:szCs w:val="32"/>
              </w:rPr>
              <w:t>Module Title:</w:t>
            </w:r>
          </w:p>
        </w:tc>
        <w:tc>
          <w:tcPr>
            <w:tcW w:w="6055" w:type="dxa"/>
            <w:tcBorders>
              <w:top w:val="single" w:sz="4" w:space="0" w:color="000000"/>
              <w:left w:val="single" w:sz="4" w:space="0" w:color="000000"/>
              <w:bottom w:val="single" w:sz="4" w:space="0" w:color="000000"/>
              <w:right w:val="single" w:sz="4" w:space="0" w:color="000000"/>
            </w:tcBorders>
          </w:tcPr>
          <w:p w14:paraId="51B5609D" w14:textId="01679BF6" w:rsidR="00C44F77" w:rsidRDefault="000C17E4">
            <w:pPr>
              <w:spacing w:before="120" w:after="120"/>
              <w:rPr>
                <w:rFonts w:ascii="Tahoma" w:eastAsia="Tahoma" w:hAnsi="Tahoma" w:cs="Tahoma"/>
                <w:color w:val="FF0000"/>
                <w:sz w:val="32"/>
                <w:szCs w:val="32"/>
              </w:rPr>
            </w:pPr>
            <w:r>
              <w:rPr>
                <w:rFonts w:ascii="Tahoma" w:eastAsia="Tahoma" w:hAnsi="Tahoma" w:cs="Tahoma"/>
                <w:color w:val="FF0000"/>
                <w:sz w:val="32"/>
                <w:szCs w:val="32"/>
              </w:rPr>
              <w:t xml:space="preserve"> </w:t>
            </w:r>
            <w:r w:rsidR="007C1172" w:rsidRPr="007C1172">
              <w:rPr>
                <w:rFonts w:ascii="Tahoma" w:eastAsia="Tahoma" w:hAnsi="Tahoma" w:cs="Tahoma"/>
                <w:sz w:val="32"/>
                <w:szCs w:val="32"/>
              </w:rPr>
              <w:t>Community Engagent</w:t>
            </w:r>
            <w:r w:rsidR="007C1172">
              <w:rPr>
                <w:rFonts w:ascii="Tahoma" w:eastAsia="Tahoma" w:hAnsi="Tahoma" w:cs="Tahoma"/>
                <w:sz w:val="32"/>
                <w:szCs w:val="32"/>
              </w:rPr>
              <w:t xml:space="preserve"> A2 Reflection</w:t>
            </w:r>
          </w:p>
        </w:tc>
      </w:tr>
    </w:tbl>
    <w:p w14:paraId="0D6EFD3B" w14:textId="77777777" w:rsidR="00C44F77" w:rsidRDefault="00C44F77">
      <w:pPr>
        <w:rPr>
          <w:u w:val="single"/>
        </w:rPr>
      </w:pPr>
    </w:p>
    <w:p w14:paraId="75F579D3" w14:textId="77777777" w:rsidR="00C44F77" w:rsidRDefault="00C44F77">
      <w:pPr>
        <w:rPr>
          <w:b/>
          <w:sz w:val="28"/>
          <w:szCs w:val="28"/>
        </w:rPr>
      </w:pPr>
    </w:p>
    <w:p w14:paraId="654F9919" w14:textId="77777777" w:rsidR="00C44F77" w:rsidRDefault="00C44F77"/>
    <w:p w14:paraId="39B14141" w14:textId="77777777" w:rsidR="00C44F77" w:rsidRDefault="00C44F77">
      <w:pPr>
        <w:jc w:val="both"/>
        <w:rPr>
          <w:rFonts w:ascii="Times New Roman" w:eastAsia="Times New Roman" w:hAnsi="Times New Roman" w:cs="Times New Roman"/>
          <w:b/>
          <w:sz w:val="32"/>
          <w:szCs w:val="32"/>
        </w:rPr>
      </w:pPr>
    </w:p>
    <w:p w14:paraId="6021270A" w14:textId="77777777" w:rsidR="00C44F77" w:rsidRDefault="00C44F77">
      <w:pPr>
        <w:jc w:val="both"/>
        <w:rPr>
          <w:rFonts w:ascii="Times New Roman" w:eastAsia="Times New Roman" w:hAnsi="Times New Roman" w:cs="Times New Roman"/>
          <w:b/>
          <w:sz w:val="32"/>
          <w:szCs w:val="32"/>
        </w:rPr>
      </w:pPr>
    </w:p>
    <w:p w14:paraId="72E38EF6" w14:textId="77777777" w:rsidR="00C44F77" w:rsidRDefault="00C44F77">
      <w:pPr>
        <w:jc w:val="both"/>
        <w:rPr>
          <w:rFonts w:ascii="Times New Roman" w:eastAsia="Times New Roman" w:hAnsi="Times New Roman" w:cs="Times New Roman"/>
          <w:b/>
          <w:sz w:val="32"/>
          <w:szCs w:val="32"/>
        </w:rPr>
      </w:pPr>
    </w:p>
    <w:p w14:paraId="1EF05587" w14:textId="77777777" w:rsidR="00C44F77" w:rsidRDefault="000C17E4">
      <w:pPr>
        <w:jc w:val="both"/>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p>
    <w:p w14:paraId="050DCDB9" w14:textId="77777777" w:rsidR="00C44F77" w:rsidRDefault="00C44F77">
      <w:pPr>
        <w:jc w:val="both"/>
        <w:rPr>
          <w:rFonts w:ascii="Times New Roman" w:eastAsia="Times New Roman" w:hAnsi="Times New Roman" w:cs="Times New Roman"/>
          <w:b/>
          <w:sz w:val="32"/>
          <w:szCs w:val="32"/>
        </w:rPr>
      </w:pPr>
    </w:p>
    <w:p w14:paraId="7D99F617" w14:textId="77777777" w:rsidR="00C44F77" w:rsidRDefault="00C44F77">
      <w:pPr>
        <w:jc w:val="both"/>
        <w:rPr>
          <w:rFonts w:ascii="Times New Roman" w:eastAsia="Times New Roman" w:hAnsi="Times New Roman" w:cs="Times New Roman"/>
          <w:b/>
          <w:sz w:val="32"/>
          <w:szCs w:val="32"/>
        </w:rPr>
      </w:pPr>
    </w:p>
    <w:p w14:paraId="1682BFED" w14:textId="77777777" w:rsidR="00C44F77" w:rsidRDefault="00C44F77">
      <w:pPr>
        <w:jc w:val="both"/>
        <w:rPr>
          <w:rFonts w:ascii="Times New Roman" w:eastAsia="Times New Roman" w:hAnsi="Times New Roman" w:cs="Times New Roman"/>
          <w:b/>
          <w:sz w:val="32"/>
          <w:szCs w:val="32"/>
        </w:rPr>
      </w:pPr>
    </w:p>
    <w:p w14:paraId="3109AC68" w14:textId="77777777" w:rsidR="00C44F77" w:rsidRDefault="00C44F77">
      <w:pPr>
        <w:jc w:val="both"/>
        <w:rPr>
          <w:rFonts w:ascii="Times New Roman" w:eastAsia="Times New Roman" w:hAnsi="Times New Roman" w:cs="Times New Roman"/>
          <w:b/>
          <w:sz w:val="32"/>
          <w:szCs w:val="32"/>
        </w:rPr>
      </w:pPr>
    </w:p>
    <w:p w14:paraId="5B27EC4B" w14:textId="77777777" w:rsidR="00C44F77" w:rsidRDefault="00C44F77">
      <w:pPr>
        <w:jc w:val="both"/>
        <w:rPr>
          <w:rFonts w:ascii="Times New Roman" w:eastAsia="Times New Roman" w:hAnsi="Times New Roman" w:cs="Times New Roman"/>
          <w:b/>
          <w:sz w:val="32"/>
          <w:szCs w:val="32"/>
        </w:rPr>
      </w:pPr>
    </w:p>
    <w:p w14:paraId="25A0E346" w14:textId="77777777" w:rsidR="00C44F77" w:rsidRDefault="00C44F77">
      <w:pPr>
        <w:jc w:val="both"/>
        <w:rPr>
          <w:rFonts w:ascii="Times New Roman" w:eastAsia="Times New Roman" w:hAnsi="Times New Roman" w:cs="Times New Roman"/>
          <w:b/>
          <w:sz w:val="32"/>
          <w:szCs w:val="32"/>
        </w:rPr>
      </w:pPr>
    </w:p>
    <w:p w14:paraId="283BA8BB" w14:textId="77777777" w:rsidR="00C44F77" w:rsidRDefault="00C44F77">
      <w:pPr>
        <w:jc w:val="both"/>
        <w:rPr>
          <w:rFonts w:ascii="Times New Roman" w:eastAsia="Times New Roman" w:hAnsi="Times New Roman" w:cs="Times New Roman"/>
          <w:b/>
          <w:sz w:val="32"/>
          <w:szCs w:val="32"/>
        </w:rPr>
      </w:pPr>
    </w:p>
    <w:p w14:paraId="13C4DF89" w14:textId="77777777" w:rsidR="00C44F77" w:rsidRDefault="00C44F77">
      <w:pPr>
        <w:jc w:val="both"/>
        <w:rPr>
          <w:rFonts w:ascii="Times New Roman" w:eastAsia="Times New Roman" w:hAnsi="Times New Roman" w:cs="Times New Roman"/>
          <w:b/>
          <w:sz w:val="32"/>
          <w:szCs w:val="32"/>
        </w:rPr>
      </w:pPr>
    </w:p>
    <w:p w14:paraId="02C036D5" w14:textId="77777777" w:rsidR="00C44F77" w:rsidRDefault="00C44F77">
      <w:pPr>
        <w:jc w:val="both"/>
        <w:rPr>
          <w:rFonts w:ascii="Times New Roman" w:eastAsia="Times New Roman" w:hAnsi="Times New Roman" w:cs="Times New Roman"/>
          <w:b/>
          <w:color w:val="2E75B5"/>
          <w:sz w:val="32"/>
          <w:szCs w:val="32"/>
        </w:rPr>
      </w:pPr>
    </w:p>
    <w:p w14:paraId="2304355D" w14:textId="77777777" w:rsidR="00C44F77" w:rsidRDefault="000C17E4">
      <w:pPr>
        <w:keepNext/>
        <w:keepLines/>
        <w:pBdr>
          <w:top w:val="nil"/>
          <w:left w:val="nil"/>
          <w:bottom w:val="nil"/>
          <w:right w:val="nil"/>
          <w:between w:val="nil"/>
        </w:pBdr>
        <w:spacing w:before="240" w:after="0"/>
        <w:rPr>
          <w:rFonts w:ascii="Times New Roman" w:eastAsia="Times New Roman" w:hAnsi="Times New Roman" w:cs="Times New Roman"/>
          <w:b/>
          <w:i/>
          <w:color w:val="2E75B5"/>
          <w:sz w:val="32"/>
          <w:szCs w:val="32"/>
        </w:rPr>
      </w:pPr>
      <w:r>
        <w:rPr>
          <w:rFonts w:ascii="Times New Roman" w:eastAsia="Times New Roman" w:hAnsi="Times New Roman" w:cs="Times New Roman"/>
          <w:b/>
          <w:i/>
          <w:color w:val="2E75B5"/>
          <w:sz w:val="32"/>
          <w:szCs w:val="32"/>
        </w:rPr>
        <w:t>Contents</w:t>
      </w:r>
    </w:p>
    <w:sdt>
      <w:sdtPr>
        <w:id w:val="-657062889"/>
        <w:docPartObj>
          <w:docPartGallery w:val="Table of Contents"/>
          <w:docPartUnique/>
        </w:docPartObj>
      </w:sdtPr>
      <w:sdtEndPr/>
      <w:sdtContent>
        <w:p w14:paraId="737FFC2A" w14:textId="77777777" w:rsidR="00C44F77" w:rsidRDefault="000C17E4">
          <w:pPr>
            <w:pBdr>
              <w:top w:val="nil"/>
              <w:left w:val="nil"/>
              <w:bottom w:val="nil"/>
              <w:right w:val="nil"/>
              <w:between w:val="nil"/>
            </w:pBdr>
            <w:tabs>
              <w:tab w:val="right" w:pos="9350"/>
            </w:tabs>
            <w:spacing w:after="100"/>
            <w:rPr>
              <w:color w:val="000000"/>
            </w:rPr>
          </w:pPr>
          <w:r>
            <w:fldChar w:fldCharType="begin"/>
          </w:r>
          <w:r>
            <w:instrText xml:space="preserve"> TOC \h \u \z </w:instrText>
          </w:r>
          <w:r>
            <w:fldChar w:fldCharType="separate"/>
          </w:r>
          <w:hyperlink w:anchor="_gjdgxs">
            <w:r>
              <w:rPr>
                <w:color w:val="000000"/>
              </w:rPr>
              <w:t>Introduction</w:t>
            </w:r>
            <w:r>
              <w:rPr>
                <w:color w:val="000000"/>
              </w:rPr>
              <w:tab/>
              <w:t>3</w:t>
            </w:r>
          </w:hyperlink>
        </w:p>
        <w:p w14:paraId="0FF9BDC3" w14:textId="77777777" w:rsidR="00C44F77" w:rsidRDefault="000C17E4">
          <w:pPr>
            <w:pBdr>
              <w:top w:val="nil"/>
              <w:left w:val="nil"/>
              <w:bottom w:val="nil"/>
              <w:right w:val="nil"/>
              <w:between w:val="nil"/>
            </w:pBdr>
            <w:tabs>
              <w:tab w:val="right" w:pos="9350"/>
            </w:tabs>
            <w:spacing w:after="100"/>
            <w:rPr>
              <w:color w:val="000000"/>
            </w:rPr>
          </w:pPr>
          <w:hyperlink w:anchor="_30j0zll">
            <w:r>
              <w:rPr>
                <w:color w:val="000000"/>
              </w:rPr>
              <w:t>Reflecting on my Learning Experience</w:t>
            </w:r>
            <w:r>
              <w:rPr>
                <w:color w:val="000000"/>
              </w:rPr>
              <w:tab/>
              <w:t>3</w:t>
            </w:r>
          </w:hyperlink>
        </w:p>
        <w:p w14:paraId="7AF1A7E5" w14:textId="77777777" w:rsidR="00C44F77" w:rsidRDefault="000C17E4">
          <w:pPr>
            <w:pBdr>
              <w:top w:val="nil"/>
              <w:left w:val="nil"/>
              <w:bottom w:val="nil"/>
              <w:right w:val="nil"/>
              <w:between w:val="nil"/>
            </w:pBdr>
            <w:tabs>
              <w:tab w:val="right" w:pos="9350"/>
            </w:tabs>
            <w:spacing w:after="100"/>
            <w:rPr>
              <w:color w:val="000000"/>
            </w:rPr>
          </w:pPr>
          <w:hyperlink w:anchor="_1fob9te">
            <w:r>
              <w:rPr>
                <w:color w:val="000000"/>
              </w:rPr>
              <w:t>Description</w:t>
            </w:r>
            <w:r>
              <w:rPr>
                <w:color w:val="000000"/>
              </w:rPr>
              <w:tab/>
              <w:t>4</w:t>
            </w:r>
          </w:hyperlink>
        </w:p>
        <w:p w14:paraId="23C2F607" w14:textId="77777777" w:rsidR="00C44F77" w:rsidRDefault="000C17E4">
          <w:pPr>
            <w:pBdr>
              <w:top w:val="nil"/>
              <w:left w:val="nil"/>
              <w:bottom w:val="nil"/>
              <w:right w:val="nil"/>
              <w:between w:val="nil"/>
            </w:pBdr>
            <w:tabs>
              <w:tab w:val="right" w:pos="9350"/>
            </w:tabs>
            <w:spacing w:after="100"/>
            <w:rPr>
              <w:color w:val="000000"/>
            </w:rPr>
          </w:pPr>
          <w:hyperlink w:anchor="_3znysh7">
            <w:r>
              <w:rPr>
                <w:color w:val="000000"/>
              </w:rPr>
              <w:t>Feelings</w:t>
            </w:r>
            <w:r>
              <w:rPr>
                <w:color w:val="000000"/>
              </w:rPr>
              <w:tab/>
              <w:t>5</w:t>
            </w:r>
          </w:hyperlink>
        </w:p>
        <w:p w14:paraId="09652B82" w14:textId="77777777" w:rsidR="00C44F77" w:rsidRDefault="000C17E4">
          <w:pPr>
            <w:pBdr>
              <w:top w:val="nil"/>
              <w:left w:val="nil"/>
              <w:bottom w:val="nil"/>
              <w:right w:val="nil"/>
              <w:between w:val="nil"/>
            </w:pBdr>
            <w:tabs>
              <w:tab w:val="right" w:pos="9350"/>
            </w:tabs>
            <w:spacing w:after="100"/>
            <w:rPr>
              <w:color w:val="000000"/>
            </w:rPr>
          </w:pPr>
          <w:hyperlink w:anchor="_2et92p0">
            <w:r>
              <w:rPr>
                <w:color w:val="000000"/>
              </w:rPr>
              <w:t>Evaluation</w:t>
            </w:r>
            <w:r>
              <w:rPr>
                <w:color w:val="000000"/>
              </w:rPr>
              <w:tab/>
              <w:t>5</w:t>
            </w:r>
          </w:hyperlink>
        </w:p>
        <w:p w14:paraId="0942E037" w14:textId="77777777" w:rsidR="00C44F77" w:rsidRDefault="000C17E4">
          <w:pPr>
            <w:pBdr>
              <w:top w:val="nil"/>
              <w:left w:val="nil"/>
              <w:bottom w:val="nil"/>
              <w:right w:val="nil"/>
              <w:between w:val="nil"/>
            </w:pBdr>
            <w:tabs>
              <w:tab w:val="right" w:pos="9350"/>
            </w:tabs>
            <w:spacing w:after="100"/>
            <w:rPr>
              <w:color w:val="000000"/>
            </w:rPr>
          </w:pPr>
          <w:hyperlink w:anchor="_tyjcwt">
            <w:r>
              <w:rPr>
                <w:color w:val="000000"/>
              </w:rPr>
              <w:t>Analysis</w:t>
            </w:r>
            <w:r>
              <w:rPr>
                <w:color w:val="000000"/>
              </w:rPr>
              <w:tab/>
              <w:t>6</w:t>
            </w:r>
          </w:hyperlink>
        </w:p>
        <w:p w14:paraId="65A0441E" w14:textId="77777777" w:rsidR="00C44F77" w:rsidRDefault="000C17E4">
          <w:pPr>
            <w:pBdr>
              <w:top w:val="nil"/>
              <w:left w:val="nil"/>
              <w:bottom w:val="nil"/>
              <w:right w:val="nil"/>
              <w:between w:val="nil"/>
            </w:pBdr>
            <w:tabs>
              <w:tab w:val="right" w:pos="9350"/>
            </w:tabs>
            <w:spacing w:after="100"/>
            <w:rPr>
              <w:color w:val="000000"/>
            </w:rPr>
          </w:pPr>
          <w:hyperlink w:anchor="_3dy6vkm">
            <w:r>
              <w:rPr>
                <w:color w:val="000000"/>
              </w:rPr>
              <w:t>Action Plan</w:t>
            </w:r>
            <w:r>
              <w:rPr>
                <w:color w:val="000000"/>
              </w:rPr>
              <w:tab/>
              <w:t>6</w:t>
            </w:r>
          </w:hyperlink>
        </w:p>
        <w:p w14:paraId="50621E32" w14:textId="77777777" w:rsidR="00C44F77" w:rsidRDefault="000C17E4">
          <w:pPr>
            <w:pBdr>
              <w:top w:val="nil"/>
              <w:left w:val="nil"/>
              <w:bottom w:val="nil"/>
              <w:right w:val="nil"/>
              <w:between w:val="nil"/>
            </w:pBdr>
            <w:tabs>
              <w:tab w:val="right" w:pos="9350"/>
            </w:tabs>
            <w:spacing w:after="100"/>
            <w:rPr>
              <w:color w:val="000000"/>
            </w:rPr>
          </w:pPr>
          <w:hyperlink w:anchor="_1t3h5sf">
            <w:r>
              <w:rPr>
                <w:color w:val="000000"/>
              </w:rPr>
              <w:t>Conclusion</w:t>
            </w:r>
            <w:r>
              <w:rPr>
                <w:color w:val="000000"/>
              </w:rPr>
              <w:tab/>
              <w:t>7</w:t>
            </w:r>
          </w:hyperlink>
        </w:p>
        <w:p w14:paraId="5F2D4233" w14:textId="77777777" w:rsidR="00C44F77" w:rsidRDefault="000C17E4">
          <w:pPr>
            <w:pBdr>
              <w:top w:val="nil"/>
              <w:left w:val="nil"/>
              <w:bottom w:val="nil"/>
              <w:right w:val="nil"/>
              <w:between w:val="nil"/>
            </w:pBdr>
            <w:tabs>
              <w:tab w:val="right" w:pos="9350"/>
            </w:tabs>
            <w:spacing w:after="100"/>
            <w:rPr>
              <w:color w:val="000000"/>
            </w:rPr>
          </w:pPr>
          <w:hyperlink w:anchor="_4d34og8">
            <w:r>
              <w:rPr>
                <w:color w:val="000000"/>
              </w:rPr>
              <w:t>Reference</w:t>
            </w:r>
            <w:r>
              <w:rPr>
                <w:color w:val="000000"/>
              </w:rPr>
              <w:tab/>
              <w:t>7</w:t>
            </w:r>
          </w:hyperlink>
        </w:p>
        <w:p w14:paraId="665176CA" w14:textId="77777777" w:rsidR="00C44F77" w:rsidRDefault="000C17E4">
          <w:r>
            <w:fldChar w:fldCharType="end"/>
          </w:r>
        </w:p>
      </w:sdtContent>
    </w:sdt>
    <w:p w14:paraId="5E472289" w14:textId="77777777" w:rsidR="00C44F77" w:rsidRDefault="00C44F77">
      <w:pPr>
        <w:pStyle w:val="Heading1"/>
        <w:jc w:val="both"/>
      </w:pPr>
    </w:p>
    <w:p w14:paraId="6A04C4F9" w14:textId="77777777" w:rsidR="00C44F77" w:rsidRDefault="000C17E4">
      <w:pPr>
        <w:jc w:val="both"/>
        <w:rPr>
          <w:rFonts w:ascii="Times New Roman" w:eastAsia="Times New Roman" w:hAnsi="Times New Roman" w:cs="Times New Roman"/>
          <w:color w:val="2E75B5"/>
          <w:sz w:val="32"/>
          <w:szCs w:val="32"/>
        </w:rPr>
      </w:pPr>
      <w:r>
        <w:br w:type="page"/>
      </w:r>
    </w:p>
    <w:p w14:paraId="5405712D" w14:textId="77777777" w:rsidR="00C44F77" w:rsidRDefault="000C17E4">
      <w:pPr>
        <w:pStyle w:val="Heading1"/>
      </w:pPr>
      <w:bookmarkStart w:id="0" w:name="_gjdgxs" w:colFirst="0" w:colLast="0"/>
      <w:bookmarkEnd w:id="0"/>
      <w:r>
        <w:lastRenderedPageBreak/>
        <w:t xml:space="preserve">Introduction </w:t>
      </w:r>
    </w:p>
    <w:p w14:paraId="6FD3BAB0" w14:textId="77777777" w:rsidR="00C44F77" w:rsidRDefault="000C17E4">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Community engagement is described as an organization's involvement and participation in the betterment of society through philanthropy and volunteer activities (Darzin, 2021).    More and more people are turning to volunteerism to raise money and help thos</w:t>
      </w:r>
      <w:r>
        <w:rPr>
          <w:rFonts w:ascii="Times New Roman" w:eastAsia="Times New Roman" w:hAnsi="Times New Roman" w:cs="Times New Roman"/>
          <w:sz w:val="24"/>
          <w:szCs w:val="24"/>
        </w:rPr>
        <w:t xml:space="preserve">e in need. They do this by donating to charities and disaster relief organizations, helping out at hospitals and schools, and many other ways. In writing this report, I will draw on my personal experience as well as the results of my work on the report on </w:t>
      </w:r>
      <w:r>
        <w:rPr>
          <w:rFonts w:ascii="Times New Roman" w:eastAsia="Times New Roman" w:hAnsi="Times New Roman" w:cs="Times New Roman"/>
          <w:sz w:val="24"/>
          <w:szCs w:val="24"/>
        </w:rPr>
        <w:t>community involvement. I discussed community participation in the previous report and how it assists individuals in need while also contributing to a more livable society. As part of my presentation, I talked about the community engagement of Taylor Wessin</w:t>
      </w:r>
      <w:r>
        <w:rPr>
          <w:rFonts w:ascii="Times New Roman" w:eastAsia="Times New Roman" w:hAnsi="Times New Roman" w:cs="Times New Roman"/>
          <w:sz w:val="24"/>
          <w:szCs w:val="24"/>
        </w:rPr>
        <w:t>g, a legal company in the United Kingdom that helps the community by deploying volunteers to handle problems and reach the wants, needs, and aspirations of the people in the community. In this report, I will discuss what I learned from the experience and t</w:t>
      </w:r>
      <w:r>
        <w:rPr>
          <w:rFonts w:ascii="Times New Roman" w:eastAsia="Times New Roman" w:hAnsi="Times New Roman" w:cs="Times New Roman"/>
          <w:sz w:val="24"/>
          <w:szCs w:val="24"/>
        </w:rPr>
        <w:t xml:space="preserve">he research I conducted as a result of my involvement with the organization. Community engagement is the process of establishing relationships with residents of a neighbourhood and exchanging ideas with relevant parties, referred to as stakeholders (Aslin </w:t>
      </w:r>
      <w:r>
        <w:rPr>
          <w:rFonts w:ascii="Times New Roman" w:eastAsia="Times New Roman" w:hAnsi="Times New Roman" w:cs="Times New Roman"/>
          <w:sz w:val="24"/>
          <w:szCs w:val="24"/>
        </w:rPr>
        <w:t>&amp; Brown, 2004).</w:t>
      </w:r>
    </w:p>
    <w:p w14:paraId="28ADEEFF" w14:textId="77777777" w:rsidR="00C44F77" w:rsidRDefault="000C17E4">
      <w:pPr>
        <w:pStyle w:val="Heading1"/>
      </w:pPr>
      <w:bookmarkStart w:id="1" w:name="_2s8eyo1" w:colFirst="0" w:colLast="0"/>
      <w:bookmarkEnd w:id="1"/>
      <w:r>
        <w:t xml:space="preserve">Reflecting on my Learning Experience </w:t>
      </w:r>
    </w:p>
    <w:p w14:paraId="33B66642" w14:textId="77777777" w:rsidR="00C44F77" w:rsidRDefault="000C17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My cognitive reflection will be presented through the use of an appropriate reflective model that I have chosen myself. One can use a model of structured reflection such as that proposed by Johns and Gibbs. The Gibbs reflective technique will be used to he</w:t>
      </w:r>
      <w:r>
        <w:rPr>
          <w:rFonts w:ascii="Times New Roman" w:eastAsia="Times New Roman" w:hAnsi="Times New Roman" w:cs="Times New Roman"/>
          <w:sz w:val="24"/>
          <w:szCs w:val="24"/>
        </w:rPr>
        <w:t>lp me reflect on my own experience and what I've discovered. (Rumson,2018) identifies this as among the most widely used cycle models of reflection, taking you through six stages of experience evaluation: descriptions, emotion, assessments, analyses, concl</w:t>
      </w:r>
      <w:r>
        <w:rPr>
          <w:rFonts w:ascii="Times New Roman" w:eastAsia="Times New Roman" w:hAnsi="Times New Roman" w:cs="Times New Roman"/>
          <w:sz w:val="24"/>
          <w:szCs w:val="24"/>
        </w:rPr>
        <w:t>usions, and action plan. An explanation of my findings after researching community involvement for organizations using this model will be greatly aided by what I've learnt from the experience and what I've covered in my report on community engagement. Usin</w:t>
      </w:r>
      <w:r>
        <w:rPr>
          <w:rFonts w:ascii="Times New Roman" w:eastAsia="Times New Roman" w:hAnsi="Times New Roman" w:cs="Times New Roman"/>
          <w:sz w:val="24"/>
          <w:szCs w:val="24"/>
        </w:rPr>
        <w:t>g this paradigm, I will reflect on my learning experience and evaluate how Taylor Wessing and other nonprofit organizations in the United Kingdom practice community engagement, looking for parallels and contrasts (Taylorwessing. 2022).</w:t>
      </w:r>
    </w:p>
    <w:p w14:paraId="777DBF99" w14:textId="77777777" w:rsidR="00C44F77" w:rsidRDefault="00C44F77">
      <w:pPr>
        <w:spacing w:line="360" w:lineRule="auto"/>
        <w:jc w:val="both"/>
        <w:rPr>
          <w:rFonts w:ascii="Times New Roman" w:eastAsia="Times New Roman" w:hAnsi="Times New Roman" w:cs="Times New Roman"/>
          <w:sz w:val="24"/>
          <w:szCs w:val="24"/>
        </w:rPr>
      </w:pPr>
    </w:p>
    <w:p w14:paraId="2E2C57AE" w14:textId="77777777" w:rsidR="00C44F77" w:rsidRDefault="00C44F77">
      <w:pPr>
        <w:pStyle w:val="Heading1"/>
        <w:jc w:val="both"/>
      </w:pPr>
    </w:p>
    <w:p w14:paraId="762C74DE" w14:textId="77777777" w:rsidR="00C44F77" w:rsidRDefault="000C17E4">
      <w:pPr>
        <w:pStyle w:val="Heading1"/>
      </w:pPr>
      <w:bookmarkStart w:id="2" w:name="_17dp8vu" w:colFirst="0" w:colLast="0"/>
      <w:bookmarkEnd w:id="2"/>
      <w:r>
        <w:t>Description</w:t>
      </w:r>
    </w:p>
    <w:p w14:paraId="228C4D81" w14:textId="77777777" w:rsidR="00C44F77" w:rsidRDefault="000C17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a s</w:t>
      </w:r>
      <w:r>
        <w:rPr>
          <w:rFonts w:ascii="Times New Roman" w:eastAsia="Times New Roman" w:hAnsi="Times New Roman" w:cs="Times New Roman"/>
          <w:sz w:val="24"/>
          <w:szCs w:val="24"/>
        </w:rPr>
        <w:t>tudent at their university, I was enrolled in this course, and we were all exposed to this module, which consists of two sections devoted to community engagement. The report is divided into two sections: essay writing and reflective writing. This subject w</w:t>
      </w:r>
      <w:r>
        <w:rPr>
          <w:rFonts w:ascii="Times New Roman" w:eastAsia="Times New Roman" w:hAnsi="Times New Roman" w:cs="Times New Roman"/>
          <w:sz w:val="24"/>
          <w:szCs w:val="24"/>
        </w:rPr>
        <w:t>as critical to my learning because it provided me with a solid understanding of community engagement and the various ways in which it is done by various organizations. To meet the first section of the report, I chose Taylor Wessing, an international law co</w:t>
      </w:r>
      <w:r>
        <w:rPr>
          <w:rFonts w:ascii="Times New Roman" w:eastAsia="Times New Roman" w:hAnsi="Times New Roman" w:cs="Times New Roman"/>
          <w:sz w:val="24"/>
          <w:szCs w:val="24"/>
        </w:rPr>
        <w:t>mpany well-known for its community participation and involvement in a variety of philanthropic and volunteer endeavours (Taylorwessing. 2022). Their most popular type of community engagement is the future first program, which allows employees to volunteer,</w:t>
      </w:r>
      <w:r>
        <w:rPr>
          <w:rFonts w:ascii="Times New Roman" w:eastAsia="Times New Roman" w:hAnsi="Times New Roman" w:cs="Times New Roman"/>
          <w:sz w:val="24"/>
          <w:szCs w:val="24"/>
        </w:rPr>
        <w:t xml:space="preserve"> and helps employees learn and improve over time. Several other UK philanthropic organizations, such as the British Red Cross, are comparable in terms of their community involvement and commitment to helping those in need (Waston, 2007). When comparing Tay</w:t>
      </w:r>
      <w:r>
        <w:rPr>
          <w:rFonts w:ascii="Times New Roman" w:eastAsia="Times New Roman" w:hAnsi="Times New Roman" w:cs="Times New Roman"/>
          <w:sz w:val="24"/>
          <w:szCs w:val="24"/>
        </w:rPr>
        <w:t>lor Wessing with the British Red Cross, there is a significant difference in the way they communicate with stakeholders and the techniques they apply. We get knowledge of challenging challenges. It is difficult to make a conclusive statement about an inter</w:t>
      </w:r>
      <w:r>
        <w:rPr>
          <w:rFonts w:ascii="Times New Roman" w:eastAsia="Times New Roman" w:hAnsi="Times New Roman" w:cs="Times New Roman"/>
          <w:sz w:val="24"/>
          <w:szCs w:val="24"/>
        </w:rPr>
        <w:t>vention's causal relationship to an observable outcome. Community engagement's intrinsic worth may not even be indicative. Relationship building may have a greater influence than anticipated (Aslin &amp; Brown, 2018). The evidence of engagement may help to jus</w:t>
      </w:r>
      <w:r>
        <w:rPr>
          <w:rFonts w:ascii="Times New Roman" w:eastAsia="Times New Roman" w:hAnsi="Times New Roman" w:cs="Times New Roman"/>
          <w:sz w:val="24"/>
          <w:szCs w:val="24"/>
        </w:rPr>
        <w:t>tify change or provide more factual information to aid in learning. Our presentation will cover the characteristics of a successful evaluation as well as the importance of having defined program goals, objectives, and timelines (Wade &amp; Demb, 2020). Plannin</w:t>
      </w:r>
      <w:r>
        <w:rPr>
          <w:rFonts w:ascii="Times New Roman" w:eastAsia="Times New Roman" w:hAnsi="Times New Roman" w:cs="Times New Roman"/>
          <w:sz w:val="24"/>
          <w:szCs w:val="24"/>
        </w:rPr>
        <w:t>g, monitoring, and evaluation that are transparent, as well as a shared understanding amongst stakeholders and partners. We will learn about and examine the concept of community involvement during this process, and also establish concepts and norms that wi</w:t>
      </w:r>
      <w:r>
        <w:rPr>
          <w:rFonts w:ascii="Times New Roman" w:eastAsia="Times New Roman" w:hAnsi="Times New Roman" w:cs="Times New Roman"/>
          <w:sz w:val="24"/>
          <w:szCs w:val="24"/>
        </w:rPr>
        <w:t xml:space="preserve">ll enable you to interact with stakeholders from a variety of organizations. Interpersonal abilities that encourage creative thinking and enable you to use logic in real-world situations should be cultivated and evaluated. Different ways have been used to </w:t>
      </w:r>
      <w:r>
        <w:rPr>
          <w:rFonts w:ascii="Times New Roman" w:eastAsia="Times New Roman" w:hAnsi="Times New Roman" w:cs="Times New Roman"/>
          <w:sz w:val="24"/>
          <w:szCs w:val="24"/>
        </w:rPr>
        <w:t>assist the importance of social capital, which has allowed communities to live better by, for example, participation in civic activities. Units familial: The family structure was determined by the nature, structure, and intensity of their relationship(Asli</w:t>
      </w:r>
      <w:r>
        <w:rPr>
          <w:rFonts w:ascii="Times New Roman" w:eastAsia="Times New Roman" w:hAnsi="Times New Roman" w:cs="Times New Roman"/>
          <w:sz w:val="24"/>
          <w:szCs w:val="24"/>
        </w:rPr>
        <w:t xml:space="preserve">n &amp; Brown, 2018).Neighbourhoods: Friendship, neighbourhood institutions, groups, and affiliations Social climates: Social media and social networking. The British Red Cross </w:t>
      </w:r>
      <w:r>
        <w:rPr>
          <w:rFonts w:ascii="Times New Roman" w:eastAsia="Times New Roman" w:hAnsi="Times New Roman" w:cs="Times New Roman"/>
          <w:sz w:val="24"/>
          <w:szCs w:val="24"/>
        </w:rPr>
        <w:lastRenderedPageBreak/>
        <w:t>is an ou pas organization, but Taylor Wessing is an international legal company tha</w:t>
      </w:r>
      <w:r>
        <w:rPr>
          <w:rFonts w:ascii="Times New Roman" w:eastAsia="Times New Roman" w:hAnsi="Times New Roman" w:cs="Times New Roman"/>
          <w:sz w:val="24"/>
          <w:szCs w:val="24"/>
        </w:rPr>
        <w:t>t aims to make profits while also encouraging charitable activity and corporate social responsibility activities by their workers through voluntary labour. I got a great deal of knowledge, research, and skills from this module, and I also learned a great d</w:t>
      </w:r>
      <w:r>
        <w:rPr>
          <w:rFonts w:ascii="Times New Roman" w:eastAsia="Times New Roman" w:hAnsi="Times New Roman" w:cs="Times New Roman"/>
          <w:sz w:val="24"/>
          <w:szCs w:val="24"/>
        </w:rPr>
        <w:t>eal about community engagement (Aslin &amp; Brown, 2018).</w:t>
      </w:r>
    </w:p>
    <w:p w14:paraId="7B861438" w14:textId="77777777" w:rsidR="00C44F77" w:rsidRDefault="000C17E4">
      <w:pPr>
        <w:pStyle w:val="Heading1"/>
      </w:pPr>
      <w:bookmarkStart w:id="3" w:name="_3rdcrjn" w:colFirst="0" w:colLast="0"/>
      <w:bookmarkEnd w:id="3"/>
      <w:r>
        <w:t>Feelings</w:t>
      </w:r>
    </w:p>
    <w:p w14:paraId="61C297AF" w14:textId="77777777" w:rsidR="00C44F77" w:rsidRDefault="000C17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If I'm being completely candid, I'd like to state that I was ill at the time this event was announced. I expected to study something straightforward that would be easier for me to grasp, but th</w:t>
      </w:r>
      <w:r>
        <w:rPr>
          <w:rFonts w:ascii="Times New Roman" w:eastAsia="Times New Roman" w:hAnsi="Times New Roman" w:cs="Times New Roman"/>
          <w:sz w:val="24"/>
          <w:szCs w:val="24"/>
        </w:rPr>
        <w:t>e role of community engagement was entirely foreign to me and I had no prior understanding of it. Following the issue's presentation, I was required to perform extensive research and found it exceedingly hard to believe what community involvement is, how i</w:t>
      </w:r>
      <w:r>
        <w:rPr>
          <w:rFonts w:ascii="Times New Roman" w:eastAsia="Times New Roman" w:hAnsi="Times New Roman" w:cs="Times New Roman"/>
          <w:sz w:val="24"/>
          <w:szCs w:val="24"/>
        </w:rPr>
        <w:t>t can be accomplished, and what type of organization practices it. Additionally, I was having difficulty picking on a community participation organization to profile in the study report. My other classmates and friends were likewise anxious to learn things</w:t>
      </w:r>
      <w:r>
        <w:rPr>
          <w:rFonts w:ascii="Times New Roman" w:eastAsia="Times New Roman" w:hAnsi="Times New Roman" w:cs="Times New Roman"/>
          <w:sz w:val="24"/>
          <w:szCs w:val="24"/>
        </w:rPr>
        <w:t xml:space="preserve"> and were stressed out, as I was (Aslin &amp; Brown, 2018). However, over time, everything became evident to us, and we collaborated on extensive studies to gain an understanding of various organizations other than Taylor Wessing's communication strategy, stak</w:t>
      </w:r>
      <w:r>
        <w:rPr>
          <w:rFonts w:ascii="Times New Roman" w:eastAsia="Times New Roman" w:hAnsi="Times New Roman" w:cs="Times New Roman"/>
          <w:sz w:val="24"/>
          <w:szCs w:val="24"/>
        </w:rPr>
        <w:t>eholder participation, and community engagement techniques (Waston, 2007)</w:t>
      </w:r>
      <w:r>
        <w:rPr>
          <w:rFonts w:ascii="Times New Roman" w:eastAsia="Times New Roman" w:hAnsi="Times New Roman" w:cs="Times New Roman"/>
          <w:color w:val="000000"/>
          <w:sz w:val="24"/>
          <w:szCs w:val="24"/>
        </w:rPr>
        <w:t>.</w:t>
      </w:r>
      <w:r>
        <w:rPr>
          <w:rFonts w:ascii="Times New Roman" w:eastAsia="Times New Roman" w:hAnsi="Times New Roman" w:cs="Times New Roman"/>
          <w:sz w:val="24"/>
          <w:szCs w:val="24"/>
        </w:rPr>
        <w:t xml:space="preserve"> I believe that profitable organizations such as Taylor Wessing engage in community service to enhance their brand image, while charitable organizations such as the British Red Cross</w:t>
      </w:r>
      <w:r>
        <w:rPr>
          <w:rFonts w:ascii="Times New Roman" w:eastAsia="Times New Roman" w:hAnsi="Times New Roman" w:cs="Times New Roman"/>
          <w:sz w:val="24"/>
          <w:szCs w:val="24"/>
        </w:rPr>
        <w:t xml:space="preserve"> engage in community service to assist those in need and to create a better society and quality of life for the overall population (Rochester, 2012)</w:t>
      </w:r>
    </w:p>
    <w:p w14:paraId="014211C9" w14:textId="77777777" w:rsidR="00C44F77" w:rsidRDefault="000C17E4">
      <w:pPr>
        <w:pStyle w:val="Heading1"/>
        <w:spacing w:line="360" w:lineRule="auto"/>
        <w:jc w:val="both"/>
      </w:pPr>
      <w:bookmarkStart w:id="4" w:name="_26in1rg" w:colFirst="0" w:colLast="0"/>
      <w:bookmarkEnd w:id="4"/>
      <w:r>
        <w:t>Evaluation</w:t>
      </w:r>
    </w:p>
    <w:p w14:paraId="5EB0ED23" w14:textId="77777777" w:rsidR="00C44F77" w:rsidRDefault="000C17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course of the community engagement research and learning experience, both positive and ne</w:t>
      </w:r>
      <w:r>
        <w:rPr>
          <w:rFonts w:ascii="Times New Roman" w:eastAsia="Times New Roman" w:hAnsi="Times New Roman" w:cs="Times New Roman"/>
          <w:sz w:val="24"/>
          <w:szCs w:val="24"/>
        </w:rPr>
        <w:t>gative results emerged as a result. The experience was excellent because it taught me about community involvement and its importance in society. I discovered that employees and volunteers must possess a variety of skills, including problem-solving and thin</w:t>
      </w:r>
      <w:r>
        <w:rPr>
          <w:rFonts w:ascii="Times New Roman" w:eastAsia="Times New Roman" w:hAnsi="Times New Roman" w:cs="Times New Roman"/>
          <w:sz w:val="24"/>
          <w:szCs w:val="24"/>
        </w:rPr>
        <w:t>king skills, decision-making knowledge and a grasp of community engagement and its issues, fundraising ability, effective communication, and interpersonal skills (Aslin &amp; Brown, 2018).</w:t>
      </w:r>
    </w:p>
    <w:p w14:paraId="44863C7F" w14:textId="77777777" w:rsidR="00C44F77" w:rsidRDefault="000C17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 conducting a study, I developed several skills that would prove u</w:t>
      </w:r>
      <w:r>
        <w:rPr>
          <w:rFonts w:ascii="Times New Roman" w:eastAsia="Times New Roman" w:hAnsi="Times New Roman" w:cs="Times New Roman"/>
          <w:sz w:val="24"/>
          <w:szCs w:val="24"/>
        </w:rPr>
        <w:t xml:space="preserve">seful in the future. The fact that I had to do a great deal of research on the Red Cross and Taylor Wessing to compare the two </w:t>
      </w:r>
      <w:r>
        <w:rPr>
          <w:rFonts w:ascii="Times New Roman" w:eastAsia="Times New Roman" w:hAnsi="Times New Roman" w:cs="Times New Roman"/>
          <w:sz w:val="24"/>
          <w:szCs w:val="24"/>
        </w:rPr>
        <w:lastRenderedPageBreak/>
        <w:t>organizations means that I'll have great research ability, which is highly valuable to me right now. Research talent is defined a</w:t>
      </w:r>
      <w:r>
        <w:rPr>
          <w:rFonts w:ascii="Times New Roman" w:eastAsia="Times New Roman" w:hAnsi="Times New Roman" w:cs="Times New Roman"/>
          <w:sz w:val="24"/>
          <w:szCs w:val="24"/>
        </w:rPr>
        <w:t>s the ability to conduct research on this topic and produce ideas, as well as explore those ideas to conclude the topic. Additionally, I developed problem-solving and decision-making skills since whenever I face a challenge, I research to seek aid from oth</w:t>
      </w:r>
      <w:r>
        <w:rPr>
          <w:rFonts w:ascii="Times New Roman" w:eastAsia="Times New Roman" w:hAnsi="Times New Roman" w:cs="Times New Roman"/>
          <w:sz w:val="24"/>
          <w:szCs w:val="24"/>
        </w:rPr>
        <w:t>ers and fix the issue, which simplifies decision-making for me. I also gained fundraising skills, as a racing fund is critical for community engagement and requires individuals to volunteer and solicit funds from a variety of individuals and groups. I disc</w:t>
      </w:r>
      <w:r>
        <w:rPr>
          <w:rFonts w:ascii="Times New Roman" w:eastAsia="Times New Roman" w:hAnsi="Times New Roman" w:cs="Times New Roman"/>
          <w:sz w:val="24"/>
          <w:szCs w:val="24"/>
        </w:rPr>
        <w:t>overed that there are numerous parallels between organizations that aid society and conduct philanthropic work and fundraising to assist those in need, and that their communication and social media strategies share similar goals and objectives. The distinc</w:t>
      </w:r>
      <w:r>
        <w:rPr>
          <w:rFonts w:ascii="Times New Roman" w:eastAsia="Times New Roman" w:hAnsi="Times New Roman" w:cs="Times New Roman"/>
          <w:sz w:val="24"/>
          <w:szCs w:val="24"/>
        </w:rPr>
        <w:t>tion lies in the length of time and manpower devoted to community participation, which varies by the organization (Waston, 2007).</w:t>
      </w:r>
    </w:p>
    <w:p w14:paraId="6CCB9ED6" w14:textId="77777777" w:rsidR="00C44F77" w:rsidRDefault="000C17E4">
      <w:pPr>
        <w:pStyle w:val="Heading1"/>
      </w:pPr>
      <w:bookmarkStart w:id="5" w:name="_lnxbz9" w:colFirst="0" w:colLast="0"/>
      <w:bookmarkEnd w:id="5"/>
      <w:r>
        <w:t>Analysis</w:t>
      </w:r>
    </w:p>
    <w:p w14:paraId="5A997B9D" w14:textId="77777777" w:rsidR="00C44F77" w:rsidRDefault="000C17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was able to complete my research much more quickly and efficiently because of the assistance I obtained from my stu</w:t>
      </w:r>
      <w:r>
        <w:rPr>
          <w:rFonts w:ascii="Times New Roman" w:eastAsia="Times New Roman" w:hAnsi="Times New Roman" w:cs="Times New Roman"/>
          <w:sz w:val="24"/>
          <w:szCs w:val="24"/>
        </w:rPr>
        <w:t>dents and the module instructor Everything became easier for me after I chose the Taylor Wessing organization. I had previous research experience, which benefited me tremendously. I am the type of guy that enjoys performing study and delving into a situati</w:t>
      </w:r>
      <w:r>
        <w:rPr>
          <w:rFonts w:ascii="Times New Roman" w:eastAsia="Times New Roman" w:hAnsi="Times New Roman" w:cs="Times New Roman"/>
          <w:sz w:val="24"/>
          <w:szCs w:val="24"/>
        </w:rPr>
        <w:t>on to determine its root cause. When I needed to research community engagement, I went online and discovered numerous examples of community engagement being conducted by a variety of groups. Many charities accept gifts from their supporters and put them to</w:t>
      </w:r>
      <w:r>
        <w:rPr>
          <w:rFonts w:ascii="Times New Roman" w:eastAsia="Times New Roman" w:hAnsi="Times New Roman" w:cs="Times New Roman"/>
          <w:sz w:val="24"/>
          <w:szCs w:val="24"/>
        </w:rPr>
        <w:t xml:space="preserve"> good use in the lives of those who are in desperate need (Wade &amp; Demb, 2020). On the whole, it was a pleasant experience, and the knowledge I obtained has helped me to further develop my abilities and skills, which will be beneficial to me both academical</w:t>
      </w:r>
      <w:r>
        <w:rPr>
          <w:rFonts w:ascii="Times New Roman" w:eastAsia="Times New Roman" w:hAnsi="Times New Roman" w:cs="Times New Roman"/>
          <w:sz w:val="24"/>
          <w:szCs w:val="24"/>
        </w:rPr>
        <w:t>ly and in my future job. A student's foundation is built on skills and knowledge, but with each experience I learn, I move closer to achievement (Aslin &amp; Brown, 2018).</w:t>
      </w:r>
    </w:p>
    <w:p w14:paraId="4D282A40" w14:textId="77777777" w:rsidR="00C44F77" w:rsidRDefault="000C17E4">
      <w:pPr>
        <w:pStyle w:val="Heading1"/>
      </w:pPr>
      <w:bookmarkStart w:id="6" w:name="_35nkun2" w:colFirst="0" w:colLast="0"/>
      <w:bookmarkEnd w:id="6"/>
      <w:r>
        <w:t>Action Plan</w:t>
      </w:r>
    </w:p>
    <w:p w14:paraId="18E9A887" w14:textId="77777777" w:rsidR="00C44F77" w:rsidRDefault="000C17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action plan is a set of approaches and actions that can be used in the fu</w:t>
      </w:r>
      <w:r>
        <w:rPr>
          <w:rFonts w:ascii="Times New Roman" w:eastAsia="Times New Roman" w:hAnsi="Times New Roman" w:cs="Times New Roman"/>
          <w:sz w:val="24"/>
          <w:szCs w:val="24"/>
        </w:rPr>
        <w:t>ture to help students enhance their skills and abilities (Mindtools, 2019). For myself, I need to establish an action plan for overcoming my inadequacies and acquiring new skills that will aid me in applying for positions that align with my professional as</w:t>
      </w:r>
      <w:r>
        <w:rPr>
          <w:rFonts w:ascii="Times New Roman" w:eastAsia="Times New Roman" w:hAnsi="Times New Roman" w:cs="Times New Roman"/>
          <w:sz w:val="24"/>
          <w:szCs w:val="24"/>
        </w:rPr>
        <w:t xml:space="preserve">pirations. If a similar situation occurs again, I would need to improve my skills and training to manage it more effectively. Although the experience has given </w:t>
      </w:r>
      <w:r>
        <w:rPr>
          <w:rFonts w:ascii="Times New Roman" w:eastAsia="Times New Roman" w:hAnsi="Times New Roman" w:cs="Times New Roman"/>
          <w:sz w:val="24"/>
          <w:szCs w:val="24"/>
        </w:rPr>
        <w:lastRenderedPageBreak/>
        <w:t>me a plethora of new abilities, there is still growth potential. I was able to recognize both my</w:t>
      </w:r>
      <w:r>
        <w:rPr>
          <w:rFonts w:ascii="Times New Roman" w:eastAsia="Times New Roman" w:hAnsi="Times New Roman" w:cs="Times New Roman"/>
          <w:sz w:val="24"/>
          <w:szCs w:val="24"/>
        </w:rPr>
        <w:t xml:space="preserve"> limitations and my talents. My Action Plan will be straightforward, and it will focus on improving some of my most critical abilities, such as time management, negotiating leadership, problem-solving, and analytical thinking. This expertise will permit me</w:t>
      </w:r>
      <w:r>
        <w:rPr>
          <w:rFonts w:ascii="Times New Roman" w:eastAsia="Times New Roman" w:hAnsi="Times New Roman" w:cs="Times New Roman"/>
          <w:sz w:val="24"/>
          <w:szCs w:val="24"/>
        </w:rPr>
        <w:t xml:space="preserve"> to cope more successfully with future situations, as well as increase my employment, which will benefit me (Waston, 2007).</w:t>
      </w:r>
    </w:p>
    <w:p w14:paraId="56F2FD43" w14:textId="77777777" w:rsidR="00C44F77" w:rsidRDefault="00C44F77">
      <w:pPr>
        <w:spacing w:after="0" w:line="360" w:lineRule="auto"/>
        <w:jc w:val="both"/>
        <w:rPr>
          <w:rFonts w:ascii="Times New Roman" w:eastAsia="Times New Roman" w:hAnsi="Times New Roman" w:cs="Times New Roman"/>
          <w:sz w:val="24"/>
          <w:szCs w:val="24"/>
        </w:rPr>
      </w:pPr>
    </w:p>
    <w:p w14:paraId="42EAD259" w14:textId="77777777" w:rsidR="00C44F77" w:rsidRDefault="000C17E4">
      <w:pPr>
        <w:pStyle w:val="Heading1"/>
      </w:pPr>
      <w:bookmarkStart w:id="7" w:name="_1t3h5sf" w:colFirst="0" w:colLast="0"/>
      <w:bookmarkEnd w:id="7"/>
      <w:r>
        <w:t xml:space="preserve">Conclusion </w:t>
      </w:r>
    </w:p>
    <w:p w14:paraId="45948676" w14:textId="77777777" w:rsidR="00C44F77" w:rsidRDefault="000C17E4">
      <w:pPr>
        <w:pBdr>
          <w:top w:val="nil"/>
          <w:left w:val="nil"/>
          <w:bottom w:val="nil"/>
          <w:right w:val="nil"/>
          <w:between w:val="nil"/>
        </w:pBdr>
        <w:shd w:val="clear" w:color="auto" w:fill="FFFFFF"/>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Community engagement nurtures communities' assets and strengths.​Advocates for sustainable community design, equity, in</w:t>
      </w:r>
      <w:r>
        <w:rPr>
          <w:rFonts w:ascii="Times New Roman" w:eastAsia="Times New Roman" w:hAnsi="Times New Roman" w:cs="Times New Roman"/>
          <w:color w:val="000000"/>
          <w:sz w:val="24"/>
          <w:szCs w:val="24"/>
        </w:rPr>
        <w:t xml:space="preserve">clusion, collaboration and participation.​Makes policy recommendations more effective and sustainable. This is a win situation for everyone who is shouting for long-term reform. Evaluation is a form of self-improvement. Engagement with the community has a </w:t>
      </w:r>
      <w:r>
        <w:rPr>
          <w:rFonts w:ascii="Times New Roman" w:eastAsia="Times New Roman" w:hAnsi="Times New Roman" w:cs="Times New Roman"/>
          <w:color w:val="000000"/>
          <w:sz w:val="24"/>
          <w:szCs w:val="24"/>
        </w:rPr>
        <w:t>plethora of beneficial results and benefits for both organizations and the broader community. When an organization engages with communities, it can make more informed and strategic decisions, as it sees the whole picture and the complete impact of its proj</w:t>
      </w:r>
      <w:r>
        <w:rPr>
          <w:rFonts w:ascii="Times New Roman" w:eastAsia="Times New Roman" w:hAnsi="Times New Roman" w:cs="Times New Roman"/>
          <w:color w:val="000000"/>
          <w:sz w:val="24"/>
          <w:szCs w:val="24"/>
        </w:rPr>
        <w:t>ects and activities. When done correctly, community participation can assist you in developing a more socially responsible organization. As a result, you can establish trust with members of the community. This enables them to express greater happiness with</w:t>
      </w:r>
      <w:r>
        <w:rPr>
          <w:rFonts w:ascii="Times New Roman" w:eastAsia="Times New Roman" w:hAnsi="Times New Roman" w:cs="Times New Roman"/>
          <w:color w:val="000000"/>
          <w:sz w:val="24"/>
          <w:szCs w:val="24"/>
        </w:rPr>
        <w:t xml:space="preserve"> your brand, your initiatives, and your projects. All of this boils down to obtaining a social license to operate.' In other words, you raise your chances of acceptance while decreasing your possibilities of rejection or blocking. Collect all of the outcom</w:t>
      </w:r>
      <w:r>
        <w:rPr>
          <w:rFonts w:ascii="Times New Roman" w:eastAsia="Times New Roman" w:hAnsi="Times New Roman" w:cs="Times New Roman"/>
          <w:color w:val="000000"/>
          <w:sz w:val="24"/>
          <w:szCs w:val="24"/>
        </w:rPr>
        <w:t>es or consequences of community engagement initiatives. Defines how outcomes will be improved and included in the decision making process.​Frequency of reports and what they will help you do in future.</w:t>
      </w:r>
    </w:p>
    <w:p w14:paraId="6DF72672" w14:textId="77777777" w:rsidR="00C44F77" w:rsidRDefault="000C17E4">
      <w:pPr>
        <w:pStyle w:val="Heading1"/>
        <w:rPr>
          <w:sz w:val="24"/>
          <w:szCs w:val="24"/>
        </w:rPr>
      </w:pPr>
      <w:bookmarkStart w:id="8" w:name="_4d34og8" w:colFirst="0" w:colLast="0"/>
      <w:bookmarkEnd w:id="8"/>
      <w:r>
        <w:t xml:space="preserve">Reference </w:t>
      </w:r>
    </w:p>
    <w:p w14:paraId="3D8ACB7D" w14:textId="77777777" w:rsidR="00C44F77" w:rsidRDefault="000C17E4">
      <w:p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Aslin, H. and Brown, V., 2004. </w:t>
      </w:r>
      <w:r>
        <w:rPr>
          <w:rFonts w:ascii="Times New Roman" w:eastAsia="Times New Roman" w:hAnsi="Times New Roman" w:cs="Times New Roman"/>
          <w:i/>
          <w:color w:val="222222"/>
          <w:sz w:val="24"/>
          <w:szCs w:val="24"/>
          <w:highlight w:val="white"/>
        </w:rPr>
        <w:t>Towards whole of community engagement: A practical toolkit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ab/>
        <w:t xml:space="preserve">Murray-Darling </w:t>
      </w:r>
      <w:r>
        <w:rPr>
          <w:rFonts w:ascii="Times New Roman" w:eastAsia="Times New Roman" w:hAnsi="Times New Roman" w:cs="Times New Roman"/>
          <w:color w:val="222222"/>
          <w:sz w:val="24"/>
          <w:szCs w:val="24"/>
          <w:highlight w:val="white"/>
        </w:rPr>
        <w:tab/>
        <w:t>Basin Commission.</w:t>
      </w:r>
    </w:p>
    <w:p w14:paraId="10AD5FCB" w14:textId="77777777" w:rsidR="00C44F77" w:rsidRDefault="000C17E4">
      <w:p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Bowen, F., Newenham-Kahindi, A. and Herremans, I., 2010. When suits meet roots: The </w:t>
      </w:r>
      <w:r>
        <w:rPr>
          <w:rFonts w:ascii="Times New Roman" w:eastAsia="Times New Roman" w:hAnsi="Times New Roman" w:cs="Times New Roman"/>
          <w:color w:val="222222"/>
          <w:sz w:val="24"/>
          <w:szCs w:val="24"/>
          <w:highlight w:val="white"/>
        </w:rPr>
        <w:tab/>
        <w:t xml:space="preserve">antecedents and </w:t>
      </w:r>
      <w:r>
        <w:rPr>
          <w:rFonts w:ascii="Times New Roman" w:eastAsia="Times New Roman" w:hAnsi="Times New Roman" w:cs="Times New Roman"/>
          <w:color w:val="222222"/>
          <w:sz w:val="24"/>
          <w:szCs w:val="24"/>
          <w:highlight w:val="white"/>
        </w:rPr>
        <w:tab/>
        <w:t>consequences of community en</w:t>
      </w:r>
      <w:r>
        <w:rPr>
          <w:rFonts w:ascii="Times New Roman" w:eastAsia="Times New Roman" w:hAnsi="Times New Roman" w:cs="Times New Roman"/>
          <w:color w:val="222222"/>
          <w:sz w:val="24"/>
          <w:szCs w:val="24"/>
          <w:highlight w:val="white"/>
        </w:rPr>
        <w:t>gagement strategy. </w:t>
      </w:r>
      <w:r>
        <w:rPr>
          <w:rFonts w:ascii="Times New Roman" w:eastAsia="Times New Roman" w:hAnsi="Times New Roman" w:cs="Times New Roman"/>
          <w:i/>
          <w:color w:val="222222"/>
          <w:sz w:val="24"/>
          <w:szCs w:val="24"/>
          <w:highlight w:val="white"/>
        </w:rPr>
        <w:t xml:space="preserve">Journal of </w:t>
      </w:r>
      <w:r>
        <w:rPr>
          <w:rFonts w:ascii="Times New Roman" w:eastAsia="Times New Roman" w:hAnsi="Times New Roman" w:cs="Times New Roman"/>
          <w:i/>
          <w:color w:val="222222"/>
          <w:sz w:val="24"/>
          <w:szCs w:val="24"/>
          <w:highlight w:val="white"/>
        </w:rPr>
        <w:tab/>
        <w:t>Business Ethics</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95</w:t>
      </w:r>
      <w:r>
        <w:rPr>
          <w:rFonts w:ascii="Times New Roman" w:eastAsia="Times New Roman" w:hAnsi="Times New Roman" w:cs="Times New Roman"/>
          <w:color w:val="222222"/>
          <w:sz w:val="24"/>
          <w:szCs w:val="24"/>
          <w:highlight w:val="white"/>
        </w:rPr>
        <w:t>(2), pp.297-318.</w:t>
      </w:r>
    </w:p>
    <w:p w14:paraId="66409901" w14:textId="77777777" w:rsidR="00C44F77" w:rsidRDefault="000C17E4">
      <w:p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Driscoll, A., 2008. Carnegie's community-engagement classification: Intentions and </w:t>
      </w:r>
      <w:r>
        <w:rPr>
          <w:rFonts w:ascii="Times New Roman" w:eastAsia="Times New Roman" w:hAnsi="Times New Roman" w:cs="Times New Roman"/>
          <w:color w:val="222222"/>
          <w:sz w:val="24"/>
          <w:szCs w:val="24"/>
          <w:highlight w:val="white"/>
        </w:rPr>
        <w:tab/>
        <w:t>insights. </w:t>
      </w:r>
      <w:r>
        <w:rPr>
          <w:rFonts w:ascii="Times New Roman" w:eastAsia="Times New Roman" w:hAnsi="Times New Roman" w:cs="Times New Roman"/>
          <w:i/>
          <w:color w:val="222222"/>
          <w:sz w:val="24"/>
          <w:szCs w:val="24"/>
          <w:highlight w:val="white"/>
        </w:rPr>
        <w:t xml:space="preserve">Change: The </w:t>
      </w:r>
      <w:r>
        <w:rPr>
          <w:rFonts w:ascii="Times New Roman" w:eastAsia="Times New Roman" w:hAnsi="Times New Roman" w:cs="Times New Roman"/>
          <w:i/>
          <w:color w:val="222222"/>
          <w:sz w:val="24"/>
          <w:szCs w:val="24"/>
          <w:highlight w:val="white"/>
        </w:rPr>
        <w:tab/>
        <w:t>Magazine of Higher Learning</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40</w:t>
      </w:r>
      <w:r>
        <w:rPr>
          <w:rFonts w:ascii="Times New Roman" w:eastAsia="Times New Roman" w:hAnsi="Times New Roman" w:cs="Times New Roman"/>
          <w:color w:val="222222"/>
          <w:sz w:val="24"/>
          <w:szCs w:val="24"/>
          <w:highlight w:val="white"/>
        </w:rPr>
        <w:t>(1), pp.38-41.</w:t>
      </w:r>
    </w:p>
    <w:p w14:paraId="573AA649" w14:textId="77777777" w:rsidR="00C44F77" w:rsidRDefault="000C17E4">
      <w:p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Head, B.W., 2007. Community engageme</w:t>
      </w:r>
      <w:r>
        <w:rPr>
          <w:rFonts w:ascii="Times New Roman" w:eastAsia="Times New Roman" w:hAnsi="Times New Roman" w:cs="Times New Roman"/>
          <w:color w:val="222222"/>
          <w:sz w:val="24"/>
          <w:szCs w:val="24"/>
          <w:highlight w:val="white"/>
        </w:rPr>
        <w:t>nt: participation on whose terms?. </w:t>
      </w:r>
      <w:r>
        <w:rPr>
          <w:rFonts w:ascii="Times New Roman" w:eastAsia="Times New Roman" w:hAnsi="Times New Roman" w:cs="Times New Roman"/>
          <w:i/>
          <w:color w:val="222222"/>
          <w:sz w:val="24"/>
          <w:szCs w:val="24"/>
          <w:highlight w:val="white"/>
        </w:rPr>
        <w:t xml:space="preserve">Australian Journal of </w:t>
      </w:r>
      <w:r>
        <w:rPr>
          <w:rFonts w:ascii="Times New Roman" w:eastAsia="Times New Roman" w:hAnsi="Times New Roman" w:cs="Times New Roman"/>
          <w:i/>
          <w:color w:val="222222"/>
          <w:sz w:val="24"/>
          <w:szCs w:val="24"/>
          <w:highlight w:val="white"/>
        </w:rPr>
        <w:tab/>
        <w:t xml:space="preserve">Political </w:t>
      </w:r>
      <w:r>
        <w:rPr>
          <w:rFonts w:ascii="Times New Roman" w:eastAsia="Times New Roman" w:hAnsi="Times New Roman" w:cs="Times New Roman"/>
          <w:i/>
          <w:color w:val="222222"/>
          <w:sz w:val="24"/>
          <w:szCs w:val="24"/>
          <w:highlight w:val="white"/>
        </w:rPr>
        <w:tab/>
        <w:t>Science</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42</w:t>
      </w:r>
      <w:r>
        <w:rPr>
          <w:rFonts w:ascii="Times New Roman" w:eastAsia="Times New Roman" w:hAnsi="Times New Roman" w:cs="Times New Roman"/>
          <w:color w:val="222222"/>
          <w:sz w:val="24"/>
          <w:szCs w:val="24"/>
          <w:highlight w:val="white"/>
        </w:rPr>
        <w:t>(3), pp.441-454.</w:t>
      </w:r>
    </w:p>
    <w:p w14:paraId="000A2015" w14:textId="77777777" w:rsidR="00C44F77" w:rsidRDefault="000C17E4">
      <w:p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Holzer, J.K., Ellis, L. and Merritt, M.W., 2014. Why we need community engagement in medical </w:t>
      </w:r>
      <w:r>
        <w:rPr>
          <w:rFonts w:ascii="Times New Roman" w:eastAsia="Times New Roman" w:hAnsi="Times New Roman" w:cs="Times New Roman"/>
          <w:color w:val="222222"/>
          <w:sz w:val="24"/>
          <w:szCs w:val="24"/>
          <w:highlight w:val="white"/>
        </w:rPr>
        <w:tab/>
        <w:t>research. </w:t>
      </w:r>
      <w:r>
        <w:rPr>
          <w:rFonts w:ascii="Times New Roman" w:eastAsia="Times New Roman" w:hAnsi="Times New Roman" w:cs="Times New Roman"/>
          <w:i/>
          <w:color w:val="222222"/>
          <w:sz w:val="24"/>
          <w:szCs w:val="24"/>
          <w:highlight w:val="white"/>
        </w:rPr>
        <w:t>Journal of Investigative Medicine</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62</w:t>
      </w:r>
      <w:r>
        <w:rPr>
          <w:rFonts w:ascii="Times New Roman" w:eastAsia="Times New Roman" w:hAnsi="Times New Roman" w:cs="Times New Roman"/>
          <w:color w:val="222222"/>
          <w:sz w:val="24"/>
          <w:szCs w:val="24"/>
          <w:highlight w:val="white"/>
        </w:rPr>
        <w:t>(6), pp.851-855.</w:t>
      </w:r>
    </w:p>
    <w:p w14:paraId="1F7D65C7" w14:textId="77777777" w:rsidR="00C44F77" w:rsidRDefault="000C17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w:t>
      </w:r>
      <w:r>
        <w:rPr>
          <w:rFonts w:ascii="Times New Roman" w:eastAsia="Times New Roman" w:hAnsi="Times New Roman" w:cs="Times New Roman"/>
          <w:sz w:val="24"/>
          <w:szCs w:val="24"/>
        </w:rPr>
        <w:t xml:space="preserve">uestionpro. 2020. Top 10 skills every efficient community manager should have. [Online]. [8 </w:t>
      </w:r>
      <w:r>
        <w:rPr>
          <w:rFonts w:ascii="Times New Roman" w:eastAsia="Times New Roman" w:hAnsi="Times New Roman" w:cs="Times New Roman"/>
          <w:sz w:val="24"/>
          <w:szCs w:val="24"/>
        </w:rPr>
        <w:tab/>
        <w:t xml:space="preserve">April 2022]. Available from: </w:t>
      </w:r>
      <w:hyperlink r:id="rId7">
        <w:r>
          <w:rPr>
            <w:rFonts w:ascii="Times New Roman" w:eastAsia="Times New Roman" w:hAnsi="Times New Roman" w:cs="Times New Roman"/>
            <w:color w:val="0563C1"/>
            <w:sz w:val="24"/>
            <w:szCs w:val="24"/>
            <w:u w:val="single"/>
          </w:rPr>
          <w:t>https://www.questionpro.com/blog/top-10-community-</w:t>
        </w:r>
      </w:hyperlink>
      <w:r>
        <w:rPr>
          <w:rFonts w:ascii="Times New Roman" w:eastAsia="Times New Roman" w:hAnsi="Times New Roman" w:cs="Times New Roman"/>
          <w:sz w:val="24"/>
          <w:szCs w:val="24"/>
        </w:rPr>
        <w:tab/>
        <w:t>manager-skill</w:t>
      </w:r>
      <w:r>
        <w:rPr>
          <w:rFonts w:ascii="Times New Roman" w:eastAsia="Times New Roman" w:hAnsi="Times New Roman" w:cs="Times New Roman"/>
          <w:sz w:val="24"/>
          <w:szCs w:val="24"/>
        </w:rPr>
        <w:t>s/</w:t>
      </w:r>
    </w:p>
    <w:p w14:paraId="28B633DA" w14:textId="77777777" w:rsidR="00C44F77" w:rsidRDefault="000C17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Redcross. 2020. What we do. [Online]. [6 December 2020]. Available from: </w:t>
      </w:r>
      <w:r>
        <w:rPr>
          <w:rFonts w:ascii="Times New Roman" w:eastAsia="Times New Roman" w:hAnsi="Times New Roman" w:cs="Times New Roman"/>
          <w:sz w:val="24"/>
          <w:szCs w:val="24"/>
        </w:rPr>
        <w:tab/>
        <w:t>https://www.redcross.org.uk/about-us/what-we-do</w:t>
      </w:r>
    </w:p>
    <w:p w14:paraId="70EFE7EB" w14:textId="77777777" w:rsidR="00C44F77" w:rsidRDefault="000C17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Rochester, C., Ellis Paine, A., Howlett, S. (2012). Volunteering and Society in the 21st Century. </w:t>
      </w:r>
      <w:r>
        <w:rPr>
          <w:rFonts w:ascii="Times New Roman" w:eastAsia="Times New Roman" w:hAnsi="Times New Roman" w:cs="Times New Roman"/>
          <w:sz w:val="24"/>
          <w:szCs w:val="24"/>
        </w:rPr>
        <w:tab/>
        <w:t>Palgrave: Macmillan</w:t>
      </w:r>
    </w:p>
    <w:p w14:paraId="3EA10547" w14:textId="77777777" w:rsidR="00C44F77" w:rsidRDefault="000C17E4">
      <w:p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Wade, A. and</w:t>
      </w:r>
      <w:r>
        <w:rPr>
          <w:rFonts w:ascii="Times New Roman" w:eastAsia="Times New Roman" w:hAnsi="Times New Roman" w:cs="Times New Roman"/>
          <w:color w:val="222222"/>
          <w:sz w:val="24"/>
          <w:szCs w:val="24"/>
          <w:highlight w:val="white"/>
        </w:rPr>
        <w:t xml:space="preserve"> Demb, A., 2009. A conceptual model to explore faculty community </w:t>
      </w:r>
      <w:r>
        <w:rPr>
          <w:rFonts w:ascii="Times New Roman" w:eastAsia="Times New Roman" w:hAnsi="Times New Roman" w:cs="Times New Roman"/>
          <w:color w:val="222222"/>
          <w:sz w:val="24"/>
          <w:szCs w:val="24"/>
          <w:highlight w:val="white"/>
        </w:rPr>
        <w:tab/>
        <w:t>engagement. </w:t>
      </w:r>
      <w:r>
        <w:rPr>
          <w:rFonts w:ascii="Times New Roman" w:eastAsia="Times New Roman" w:hAnsi="Times New Roman" w:cs="Times New Roman"/>
          <w:i/>
          <w:color w:val="222222"/>
          <w:sz w:val="24"/>
          <w:szCs w:val="24"/>
          <w:highlight w:val="white"/>
        </w:rPr>
        <w:t xml:space="preserve">Michigan </w:t>
      </w:r>
      <w:r>
        <w:rPr>
          <w:rFonts w:ascii="Times New Roman" w:eastAsia="Times New Roman" w:hAnsi="Times New Roman" w:cs="Times New Roman"/>
          <w:i/>
          <w:color w:val="222222"/>
          <w:sz w:val="24"/>
          <w:szCs w:val="24"/>
          <w:highlight w:val="white"/>
        </w:rPr>
        <w:tab/>
        <w:t>Journal of Community Service Learning</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15</w:t>
      </w:r>
      <w:r>
        <w:rPr>
          <w:rFonts w:ascii="Times New Roman" w:eastAsia="Times New Roman" w:hAnsi="Times New Roman" w:cs="Times New Roman"/>
          <w:color w:val="222222"/>
          <w:sz w:val="24"/>
          <w:szCs w:val="24"/>
          <w:highlight w:val="white"/>
        </w:rPr>
        <w:t>(2), pp.5-16.</w:t>
      </w:r>
    </w:p>
    <w:p w14:paraId="425445A4" w14:textId="77777777" w:rsidR="00C44F77" w:rsidRDefault="000C17E4">
      <w:p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Watson, D., 2007. </w:t>
      </w:r>
      <w:r>
        <w:rPr>
          <w:rFonts w:ascii="Times New Roman" w:eastAsia="Times New Roman" w:hAnsi="Times New Roman" w:cs="Times New Roman"/>
          <w:i/>
          <w:color w:val="222222"/>
          <w:sz w:val="24"/>
          <w:szCs w:val="24"/>
          <w:highlight w:val="white"/>
        </w:rPr>
        <w:t>Managing civic and community engagement</w:t>
      </w:r>
      <w:r>
        <w:rPr>
          <w:rFonts w:ascii="Times New Roman" w:eastAsia="Times New Roman" w:hAnsi="Times New Roman" w:cs="Times New Roman"/>
          <w:color w:val="222222"/>
          <w:sz w:val="24"/>
          <w:szCs w:val="24"/>
          <w:highlight w:val="white"/>
        </w:rPr>
        <w:t>. McGraw-Hill Education (UK).</w:t>
      </w:r>
    </w:p>
    <w:p w14:paraId="36007E0B" w14:textId="77777777" w:rsidR="00C44F77" w:rsidRDefault="000C17E4">
      <w:p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highlight w:val="white"/>
        </w:rPr>
      </w:pPr>
      <w:bookmarkStart w:id="9" w:name="_1ksv4uv" w:colFirst="0" w:colLast="0"/>
      <w:bookmarkEnd w:id="9"/>
      <w:r>
        <w:rPr>
          <w:rFonts w:ascii="Times New Roman" w:eastAsia="Times New Roman" w:hAnsi="Times New Roman" w:cs="Times New Roman"/>
          <w:color w:val="222222"/>
          <w:sz w:val="24"/>
          <w:szCs w:val="24"/>
          <w:highlight w:val="white"/>
        </w:rPr>
        <w:t>Watson, S. and Waterton, E., 2010. Heritage and community engagement.</w:t>
      </w:r>
    </w:p>
    <w:sectPr w:rsidR="00C44F77">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56D60D" w14:textId="77777777" w:rsidR="000C17E4" w:rsidRDefault="000C17E4">
      <w:pPr>
        <w:spacing w:after="0" w:line="240" w:lineRule="auto"/>
      </w:pPr>
      <w:r>
        <w:separator/>
      </w:r>
    </w:p>
  </w:endnote>
  <w:endnote w:type="continuationSeparator" w:id="0">
    <w:p w14:paraId="7AE268E3" w14:textId="77777777" w:rsidR="000C17E4" w:rsidRDefault="000C17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Georgia">
    <w:panose1 w:val="02040502050405020303"/>
    <w:charset w:val="00"/>
    <w:family w:val="auto"/>
    <w:pitch w:val="default"/>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2A14B7" w14:textId="77777777" w:rsidR="00C44F77" w:rsidRDefault="00C44F77">
    <w:pPr>
      <w:pBdr>
        <w:top w:val="nil"/>
        <w:left w:val="nil"/>
        <w:bottom w:val="nil"/>
        <w:right w:val="nil"/>
        <w:between w:val="nil"/>
      </w:pBdr>
      <w:tabs>
        <w:tab w:val="center" w:pos="4680"/>
        <w:tab w:val="right" w:pos="9360"/>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D8CC68" w14:textId="77777777" w:rsidR="00C44F77" w:rsidRDefault="000C17E4">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7C1172">
      <w:rPr>
        <w:noProof/>
        <w:color w:val="000000"/>
      </w:rPr>
      <w:t>1</w:t>
    </w:r>
    <w:r>
      <w:rPr>
        <w:color w:val="000000"/>
      </w:rPr>
      <w:fldChar w:fldCharType="end"/>
    </w:r>
  </w:p>
  <w:p w14:paraId="55268AF2" w14:textId="77777777" w:rsidR="00C44F77" w:rsidRDefault="000C17E4">
    <w:pPr>
      <w:pBdr>
        <w:top w:val="nil"/>
        <w:left w:val="nil"/>
        <w:bottom w:val="nil"/>
        <w:right w:val="nil"/>
        <w:between w:val="nil"/>
      </w:pBdr>
      <w:tabs>
        <w:tab w:val="center" w:pos="4680"/>
        <w:tab w:val="right" w:pos="9360"/>
        <w:tab w:val="left" w:pos="3982"/>
      </w:tabs>
      <w:spacing w:after="0" w:line="240" w:lineRule="auto"/>
      <w:rPr>
        <w:color w:val="000000"/>
      </w:rPr>
    </w:pPr>
    <w:r>
      <w:rPr>
        <w:color w:val="000000"/>
      </w:rP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B1B230" w14:textId="77777777" w:rsidR="00C44F77" w:rsidRDefault="00C44F77">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B78974" w14:textId="77777777" w:rsidR="000C17E4" w:rsidRDefault="000C17E4">
      <w:pPr>
        <w:spacing w:after="0" w:line="240" w:lineRule="auto"/>
      </w:pPr>
      <w:r>
        <w:separator/>
      </w:r>
    </w:p>
  </w:footnote>
  <w:footnote w:type="continuationSeparator" w:id="0">
    <w:p w14:paraId="5529DAA0" w14:textId="77777777" w:rsidR="000C17E4" w:rsidRDefault="000C17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440389" w14:textId="77777777" w:rsidR="00C44F77" w:rsidRDefault="00C44F77">
    <w:pPr>
      <w:pBdr>
        <w:top w:val="nil"/>
        <w:left w:val="nil"/>
        <w:bottom w:val="nil"/>
        <w:right w:val="nil"/>
        <w:between w:val="nil"/>
      </w:pBdr>
      <w:tabs>
        <w:tab w:val="center" w:pos="4680"/>
        <w:tab w:val="right" w:pos="9360"/>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9A788E" w14:textId="77777777" w:rsidR="00C44F77" w:rsidRDefault="00C44F77">
    <w:pPr>
      <w:pBdr>
        <w:top w:val="nil"/>
        <w:left w:val="nil"/>
        <w:bottom w:val="nil"/>
        <w:right w:val="nil"/>
        <w:between w:val="nil"/>
      </w:pBdr>
      <w:tabs>
        <w:tab w:val="center" w:pos="4680"/>
        <w:tab w:val="right" w:pos="9360"/>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53D6B4" w14:textId="77777777" w:rsidR="00C44F77" w:rsidRDefault="00C44F77">
    <w:pPr>
      <w:pBdr>
        <w:top w:val="nil"/>
        <w:left w:val="nil"/>
        <w:bottom w:val="nil"/>
        <w:right w:val="nil"/>
        <w:between w:val="nil"/>
      </w:pBdr>
      <w:tabs>
        <w:tab w:val="center" w:pos="4680"/>
        <w:tab w:val="right" w:pos="9360"/>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4F77"/>
    <w:rsid w:val="000C17E4"/>
    <w:rsid w:val="007C1172"/>
    <w:rsid w:val="00C44F77"/>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19A73D"/>
  <w15:docId w15:val="{60C2462D-8F4B-4969-90FE-B52FED94F4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bg-BG"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rFonts w:ascii="Times New Roman" w:eastAsia="Times New Roman" w:hAnsi="Times New Roman" w:cs="Times New Roman"/>
      <w:b/>
      <w:i/>
      <w:color w:val="2E75B5"/>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hyperlink" Target="https://www.questionpro.com/blog/top-10-community-" TargetMode="External"/><Relationship Id="rId12" Type="http://schemas.openxmlformats.org/officeDocument/2006/relationships/header" Target="head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1</Pages>
  <Words>2130</Words>
  <Characters>12143</Characters>
  <Application>Microsoft Office Word</Application>
  <DocSecurity>0</DocSecurity>
  <Lines>101</Lines>
  <Paragraphs>28</Paragraphs>
  <ScaleCrop>false</ScaleCrop>
  <Company/>
  <LinksUpToDate>false</LinksUpToDate>
  <CharactersWithSpaces>14245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Kostadin Dimitrov</cp:lastModifiedBy>
  <cp:revision>3</cp:revision>
  <dcterms:created xsi:type="dcterms:W3CDTF">2022-04-27T17:01:00Z</dcterms:created>
  <dcterms:modified xsi:type="dcterms:W3CDTF">2022-04-27T17:05:00Z</dcterms:modified>
</cp:coreProperties>
</file>