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BFB8E2" w14:textId="134C4A97" w:rsidR="00C508D3" w:rsidRDefault="00C508D3">
      <w:r>
        <w:t>Assignment Title:</w:t>
      </w:r>
      <w:r w:rsidR="00BF7530">
        <w:t xml:space="preserve"> Site Investigation Case Study</w:t>
      </w:r>
    </w:p>
    <w:p w14:paraId="0A24154B" w14:textId="35FDF502" w:rsidR="00C508D3" w:rsidRDefault="00C508D3">
      <w:r>
        <w:t>Module:</w:t>
      </w:r>
      <w:r w:rsidR="00BF7530">
        <w:t xml:space="preserve"> Fundamentals of Construction Technology</w:t>
      </w:r>
    </w:p>
    <w:p w14:paraId="5D063869" w14:textId="0429D6E4" w:rsidR="00C508D3" w:rsidRDefault="00C508D3">
      <w:r>
        <w:t>Module Code:</w:t>
      </w:r>
      <w:r w:rsidR="00BF7530">
        <w:t xml:space="preserve"> ACBA4022</w:t>
      </w:r>
    </w:p>
    <w:p w14:paraId="7EE26A66" w14:textId="483E173B" w:rsidR="00C508D3" w:rsidRDefault="00C508D3">
      <w:r>
        <w:t>Lecturer:</w:t>
      </w:r>
      <w:r w:rsidR="00BF7530">
        <w:t xml:space="preserve"> Allan Nantel</w:t>
      </w:r>
    </w:p>
    <w:p w14:paraId="50E539CC" w14:textId="5C3E1309" w:rsidR="00C508D3" w:rsidRDefault="00C508D3">
      <w:r>
        <w:t>Submission Deadline:</w:t>
      </w:r>
      <w:r w:rsidR="00BF7530">
        <w:t xml:space="preserve"> 30</w:t>
      </w:r>
      <w:r w:rsidR="00BF7530" w:rsidRPr="00BF7530">
        <w:rPr>
          <w:vertAlign w:val="superscript"/>
        </w:rPr>
        <w:t>th</w:t>
      </w:r>
      <w:r w:rsidR="00BF7530">
        <w:t xml:space="preserve"> April 2026</w:t>
      </w:r>
    </w:p>
    <w:p w14:paraId="2265D219" w14:textId="32C38ECD" w:rsidR="00C508D3" w:rsidRDefault="00C508D3">
      <w:r>
        <w:t>Word Count:</w:t>
      </w:r>
      <w:r w:rsidR="00BF7530">
        <w:t xml:space="preserve"> 2032</w:t>
      </w:r>
    </w:p>
    <w:p w14:paraId="5ECC8816" w14:textId="5FAA1845" w:rsidR="000C4EB5" w:rsidRDefault="00C508D3">
      <w:r>
        <w:t>Student Number:</w:t>
      </w:r>
      <w:r w:rsidR="00BF7530">
        <w:t xml:space="preserve"> 2512680</w:t>
      </w:r>
      <w:r w:rsidR="000C4EB5">
        <w:br w:type="page"/>
      </w:r>
    </w:p>
    <w:sdt>
      <w:sdtPr>
        <w:rPr>
          <w:rFonts w:eastAsiaTheme="minorHAnsi" w:cs="Times New Roman"/>
          <w:b w:val="0"/>
          <w:bCs/>
          <w:kern w:val="2"/>
          <w:sz w:val="22"/>
          <w:szCs w:val="24"/>
          <w:u w:val="none"/>
          <w:lang w:val="en-GB"/>
          <w14:ligatures w14:val="standardContextual"/>
        </w:rPr>
        <w:id w:val="-1786268456"/>
        <w:docPartObj>
          <w:docPartGallery w:val="Table of Contents"/>
          <w:docPartUnique/>
        </w:docPartObj>
      </w:sdtPr>
      <w:sdtEndPr>
        <w:rPr>
          <w:noProof/>
        </w:rPr>
      </w:sdtEndPr>
      <w:sdtContent>
        <w:p w14:paraId="44CC6F75" w14:textId="588F3DB6" w:rsidR="000C4EB5" w:rsidRDefault="000C4EB5">
          <w:pPr>
            <w:pStyle w:val="TOCHeading"/>
          </w:pPr>
          <w:r>
            <w:t>Contents</w:t>
          </w:r>
        </w:p>
        <w:p w14:paraId="57BE883F" w14:textId="39C357BA" w:rsidR="0062334D" w:rsidRDefault="000C4EB5">
          <w:pPr>
            <w:pStyle w:val="TOC1"/>
            <w:tabs>
              <w:tab w:val="right" w:leader="dot" w:pos="9016"/>
            </w:tabs>
            <w:rPr>
              <w:rFonts w:asciiTheme="minorHAnsi" w:eastAsiaTheme="minorEastAsia" w:hAnsiTheme="minorHAnsi" w:cstheme="minorBidi"/>
              <w:bCs w:val="0"/>
              <w:noProof/>
              <w:sz w:val="24"/>
              <w:lang w:eastAsia="en-GB"/>
            </w:rPr>
          </w:pPr>
          <w:r>
            <w:fldChar w:fldCharType="begin"/>
          </w:r>
          <w:r>
            <w:instrText xml:space="preserve"> TOC \o "1-3" \h \z \u </w:instrText>
          </w:r>
          <w:r>
            <w:fldChar w:fldCharType="separate"/>
          </w:r>
          <w:hyperlink w:anchor="_Toc228212287" w:history="1">
            <w:r w:rsidR="0062334D" w:rsidRPr="00CB1AB8">
              <w:rPr>
                <w:rStyle w:val="Hyperlink"/>
                <w:noProof/>
              </w:rPr>
              <w:t>Introduction</w:t>
            </w:r>
            <w:r w:rsidR="0062334D">
              <w:rPr>
                <w:noProof/>
                <w:webHidden/>
              </w:rPr>
              <w:tab/>
            </w:r>
            <w:r w:rsidR="0062334D">
              <w:rPr>
                <w:noProof/>
                <w:webHidden/>
              </w:rPr>
              <w:fldChar w:fldCharType="begin"/>
            </w:r>
            <w:r w:rsidR="0062334D">
              <w:rPr>
                <w:noProof/>
                <w:webHidden/>
              </w:rPr>
              <w:instrText xml:space="preserve"> PAGEREF _Toc228212287 \h </w:instrText>
            </w:r>
            <w:r w:rsidR="0062334D">
              <w:rPr>
                <w:noProof/>
                <w:webHidden/>
              </w:rPr>
            </w:r>
            <w:r w:rsidR="0062334D">
              <w:rPr>
                <w:noProof/>
                <w:webHidden/>
              </w:rPr>
              <w:fldChar w:fldCharType="separate"/>
            </w:r>
            <w:r w:rsidR="0062334D">
              <w:rPr>
                <w:noProof/>
                <w:webHidden/>
              </w:rPr>
              <w:t>3</w:t>
            </w:r>
            <w:r w:rsidR="0062334D">
              <w:rPr>
                <w:noProof/>
                <w:webHidden/>
              </w:rPr>
              <w:fldChar w:fldCharType="end"/>
            </w:r>
          </w:hyperlink>
        </w:p>
        <w:p w14:paraId="437DC0F6" w14:textId="7E8DB699" w:rsidR="0062334D" w:rsidRDefault="0062334D">
          <w:pPr>
            <w:pStyle w:val="TOC1"/>
            <w:tabs>
              <w:tab w:val="right" w:leader="dot" w:pos="9016"/>
            </w:tabs>
            <w:rPr>
              <w:rFonts w:asciiTheme="minorHAnsi" w:eastAsiaTheme="minorEastAsia" w:hAnsiTheme="minorHAnsi" w:cstheme="minorBidi"/>
              <w:bCs w:val="0"/>
              <w:noProof/>
              <w:sz w:val="24"/>
              <w:lang w:eastAsia="en-GB"/>
            </w:rPr>
          </w:pPr>
          <w:hyperlink w:anchor="_Toc228212288" w:history="1">
            <w:r w:rsidRPr="00CB1AB8">
              <w:rPr>
                <w:rStyle w:val="Hyperlink"/>
                <w:noProof/>
              </w:rPr>
              <w:t>Historical Background and Desktop Study</w:t>
            </w:r>
            <w:r>
              <w:rPr>
                <w:noProof/>
                <w:webHidden/>
              </w:rPr>
              <w:tab/>
            </w:r>
            <w:r>
              <w:rPr>
                <w:noProof/>
                <w:webHidden/>
              </w:rPr>
              <w:fldChar w:fldCharType="begin"/>
            </w:r>
            <w:r>
              <w:rPr>
                <w:noProof/>
                <w:webHidden/>
              </w:rPr>
              <w:instrText xml:space="preserve"> PAGEREF _Toc228212288 \h </w:instrText>
            </w:r>
            <w:r>
              <w:rPr>
                <w:noProof/>
                <w:webHidden/>
              </w:rPr>
            </w:r>
            <w:r>
              <w:rPr>
                <w:noProof/>
                <w:webHidden/>
              </w:rPr>
              <w:fldChar w:fldCharType="separate"/>
            </w:r>
            <w:r>
              <w:rPr>
                <w:noProof/>
                <w:webHidden/>
              </w:rPr>
              <w:t>4</w:t>
            </w:r>
            <w:r>
              <w:rPr>
                <w:noProof/>
                <w:webHidden/>
              </w:rPr>
              <w:fldChar w:fldCharType="end"/>
            </w:r>
          </w:hyperlink>
        </w:p>
        <w:p w14:paraId="4A6082AC" w14:textId="12D15227" w:rsidR="0062334D" w:rsidRDefault="0062334D">
          <w:pPr>
            <w:pStyle w:val="TOC1"/>
            <w:tabs>
              <w:tab w:val="right" w:leader="dot" w:pos="9016"/>
            </w:tabs>
            <w:rPr>
              <w:rFonts w:asciiTheme="minorHAnsi" w:eastAsiaTheme="minorEastAsia" w:hAnsiTheme="minorHAnsi" w:cstheme="minorBidi"/>
              <w:bCs w:val="0"/>
              <w:noProof/>
              <w:sz w:val="24"/>
              <w:lang w:eastAsia="en-GB"/>
            </w:rPr>
          </w:pPr>
          <w:hyperlink w:anchor="_Toc228212289" w:history="1">
            <w:r w:rsidRPr="00CB1AB8">
              <w:rPr>
                <w:rStyle w:val="Hyperlink"/>
                <w:noProof/>
              </w:rPr>
              <w:t>Site Investigation Strategy and Geotechnical Risk Analysis</w:t>
            </w:r>
            <w:r>
              <w:rPr>
                <w:noProof/>
                <w:webHidden/>
              </w:rPr>
              <w:tab/>
            </w:r>
            <w:r>
              <w:rPr>
                <w:noProof/>
                <w:webHidden/>
              </w:rPr>
              <w:fldChar w:fldCharType="begin"/>
            </w:r>
            <w:r>
              <w:rPr>
                <w:noProof/>
                <w:webHidden/>
              </w:rPr>
              <w:instrText xml:space="preserve"> PAGEREF _Toc228212289 \h </w:instrText>
            </w:r>
            <w:r>
              <w:rPr>
                <w:noProof/>
                <w:webHidden/>
              </w:rPr>
            </w:r>
            <w:r>
              <w:rPr>
                <w:noProof/>
                <w:webHidden/>
              </w:rPr>
              <w:fldChar w:fldCharType="separate"/>
            </w:r>
            <w:r>
              <w:rPr>
                <w:noProof/>
                <w:webHidden/>
              </w:rPr>
              <w:t>5</w:t>
            </w:r>
            <w:r>
              <w:rPr>
                <w:noProof/>
                <w:webHidden/>
              </w:rPr>
              <w:fldChar w:fldCharType="end"/>
            </w:r>
          </w:hyperlink>
        </w:p>
        <w:p w14:paraId="7381CA23" w14:textId="2F928AAD" w:rsidR="0062334D" w:rsidRDefault="0062334D">
          <w:pPr>
            <w:pStyle w:val="TOC1"/>
            <w:tabs>
              <w:tab w:val="right" w:leader="dot" w:pos="9016"/>
            </w:tabs>
            <w:rPr>
              <w:rFonts w:asciiTheme="minorHAnsi" w:eastAsiaTheme="minorEastAsia" w:hAnsiTheme="minorHAnsi" w:cstheme="minorBidi"/>
              <w:bCs w:val="0"/>
              <w:noProof/>
              <w:sz w:val="24"/>
              <w:lang w:eastAsia="en-GB"/>
            </w:rPr>
          </w:pPr>
          <w:hyperlink w:anchor="_Toc228212290" w:history="1">
            <w:r w:rsidRPr="00CB1AB8">
              <w:rPr>
                <w:rStyle w:val="Hyperlink"/>
                <w:noProof/>
              </w:rPr>
              <w:t>Regulatory Framework and Stakeholder Involvement</w:t>
            </w:r>
            <w:r>
              <w:rPr>
                <w:noProof/>
                <w:webHidden/>
              </w:rPr>
              <w:tab/>
            </w:r>
            <w:r>
              <w:rPr>
                <w:noProof/>
                <w:webHidden/>
              </w:rPr>
              <w:fldChar w:fldCharType="begin"/>
            </w:r>
            <w:r>
              <w:rPr>
                <w:noProof/>
                <w:webHidden/>
              </w:rPr>
              <w:instrText xml:space="preserve"> PAGEREF _Toc228212290 \h </w:instrText>
            </w:r>
            <w:r>
              <w:rPr>
                <w:noProof/>
                <w:webHidden/>
              </w:rPr>
            </w:r>
            <w:r>
              <w:rPr>
                <w:noProof/>
                <w:webHidden/>
              </w:rPr>
              <w:fldChar w:fldCharType="separate"/>
            </w:r>
            <w:r>
              <w:rPr>
                <w:noProof/>
                <w:webHidden/>
              </w:rPr>
              <w:t>6</w:t>
            </w:r>
            <w:r>
              <w:rPr>
                <w:noProof/>
                <w:webHidden/>
              </w:rPr>
              <w:fldChar w:fldCharType="end"/>
            </w:r>
          </w:hyperlink>
        </w:p>
        <w:p w14:paraId="55348FC2" w14:textId="35FC99DE" w:rsidR="0062334D" w:rsidRDefault="0062334D">
          <w:pPr>
            <w:pStyle w:val="TOC1"/>
            <w:tabs>
              <w:tab w:val="right" w:leader="dot" w:pos="9016"/>
            </w:tabs>
            <w:rPr>
              <w:rFonts w:asciiTheme="minorHAnsi" w:eastAsiaTheme="minorEastAsia" w:hAnsiTheme="minorHAnsi" w:cstheme="minorBidi"/>
              <w:bCs w:val="0"/>
              <w:noProof/>
              <w:sz w:val="24"/>
              <w:lang w:eastAsia="en-GB"/>
            </w:rPr>
          </w:pPr>
          <w:hyperlink w:anchor="_Toc228212291" w:history="1">
            <w:r w:rsidRPr="00CB1AB8">
              <w:rPr>
                <w:rStyle w:val="Hyperlink"/>
                <w:noProof/>
              </w:rPr>
              <w:t>Foundation Appraisal and Recommendations</w:t>
            </w:r>
            <w:r>
              <w:rPr>
                <w:noProof/>
                <w:webHidden/>
              </w:rPr>
              <w:tab/>
            </w:r>
            <w:r>
              <w:rPr>
                <w:noProof/>
                <w:webHidden/>
              </w:rPr>
              <w:fldChar w:fldCharType="begin"/>
            </w:r>
            <w:r>
              <w:rPr>
                <w:noProof/>
                <w:webHidden/>
              </w:rPr>
              <w:instrText xml:space="preserve"> PAGEREF _Toc228212291 \h </w:instrText>
            </w:r>
            <w:r>
              <w:rPr>
                <w:noProof/>
                <w:webHidden/>
              </w:rPr>
            </w:r>
            <w:r>
              <w:rPr>
                <w:noProof/>
                <w:webHidden/>
              </w:rPr>
              <w:fldChar w:fldCharType="separate"/>
            </w:r>
            <w:r>
              <w:rPr>
                <w:noProof/>
                <w:webHidden/>
              </w:rPr>
              <w:t>7</w:t>
            </w:r>
            <w:r>
              <w:rPr>
                <w:noProof/>
                <w:webHidden/>
              </w:rPr>
              <w:fldChar w:fldCharType="end"/>
            </w:r>
          </w:hyperlink>
        </w:p>
        <w:p w14:paraId="5C7BE6CF" w14:textId="5ABA52CA" w:rsidR="0062334D" w:rsidRDefault="0062334D">
          <w:pPr>
            <w:pStyle w:val="TOC1"/>
            <w:tabs>
              <w:tab w:val="right" w:leader="dot" w:pos="9016"/>
            </w:tabs>
            <w:rPr>
              <w:rFonts w:asciiTheme="minorHAnsi" w:eastAsiaTheme="minorEastAsia" w:hAnsiTheme="minorHAnsi" w:cstheme="minorBidi"/>
              <w:bCs w:val="0"/>
              <w:noProof/>
              <w:sz w:val="24"/>
              <w:lang w:eastAsia="en-GB"/>
            </w:rPr>
          </w:pPr>
          <w:hyperlink w:anchor="_Toc228212292" w:history="1">
            <w:r w:rsidRPr="00CB1AB8">
              <w:rPr>
                <w:rStyle w:val="Hyperlink"/>
                <w:noProof/>
              </w:rPr>
              <w:t>Conclusion</w:t>
            </w:r>
            <w:r>
              <w:rPr>
                <w:noProof/>
                <w:webHidden/>
              </w:rPr>
              <w:tab/>
            </w:r>
            <w:r>
              <w:rPr>
                <w:noProof/>
                <w:webHidden/>
              </w:rPr>
              <w:fldChar w:fldCharType="begin"/>
            </w:r>
            <w:r>
              <w:rPr>
                <w:noProof/>
                <w:webHidden/>
              </w:rPr>
              <w:instrText xml:space="preserve"> PAGEREF _Toc228212292 \h </w:instrText>
            </w:r>
            <w:r>
              <w:rPr>
                <w:noProof/>
                <w:webHidden/>
              </w:rPr>
            </w:r>
            <w:r>
              <w:rPr>
                <w:noProof/>
                <w:webHidden/>
              </w:rPr>
              <w:fldChar w:fldCharType="separate"/>
            </w:r>
            <w:r>
              <w:rPr>
                <w:noProof/>
                <w:webHidden/>
              </w:rPr>
              <w:t>7</w:t>
            </w:r>
            <w:r>
              <w:rPr>
                <w:noProof/>
                <w:webHidden/>
              </w:rPr>
              <w:fldChar w:fldCharType="end"/>
            </w:r>
          </w:hyperlink>
        </w:p>
        <w:p w14:paraId="18526B2B" w14:textId="58AF8711" w:rsidR="0062334D" w:rsidRDefault="0062334D">
          <w:pPr>
            <w:pStyle w:val="TOC1"/>
            <w:tabs>
              <w:tab w:val="right" w:leader="dot" w:pos="9016"/>
            </w:tabs>
            <w:rPr>
              <w:rFonts w:asciiTheme="minorHAnsi" w:eastAsiaTheme="minorEastAsia" w:hAnsiTheme="minorHAnsi" w:cstheme="minorBidi"/>
              <w:bCs w:val="0"/>
              <w:noProof/>
              <w:sz w:val="24"/>
              <w:lang w:eastAsia="en-GB"/>
            </w:rPr>
          </w:pPr>
          <w:hyperlink w:anchor="_Toc228212293" w:history="1">
            <w:r w:rsidRPr="00CB1AB8">
              <w:rPr>
                <w:rStyle w:val="Hyperlink"/>
                <w:noProof/>
              </w:rPr>
              <w:t>Reference List</w:t>
            </w:r>
            <w:r>
              <w:rPr>
                <w:noProof/>
                <w:webHidden/>
              </w:rPr>
              <w:tab/>
            </w:r>
            <w:r>
              <w:rPr>
                <w:noProof/>
                <w:webHidden/>
              </w:rPr>
              <w:fldChar w:fldCharType="begin"/>
            </w:r>
            <w:r>
              <w:rPr>
                <w:noProof/>
                <w:webHidden/>
              </w:rPr>
              <w:instrText xml:space="preserve"> PAGEREF _Toc228212293 \h </w:instrText>
            </w:r>
            <w:r>
              <w:rPr>
                <w:noProof/>
                <w:webHidden/>
              </w:rPr>
            </w:r>
            <w:r>
              <w:rPr>
                <w:noProof/>
                <w:webHidden/>
              </w:rPr>
              <w:fldChar w:fldCharType="separate"/>
            </w:r>
            <w:r>
              <w:rPr>
                <w:noProof/>
                <w:webHidden/>
              </w:rPr>
              <w:t>10</w:t>
            </w:r>
            <w:r>
              <w:rPr>
                <w:noProof/>
                <w:webHidden/>
              </w:rPr>
              <w:fldChar w:fldCharType="end"/>
            </w:r>
          </w:hyperlink>
        </w:p>
        <w:p w14:paraId="71DCBA10" w14:textId="2CE60D8A" w:rsidR="000C4EB5" w:rsidRDefault="000C4EB5">
          <w:r>
            <w:rPr>
              <w:b/>
              <w:bCs w:val="0"/>
              <w:noProof/>
              <w:lang w:val="en-US"/>
            </w:rPr>
            <w:fldChar w:fldCharType="end"/>
          </w:r>
        </w:p>
      </w:sdtContent>
    </w:sdt>
    <w:p w14:paraId="7ED2D360" w14:textId="77777777" w:rsidR="00BF070F" w:rsidRDefault="00BF070F"/>
    <w:p w14:paraId="2989CE2B" w14:textId="77777777" w:rsidR="000C4EB5" w:rsidRDefault="000C4EB5"/>
    <w:p w14:paraId="58A89344" w14:textId="77777777" w:rsidR="000C4EB5" w:rsidRDefault="000C4EB5"/>
    <w:p w14:paraId="1C1270D8" w14:textId="77777777" w:rsidR="000C4EB5" w:rsidRDefault="000C4EB5"/>
    <w:p w14:paraId="6290AEF7" w14:textId="77777777" w:rsidR="000C4EB5" w:rsidRDefault="000C4EB5"/>
    <w:p w14:paraId="68FFDB01" w14:textId="77777777" w:rsidR="000C4EB5" w:rsidRDefault="000C4EB5"/>
    <w:p w14:paraId="17BB8B6D" w14:textId="77777777" w:rsidR="000C4EB5" w:rsidRDefault="000C4EB5"/>
    <w:p w14:paraId="13FBAE1B" w14:textId="77777777" w:rsidR="000C4EB5" w:rsidRDefault="000C4EB5"/>
    <w:p w14:paraId="42981527" w14:textId="77777777" w:rsidR="000C4EB5" w:rsidRDefault="000C4EB5"/>
    <w:p w14:paraId="71B79635" w14:textId="77777777" w:rsidR="000C4EB5" w:rsidRDefault="000C4EB5"/>
    <w:p w14:paraId="4A1DB05B" w14:textId="77777777" w:rsidR="000C4EB5" w:rsidRDefault="000C4EB5"/>
    <w:p w14:paraId="4D02B5E9" w14:textId="77777777" w:rsidR="000C4EB5" w:rsidRDefault="000C4EB5"/>
    <w:p w14:paraId="137281CF" w14:textId="77777777" w:rsidR="000C4EB5" w:rsidRDefault="000C4EB5"/>
    <w:p w14:paraId="06994736" w14:textId="77777777" w:rsidR="000C4EB5" w:rsidRDefault="000C4EB5"/>
    <w:p w14:paraId="57533619" w14:textId="77777777" w:rsidR="000C4EB5" w:rsidRDefault="000C4EB5"/>
    <w:p w14:paraId="3222B494" w14:textId="77777777" w:rsidR="000C4EB5" w:rsidRDefault="000C4EB5"/>
    <w:p w14:paraId="6E61D523" w14:textId="77777777" w:rsidR="000C4EB5" w:rsidRDefault="000C4EB5"/>
    <w:p w14:paraId="76214B99" w14:textId="77777777" w:rsidR="000C4EB5" w:rsidRDefault="000C4EB5"/>
    <w:p w14:paraId="146A9E0B" w14:textId="77777777" w:rsidR="000C4EB5" w:rsidRDefault="000C4EB5"/>
    <w:p w14:paraId="34962C36" w14:textId="77777777" w:rsidR="000C4EB5" w:rsidRDefault="000C4EB5"/>
    <w:p w14:paraId="087A4379" w14:textId="77777777" w:rsidR="000C4EB5" w:rsidRDefault="000C4EB5"/>
    <w:p w14:paraId="7466DBB6" w14:textId="77777777" w:rsidR="000C4EB5" w:rsidRDefault="000C4EB5"/>
    <w:p w14:paraId="2AB25201" w14:textId="77777777" w:rsidR="000C4EB5" w:rsidRDefault="000C4EB5"/>
    <w:p w14:paraId="0B01514B" w14:textId="7AE23618" w:rsidR="000C4EB5" w:rsidRDefault="000C4EB5" w:rsidP="001767C4">
      <w:pPr>
        <w:pStyle w:val="Heading1"/>
        <w:spacing w:line="240" w:lineRule="auto"/>
      </w:pPr>
      <w:bookmarkStart w:id="0" w:name="_Toc228212287"/>
      <w:r>
        <w:lastRenderedPageBreak/>
        <w:t>Introduction</w:t>
      </w:r>
      <w:bookmarkEnd w:id="0"/>
    </w:p>
    <w:p w14:paraId="2BF48812" w14:textId="77777777" w:rsidR="000C4EB5" w:rsidRDefault="000C4EB5" w:rsidP="001767C4">
      <w:pPr>
        <w:spacing w:line="240" w:lineRule="auto"/>
      </w:pPr>
    </w:p>
    <w:p w14:paraId="77C2DB6E" w14:textId="56CE3916" w:rsidR="000C4EB5" w:rsidRDefault="00661FA2" w:rsidP="001767C4">
      <w:pPr>
        <w:spacing w:line="240" w:lineRule="auto"/>
      </w:pPr>
      <w:r>
        <w:rPr>
          <w:noProof/>
        </w:rPr>
        <mc:AlternateContent>
          <mc:Choice Requires="wps">
            <w:drawing>
              <wp:anchor distT="45720" distB="45720" distL="114300" distR="114300" simplePos="0" relativeHeight="251663360" behindDoc="0" locked="0" layoutInCell="1" allowOverlap="1" wp14:anchorId="7C3A7134" wp14:editId="4070E313">
                <wp:simplePos x="0" y="0"/>
                <wp:positionH relativeFrom="margin">
                  <wp:align>right</wp:align>
                </wp:positionH>
                <wp:positionV relativeFrom="paragraph">
                  <wp:posOffset>5460365</wp:posOffset>
                </wp:positionV>
                <wp:extent cx="2689860" cy="502920"/>
                <wp:effectExtent l="0" t="0" r="15240" b="11430"/>
                <wp:wrapSquare wrapText="bothSides"/>
                <wp:docPr id="6515636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9860" cy="502920"/>
                        </a:xfrm>
                        <a:prstGeom prst="rect">
                          <a:avLst/>
                        </a:prstGeom>
                        <a:solidFill>
                          <a:srgbClr val="FFFFFF"/>
                        </a:solidFill>
                        <a:ln w="9525">
                          <a:solidFill>
                            <a:srgbClr val="000000"/>
                          </a:solidFill>
                          <a:miter lim="800000"/>
                          <a:headEnd/>
                          <a:tailEnd/>
                        </a:ln>
                      </wps:spPr>
                      <wps:txbx>
                        <w:txbxContent>
                          <w:p w14:paraId="5F1BE96F" w14:textId="574AAA54" w:rsidR="00956270" w:rsidRPr="00CA7C7C" w:rsidRDefault="00956270" w:rsidP="00956270">
                            <w:pPr>
                              <w:tabs>
                                <w:tab w:val="left" w:pos="5064"/>
                              </w:tabs>
                              <w:rPr>
                                <w:sz w:val="16"/>
                                <w:szCs w:val="18"/>
                              </w:rPr>
                            </w:pPr>
                            <w:r>
                              <w:rPr>
                                <w:sz w:val="16"/>
                                <w:szCs w:val="18"/>
                              </w:rPr>
                              <w:t>Fig 2 – Photo of location of proposed development taken from Marriott Hotel car park entrance. Personal collection, taken March 2026</w:t>
                            </w:r>
                          </w:p>
                          <w:p w14:paraId="4CD73997" w14:textId="77777777" w:rsidR="00956270" w:rsidRDefault="00956270" w:rsidP="0095627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3A7134" id="_x0000_t202" coordsize="21600,21600" o:spt="202" path="m,l,21600r21600,l21600,xe">
                <v:stroke joinstyle="miter"/>
                <v:path gradientshapeok="t" o:connecttype="rect"/>
              </v:shapetype>
              <v:shape id="Text Box 2" o:spid="_x0000_s1026" type="#_x0000_t202" style="position:absolute;margin-left:160.6pt;margin-top:429.95pt;width:211.8pt;height:39.6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">
                <v:textbox>
                  <w:txbxContent>
                    <w:p w14:paraId="5F1BE96F" w14:textId="574AAA54" w:rsidR="00956270" w:rsidRPr="00CA7C7C" w:rsidRDefault="00956270" w:rsidP="00956270">
                      <w:pPr>
                        <w:tabs>
                          <w:tab w:val="left" w:pos="5064"/>
                        </w:tabs>
                        <w:rPr>
                          <w:sz w:val="16"/>
                          <w:szCs w:val="18"/>
                        </w:rPr>
                      </w:pPr>
                      <w:r>
                        <w:rPr>
                          <w:sz w:val="16"/>
                          <w:szCs w:val="18"/>
                        </w:rPr>
                        <w:t>Fig 2 – Photo of location of proposed development taken from Marriott Hotel car park entrance. Personal collection, taken March 2026</w:t>
                      </w:r>
                    </w:p>
                    <w:p w14:paraId="4CD73997" w14:textId="77777777" w:rsidR="00956270" w:rsidRDefault="00956270" w:rsidP="00956270"/>
                  </w:txbxContent>
                </v:textbox>
                <w10:wrap type="square" anchorx="margin"/>
              </v:shape>
            </w:pict>
          </mc:Fallback>
        </mc:AlternateContent>
      </w:r>
      <w:r>
        <w:rPr>
          <w:noProof/>
        </w:rPr>
        <w:drawing>
          <wp:anchor distT="0" distB="0" distL="114300" distR="114300" simplePos="0" relativeHeight="251659264" behindDoc="1" locked="0" layoutInCell="1" allowOverlap="1" wp14:anchorId="2C7AFA0D" wp14:editId="5441B7E7">
            <wp:simplePos x="0" y="0"/>
            <wp:positionH relativeFrom="margin">
              <wp:posOffset>2525395</wp:posOffset>
            </wp:positionH>
            <wp:positionV relativeFrom="paragraph">
              <wp:posOffset>2070735</wp:posOffset>
            </wp:positionV>
            <wp:extent cx="3801110" cy="2851150"/>
            <wp:effectExtent l="0" t="1270" r="7620" b="7620"/>
            <wp:wrapTight wrapText="bothSides">
              <wp:wrapPolygon edited="0">
                <wp:start x="-7" y="21590"/>
                <wp:lineTo x="21535" y="21590"/>
                <wp:lineTo x="21535" y="87"/>
                <wp:lineTo x="-7" y="87"/>
                <wp:lineTo x="-7" y="21590"/>
              </wp:wrapPolygon>
            </wp:wrapTight>
            <wp:docPr id="15232552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255256" name="Picture 1523255256"/>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3801110" cy="28511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6914CD46" wp14:editId="3ABF342F">
            <wp:simplePos x="0" y="0"/>
            <wp:positionH relativeFrom="margin">
              <wp:align>left</wp:align>
            </wp:positionH>
            <wp:positionV relativeFrom="paragraph">
              <wp:posOffset>2068830</wp:posOffset>
            </wp:positionV>
            <wp:extent cx="3791585" cy="2842895"/>
            <wp:effectExtent l="0" t="1905" r="0" b="0"/>
            <wp:wrapTight wrapText="bothSides">
              <wp:wrapPolygon edited="0">
                <wp:start x="-11" y="21586"/>
                <wp:lineTo x="21477" y="21586"/>
                <wp:lineTo x="21477" y="164"/>
                <wp:lineTo x="-11" y="164"/>
                <wp:lineTo x="-11" y="21586"/>
              </wp:wrapPolygon>
            </wp:wrapTight>
            <wp:docPr id="568851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851262" name="Picture 568851262"/>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791585" cy="2842895"/>
                    </a:xfrm>
                    <a:prstGeom prst="rect">
                      <a:avLst/>
                    </a:prstGeom>
                  </pic:spPr>
                </pic:pic>
              </a:graphicData>
            </a:graphic>
            <wp14:sizeRelH relativeFrom="margin">
              <wp14:pctWidth>0</wp14:pctWidth>
            </wp14:sizeRelH>
            <wp14:sizeRelV relativeFrom="margin">
              <wp14:pctHeight>0</wp14:pctHeight>
            </wp14:sizeRelV>
          </wp:anchor>
        </w:drawing>
      </w:r>
      <w:r w:rsidR="00B56511">
        <w:t>The proposed development by the City and County of Swansea</w:t>
      </w:r>
      <w:r w:rsidR="0054766B">
        <w:t xml:space="preserve">, working alongside Marriott </w:t>
      </w:r>
      <w:r w:rsidR="00411609">
        <w:t>Hotels</w:t>
      </w:r>
      <w:r w:rsidR="0054766B">
        <w:t xml:space="preserve">, </w:t>
      </w:r>
      <w:r w:rsidR="00BF563A">
        <w:t xml:space="preserve">wish to build a mulit-purpose hospitality facility located on </w:t>
      </w:r>
      <w:r w:rsidR="00052E5E">
        <w:t>the Swansea waterfront between the County Hall and the Marriott Hotel within the regenerated docklands of Swansea Marina. The development will comprise of a substantial ground-floor footprint of approximately 2,000</w:t>
      </w:r>
      <w:r w:rsidR="002166DD" w:rsidRPr="008D52A1">
        <w:t>m²</w:t>
      </w:r>
      <w:r w:rsidR="002166DD" w:rsidRPr="002166DD">
        <w:t xml:space="preserve"> </w:t>
      </w:r>
      <w:r w:rsidR="0017005E">
        <w:t xml:space="preserve">to include a restaurant, leisure facilities, with additional upper-floor </w:t>
      </w:r>
      <w:r w:rsidR="00BB272F">
        <w:t xml:space="preserve">residential and staffing facilities. The waterfront location, combined with the proposed glass façade </w:t>
      </w:r>
      <w:r w:rsidR="00501ECE">
        <w:t>and integration into the existing car park infrastructure, presents considerable emphasis on structural performance and long-term serviceability.</w:t>
      </w:r>
      <w:r w:rsidR="001139ED">
        <w:t xml:space="preserve"> </w:t>
      </w:r>
    </w:p>
    <w:p w14:paraId="75383E11" w14:textId="07B16012" w:rsidR="00A011AF" w:rsidRDefault="00956270" w:rsidP="001767C4">
      <w:pPr>
        <w:spacing w:line="240" w:lineRule="auto"/>
      </w:pPr>
      <w:r>
        <w:rPr>
          <w:noProof/>
        </w:rPr>
        <mc:AlternateContent>
          <mc:Choice Requires="wps">
            <w:drawing>
              <wp:anchor distT="45720" distB="45720" distL="114300" distR="114300" simplePos="0" relativeHeight="251661312" behindDoc="0" locked="0" layoutInCell="1" allowOverlap="1" wp14:anchorId="146B7E5C" wp14:editId="08C647BB">
                <wp:simplePos x="0" y="0"/>
                <wp:positionH relativeFrom="margin">
                  <wp:posOffset>103505</wp:posOffset>
                </wp:positionH>
                <wp:positionV relativeFrom="paragraph">
                  <wp:posOffset>4072890</wp:posOffset>
                </wp:positionV>
                <wp:extent cx="2758440" cy="487680"/>
                <wp:effectExtent l="0" t="0" r="228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8440" cy="487680"/>
                        </a:xfrm>
                        <a:prstGeom prst="rect">
                          <a:avLst/>
                        </a:prstGeom>
                        <a:solidFill>
                          <a:srgbClr val="FFFFFF"/>
                        </a:solidFill>
                        <a:ln w="9525">
                          <a:solidFill>
                            <a:srgbClr val="000000"/>
                          </a:solidFill>
                          <a:miter lim="800000"/>
                          <a:headEnd/>
                          <a:tailEnd/>
                        </a:ln>
                      </wps:spPr>
                      <wps:txbx>
                        <w:txbxContent>
                          <w:p w14:paraId="111B2D33" w14:textId="11E416E8" w:rsidR="00956270" w:rsidRPr="00CA7C7C" w:rsidRDefault="00956270" w:rsidP="00956270">
                            <w:pPr>
                              <w:tabs>
                                <w:tab w:val="left" w:pos="5064"/>
                              </w:tabs>
                              <w:rPr>
                                <w:sz w:val="16"/>
                                <w:szCs w:val="18"/>
                              </w:rPr>
                            </w:pPr>
                            <w:r>
                              <w:rPr>
                                <w:sz w:val="16"/>
                                <w:szCs w:val="18"/>
                              </w:rPr>
                              <w:t>Fig 1 – Photo of location of proposed development taken from County Hall side car park. Personal collection, taken March 2026</w:t>
                            </w:r>
                          </w:p>
                          <w:p w14:paraId="0B448D74" w14:textId="2955A4A5" w:rsidR="00956270" w:rsidRDefault="0095627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6B7E5C" id="_x0000_s1027" type="#_x0000_t202" style="position:absolute;margin-left:8.15pt;margin-top:320.7pt;width:217.2pt;height:38.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">
                <v:textbox>
                  <w:txbxContent>
                    <w:p w14:paraId="111B2D33" w14:textId="11E416E8" w:rsidR="00956270" w:rsidRPr="00CA7C7C" w:rsidRDefault="00956270" w:rsidP="00956270">
                      <w:pPr>
                        <w:tabs>
                          <w:tab w:val="left" w:pos="5064"/>
                        </w:tabs>
                        <w:rPr>
                          <w:sz w:val="16"/>
                          <w:szCs w:val="18"/>
                        </w:rPr>
                      </w:pPr>
                      <w:r>
                        <w:rPr>
                          <w:sz w:val="16"/>
                          <w:szCs w:val="18"/>
                        </w:rPr>
                        <w:t>Fig 1 – Photo of location of proposed development taken from County Hall side car park. Personal collection, taken March 2026</w:t>
                      </w:r>
                    </w:p>
                    <w:p w14:paraId="0B448D74" w14:textId="2955A4A5" w:rsidR="00956270" w:rsidRDefault="00956270"/>
                  </w:txbxContent>
                </v:textbox>
                <w10:wrap type="square" anchorx="margin"/>
              </v:shape>
            </w:pict>
          </mc:Fallback>
        </mc:AlternateContent>
      </w:r>
      <w:r>
        <w:tab/>
      </w:r>
    </w:p>
    <w:p w14:paraId="2E8BA04D" w14:textId="77777777" w:rsidR="006C63C8" w:rsidRDefault="006C63C8" w:rsidP="001767C4">
      <w:pPr>
        <w:spacing w:line="240" w:lineRule="auto"/>
      </w:pPr>
    </w:p>
    <w:p w14:paraId="103CBF29" w14:textId="3B2C537C" w:rsidR="001139ED" w:rsidRDefault="001139ED" w:rsidP="001767C4">
      <w:pPr>
        <w:spacing w:line="240" w:lineRule="auto"/>
      </w:pPr>
      <w:r>
        <w:t xml:space="preserve">With regards to feasibility, it is essential that a preliminary study is undertaken to inform </w:t>
      </w:r>
      <w:r w:rsidR="00EA4DEB">
        <w:t>the site investigation strategy. This is critical given the site’s location within a historically reclaimed coastal environment where sub-surface conditions are comple</w:t>
      </w:r>
      <w:r w:rsidR="00F81B3F">
        <w:t xml:space="preserve">x. </w:t>
      </w:r>
      <w:r w:rsidR="00A54087">
        <w:t xml:space="preserve">This </w:t>
      </w:r>
      <w:r w:rsidR="009317DA">
        <w:t>r</w:t>
      </w:r>
      <w:r w:rsidR="00A54087">
        <w:t xml:space="preserve">eport will </w:t>
      </w:r>
      <w:r w:rsidR="005F288C">
        <w:t>present a detailed desk study of the site’s historical development, followed b</w:t>
      </w:r>
      <w:r w:rsidR="00A447C5">
        <w:t>y an in-depth geotechnical risk a</w:t>
      </w:r>
      <w:r w:rsidR="00BE57F7">
        <w:t>nalysis</w:t>
      </w:r>
      <w:r w:rsidR="00A447C5">
        <w:t xml:space="preserve"> based upon </w:t>
      </w:r>
      <w:r w:rsidR="00756072">
        <w:t>data from nearby</w:t>
      </w:r>
      <w:r w:rsidR="00BE57F7">
        <w:t xml:space="preserve"> sites.</w:t>
      </w:r>
      <w:r w:rsidR="00FC43AD">
        <w:t xml:space="preserve"> This report will then establish a structured framework for ground </w:t>
      </w:r>
      <w:r w:rsidR="00E2186B">
        <w:t xml:space="preserve">investigation in accordance with current UK regulations, before </w:t>
      </w:r>
      <w:r w:rsidR="00472E38">
        <w:t>critically evaluation appropriate foundation solutions. The approach adopted throughout will reflect the principles of risk-based geo-technical design as defined in Eurocode 7</w:t>
      </w:r>
      <w:r w:rsidR="00FE1CC7">
        <w:t xml:space="preserve"> (BS EN 1997)</w:t>
      </w:r>
      <w:r w:rsidR="003570C9">
        <w:t>, with emphasis placed on uncertainty, variability and long-term interaction between the structure and ground beneath.</w:t>
      </w:r>
    </w:p>
    <w:p w14:paraId="12AE51E9" w14:textId="77777777" w:rsidR="006C63C8" w:rsidRDefault="006C63C8" w:rsidP="001767C4">
      <w:pPr>
        <w:spacing w:line="240" w:lineRule="auto"/>
      </w:pPr>
    </w:p>
    <w:p w14:paraId="6AC147D7" w14:textId="1EC457BD" w:rsidR="00C22E23" w:rsidRDefault="00C22E23" w:rsidP="001767C4">
      <w:pPr>
        <w:pStyle w:val="Heading1"/>
        <w:spacing w:line="240" w:lineRule="auto"/>
      </w:pPr>
      <w:bookmarkStart w:id="1" w:name="_Toc228212288"/>
      <w:r>
        <w:lastRenderedPageBreak/>
        <w:t>Historical Background and Desktop Study</w:t>
      </w:r>
      <w:bookmarkEnd w:id="1"/>
    </w:p>
    <w:p w14:paraId="154C0CDF" w14:textId="77777777" w:rsidR="00C22E23" w:rsidRDefault="00C22E23" w:rsidP="001767C4">
      <w:pPr>
        <w:spacing w:line="240" w:lineRule="auto"/>
      </w:pPr>
    </w:p>
    <w:p w14:paraId="2821B9D7" w14:textId="37EBB4ED" w:rsidR="00C22E23" w:rsidRDefault="00FE3AB6" w:rsidP="001767C4">
      <w:pPr>
        <w:spacing w:line="240" w:lineRule="auto"/>
      </w:pPr>
      <w:r>
        <w:t>An understanding of the historical evolution of the Swansea waterfront is fundamental to predicting sub-surface conditions and identifying geotechnical risks. During the mid-nineteenth century, Swansea was one of the world’s leading industrial centres, particularly associated with copper smelting</w:t>
      </w:r>
      <w:r w:rsidR="00B14B72">
        <w:t xml:space="preserve">. </w:t>
      </w:r>
      <w:r w:rsidR="00943D24">
        <w:t>Wessex Archaeology (2014), say</w:t>
      </w:r>
      <w:r w:rsidR="006F6928">
        <w:t xml:space="preserve"> that the White Rock and Hafod works were integral in the development of Swansea </w:t>
      </w:r>
      <w:r w:rsidR="00475252">
        <w:t>as a world leader of copper production.</w:t>
      </w:r>
      <w:r w:rsidR="005A01FF">
        <w:t xml:space="preserve"> </w:t>
      </w:r>
      <w:r w:rsidR="007F72CB">
        <w:t xml:space="preserve">The waterfront was heavily engineered during this period to facilitate </w:t>
      </w:r>
      <w:r w:rsidR="003F387C">
        <w:t xml:space="preserve">maritime trade, notably through </w:t>
      </w:r>
      <w:r w:rsidR="00F901CD">
        <w:t xml:space="preserve">the construction and later expansion of dock infrastructure such as the South Dock. Prior to the industrial transformation, the site </w:t>
      </w:r>
      <w:r w:rsidR="000F3ABE">
        <w:t xml:space="preserve">will have </w:t>
      </w:r>
      <w:r w:rsidR="00F901CD">
        <w:t>comprised of natural tidal mudflats associated with the estuarin</w:t>
      </w:r>
      <w:r w:rsidR="00BA1E68">
        <w:t>e environment of Swansea Bay</w:t>
      </w:r>
      <w:r w:rsidR="003B1CE3">
        <w:t>, consisting of soft, fine-grained alluvial deposits with high water content and limited shear strength</w:t>
      </w:r>
      <w:r w:rsidR="0096328D">
        <w:t xml:space="preserve"> and high compressibility. </w:t>
      </w:r>
      <w:r w:rsidR="00E84F7C">
        <w:t xml:space="preserve">British Geological Survey (BGS) data indicates that </w:t>
      </w:r>
      <w:r w:rsidR="00655013">
        <w:t>superficial deposits beneath Swansea Bay comprise of a sequence of tidal flat clays, alluvial silts and sands, underlain by glacial till and glacio</w:t>
      </w:r>
      <w:r w:rsidR="00220DC8">
        <w:t xml:space="preserve">lacustrine </w:t>
      </w:r>
      <w:r w:rsidR="00D172B4">
        <w:t>deposits (Barclay, 2011)</w:t>
      </w:r>
      <w:r w:rsidR="00CC2989">
        <w:t>.</w:t>
      </w:r>
    </w:p>
    <w:p w14:paraId="1C2D3EDD" w14:textId="52CCF855" w:rsidR="00536DEB" w:rsidRDefault="003B1CE3" w:rsidP="001767C4">
      <w:pPr>
        <w:spacing w:line="240" w:lineRule="auto"/>
      </w:pPr>
      <w:r>
        <w:t xml:space="preserve">The </w:t>
      </w:r>
      <w:r w:rsidR="00056886">
        <w:t>development of usable land for industrial activity required extensive land recl</w:t>
      </w:r>
      <w:r w:rsidR="00034AC4">
        <w:t>amation which was typically achieved through uncontrolled deposition of industrial by-products and dredged materials. These deposits frequently included copper slag, ash, colliery spoilt and estuar</w:t>
      </w:r>
      <w:r w:rsidR="001B2EFE">
        <w:t>y</w:t>
      </w:r>
      <w:r w:rsidR="00034AC4">
        <w:t xml:space="preserve"> sediments which formed what is now recognised as made </w:t>
      </w:r>
      <w:r w:rsidR="008C6955">
        <w:t>ground. Unlike modern engineered fill, these materials were not subject to compaction standards of quality control</w:t>
      </w:r>
      <w:r w:rsidR="00D66E27">
        <w:t>, resulting in a highly heterogeneous sub-surface with unpredictable engineering behaviour.</w:t>
      </w:r>
      <w:r w:rsidR="00432621">
        <w:t xml:space="preserve"> Tomlinson and Woodward (20</w:t>
      </w:r>
      <w:r w:rsidR="00A54407">
        <w:t>08</w:t>
      </w:r>
      <w:r w:rsidR="00432621">
        <w:t>) emphasise that reclaimed dockland environments of this nature would commonly exhibit low bearing capacity, high compressibility and significant spatial variability, all of which pose substantial challenges for foundation design.</w:t>
      </w:r>
    </w:p>
    <w:p w14:paraId="1EB390E9" w14:textId="7E69EEEB" w:rsidR="005027B5" w:rsidRDefault="00536DEB" w:rsidP="001767C4">
      <w:pPr>
        <w:spacing w:line="240" w:lineRule="auto"/>
      </w:pPr>
      <w:r>
        <w:t xml:space="preserve">The early twentieth century marked </w:t>
      </w:r>
      <w:r w:rsidR="00062CDD">
        <w:t xml:space="preserve">a period of industrial decline, during which Swansea’s docklands experienced reduced demand and utilisation. This phase is particularly significant from a geoenvironmental perspective </w:t>
      </w:r>
      <w:r w:rsidR="0081747C">
        <w:t xml:space="preserve">as it is associated with the accumulation of industrial contaminants within the ground. </w:t>
      </w:r>
      <w:r w:rsidR="00CF24D9">
        <w:t xml:space="preserve">The existence of such contaminants </w:t>
      </w:r>
      <w:proofErr w:type="gramStart"/>
      <w:r w:rsidR="00CF24D9">
        <w:t>introduce</w:t>
      </w:r>
      <w:proofErr w:type="gramEnd"/>
      <w:r w:rsidR="00CF24D9">
        <w:t xml:space="preserve"> additional complexity to site development as they may pose risks to human health, ground water quality and the durability of construction materials. </w:t>
      </w:r>
    </w:p>
    <w:p w14:paraId="5B289BE8" w14:textId="09082DD9" w:rsidR="003B1CE3" w:rsidRDefault="005027B5" w:rsidP="001767C4">
      <w:pPr>
        <w:spacing w:line="240" w:lineRule="auto"/>
      </w:pPr>
      <w:r>
        <w:t xml:space="preserve">Post-war redevelopment during the mid-twentieth century introduced further modifications to the site, including the partial infilling of dock basins and the expansion of infrastructure. These activities often involved the placement of additional fill materials over existing deposits, further increasing the heterogeneity of the ground profile. From a geotechnical perspective, </w:t>
      </w:r>
      <w:r w:rsidR="00997AD9">
        <w:t xml:space="preserve">this layered sequence of fill and natural soils creates complex stress histories within underlying cohesive strata. </w:t>
      </w:r>
    </w:p>
    <w:p w14:paraId="62E4C44E" w14:textId="01DD463A" w:rsidR="009A50E0" w:rsidRDefault="009A50E0" w:rsidP="001767C4">
      <w:pPr>
        <w:spacing w:line="240" w:lineRule="auto"/>
      </w:pPr>
      <w:r>
        <w:t>The most significant transformation of the site occurred during the late twentieth century with the regeneration of Swansea Marina</w:t>
      </w:r>
      <w:r w:rsidR="008508A4">
        <w:t xml:space="preserve">. </w:t>
      </w:r>
      <w:r w:rsidR="000E6DC0">
        <w:t>The plans included the conversion of former docklands into a modern multi-purpose environment comprising of residential, commercial and leisure facilities.</w:t>
      </w:r>
      <w:r w:rsidR="00244CDF">
        <w:t xml:space="preserve"> </w:t>
      </w:r>
      <w:r w:rsidR="002266DA">
        <w:t xml:space="preserve">Borehole records from nearby developments indicate a typical stratigraphic sequence consisting of made ground overlying soft alluvial clays, underlain by glacial till and bedrock at </w:t>
      </w:r>
      <w:r w:rsidR="00412C03">
        <w:t>greater depths.</w:t>
      </w:r>
    </w:p>
    <w:p w14:paraId="43E7DE60" w14:textId="77777777" w:rsidR="00A27C98" w:rsidRDefault="00A27C98" w:rsidP="001767C4">
      <w:pPr>
        <w:spacing w:line="240" w:lineRule="auto"/>
      </w:pPr>
    </w:p>
    <w:p w14:paraId="27B2786F" w14:textId="77777777" w:rsidR="00F31852" w:rsidRDefault="00970613" w:rsidP="001767C4">
      <w:pPr>
        <w:spacing w:line="240" w:lineRule="auto"/>
      </w:pPr>
      <w:r>
        <w:rPr>
          <w:noProof/>
        </w:rPr>
        <w:lastRenderedPageBreak/>
        <mc:AlternateContent>
          <mc:Choice Requires="wps">
            <w:drawing>
              <wp:anchor distT="45720" distB="45720" distL="114300" distR="114300" simplePos="0" relativeHeight="251667456" behindDoc="0" locked="0" layoutInCell="1" allowOverlap="1" wp14:anchorId="262A5E7B" wp14:editId="06FCD527">
                <wp:simplePos x="0" y="0"/>
                <wp:positionH relativeFrom="column">
                  <wp:posOffset>68580</wp:posOffset>
                </wp:positionH>
                <wp:positionV relativeFrom="paragraph">
                  <wp:posOffset>4782820</wp:posOffset>
                </wp:positionV>
                <wp:extent cx="5890260" cy="464820"/>
                <wp:effectExtent l="0" t="0" r="15240" b="11430"/>
                <wp:wrapSquare wrapText="bothSides"/>
                <wp:docPr id="2800069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90260" cy="464820"/>
                        </a:xfrm>
                        <a:prstGeom prst="rect">
                          <a:avLst/>
                        </a:prstGeom>
                        <a:solidFill>
                          <a:srgbClr val="FFFFFF"/>
                        </a:solidFill>
                        <a:ln w="9525">
                          <a:solidFill>
                            <a:srgbClr val="000000"/>
                          </a:solidFill>
                          <a:miter lim="800000"/>
                          <a:headEnd/>
                          <a:tailEnd/>
                        </a:ln>
                      </wps:spPr>
                      <wps:txbx>
                        <w:txbxContent>
                          <w:p w14:paraId="07D3FD23" w14:textId="77777777" w:rsidR="00F31852" w:rsidRPr="00AA2598" w:rsidRDefault="00970613">
                            <w:pPr>
                              <w:rPr>
                                <w:sz w:val="16"/>
                                <w:szCs w:val="18"/>
                              </w:rPr>
                            </w:pPr>
                            <w:r w:rsidRPr="00AA2598">
                              <w:rPr>
                                <w:sz w:val="16"/>
                                <w:szCs w:val="18"/>
                              </w:rPr>
                              <w:t xml:space="preserve">Figure 3 – Two borehole records from BGS showing made ground </w:t>
                            </w:r>
                            <w:r w:rsidR="00C96BEE" w:rsidRPr="00AA2598">
                              <w:rPr>
                                <w:sz w:val="16"/>
                                <w:szCs w:val="18"/>
                              </w:rPr>
                              <w:t>down to a depth of 4.95m</w:t>
                            </w:r>
                            <w:r w:rsidR="00BA0ADD" w:rsidRPr="00AA2598">
                              <w:rPr>
                                <w:sz w:val="16"/>
                                <w:szCs w:val="18"/>
                              </w:rPr>
                              <w:t xml:space="preserve">. </w:t>
                            </w:r>
                            <w:r w:rsidR="00F31852" w:rsidRPr="00AA2598">
                              <w:rPr>
                                <w:sz w:val="16"/>
                                <w:szCs w:val="18"/>
                              </w:rPr>
                              <w:t xml:space="preserve">Borehole Ref: SS69SE345 </w:t>
                            </w:r>
                          </w:p>
                          <w:p w14:paraId="65ACFC76" w14:textId="0F3538E2" w:rsidR="00970613" w:rsidRPr="00AA2598" w:rsidRDefault="00BA0ADD">
                            <w:pPr>
                              <w:rPr>
                                <w:sz w:val="16"/>
                                <w:szCs w:val="18"/>
                              </w:rPr>
                            </w:pPr>
                            <w:r w:rsidRPr="00AA2598">
                              <w:rPr>
                                <w:sz w:val="16"/>
                                <w:szCs w:val="18"/>
                              </w:rPr>
                              <w:t xml:space="preserve">Available at: </w:t>
                            </w:r>
                            <w:hyperlink r:id="rId8" w:history="1">
                              <w:r w:rsidRPr="00AA2598">
                                <w:rPr>
                                  <w:rStyle w:val="Hyperlink"/>
                                  <w:sz w:val="16"/>
                                  <w:szCs w:val="18"/>
                                </w:rPr>
                                <w:t>https://api.bgs.ac.uk/sobi-scans/v1/borehole/scans/items/370246</w:t>
                              </w:r>
                            </w:hyperlink>
                          </w:p>
                          <w:p w14:paraId="27AB2B36" w14:textId="77777777" w:rsidR="00BA0ADD" w:rsidRDefault="00BA0A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2A5E7B" id="_x0000_s1028" type="#_x0000_t202" style="position:absolute;margin-left:5.4pt;margin-top:376.6pt;width:463.8pt;height:36.6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">
                <v:textbox>
                  <w:txbxContent>
                    <w:p w14:paraId="07D3FD23" w14:textId="77777777" w:rsidR="00F31852" w:rsidRPr="00AA2598" w:rsidRDefault="00970613">
                      <w:pPr>
                        <w:rPr>
                          <w:sz w:val="16"/>
                          <w:szCs w:val="18"/>
                        </w:rPr>
                      </w:pPr>
                      <w:r w:rsidRPr="00AA2598">
                        <w:rPr>
                          <w:sz w:val="16"/>
                          <w:szCs w:val="18"/>
                        </w:rPr>
                        <w:t xml:space="preserve">Figure 3 – Two borehole records from BGS showing made ground </w:t>
                      </w:r>
                      <w:r w:rsidR="00C96BEE" w:rsidRPr="00AA2598">
                        <w:rPr>
                          <w:sz w:val="16"/>
                          <w:szCs w:val="18"/>
                        </w:rPr>
                        <w:t>down to a depth of 4.95m</w:t>
                      </w:r>
                      <w:r w:rsidR="00BA0ADD" w:rsidRPr="00AA2598">
                        <w:rPr>
                          <w:sz w:val="16"/>
                          <w:szCs w:val="18"/>
                        </w:rPr>
                        <w:t xml:space="preserve">. </w:t>
                      </w:r>
                      <w:r w:rsidR="00F31852" w:rsidRPr="00AA2598">
                        <w:rPr>
                          <w:sz w:val="16"/>
                          <w:szCs w:val="18"/>
                        </w:rPr>
                        <w:t xml:space="preserve">Borehole Ref: SS69SE345 </w:t>
                      </w:r>
                    </w:p>
                    <w:p w14:paraId="65ACFC76" w14:textId="0F3538E2" w:rsidR="00970613" w:rsidRPr="00AA2598" w:rsidRDefault="00BA0ADD">
                      <w:pPr>
                        <w:rPr>
                          <w:sz w:val="16"/>
                          <w:szCs w:val="18"/>
                        </w:rPr>
                      </w:pPr>
                      <w:r w:rsidRPr="00AA2598">
                        <w:rPr>
                          <w:sz w:val="16"/>
                          <w:szCs w:val="18"/>
                        </w:rPr>
                        <w:t xml:space="preserve">Available at: </w:t>
                      </w:r>
                      <w:hyperlink r:id="rId9" w:history="1">
                        <w:r w:rsidRPr="00AA2598">
                          <w:rPr>
                            <w:rStyle w:val="Hyperlink"/>
                            <w:sz w:val="16"/>
                            <w:szCs w:val="18"/>
                          </w:rPr>
                          <w:t>https://api.bgs.ac.uk/sobi-scans/v1/borehole/scans/items/370246</w:t>
                        </w:r>
                      </w:hyperlink>
                    </w:p>
                    <w:p w14:paraId="27AB2B36" w14:textId="77777777" w:rsidR="00BA0ADD" w:rsidRDefault="00BA0ADD"/>
                  </w:txbxContent>
                </v:textbox>
                <w10:wrap type="square"/>
              </v:shape>
            </w:pict>
          </mc:Fallback>
        </mc:AlternateContent>
      </w:r>
      <w:r w:rsidR="00634552">
        <w:rPr>
          <w:noProof/>
        </w:rPr>
        <w:drawing>
          <wp:anchor distT="0" distB="0" distL="114300" distR="114300" simplePos="0" relativeHeight="251665408" behindDoc="1" locked="0" layoutInCell="1" allowOverlap="1" wp14:anchorId="51E413FE" wp14:editId="4F2427BE">
            <wp:simplePos x="0" y="0"/>
            <wp:positionH relativeFrom="margin">
              <wp:posOffset>2948940</wp:posOffset>
            </wp:positionH>
            <wp:positionV relativeFrom="paragraph">
              <wp:posOffset>350</wp:posOffset>
            </wp:positionV>
            <wp:extent cx="3070860" cy="4710715"/>
            <wp:effectExtent l="0" t="0" r="0" b="0"/>
            <wp:wrapTight wrapText="bothSides">
              <wp:wrapPolygon edited="0">
                <wp:start x="0" y="0"/>
                <wp:lineTo x="0" y="21489"/>
                <wp:lineTo x="21439" y="21489"/>
                <wp:lineTo x="21439" y="0"/>
                <wp:lineTo x="0" y="0"/>
              </wp:wrapPolygon>
            </wp:wrapTight>
            <wp:docPr id="19100146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014688" name="Picture 1910014688"/>
                    <pic:cNvPicPr/>
                  </pic:nvPicPr>
                  <pic:blipFill rotWithShape="1">
                    <a:blip r:embed="rId10" cstate="print">
                      <a:extLst>
                        <a:ext uri="{28A0092B-C50C-407E-A947-70E740481C1C}">
                          <a14:useLocalDpi xmlns:a14="http://schemas.microsoft.com/office/drawing/2010/main" val="0"/>
                        </a:ext>
                      </a:extLst>
                    </a:blip>
                    <a:srcRect l="11910" t="10438" r="9745" b="4551"/>
                    <a:stretch>
                      <a:fillRect/>
                    </a:stretch>
                  </pic:blipFill>
                  <pic:spPr bwMode="auto">
                    <a:xfrm>
                      <a:off x="0" y="0"/>
                      <a:ext cx="3072070" cy="47125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21B75">
        <w:rPr>
          <w:noProof/>
        </w:rPr>
        <w:drawing>
          <wp:anchor distT="0" distB="0" distL="114300" distR="114300" simplePos="0" relativeHeight="251664384" behindDoc="1" locked="0" layoutInCell="1" allowOverlap="1" wp14:anchorId="473011DE" wp14:editId="5C449C11">
            <wp:simplePos x="0" y="0"/>
            <wp:positionH relativeFrom="column">
              <wp:posOffset>0</wp:posOffset>
            </wp:positionH>
            <wp:positionV relativeFrom="paragraph">
              <wp:posOffset>0</wp:posOffset>
            </wp:positionV>
            <wp:extent cx="3009900" cy="4630829"/>
            <wp:effectExtent l="0" t="0" r="0" b="0"/>
            <wp:wrapTight wrapText="bothSides">
              <wp:wrapPolygon edited="0">
                <wp:start x="0" y="0"/>
                <wp:lineTo x="0" y="21505"/>
                <wp:lineTo x="21463" y="21505"/>
                <wp:lineTo x="21463" y="0"/>
                <wp:lineTo x="0" y="0"/>
              </wp:wrapPolygon>
            </wp:wrapTight>
            <wp:docPr id="797252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25293" name="Picture 79725293"/>
                    <pic:cNvPicPr/>
                  </pic:nvPicPr>
                  <pic:blipFill rotWithShape="1">
                    <a:blip r:embed="rId11" cstate="print">
                      <a:extLst>
                        <a:ext uri="{28A0092B-C50C-407E-A947-70E740481C1C}">
                          <a14:useLocalDpi xmlns:a14="http://schemas.microsoft.com/office/drawing/2010/main" val="0"/>
                        </a:ext>
                      </a:extLst>
                    </a:blip>
                    <a:srcRect l="14548" t="9127" r="6953" b="5422"/>
                    <a:stretch>
                      <a:fillRect/>
                    </a:stretch>
                  </pic:blipFill>
                  <pic:spPr bwMode="auto">
                    <a:xfrm>
                      <a:off x="0" y="0"/>
                      <a:ext cx="3009900" cy="4630829"/>
                    </a:xfrm>
                    <a:prstGeom prst="rect">
                      <a:avLst/>
                    </a:prstGeom>
                    <a:ln>
                      <a:noFill/>
                    </a:ln>
                    <a:extLst>
                      <a:ext uri="{53640926-AAD7-44D8-BBD7-CCE9431645EC}">
                        <a14:shadowObscured xmlns:a14="http://schemas.microsoft.com/office/drawing/2010/main"/>
                      </a:ext>
                    </a:extLst>
                  </pic:spPr>
                </pic:pic>
              </a:graphicData>
            </a:graphic>
          </wp:anchor>
        </w:drawing>
      </w:r>
    </w:p>
    <w:p w14:paraId="5292D0C6" w14:textId="17836B27" w:rsidR="006D1BF1" w:rsidRDefault="006D1BF1" w:rsidP="001767C4">
      <w:pPr>
        <w:pStyle w:val="Heading1"/>
        <w:spacing w:line="240" w:lineRule="auto"/>
      </w:pPr>
      <w:bookmarkStart w:id="2" w:name="_Toc228212289"/>
      <w:r>
        <w:t>Site Investigation Strategy and Geotechnical Risk Analysis</w:t>
      </w:r>
      <w:bookmarkEnd w:id="2"/>
    </w:p>
    <w:p w14:paraId="49D2990D" w14:textId="269BBD5F" w:rsidR="006D1BF1" w:rsidRDefault="006D1BF1" w:rsidP="001767C4">
      <w:pPr>
        <w:spacing w:line="240" w:lineRule="auto"/>
      </w:pPr>
    </w:p>
    <w:p w14:paraId="3989E974" w14:textId="015F9184" w:rsidR="006D1BF1" w:rsidRDefault="00CC0A77" w:rsidP="001767C4">
      <w:pPr>
        <w:spacing w:line="240" w:lineRule="auto"/>
      </w:pPr>
      <w:r>
        <w:t xml:space="preserve">The historical and geological context of the site indicates that ground conditions are likely to </w:t>
      </w:r>
      <w:r w:rsidR="00DB5278">
        <w:t>vary</w:t>
      </w:r>
      <w:r>
        <w:t>, with significant implications for both structural design and construction methodology. A detailed site investigation is therefore req</w:t>
      </w:r>
      <w:r w:rsidR="00F5228A">
        <w:t xml:space="preserve">uired to reduce uncertainty and enable the adoption of a safe and economical foundation solution. This investigation must be undertaken in accordance with BS 5930 and BS EN 1997-2, which together define best practice for geotechnical characterisation. </w:t>
      </w:r>
      <w:r w:rsidR="006C6B13">
        <w:t xml:space="preserve">The investigation should be designed to establish thickness, composition and engineering properties of the made ground and underlying natural strata. </w:t>
      </w:r>
      <w:r w:rsidR="00657284">
        <w:t xml:space="preserve">Boreholes extending to competent load-bearing layers are essential to confirm the depth to glacial till or bedrock. Furthermore, in-situ testing methods such as the </w:t>
      </w:r>
      <w:r w:rsidR="00C84DB0">
        <w:t>Standard Penetration Test and Cone Penetration Testing should be undertaken to provide continuous profiles of soil strength and stiffness. Lunne et al. (</w:t>
      </w:r>
      <w:r w:rsidR="00A25017">
        <w:t>N</w:t>
      </w:r>
      <w:r w:rsidR="002A2BFA">
        <w:t>.d.</w:t>
      </w:r>
      <w:r w:rsidR="00C84DB0">
        <w:t xml:space="preserve">) note that cone penetration testing is particularly effective in soft, fine-grained soils where it provides high resolution data that can be used to assess stratigraphic </w:t>
      </w:r>
      <w:r w:rsidR="005003DC">
        <w:t>variability and derive design parameters.</w:t>
      </w:r>
    </w:p>
    <w:p w14:paraId="4027436A" w14:textId="67065F33" w:rsidR="005003DC" w:rsidRDefault="005003DC" w:rsidP="001767C4">
      <w:pPr>
        <w:spacing w:line="240" w:lineRule="auto"/>
      </w:pPr>
      <w:r>
        <w:t>Laboratory testing is equally critical in characterising the behaviour of cohesive soils. Consolidation testing is required to evaluate the compressibility of alluvial clays which are expected to exhibit high void rations and low permeability. Terzaghi et al. (1996) demo</w:t>
      </w:r>
      <w:r w:rsidR="00914636">
        <w:t xml:space="preserve">nstrate </w:t>
      </w:r>
      <w:r w:rsidR="00914636">
        <w:lastRenderedPageBreak/>
        <w:t xml:space="preserve">that such soils are prone to both primary consolidation and secondary compression, which leads to long-term settlement that can significantly affect structural performance. Tri-axial shear testing should also be undertaken to determine </w:t>
      </w:r>
      <w:r w:rsidR="00B017DB">
        <w:t xml:space="preserve">shear strength and effective stress parameters, which are essential for stability analysis and foundation design. </w:t>
      </w:r>
    </w:p>
    <w:p w14:paraId="5C3FA061" w14:textId="352B8DE5" w:rsidR="008D7403" w:rsidRDefault="00021309" w:rsidP="001767C4">
      <w:pPr>
        <w:spacing w:line="240" w:lineRule="auto"/>
      </w:pPr>
      <w:r>
        <w:t xml:space="preserve">Given the industrial </w:t>
      </w:r>
      <w:r w:rsidR="005923EA">
        <w:t>history of the site, contamination represents a major risk that must be thoroughly investigated. Investigation should be carried out in accordance with BS 10175 and the Land Contamination Risk Management framework developed by the Environmental Agency</w:t>
      </w:r>
      <w:r w:rsidR="00BB7A55">
        <w:t xml:space="preserve"> (2020)</w:t>
      </w:r>
      <w:r w:rsidR="005923EA">
        <w:t xml:space="preserve">. Soil and groundwater samples should be analysed for various contaminants including heavy metals, hydrocarbons and organic compounds. </w:t>
      </w:r>
      <w:r w:rsidR="00B670C8">
        <w:t>The presence of contamination may lead to necessary remediation measures and could influence construction practices and material selection.</w:t>
      </w:r>
    </w:p>
    <w:p w14:paraId="4E97D528" w14:textId="109519DE" w:rsidR="00BA4FD1" w:rsidRDefault="00BA4FD1" w:rsidP="001767C4">
      <w:pPr>
        <w:spacing w:line="240" w:lineRule="auto"/>
      </w:pPr>
      <w:r>
        <w:t>Groundwater conditions could also play a significant role in the behaviour of the site due to the proximity to Swansea Bay</w:t>
      </w:r>
      <w:r w:rsidR="00557366">
        <w:t xml:space="preserve"> which suggests that groundwater levels are likely to be shallow and subject to tidal influence. This </w:t>
      </w:r>
      <w:r w:rsidR="00F26FFA">
        <w:t>proposes additional challenges including the potential for excavation instability, uplift pressures and increased risk of corrosion.</w:t>
      </w:r>
      <w:r w:rsidR="0047727C">
        <w:t xml:space="preserve"> CIRIA (2003) highlights that coastal groundwater environments can significantly affect both the design and durability of foundations, </w:t>
      </w:r>
      <w:proofErr w:type="gramStart"/>
      <w:r w:rsidR="0047727C">
        <w:t>in particular where</w:t>
      </w:r>
      <w:proofErr w:type="gramEnd"/>
      <w:r w:rsidR="0047727C">
        <w:t xml:space="preserve"> saline conditions are present.</w:t>
      </w:r>
      <w:r w:rsidR="00A638BA">
        <w:t xml:space="preserve"> The monitoring of groundwater levels and chemistry is therefore essential to inform both temporary works and permanent design</w:t>
      </w:r>
      <w:r w:rsidR="009F05EA">
        <w:t>.</w:t>
      </w:r>
    </w:p>
    <w:p w14:paraId="0CA19BBB" w14:textId="603796B3" w:rsidR="009F05EA" w:rsidRDefault="009F05EA" w:rsidP="001767C4">
      <w:pPr>
        <w:spacing w:line="240" w:lineRule="auto"/>
      </w:pPr>
      <w:r>
        <w:t>The most significant geotechnical risks associated with the site arise from the combination of heterogenous made ground, compressible</w:t>
      </w:r>
      <w:r w:rsidR="00B2429E">
        <w:t xml:space="preserve"> alluvial soils, contamination and groundwater effects. These facts interact in different ways which increase the potential for differential settlement, structural distress and durability issues</w:t>
      </w:r>
      <w:r w:rsidR="00A973A7">
        <w:t>, such as the site would likely be classified as a higher-risk project under Eurocode 7 which requires a cautious and well-informed design approach.</w:t>
      </w:r>
    </w:p>
    <w:p w14:paraId="609B5D9B" w14:textId="77777777" w:rsidR="00A973A7" w:rsidRDefault="00A973A7" w:rsidP="001767C4">
      <w:pPr>
        <w:spacing w:line="240" w:lineRule="auto"/>
      </w:pPr>
    </w:p>
    <w:p w14:paraId="440CBDFE" w14:textId="49370388" w:rsidR="00A973A7" w:rsidRDefault="00A973A7" w:rsidP="001767C4">
      <w:pPr>
        <w:pStyle w:val="Heading1"/>
        <w:spacing w:line="240" w:lineRule="auto"/>
      </w:pPr>
      <w:bookmarkStart w:id="3" w:name="_Toc228212290"/>
      <w:r>
        <w:t>Regulatory Framework and Stakeholder Involvement</w:t>
      </w:r>
      <w:bookmarkEnd w:id="3"/>
    </w:p>
    <w:p w14:paraId="38E6287E" w14:textId="77777777" w:rsidR="00A973A7" w:rsidRDefault="00A973A7" w:rsidP="001767C4">
      <w:pPr>
        <w:spacing w:line="240" w:lineRule="auto"/>
      </w:pPr>
    </w:p>
    <w:p w14:paraId="1CC46309" w14:textId="2C924FB4" w:rsidR="00A973A7" w:rsidRDefault="002450F0" w:rsidP="001767C4">
      <w:pPr>
        <w:spacing w:line="240" w:lineRule="auto"/>
      </w:pPr>
      <w:r>
        <w:t xml:space="preserve">The design and investigation process for the proposed development must comply with a range of statutory </w:t>
      </w:r>
      <w:r w:rsidR="00D24D72">
        <w:t xml:space="preserve">requirements and technical standards. The main regulatory framework is provided by </w:t>
      </w:r>
      <w:r w:rsidR="00391A22">
        <w:t>T</w:t>
      </w:r>
      <w:r w:rsidR="00D24D72">
        <w:t xml:space="preserve">he Building Regulations </w:t>
      </w:r>
      <w:r w:rsidR="00391A22">
        <w:t>(</w:t>
      </w:r>
      <w:r w:rsidR="00D24D72">
        <w:t>2010</w:t>
      </w:r>
      <w:r w:rsidR="00391A22">
        <w:t>)</w:t>
      </w:r>
      <w:r w:rsidR="00D24D72">
        <w:t xml:space="preserve"> which establish minimum standards for structural safety and site preparation. Approved Document A</w:t>
      </w:r>
      <w:r w:rsidR="00823437">
        <w:t xml:space="preserve"> (2013)</w:t>
      </w:r>
      <w:r w:rsidR="00D24D72">
        <w:t xml:space="preserve"> requires that buildings are design</w:t>
      </w:r>
      <w:r w:rsidR="00475910">
        <w:t>ed</w:t>
      </w:r>
      <w:r w:rsidR="00D24D72">
        <w:t xml:space="preserve"> to safely transmit loads to the ground, whilst Approved Document C addresses issues related to contamination and moisture ingress.</w:t>
      </w:r>
      <w:r w:rsidR="008D7BAE">
        <w:t xml:space="preserve"> Geotechnical investigation and design are governed by BS 5930 and Eurocode 7 which together define best practice for site characterisation and foundation design. These standards emphasise the importance of a </w:t>
      </w:r>
      <w:proofErr w:type="gramStart"/>
      <w:r w:rsidR="008D7BAE">
        <w:t>risk based</w:t>
      </w:r>
      <w:proofErr w:type="gramEnd"/>
      <w:r w:rsidR="008D7BAE">
        <w:t xml:space="preserve"> approach in which </w:t>
      </w:r>
      <w:r w:rsidR="00CA7B9C">
        <w:t xml:space="preserve">the level of analysis and investigation is proportionate to the complexity and uncertainty of ground conditions. </w:t>
      </w:r>
      <w:r w:rsidR="00EC22A4">
        <w:t>From a local Council perspective, the City and County of Swansea Council is responsible for planning approval and building control whilst Natural Resources Wales (NRW) oversee environmental protection including contaminated land and groundwater management. Early</w:t>
      </w:r>
      <w:r w:rsidR="0017299D">
        <w:t xml:space="preserve"> collaboration with these bodies </w:t>
      </w:r>
      <w:proofErr w:type="gramStart"/>
      <w:r w:rsidR="0017299D">
        <w:t>are</w:t>
      </w:r>
      <w:proofErr w:type="gramEnd"/>
      <w:r w:rsidR="0017299D">
        <w:t xml:space="preserve"> essential to ensure compliance with regulatory requirements and to help facilitate the approval process.</w:t>
      </w:r>
    </w:p>
    <w:p w14:paraId="5ADB3B8B" w14:textId="77777777" w:rsidR="0017299D" w:rsidRDefault="0017299D" w:rsidP="001767C4">
      <w:pPr>
        <w:spacing w:line="240" w:lineRule="auto"/>
      </w:pPr>
    </w:p>
    <w:p w14:paraId="58CCF250" w14:textId="77777777" w:rsidR="006C63C8" w:rsidRDefault="006C63C8" w:rsidP="001767C4">
      <w:pPr>
        <w:spacing w:line="240" w:lineRule="auto"/>
      </w:pPr>
    </w:p>
    <w:p w14:paraId="28428833" w14:textId="77777777" w:rsidR="006C63C8" w:rsidRDefault="006C63C8" w:rsidP="001767C4">
      <w:pPr>
        <w:spacing w:line="240" w:lineRule="auto"/>
      </w:pPr>
    </w:p>
    <w:p w14:paraId="2B6D02D4" w14:textId="3C5DAD2E" w:rsidR="0017299D" w:rsidRDefault="0017299D" w:rsidP="001767C4">
      <w:pPr>
        <w:pStyle w:val="Heading1"/>
        <w:spacing w:line="240" w:lineRule="auto"/>
      </w:pPr>
      <w:bookmarkStart w:id="4" w:name="_Toc228212291"/>
      <w:r>
        <w:lastRenderedPageBreak/>
        <w:t>Foundation Appraisal and Recommendations</w:t>
      </w:r>
      <w:bookmarkEnd w:id="4"/>
    </w:p>
    <w:p w14:paraId="01FB6010" w14:textId="77777777" w:rsidR="0017299D" w:rsidRDefault="0017299D" w:rsidP="001767C4">
      <w:pPr>
        <w:spacing w:line="240" w:lineRule="auto"/>
      </w:pPr>
    </w:p>
    <w:p w14:paraId="6EA2BEEC" w14:textId="1BF7C0EE" w:rsidR="0017299D" w:rsidRDefault="0017299D" w:rsidP="001767C4">
      <w:pPr>
        <w:spacing w:line="240" w:lineRule="auto"/>
      </w:pPr>
      <w:r>
        <w:t>The selection of an appropriate foundation system is critically dependent on the ground conditions identified through the desk study and anticipated from precedent data.</w:t>
      </w:r>
      <w:r w:rsidR="00C90F1F">
        <w:t xml:space="preserve"> The presence of variable made ground overlying soft alluvial clays present significant challenges for shallow foundation systems, as these soils are unlikely to provide adequate bearing capacity or settlement performance. Burland et al. (1997) emphasise t</w:t>
      </w:r>
      <w:r w:rsidR="00BD5D3B">
        <w:t xml:space="preserve">hat excessive and differential settlement are among the most common causes of structural damage in such conditions, particularly for large footprint structures. </w:t>
      </w:r>
      <w:r w:rsidR="00F426E5">
        <w:t>Keeping in mind these considerations, a deep foundation solution is considered most appropriate for the proposed development. Specifically, the use of reinforced concrete piles extending through made ground and alluvial deposits into competent glacial till or bedrock is recommended.</w:t>
      </w:r>
      <w:r w:rsidR="007A5502">
        <w:t xml:space="preserve"> This approach enables structural loads to be transferred to more stable strata, thereby minimising settlement and improving overall performance. </w:t>
      </w:r>
      <w:r w:rsidR="003C6EBB">
        <w:t xml:space="preserve">The choice between driven and bored piles will depends on multiple factors including ground condition, environmental constraints and proximity to existing structures. Driven piles will offer advantage of improved load capacity and ground densification but may generate significant noise and vibration, which would impact adjacent buildings such as the Marriott Hotel and the </w:t>
      </w:r>
      <w:r w:rsidR="00426516">
        <w:t xml:space="preserve">County Hall. Bored piles in contrast will provide a quieter alternative but require careful control to prevent collapse in unstable of water-bearing soils. </w:t>
      </w:r>
    </w:p>
    <w:p w14:paraId="20B8D00B" w14:textId="66CA37CB" w:rsidR="003A5B57" w:rsidRDefault="000115AC" w:rsidP="001767C4">
      <w:pPr>
        <w:spacing w:line="240" w:lineRule="auto"/>
      </w:pPr>
      <w:r>
        <w:rPr>
          <w:noProof/>
        </w:rPr>
        <w:drawing>
          <wp:anchor distT="0" distB="0" distL="114300" distR="114300" simplePos="0" relativeHeight="251669504" behindDoc="1" locked="0" layoutInCell="1" allowOverlap="1" wp14:anchorId="67C122DB" wp14:editId="0C63654F">
            <wp:simplePos x="0" y="0"/>
            <wp:positionH relativeFrom="column">
              <wp:posOffset>2160270</wp:posOffset>
            </wp:positionH>
            <wp:positionV relativeFrom="paragraph">
              <wp:posOffset>339090</wp:posOffset>
            </wp:positionV>
            <wp:extent cx="3352165" cy="2435225"/>
            <wp:effectExtent l="1270" t="0" r="1905" b="1905"/>
            <wp:wrapTight wrapText="bothSides">
              <wp:wrapPolygon edited="0">
                <wp:start x="8" y="21611"/>
                <wp:lineTo x="21490" y="21611"/>
                <wp:lineTo x="21490" y="152"/>
                <wp:lineTo x="8" y="152"/>
                <wp:lineTo x="8" y="21611"/>
              </wp:wrapPolygon>
            </wp:wrapTight>
            <wp:docPr id="18043767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37673" name="Picture 180437673"/>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3352165" cy="24352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1" locked="0" layoutInCell="1" allowOverlap="1" wp14:anchorId="2D1E2E37" wp14:editId="15E85075">
            <wp:simplePos x="0" y="0"/>
            <wp:positionH relativeFrom="margin">
              <wp:posOffset>-418465</wp:posOffset>
            </wp:positionH>
            <wp:positionV relativeFrom="paragraph">
              <wp:posOffset>335915</wp:posOffset>
            </wp:positionV>
            <wp:extent cx="3313430" cy="2484755"/>
            <wp:effectExtent l="0" t="4763" r="0" b="0"/>
            <wp:wrapTight wrapText="bothSides">
              <wp:wrapPolygon edited="0">
                <wp:start x="-31" y="21559"/>
                <wp:lineTo x="21453" y="21559"/>
                <wp:lineTo x="21453" y="196"/>
                <wp:lineTo x="-31" y="196"/>
                <wp:lineTo x="-31" y="21559"/>
              </wp:wrapPolygon>
            </wp:wrapTight>
            <wp:docPr id="213619158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191580" name="Picture 2136191580"/>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3313430" cy="2484755"/>
                    </a:xfrm>
                    <a:prstGeom prst="rect">
                      <a:avLst/>
                    </a:prstGeom>
                  </pic:spPr>
                </pic:pic>
              </a:graphicData>
            </a:graphic>
            <wp14:sizeRelH relativeFrom="margin">
              <wp14:pctWidth>0</wp14:pctWidth>
            </wp14:sizeRelH>
            <wp14:sizeRelV relativeFrom="margin">
              <wp14:pctHeight>0</wp14:pctHeight>
            </wp14:sizeRelV>
          </wp:anchor>
        </w:drawing>
      </w:r>
      <w:r w:rsidR="00972442">
        <w:rPr>
          <w:noProof/>
        </w:rPr>
        <mc:AlternateContent>
          <mc:Choice Requires="wps">
            <w:drawing>
              <wp:anchor distT="45720" distB="45720" distL="114300" distR="114300" simplePos="0" relativeHeight="251671552" behindDoc="0" locked="0" layoutInCell="1" allowOverlap="1" wp14:anchorId="036B5198" wp14:editId="7CA7D6B1">
                <wp:simplePos x="0" y="0"/>
                <wp:positionH relativeFrom="margin">
                  <wp:posOffset>5067300</wp:posOffset>
                </wp:positionH>
                <wp:positionV relativeFrom="paragraph">
                  <wp:posOffset>348615</wp:posOffset>
                </wp:positionV>
                <wp:extent cx="1318260" cy="2491740"/>
                <wp:effectExtent l="0" t="0" r="15240" b="22860"/>
                <wp:wrapSquare wrapText="bothSides"/>
                <wp:docPr id="4259314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8260" cy="2491740"/>
                        </a:xfrm>
                        <a:prstGeom prst="rect">
                          <a:avLst/>
                        </a:prstGeom>
                        <a:solidFill>
                          <a:srgbClr val="FFFFFF"/>
                        </a:solidFill>
                        <a:ln w="9525">
                          <a:solidFill>
                            <a:srgbClr val="000000"/>
                          </a:solidFill>
                          <a:miter lim="800000"/>
                          <a:headEnd/>
                          <a:tailEnd/>
                        </a:ln>
                      </wps:spPr>
                      <wps:txbx>
                        <w:txbxContent>
                          <w:p w14:paraId="1FA2479F" w14:textId="7C83DA8C" w:rsidR="00972442" w:rsidRDefault="00972442">
                            <w:r>
                              <w:t xml:space="preserve">Figure 4 </w:t>
                            </w:r>
                            <w:r w:rsidR="000115AC">
                              <w:t>–</w:t>
                            </w:r>
                            <w:r>
                              <w:t xml:space="preserve"> </w:t>
                            </w:r>
                            <w:r w:rsidR="000115AC">
                              <w:t xml:space="preserve">Two photos taken at location of planned development indicating </w:t>
                            </w:r>
                            <w:proofErr w:type="gramStart"/>
                            <w:r w:rsidR="000115AC">
                              <w:t>close proximity</w:t>
                            </w:r>
                            <w:proofErr w:type="gramEnd"/>
                            <w:r w:rsidR="000115AC">
                              <w:t xml:space="preserve"> to County Hall (Left) and Marriott Hotel (Right). Personal collection, taken March 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6B5198" id="_x0000_s1029" type="#_x0000_t202" style="position:absolute;margin-left:399pt;margin-top:27.45pt;width:103.8pt;height:196.2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">
                <v:textbox>
                  <w:txbxContent>
                    <w:p w14:paraId="1FA2479F" w14:textId="7C83DA8C" w:rsidR="00972442" w:rsidRDefault="00972442">
                      <w:r>
                        <w:t xml:space="preserve">Figure 4 </w:t>
                      </w:r>
                      <w:r w:rsidR="000115AC">
                        <w:t>–</w:t>
                      </w:r>
                      <w:r>
                        <w:t xml:space="preserve"> </w:t>
                      </w:r>
                      <w:r w:rsidR="000115AC">
                        <w:t xml:space="preserve">Two photos taken at location of planned development indicating </w:t>
                      </w:r>
                      <w:proofErr w:type="gramStart"/>
                      <w:r w:rsidR="000115AC">
                        <w:t>close proximity</w:t>
                      </w:r>
                      <w:proofErr w:type="gramEnd"/>
                      <w:r w:rsidR="000115AC">
                        <w:t xml:space="preserve"> to County Hall (Left) and Marriott Hotel (Right). Personal collection, taken March 2026.</w:t>
                      </w:r>
                    </w:p>
                  </w:txbxContent>
                </v:textbox>
                <w10:wrap type="square" anchorx="margin"/>
              </v:shape>
            </w:pict>
          </mc:Fallback>
        </mc:AlternateContent>
      </w:r>
    </w:p>
    <w:p w14:paraId="65D73A5D" w14:textId="23CC118E" w:rsidR="003A5B57" w:rsidRDefault="003A5B57" w:rsidP="001767C4">
      <w:pPr>
        <w:spacing w:line="240" w:lineRule="auto"/>
      </w:pPr>
    </w:p>
    <w:p w14:paraId="484C380F" w14:textId="0C8F41C3" w:rsidR="00426516" w:rsidRDefault="00426516" w:rsidP="001767C4">
      <w:pPr>
        <w:spacing w:line="240" w:lineRule="auto"/>
      </w:pPr>
      <w:r>
        <w:t xml:space="preserve">Given the presence of groundwater and potential contamination, </w:t>
      </w:r>
      <w:r w:rsidR="00042914">
        <w:t xml:space="preserve">bored </w:t>
      </w:r>
      <w:r>
        <w:t xml:space="preserve">pile design must also consider durability </w:t>
      </w:r>
      <w:r w:rsidR="008D26D6">
        <w:t>and constructability. Protective measures such as the use of appropriate concrete mixes and reinforcement coatings may be required to mitigate chemical attack</w:t>
      </w:r>
      <w:r w:rsidR="00470FF8">
        <w:t>. Furthermore</w:t>
      </w:r>
      <w:r w:rsidR="006B6195">
        <w:t>,</w:t>
      </w:r>
      <w:r w:rsidR="00470FF8">
        <w:t xml:space="preserve"> the structural design must account for the interaction between piles and surrounding soils including negative skin friction arising from consolidation of soft clays.</w:t>
      </w:r>
    </w:p>
    <w:p w14:paraId="69CC1049" w14:textId="77777777" w:rsidR="00470FF8" w:rsidRDefault="00470FF8" w:rsidP="001767C4">
      <w:pPr>
        <w:spacing w:line="240" w:lineRule="auto"/>
      </w:pPr>
    </w:p>
    <w:p w14:paraId="25F6F3BF" w14:textId="4DEE8849" w:rsidR="00470FF8" w:rsidRDefault="00470FF8" w:rsidP="001767C4">
      <w:pPr>
        <w:pStyle w:val="Heading1"/>
        <w:spacing w:line="240" w:lineRule="auto"/>
      </w:pPr>
      <w:bookmarkStart w:id="5" w:name="_Toc228212292"/>
      <w:r>
        <w:t>Conclusion</w:t>
      </w:r>
      <w:bookmarkEnd w:id="5"/>
    </w:p>
    <w:p w14:paraId="3C99EE89" w14:textId="77777777" w:rsidR="00470FF8" w:rsidRDefault="00470FF8" w:rsidP="001767C4">
      <w:pPr>
        <w:spacing w:line="240" w:lineRule="auto"/>
      </w:pPr>
    </w:p>
    <w:p w14:paraId="530DF78A" w14:textId="765ECCC1" w:rsidR="00E101E1" w:rsidRDefault="009E33C3" w:rsidP="001767C4">
      <w:pPr>
        <w:spacing w:line="240" w:lineRule="auto"/>
      </w:pPr>
      <w:r>
        <w:t xml:space="preserve">This report has demonstrated that the proposed development site on the Swansea waterfront presents a complex geotechnical environment shaped by over a century of </w:t>
      </w:r>
      <w:r>
        <w:lastRenderedPageBreak/>
        <w:t xml:space="preserve">industrial activity, land reclamation and urban regeneration. The historical analysis has identified the presence of heterogeneous made ground, contaminated soils and compressible alluvial deposits, all of which contribute to significant geotechnical risks. A comprehensive site investigation undertaken in accordance with established standards is essential to characterise these conditions and inform design. </w:t>
      </w:r>
      <w:proofErr w:type="gramStart"/>
      <w:r>
        <w:t>Particular attention</w:t>
      </w:r>
      <w:proofErr w:type="gramEnd"/>
      <w:r>
        <w:t xml:space="preserve"> must be given to settlement behaviour, contamination and groundwater effects, as these present the most significant risks to the project.</w:t>
      </w:r>
      <w:r w:rsidR="00E101E1">
        <w:t xml:space="preserve"> In addition, variability in ground conditions across relatively short distances is expected to be a key challenge, particularly given the transitional nature of reclaimed docklands. This reinforces the need f</w:t>
      </w:r>
      <w:r w:rsidR="002506BA">
        <w:t xml:space="preserve">or a thorough and detailed investigation and the integration of intrusive and geophysical methods to reduce uncertainty. Groundwater management will also be critical, as </w:t>
      </w:r>
      <w:r w:rsidR="00D251D2">
        <w:t xml:space="preserve">ground layers containing water may influence excavation stability and long-term durability of foundation and below-ground structures. Early engagement with environmental regulators will be essential to ensure any contamination mitigation strategies </w:t>
      </w:r>
      <w:r w:rsidR="00005B44">
        <w:t>comply with statutory regulations.</w:t>
      </w:r>
    </w:p>
    <w:p w14:paraId="5A9C4A49" w14:textId="13A3B3E3" w:rsidR="009E33C3" w:rsidRDefault="009E33C3" w:rsidP="001767C4">
      <w:pPr>
        <w:spacing w:line="240" w:lineRule="auto"/>
      </w:pPr>
      <w:r>
        <w:t xml:space="preserve">Based on the available evidence, a </w:t>
      </w:r>
      <w:r w:rsidR="00042914">
        <w:t xml:space="preserve">bored </w:t>
      </w:r>
      <w:r>
        <w:t>pile foundation system is considered the most appropriate solution, providing a reliable means of transferring loads to competent strata whilst minimising settlement and ensuring long-term performance. The successful implementation of this approach will depend on careful design, rigo</w:t>
      </w:r>
      <w:r w:rsidR="00790A65">
        <w:t xml:space="preserve">rous investigation and collaboration with local and regulatory authorities. </w:t>
      </w:r>
    </w:p>
    <w:p w14:paraId="069534DF" w14:textId="63DBF4C0" w:rsidR="00790A65" w:rsidRDefault="00790A65" w:rsidP="001767C4">
      <w:pPr>
        <w:spacing w:line="240" w:lineRule="auto"/>
      </w:pPr>
      <w:proofErr w:type="gramStart"/>
      <w:r>
        <w:t>Overall</w:t>
      </w:r>
      <w:proofErr w:type="gramEnd"/>
      <w:r>
        <w:t xml:space="preserve"> the findings of this study provide a robust basis for advancing the project to the next stage of design, ensuring that geotechnical risks are effectively managed and that the development can be delivered safely and sustainably.</w:t>
      </w:r>
    </w:p>
    <w:p w14:paraId="1EEF12A5" w14:textId="77777777" w:rsidR="00197133" w:rsidRDefault="00197133" w:rsidP="00470FF8"/>
    <w:p w14:paraId="3E97AD65" w14:textId="405B7C8B" w:rsidR="00197133" w:rsidRDefault="00E059A7" w:rsidP="00470FF8">
      <w:r>
        <w:rPr>
          <w:noProof/>
        </w:rPr>
        <w:lastRenderedPageBreak/>
        <w:drawing>
          <wp:inline distT="0" distB="0" distL="0" distR="0" wp14:anchorId="46BA43FC" wp14:editId="0B1497BB">
            <wp:extent cx="4970352" cy="7289226"/>
            <wp:effectExtent l="0" t="0" r="1905" b="6985"/>
            <wp:docPr id="16778558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855873" name="Picture 167785587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81224" cy="7305171"/>
                    </a:xfrm>
                    <a:prstGeom prst="rect">
                      <a:avLst/>
                    </a:prstGeom>
                  </pic:spPr>
                </pic:pic>
              </a:graphicData>
            </a:graphic>
          </wp:inline>
        </w:drawing>
      </w:r>
    </w:p>
    <w:p w14:paraId="4FC86577" w14:textId="614E47AC" w:rsidR="00197133" w:rsidRDefault="00E023B3" w:rsidP="00470FF8">
      <w:r>
        <w:rPr>
          <w:noProof/>
        </w:rPr>
        <mc:AlternateContent>
          <mc:Choice Requires="wps">
            <w:drawing>
              <wp:anchor distT="45720" distB="45720" distL="114300" distR="114300" simplePos="0" relativeHeight="251673600" behindDoc="0" locked="0" layoutInCell="1" allowOverlap="1" wp14:anchorId="51AD6030" wp14:editId="132075E4">
                <wp:simplePos x="0" y="0"/>
                <wp:positionH relativeFrom="margin">
                  <wp:align>left</wp:align>
                </wp:positionH>
                <wp:positionV relativeFrom="paragraph">
                  <wp:posOffset>109220</wp:posOffset>
                </wp:positionV>
                <wp:extent cx="4834255" cy="596900"/>
                <wp:effectExtent l="0" t="0" r="23495" b="12700"/>
                <wp:wrapSquare wrapText="bothSides"/>
                <wp:docPr id="158907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34255" cy="596900"/>
                        </a:xfrm>
                        <a:prstGeom prst="rect">
                          <a:avLst/>
                        </a:prstGeom>
                        <a:solidFill>
                          <a:srgbClr val="FFFFFF"/>
                        </a:solidFill>
                        <a:ln w="9525">
                          <a:solidFill>
                            <a:srgbClr val="000000"/>
                          </a:solidFill>
                          <a:miter lim="800000"/>
                          <a:headEnd/>
                          <a:tailEnd/>
                        </a:ln>
                      </wps:spPr>
                      <wps:txbx>
                        <w:txbxContent>
                          <w:p w14:paraId="7FA93116" w14:textId="0B5CECD4" w:rsidR="00F73A74" w:rsidRPr="00F73A74" w:rsidRDefault="00F73A74">
                            <w:pPr>
                              <w:rPr>
                                <w:sz w:val="16"/>
                                <w:szCs w:val="18"/>
                              </w:rPr>
                            </w:pPr>
                            <w:r>
                              <w:rPr>
                                <w:sz w:val="16"/>
                                <w:szCs w:val="18"/>
                              </w:rPr>
                              <w:t xml:space="preserve">Figure 5 </w:t>
                            </w:r>
                            <w:r w:rsidR="00C91CCC">
                              <w:rPr>
                                <w:sz w:val="16"/>
                                <w:szCs w:val="18"/>
                              </w:rPr>
                              <w:t>–</w:t>
                            </w:r>
                            <w:r>
                              <w:rPr>
                                <w:sz w:val="16"/>
                                <w:szCs w:val="18"/>
                              </w:rPr>
                              <w:t xml:space="preserve"> </w:t>
                            </w:r>
                            <w:r w:rsidR="00C91CCC">
                              <w:rPr>
                                <w:sz w:val="16"/>
                                <w:szCs w:val="18"/>
                              </w:rPr>
                              <w:t xml:space="preserve">Personal drawing highlighting different ground layers </w:t>
                            </w:r>
                            <w:r w:rsidR="00184884">
                              <w:rPr>
                                <w:sz w:val="16"/>
                                <w:szCs w:val="18"/>
                              </w:rPr>
                              <w:t xml:space="preserve">from nearby borehole record which illustrates the need for bored pile foundations down to a depth of </w:t>
                            </w:r>
                            <w:r w:rsidR="00E023B3">
                              <w:rPr>
                                <w:sz w:val="16"/>
                                <w:szCs w:val="18"/>
                              </w:rPr>
                              <w:t xml:space="preserve">18.6m where </w:t>
                            </w:r>
                            <w:r w:rsidR="00AD6F07">
                              <w:rPr>
                                <w:sz w:val="16"/>
                                <w:szCs w:val="18"/>
                              </w:rPr>
                              <w:t>ideal</w:t>
                            </w:r>
                            <w:r w:rsidR="00E023B3">
                              <w:rPr>
                                <w:sz w:val="16"/>
                                <w:szCs w:val="18"/>
                              </w:rPr>
                              <w:t xml:space="preserve"> ground conditions exist</w:t>
                            </w:r>
                            <w:r w:rsidR="00E74BC7">
                              <w:rPr>
                                <w:sz w:val="16"/>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AD6030" id="_x0000_s1030" type="#_x0000_t202" style="position:absolute;margin-left:0;margin-top:8.6pt;width:380.65pt;height:47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">
                <v:textbox>
                  <w:txbxContent>
                    <w:p w14:paraId="7FA93116" w14:textId="0B5CECD4" w:rsidR="00F73A74" w:rsidRPr="00F73A74" w:rsidRDefault="00F73A74">
                      <w:pPr>
                        <w:rPr>
                          <w:sz w:val="16"/>
                          <w:szCs w:val="18"/>
                        </w:rPr>
                      </w:pPr>
                      <w:r>
                        <w:rPr>
                          <w:sz w:val="16"/>
                          <w:szCs w:val="18"/>
                        </w:rPr>
                        <w:t xml:space="preserve">Figure 5 </w:t>
                      </w:r>
                      <w:r w:rsidR="00C91CCC">
                        <w:rPr>
                          <w:sz w:val="16"/>
                          <w:szCs w:val="18"/>
                        </w:rPr>
                        <w:t>–</w:t>
                      </w:r>
                      <w:r>
                        <w:rPr>
                          <w:sz w:val="16"/>
                          <w:szCs w:val="18"/>
                        </w:rPr>
                        <w:t xml:space="preserve"> </w:t>
                      </w:r>
                      <w:r w:rsidR="00C91CCC">
                        <w:rPr>
                          <w:sz w:val="16"/>
                          <w:szCs w:val="18"/>
                        </w:rPr>
                        <w:t xml:space="preserve">Personal drawing highlighting different ground layers </w:t>
                      </w:r>
                      <w:r w:rsidR="00184884">
                        <w:rPr>
                          <w:sz w:val="16"/>
                          <w:szCs w:val="18"/>
                        </w:rPr>
                        <w:t xml:space="preserve">from nearby borehole record which illustrates the need for bored pile foundations down to a depth of </w:t>
                      </w:r>
                      <w:r w:rsidR="00E023B3">
                        <w:rPr>
                          <w:sz w:val="16"/>
                          <w:szCs w:val="18"/>
                        </w:rPr>
                        <w:t xml:space="preserve">18.6m where </w:t>
                      </w:r>
                      <w:r w:rsidR="00AD6F07">
                        <w:rPr>
                          <w:sz w:val="16"/>
                          <w:szCs w:val="18"/>
                        </w:rPr>
                        <w:t>ideal</w:t>
                      </w:r>
                      <w:r w:rsidR="00E023B3">
                        <w:rPr>
                          <w:sz w:val="16"/>
                          <w:szCs w:val="18"/>
                        </w:rPr>
                        <w:t xml:space="preserve"> ground conditions exist</w:t>
                      </w:r>
                      <w:r w:rsidR="00E74BC7">
                        <w:rPr>
                          <w:sz w:val="16"/>
                          <w:szCs w:val="18"/>
                        </w:rPr>
                        <w:t>.</w:t>
                      </w:r>
                    </w:p>
                  </w:txbxContent>
                </v:textbox>
                <w10:wrap type="square" anchorx="margin"/>
              </v:shape>
            </w:pict>
          </mc:Fallback>
        </mc:AlternateContent>
      </w:r>
    </w:p>
    <w:p w14:paraId="6EB89D63" w14:textId="77777777" w:rsidR="00B56E52" w:rsidRDefault="00B56E52" w:rsidP="00470FF8"/>
    <w:p w14:paraId="4EE7CCE6" w14:textId="77777777" w:rsidR="00B56E52" w:rsidRDefault="00B56E52" w:rsidP="00470FF8"/>
    <w:p w14:paraId="51CFD38A" w14:textId="2699473A" w:rsidR="00B56E52" w:rsidRDefault="00B56E52" w:rsidP="00470FF8"/>
    <w:p w14:paraId="107763D8" w14:textId="0B1FC477" w:rsidR="00197133" w:rsidRDefault="00197133" w:rsidP="00197133">
      <w:pPr>
        <w:pStyle w:val="Heading1"/>
      </w:pPr>
      <w:bookmarkStart w:id="6" w:name="_Toc228212293"/>
      <w:r>
        <w:lastRenderedPageBreak/>
        <w:t>Reference List</w:t>
      </w:r>
      <w:bookmarkEnd w:id="6"/>
    </w:p>
    <w:p w14:paraId="69E0543E" w14:textId="77777777" w:rsidR="00197133" w:rsidRDefault="00197133" w:rsidP="00197133"/>
    <w:p w14:paraId="28B79189" w14:textId="74856BE6" w:rsidR="00197133" w:rsidRDefault="00197133" w:rsidP="00197133">
      <w:r>
        <w:t xml:space="preserve">Barclay 2011 </w:t>
      </w:r>
      <w:hyperlink r:id="rId15" w:history="1">
        <w:r w:rsidRPr="008C2AEB">
          <w:rPr>
            <w:rStyle w:val="Hyperlink"/>
          </w:rPr>
          <w:t>https://webapps.bgs.ac.uk/memoirs/docs/B06123.html</w:t>
        </w:r>
      </w:hyperlink>
    </w:p>
    <w:p w14:paraId="5AAF46C4" w14:textId="77777777" w:rsidR="00A43DD8" w:rsidRDefault="00A43DD8" w:rsidP="00197133"/>
    <w:p w14:paraId="4099C5C6" w14:textId="207443F5" w:rsidR="00080A4E" w:rsidRDefault="00E12178" w:rsidP="00197133">
      <w:r>
        <w:t xml:space="preserve">Environmental Agency (2020) </w:t>
      </w:r>
      <w:r>
        <w:rPr>
          <w:i/>
          <w:iCs/>
        </w:rPr>
        <w:t>Land Contamination Risk Management (LCRM)</w:t>
      </w:r>
      <w:r>
        <w:t xml:space="preserve">. </w:t>
      </w:r>
      <w:r w:rsidR="00A43DD8">
        <w:t>Available at:</w:t>
      </w:r>
      <w:r w:rsidR="00080A4E">
        <w:t xml:space="preserve"> </w:t>
      </w:r>
      <w:hyperlink r:id="rId16" w:history="1">
        <w:r w:rsidR="00080A4E" w:rsidRPr="008C2AEB">
          <w:rPr>
            <w:rStyle w:val="Hyperlink"/>
          </w:rPr>
          <w:t>https://www.gov.uk/government/publications/land-contamination-risk-management-lcrm</w:t>
        </w:r>
      </w:hyperlink>
    </w:p>
    <w:p w14:paraId="67F86521" w14:textId="77777777" w:rsidR="00414ED7" w:rsidRDefault="00414ED7" w:rsidP="00197133"/>
    <w:p w14:paraId="75B6932A" w14:textId="537EA5EB" w:rsidR="00414ED7" w:rsidRDefault="00EA30D2" w:rsidP="00197133">
      <w:r>
        <w:t xml:space="preserve">Legislation.gov.uk </w:t>
      </w:r>
      <w:r>
        <w:rPr>
          <w:i/>
          <w:iCs/>
        </w:rPr>
        <w:t>The Building Regulations 2010</w:t>
      </w:r>
      <w:r w:rsidR="000B320C">
        <w:t xml:space="preserve">. Available at: </w:t>
      </w:r>
      <w:hyperlink r:id="rId17" w:history="1">
        <w:r w:rsidR="000B320C" w:rsidRPr="008C2AEB">
          <w:rPr>
            <w:rStyle w:val="Hyperlink"/>
          </w:rPr>
          <w:t>https://www.legislation.gov.uk/uksi/2010/2214/contents</w:t>
        </w:r>
      </w:hyperlink>
    </w:p>
    <w:p w14:paraId="4870AC8C" w14:textId="77777777" w:rsidR="000B320C" w:rsidRDefault="000B320C" w:rsidP="00197133"/>
    <w:p w14:paraId="5C8248B9" w14:textId="6EA99DF5" w:rsidR="000B320C" w:rsidRDefault="00E541C3" w:rsidP="00197133">
      <w:r>
        <w:t xml:space="preserve">HM Government </w:t>
      </w:r>
      <w:r>
        <w:rPr>
          <w:i/>
          <w:iCs/>
        </w:rPr>
        <w:t xml:space="preserve">Approved Document A </w:t>
      </w:r>
      <w:r w:rsidR="00E9543E">
        <w:rPr>
          <w:i/>
          <w:iCs/>
        </w:rPr>
        <w:t>2013</w:t>
      </w:r>
      <w:r w:rsidR="00DD1F18">
        <w:t xml:space="preserve">. Available at: </w:t>
      </w:r>
      <w:hyperlink r:id="rId18" w:history="1">
        <w:r w:rsidR="00823437" w:rsidRPr="008C2AEB">
          <w:rPr>
            <w:rStyle w:val="Hyperlink"/>
          </w:rPr>
          <w:t>https://assets.publishing.service.gov.uk/media/5a80437640f0b623026927b2/BR_PDF_AD_A_2013.pdf</w:t>
        </w:r>
      </w:hyperlink>
    </w:p>
    <w:p w14:paraId="249F6B2F" w14:textId="77777777" w:rsidR="00823437" w:rsidRDefault="00823437" w:rsidP="00197133"/>
    <w:p w14:paraId="5B28CF6B" w14:textId="589C225F" w:rsidR="00823437" w:rsidRDefault="009030E9" w:rsidP="00197133">
      <w:r>
        <w:t xml:space="preserve">HM Government </w:t>
      </w:r>
      <w:r>
        <w:rPr>
          <w:i/>
          <w:iCs/>
        </w:rPr>
        <w:t>Approved Document C</w:t>
      </w:r>
      <w:r w:rsidR="007A3B5E">
        <w:rPr>
          <w:i/>
          <w:iCs/>
        </w:rPr>
        <w:t xml:space="preserve"> 2013</w:t>
      </w:r>
      <w:r w:rsidR="007A3B5E">
        <w:t xml:space="preserve">. Available at: </w:t>
      </w:r>
      <w:hyperlink r:id="rId19" w:history="1">
        <w:r w:rsidR="007A3B5E" w:rsidRPr="008C2AEB">
          <w:rPr>
            <w:rStyle w:val="Hyperlink"/>
          </w:rPr>
          <w:t>https://assets.publishing.service.gov.uk/media/5a8192a0e5274a2e8ab54b5f/BR_PDF_AD_C_2013.pdf</w:t>
        </w:r>
      </w:hyperlink>
    </w:p>
    <w:p w14:paraId="5D8F8211" w14:textId="77777777" w:rsidR="007A3B5E" w:rsidRDefault="007A3B5E" w:rsidP="00197133"/>
    <w:p w14:paraId="3313131D" w14:textId="6021A1A0" w:rsidR="007A3B5E" w:rsidRDefault="00CE5B68" w:rsidP="00197133">
      <w:r>
        <w:t>Lunne</w:t>
      </w:r>
      <w:r w:rsidR="004201AD">
        <w:t>, T., Robertson, P.K. and Powell, J.J.M (</w:t>
      </w:r>
      <w:r w:rsidR="00A25017">
        <w:t>No Date</w:t>
      </w:r>
      <w:r w:rsidR="004201AD">
        <w:t>)</w:t>
      </w:r>
      <w:r w:rsidR="00A256B5">
        <w:t xml:space="preserve">. Available at: </w:t>
      </w:r>
      <w:hyperlink r:id="rId20" w:history="1">
        <w:r w:rsidR="00A256B5" w:rsidRPr="008C2AEB">
          <w:rPr>
            <w:rStyle w:val="Hyperlink"/>
          </w:rPr>
          <w:t>https://bouassidageotechnics.wordpress.com/wp-content/uploads/2022/03/cone-penetration-testing-in-geotechnical-practice.pdf</w:t>
        </w:r>
      </w:hyperlink>
    </w:p>
    <w:p w14:paraId="578BA9EB" w14:textId="77777777" w:rsidR="00A256B5" w:rsidRDefault="00A256B5" w:rsidP="00197133"/>
    <w:p w14:paraId="04B17DF2" w14:textId="5689D769" w:rsidR="00187C1C" w:rsidRDefault="00187C1C" w:rsidP="00197133">
      <w:r>
        <w:t>Natural Resources Wales (202</w:t>
      </w:r>
      <w:r w:rsidR="00714039">
        <w:t>3</w:t>
      </w:r>
      <w:r>
        <w:t xml:space="preserve">) </w:t>
      </w:r>
      <w:r w:rsidR="00714039">
        <w:rPr>
          <w:i/>
          <w:iCs/>
        </w:rPr>
        <w:t>Development of Land Affected by Contamination: A Guide for Developers</w:t>
      </w:r>
      <w:r w:rsidR="00714039">
        <w:t xml:space="preserve">. Available at: </w:t>
      </w:r>
      <w:hyperlink r:id="rId21" w:history="1">
        <w:r w:rsidR="00206ADA" w:rsidRPr="008C2AEB">
          <w:rPr>
            <w:rStyle w:val="Hyperlink"/>
          </w:rPr>
          <w:t>https://claire.co.uk/phocadownload/Development%20of%20Land%20Affected%20by%20Contamination%20Developers%20Guide%202023.pdf?%20download=960:developmentoflandaffectedbycontaminationdevelopersguidewlganrwandwelshgovernmentv4september2023</w:t>
        </w:r>
      </w:hyperlink>
    </w:p>
    <w:p w14:paraId="37673A76" w14:textId="77777777" w:rsidR="00206ADA" w:rsidRDefault="00206ADA" w:rsidP="00197133"/>
    <w:p w14:paraId="79C69DFE" w14:textId="2642A7BD" w:rsidR="00206ADA" w:rsidRDefault="00E14DBF" w:rsidP="00197133">
      <w:r>
        <w:t>Terzaghi, K</w:t>
      </w:r>
      <w:r w:rsidR="00850573">
        <w:t xml:space="preserve">., Peck, R.B. and Mesri, G. (1996) </w:t>
      </w:r>
      <w:r w:rsidR="00850573">
        <w:rPr>
          <w:i/>
          <w:iCs/>
        </w:rPr>
        <w:t>Soil Mechanics in Engineering Practice Third Edition</w:t>
      </w:r>
      <w:r w:rsidR="00850573">
        <w:t xml:space="preserve">. Available at: </w:t>
      </w:r>
      <w:hyperlink r:id="rId22" w:history="1">
        <w:r w:rsidR="00505348" w:rsidRPr="008C2AEB">
          <w:rPr>
            <w:rStyle w:val="Hyperlink"/>
          </w:rPr>
          <w:t>https://cequcest.wordpress.com/wp-content/uploads/2015/09/terzaghi129883967-soil-mechanics-in-engineering-practice-3rd-edition-karl-terzaghi-ralph-b-peck-gholamreza-mesri-1996.pdf</w:t>
        </w:r>
      </w:hyperlink>
    </w:p>
    <w:p w14:paraId="4AACB087" w14:textId="77777777" w:rsidR="00505348" w:rsidRDefault="00505348" w:rsidP="00197133"/>
    <w:p w14:paraId="1BF400F4" w14:textId="35466E11" w:rsidR="00505348" w:rsidRDefault="001414BA" w:rsidP="00197133">
      <w:r>
        <w:t>Tomlinson, M. and Woodward, J. (20</w:t>
      </w:r>
      <w:r w:rsidR="00A54407">
        <w:t>08</w:t>
      </w:r>
      <w:r>
        <w:t>)</w:t>
      </w:r>
      <w:r w:rsidR="009456E0">
        <w:t xml:space="preserve"> </w:t>
      </w:r>
      <w:r w:rsidR="00676534">
        <w:rPr>
          <w:i/>
          <w:iCs/>
        </w:rPr>
        <w:t>Pile Design and Construction Practice Fifth Edition</w:t>
      </w:r>
      <w:r w:rsidR="00676534">
        <w:t xml:space="preserve">. Available at: </w:t>
      </w:r>
      <w:hyperlink r:id="rId23" w:history="1">
        <w:r w:rsidR="00676534" w:rsidRPr="008C2AEB">
          <w:rPr>
            <w:rStyle w:val="Hyperlink"/>
          </w:rPr>
          <w:t>https://menglim498.wordpress.com/wp-content/uploads/2013/04/pile-design-and-construction.pdf</w:t>
        </w:r>
      </w:hyperlink>
    </w:p>
    <w:p w14:paraId="6F045E45" w14:textId="77777777" w:rsidR="00676534" w:rsidRDefault="00676534" w:rsidP="00197133"/>
    <w:p w14:paraId="43F8A626" w14:textId="7AD5623C" w:rsidR="00D5516D" w:rsidRDefault="00D5516D" w:rsidP="00197133">
      <w:r>
        <w:lastRenderedPageBreak/>
        <w:t xml:space="preserve">Wessex Archaeology (2014) </w:t>
      </w:r>
      <w:r>
        <w:rPr>
          <w:i/>
          <w:iCs/>
        </w:rPr>
        <w:t>White Rock and Hafod Works, Swansea</w:t>
      </w:r>
      <w:r w:rsidR="00072267">
        <w:t>.</w:t>
      </w:r>
      <w:r>
        <w:rPr>
          <w:i/>
          <w:iCs/>
        </w:rPr>
        <w:t xml:space="preserve"> </w:t>
      </w:r>
      <w:r>
        <w:t xml:space="preserve">Available at: </w:t>
      </w:r>
      <w:hyperlink r:id="rId24" w:history="1">
        <w:r w:rsidRPr="008C2AEB">
          <w:rPr>
            <w:rStyle w:val="Hyperlink"/>
          </w:rPr>
          <w:t>https://www.wessexarch.co.uk/sites/default/files/2018-02/77507_Time%20Team%20-%20White%20Rock%20and%20Hafod%20Works.pdf</w:t>
        </w:r>
      </w:hyperlink>
    </w:p>
    <w:p w14:paraId="55203AC3" w14:textId="77777777" w:rsidR="00D5516D" w:rsidRPr="00D5516D" w:rsidRDefault="00D5516D" w:rsidP="00197133"/>
    <w:p w14:paraId="71CBBFE0" w14:textId="77777777" w:rsidR="00197133" w:rsidRPr="00197133" w:rsidRDefault="00197133" w:rsidP="00197133"/>
    <w:sectPr w:rsidR="00197133" w:rsidRPr="00197133">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4366A" w14:textId="77777777" w:rsidR="00012DE8" w:rsidRDefault="00012DE8" w:rsidP="0062334D">
      <w:pPr>
        <w:spacing w:after="0" w:line="240" w:lineRule="auto"/>
      </w:pPr>
      <w:r>
        <w:separator/>
      </w:r>
    </w:p>
  </w:endnote>
  <w:endnote w:type="continuationSeparator" w:id="0">
    <w:p w14:paraId="7E85F82C" w14:textId="77777777" w:rsidR="00012DE8" w:rsidRDefault="00012DE8" w:rsidP="006233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7116968"/>
      <w:docPartObj>
        <w:docPartGallery w:val="Page Numbers (Bottom of Page)"/>
        <w:docPartUnique/>
      </w:docPartObj>
    </w:sdtPr>
    <w:sdtEndPr>
      <w:rPr>
        <w:noProof/>
      </w:rPr>
    </w:sdtEndPr>
    <w:sdtContent>
      <w:p w14:paraId="5E307940" w14:textId="4E0A9360" w:rsidR="0062334D" w:rsidRDefault="006233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330A1B" w14:textId="77777777" w:rsidR="0062334D" w:rsidRDefault="006233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A9F565" w14:textId="77777777" w:rsidR="00012DE8" w:rsidRDefault="00012DE8" w:rsidP="0062334D">
      <w:pPr>
        <w:spacing w:after="0" w:line="240" w:lineRule="auto"/>
      </w:pPr>
      <w:r>
        <w:separator/>
      </w:r>
    </w:p>
  </w:footnote>
  <w:footnote w:type="continuationSeparator" w:id="0">
    <w:p w14:paraId="7E9EA0BB" w14:textId="77777777" w:rsidR="00012DE8" w:rsidRDefault="00012DE8" w:rsidP="006233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C80"/>
    <w:rsid w:val="00005B44"/>
    <w:rsid w:val="000115AC"/>
    <w:rsid w:val="00012DE8"/>
    <w:rsid w:val="00021309"/>
    <w:rsid w:val="00034AC4"/>
    <w:rsid w:val="00042914"/>
    <w:rsid w:val="00052E5E"/>
    <w:rsid w:val="00056886"/>
    <w:rsid w:val="00062CDD"/>
    <w:rsid w:val="00072267"/>
    <w:rsid w:val="00080A4E"/>
    <w:rsid w:val="000A4EBC"/>
    <w:rsid w:val="000B320C"/>
    <w:rsid w:val="000C4EB5"/>
    <w:rsid w:val="000E6DC0"/>
    <w:rsid w:val="000F3ABE"/>
    <w:rsid w:val="001139ED"/>
    <w:rsid w:val="00121B75"/>
    <w:rsid w:val="00135125"/>
    <w:rsid w:val="001414BA"/>
    <w:rsid w:val="0017005E"/>
    <w:rsid w:val="0017299D"/>
    <w:rsid w:val="001767C4"/>
    <w:rsid w:val="00184884"/>
    <w:rsid w:val="00187C1C"/>
    <w:rsid w:val="00197133"/>
    <w:rsid w:val="001B2EFE"/>
    <w:rsid w:val="00206ADA"/>
    <w:rsid w:val="002166DD"/>
    <w:rsid w:val="00217F34"/>
    <w:rsid w:val="00220DC8"/>
    <w:rsid w:val="002266DA"/>
    <w:rsid w:val="00237DCE"/>
    <w:rsid w:val="00244CDF"/>
    <w:rsid w:val="002450F0"/>
    <w:rsid w:val="002506BA"/>
    <w:rsid w:val="002A2BFA"/>
    <w:rsid w:val="002C1244"/>
    <w:rsid w:val="00335F8B"/>
    <w:rsid w:val="003520FA"/>
    <w:rsid w:val="003570C9"/>
    <w:rsid w:val="00391A22"/>
    <w:rsid w:val="003A5B57"/>
    <w:rsid w:val="003B1CE3"/>
    <w:rsid w:val="003C6EBB"/>
    <w:rsid w:val="003E6D65"/>
    <w:rsid w:val="003F387C"/>
    <w:rsid w:val="00405F0E"/>
    <w:rsid w:val="00411609"/>
    <w:rsid w:val="00412C03"/>
    <w:rsid w:val="00414ED7"/>
    <w:rsid w:val="004201AD"/>
    <w:rsid w:val="00426516"/>
    <w:rsid w:val="00432621"/>
    <w:rsid w:val="00470FF8"/>
    <w:rsid w:val="00472E38"/>
    <w:rsid w:val="00475252"/>
    <w:rsid w:val="00475910"/>
    <w:rsid w:val="0047727C"/>
    <w:rsid w:val="004B2F57"/>
    <w:rsid w:val="005003DC"/>
    <w:rsid w:val="0050058A"/>
    <w:rsid w:val="00501ECE"/>
    <w:rsid w:val="005027B5"/>
    <w:rsid w:val="00505348"/>
    <w:rsid w:val="00536DEB"/>
    <w:rsid w:val="0054766B"/>
    <w:rsid w:val="00557366"/>
    <w:rsid w:val="005923EA"/>
    <w:rsid w:val="0059787E"/>
    <w:rsid w:val="005A01FF"/>
    <w:rsid w:val="005F288C"/>
    <w:rsid w:val="0062334D"/>
    <w:rsid w:val="00634552"/>
    <w:rsid w:val="00655013"/>
    <w:rsid w:val="00657284"/>
    <w:rsid w:val="00661FA2"/>
    <w:rsid w:val="00676534"/>
    <w:rsid w:val="0069754E"/>
    <w:rsid w:val="006B6195"/>
    <w:rsid w:val="006C63C8"/>
    <w:rsid w:val="006C6B13"/>
    <w:rsid w:val="006D1BF1"/>
    <w:rsid w:val="006F6928"/>
    <w:rsid w:val="00714039"/>
    <w:rsid w:val="00756072"/>
    <w:rsid w:val="00790A65"/>
    <w:rsid w:val="007A3B5E"/>
    <w:rsid w:val="007A53C9"/>
    <w:rsid w:val="007A5502"/>
    <w:rsid w:val="007F72CB"/>
    <w:rsid w:val="0081747C"/>
    <w:rsid w:val="00820438"/>
    <w:rsid w:val="00823437"/>
    <w:rsid w:val="008302A7"/>
    <w:rsid w:val="00850573"/>
    <w:rsid w:val="008508A4"/>
    <w:rsid w:val="0087474B"/>
    <w:rsid w:val="00884445"/>
    <w:rsid w:val="00894AC6"/>
    <w:rsid w:val="008C3C80"/>
    <w:rsid w:val="008C6955"/>
    <w:rsid w:val="008D26D6"/>
    <w:rsid w:val="008D7403"/>
    <w:rsid w:val="008D7BAE"/>
    <w:rsid w:val="009030E9"/>
    <w:rsid w:val="00914636"/>
    <w:rsid w:val="009317DA"/>
    <w:rsid w:val="00943D24"/>
    <w:rsid w:val="009456E0"/>
    <w:rsid w:val="00956270"/>
    <w:rsid w:val="0096328D"/>
    <w:rsid w:val="00970613"/>
    <w:rsid w:val="00972442"/>
    <w:rsid w:val="00997AD9"/>
    <w:rsid w:val="009A50E0"/>
    <w:rsid w:val="009E33C3"/>
    <w:rsid w:val="009F05EA"/>
    <w:rsid w:val="00A011AF"/>
    <w:rsid w:val="00A25017"/>
    <w:rsid w:val="00A256B5"/>
    <w:rsid w:val="00A27C98"/>
    <w:rsid w:val="00A43DD8"/>
    <w:rsid w:val="00A447C5"/>
    <w:rsid w:val="00A54087"/>
    <w:rsid w:val="00A54407"/>
    <w:rsid w:val="00A638BA"/>
    <w:rsid w:val="00A973A7"/>
    <w:rsid w:val="00AA2598"/>
    <w:rsid w:val="00AD6F07"/>
    <w:rsid w:val="00AE36BC"/>
    <w:rsid w:val="00B017DB"/>
    <w:rsid w:val="00B14B72"/>
    <w:rsid w:val="00B2429E"/>
    <w:rsid w:val="00B56511"/>
    <w:rsid w:val="00B56E52"/>
    <w:rsid w:val="00B670C8"/>
    <w:rsid w:val="00BA0ADD"/>
    <w:rsid w:val="00BA1E68"/>
    <w:rsid w:val="00BA4375"/>
    <w:rsid w:val="00BA4FD1"/>
    <w:rsid w:val="00BB008E"/>
    <w:rsid w:val="00BB272F"/>
    <w:rsid w:val="00BB7A55"/>
    <w:rsid w:val="00BD041D"/>
    <w:rsid w:val="00BD5D3B"/>
    <w:rsid w:val="00BE57F7"/>
    <w:rsid w:val="00BF070F"/>
    <w:rsid w:val="00BF563A"/>
    <w:rsid w:val="00BF7530"/>
    <w:rsid w:val="00C22E23"/>
    <w:rsid w:val="00C508D3"/>
    <w:rsid w:val="00C62086"/>
    <w:rsid w:val="00C84DB0"/>
    <w:rsid w:val="00C90F1F"/>
    <w:rsid w:val="00C91CCC"/>
    <w:rsid w:val="00C96BEE"/>
    <w:rsid w:val="00CA7B9C"/>
    <w:rsid w:val="00CA7C7C"/>
    <w:rsid w:val="00CC0A77"/>
    <w:rsid w:val="00CC2989"/>
    <w:rsid w:val="00CE5B68"/>
    <w:rsid w:val="00CF24D9"/>
    <w:rsid w:val="00D172B4"/>
    <w:rsid w:val="00D24D72"/>
    <w:rsid w:val="00D251D2"/>
    <w:rsid w:val="00D42ADE"/>
    <w:rsid w:val="00D5516D"/>
    <w:rsid w:val="00D66E27"/>
    <w:rsid w:val="00DB1923"/>
    <w:rsid w:val="00DB5278"/>
    <w:rsid w:val="00DD1F18"/>
    <w:rsid w:val="00E023B3"/>
    <w:rsid w:val="00E059A7"/>
    <w:rsid w:val="00E101E1"/>
    <w:rsid w:val="00E12178"/>
    <w:rsid w:val="00E14DBF"/>
    <w:rsid w:val="00E2186B"/>
    <w:rsid w:val="00E36760"/>
    <w:rsid w:val="00E541C3"/>
    <w:rsid w:val="00E74BC7"/>
    <w:rsid w:val="00E8399B"/>
    <w:rsid w:val="00E84F7C"/>
    <w:rsid w:val="00E9543E"/>
    <w:rsid w:val="00EA30D2"/>
    <w:rsid w:val="00EA4DEB"/>
    <w:rsid w:val="00EC22A4"/>
    <w:rsid w:val="00EF5C0D"/>
    <w:rsid w:val="00F26FFA"/>
    <w:rsid w:val="00F31852"/>
    <w:rsid w:val="00F426E5"/>
    <w:rsid w:val="00F5228A"/>
    <w:rsid w:val="00F73A74"/>
    <w:rsid w:val="00F81B3F"/>
    <w:rsid w:val="00F901CD"/>
    <w:rsid w:val="00FC43AD"/>
    <w:rsid w:val="00FC51A3"/>
    <w:rsid w:val="00FC7B77"/>
    <w:rsid w:val="00FE1CC7"/>
    <w:rsid w:val="00FE3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41DDB"/>
  <w15:chartTrackingRefBased/>
  <w15:docId w15:val="{8755D22A-1ADC-42A4-B937-3061BB1DA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bCs/>
        <w:kern w:val="2"/>
        <w:sz w:val="2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EB5"/>
    <w:pPr>
      <w:keepNext/>
      <w:keepLines/>
      <w:spacing w:before="360" w:after="80"/>
      <w:outlineLvl w:val="0"/>
    </w:pPr>
    <w:rPr>
      <w:rFonts w:eastAsiaTheme="majorEastAsia" w:cstheme="majorBidi"/>
      <w:b/>
      <w:sz w:val="24"/>
      <w:szCs w:val="40"/>
      <w:u w:val="single"/>
    </w:rPr>
  </w:style>
  <w:style w:type="paragraph" w:styleId="Heading2">
    <w:name w:val="heading 2"/>
    <w:basedOn w:val="Normal"/>
    <w:next w:val="Normal"/>
    <w:link w:val="Heading2Char"/>
    <w:uiPriority w:val="9"/>
    <w:semiHidden/>
    <w:unhideWhenUsed/>
    <w:qFormat/>
    <w:rsid w:val="008C3C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3C8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3C8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C3C8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C3C8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C3C8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C3C8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C3C8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EB5"/>
    <w:rPr>
      <w:rFonts w:eastAsiaTheme="majorEastAsia" w:cstheme="majorBidi"/>
      <w:b/>
      <w:sz w:val="24"/>
      <w:szCs w:val="40"/>
      <w:u w:val="single"/>
    </w:rPr>
  </w:style>
  <w:style w:type="character" w:customStyle="1" w:styleId="Heading2Char">
    <w:name w:val="Heading 2 Char"/>
    <w:basedOn w:val="DefaultParagraphFont"/>
    <w:link w:val="Heading2"/>
    <w:uiPriority w:val="9"/>
    <w:semiHidden/>
    <w:rsid w:val="008C3C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3C80"/>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3C80"/>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C3C80"/>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C3C8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C3C8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C3C8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C3C8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C3C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C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3C8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3C8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C3C80"/>
    <w:pPr>
      <w:spacing w:before="160"/>
      <w:jc w:val="center"/>
    </w:pPr>
    <w:rPr>
      <w:i/>
      <w:iCs/>
      <w:color w:val="404040" w:themeColor="text1" w:themeTint="BF"/>
    </w:rPr>
  </w:style>
  <w:style w:type="character" w:customStyle="1" w:styleId="QuoteChar">
    <w:name w:val="Quote Char"/>
    <w:basedOn w:val="DefaultParagraphFont"/>
    <w:link w:val="Quote"/>
    <w:uiPriority w:val="29"/>
    <w:rsid w:val="008C3C80"/>
    <w:rPr>
      <w:i/>
      <w:iCs/>
      <w:color w:val="404040" w:themeColor="text1" w:themeTint="BF"/>
    </w:rPr>
  </w:style>
  <w:style w:type="paragraph" w:styleId="ListParagraph">
    <w:name w:val="List Paragraph"/>
    <w:basedOn w:val="Normal"/>
    <w:uiPriority w:val="34"/>
    <w:qFormat/>
    <w:rsid w:val="008C3C80"/>
    <w:pPr>
      <w:ind w:left="720"/>
      <w:contextualSpacing/>
    </w:pPr>
  </w:style>
  <w:style w:type="character" w:styleId="IntenseEmphasis">
    <w:name w:val="Intense Emphasis"/>
    <w:basedOn w:val="DefaultParagraphFont"/>
    <w:uiPriority w:val="21"/>
    <w:qFormat/>
    <w:rsid w:val="008C3C80"/>
    <w:rPr>
      <w:i/>
      <w:iCs/>
      <w:color w:val="0F4761" w:themeColor="accent1" w:themeShade="BF"/>
    </w:rPr>
  </w:style>
  <w:style w:type="paragraph" w:styleId="IntenseQuote">
    <w:name w:val="Intense Quote"/>
    <w:basedOn w:val="Normal"/>
    <w:next w:val="Normal"/>
    <w:link w:val="IntenseQuoteChar"/>
    <w:uiPriority w:val="30"/>
    <w:qFormat/>
    <w:rsid w:val="008C3C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3C80"/>
    <w:rPr>
      <w:i/>
      <w:iCs/>
      <w:color w:val="0F4761" w:themeColor="accent1" w:themeShade="BF"/>
    </w:rPr>
  </w:style>
  <w:style w:type="character" w:styleId="IntenseReference">
    <w:name w:val="Intense Reference"/>
    <w:basedOn w:val="DefaultParagraphFont"/>
    <w:uiPriority w:val="32"/>
    <w:qFormat/>
    <w:rsid w:val="008C3C80"/>
    <w:rPr>
      <w:b/>
      <w:bCs w:val="0"/>
      <w:smallCaps/>
      <w:color w:val="0F4761" w:themeColor="accent1" w:themeShade="BF"/>
      <w:spacing w:val="5"/>
    </w:rPr>
  </w:style>
  <w:style w:type="paragraph" w:styleId="TOCHeading">
    <w:name w:val="TOC Heading"/>
    <w:basedOn w:val="Heading1"/>
    <w:next w:val="Normal"/>
    <w:uiPriority w:val="39"/>
    <w:unhideWhenUsed/>
    <w:qFormat/>
    <w:rsid w:val="000C4EB5"/>
    <w:pPr>
      <w:spacing w:before="240" w:after="0" w:line="259" w:lineRule="auto"/>
      <w:outlineLvl w:val="9"/>
    </w:pPr>
    <w:rPr>
      <w:bCs w:val="0"/>
      <w:kern w:val="0"/>
      <w:sz w:val="32"/>
      <w:szCs w:val="32"/>
      <w:lang w:val="en-US"/>
      <w14:ligatures w14:val="none"/>
    </w:rPr>
  </w:style>
  <w:style w:type="paragraph" w:styleId="TOC1">
    <w:name w:val="toc 1"/>
    <w:basedOn w:val="Normal"/>
    <w:next w:val="Normal"/>
    <w:autoRedefine/>
    <w:uiPriority w:val="39"/>
    <w:unhideWhenUsed/>
    <w:rsid w:val="00335F8B"/>
    <w:pPr>
      <w:spacing w:after="100"/>
    </w:pPr>
  </w:style>
  <w:style w:type="character" w:styleId="Hyperlink">
    <w:name w:val="Hyperlink"/>
    <w:basedOn w:val="DefaultParagraphFont"/>
    <w:uiPriority w:val="99"/>
    <w:unhideWhenUsed/>
    <w:rsid w:val="00335F8B"/>
    <w:rPr>
      <w:color w:val="467886" w:themeColor="hyperlink"/>
      <w:u w:val="single"/>
    </w:rPr>
  </w:style>
  <w:style w:type="character" w:styleId="UnresolvedMention">
    <w:name w:val="Unresolved Mention"/>
    <w:basedOn w:val="DefaultParagraphFont"/>
    <w:uiPriority w:val="99"/>
    <w:semiHidden/>
    <w:unhideWhenUsed/>
    <w:rsid w:val="00197133"/>
    <w:rPr>
      <w:color w:val="605E5C"/>
      <w:shd w:val="clear" w:color="auto" w:fill="E1DFDD"/>
    </w:rPr>
  </w:style>
  <w:style w:type="character" w:styleId="FollowedHyperlink">
    <w:name w:val="FollowedHyperlink"/>
    <w:basedOn w:val="DefaultParagraphFont"/>
    <w:uiPriority w:val="99"/>
    <w:semiHidden/>
    <w:unhideWhenUsed/>
    <w:rsid w:val="00135125"/>
    <w:rPr>
      <w:color w:val="96607D" w:themeColor="followedHyperlink"/>
      <w:u w:val="single"/>
    </w:rPr>
  </w:style>
  <w:style w:type="paragraph" w:styleId="Header">
    <w:name w:val="header"/>
    <w:basedOn w:val="Normal"/>
    <w:link w:val="HeaderChar"/>
    <w:uiPriority w:val="99"/>
    <w:unhideWhenUsed/>
    <w:rsid w:val="006233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34D"/>
  </w:style>
  <w:style w:type="paragraph" w:styleId="Footer">
    <w:name w:val="footer"/>
    <w:basedOn w:val="Normal"/>
    <w:link w:val="FooterChar"/>
    <w:uiPriority w:val="99"/>
    <w:unhideWhenUsed/>
    <w:rsid w:val="006233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3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i.bgs.ac.uk/sobi-scans/v1/borehole/scans/items/370246" TargetMode="External"/><Relationship Id="rId13" Type="http://schemas.openxmlformats.org/officeDocument/2006/relationships/image" Target="media/image6.jpeg"/><Relationship Id="rId18" Type="http://schemas.openxmlformats.org/officeDocument/2006/relationships/hyperlink" Target="https://assets.publishing.service.gov.uk/media/5a80437640f0b623026927b2/BR_PDF_AD_A_2013.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claire.co.uk/phocadownload/Development%20of%20Land%20Affected%20by%20Contamination%20Developers%20Guide%202023.pdf?%20download=960:developmentoflandaffectedbycontaminationdevelopersguidewlganrwandwelshgovernmentv4september2023" TargetMode="External"/><Relationship Id="rId7" Type="http://schemas.openxmlformats.org/officeDocument/2006/relationships/image" Target="media/image2.jpeg"/><Relationship Id="rId12" Type="http://schemas.openxmlformats.org/officeDocument/2006/relationships/image" Target="media/image5.jpeg"/><Relationship Id="rId17" Type="http://schemas.openxmlformats.org/officeDocument/2006/relationships/hyperlink" Target="https://www.legislation.gov.uk/uksi/2010/2214/contents"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gov.uk/government/publications/land-contamination-risk-management-lcrm" TargetMode="External"/><Relationship Id="rId20" Type="http://schemas.openxmlformats.org/officeDocument/2006/relationships/hyperlink" Target="https://bouassidageotechnics.wordpress.com/wp-content/uploads/2022/03/cone-penetration-testing-in-geotechnical-practice.pdf"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jpeg"/><Relationship Id="rId24" Type="http://schemas.openxmlformats.org/officeDocument/2006/relationships/hyperlink" Target="https://www.wessexarch.co.uk/sites/default/files/2018-02/77507_Time%20Team%20-%20White%20Rock%20and%20Hafod%20Works.pdf" TargetMode="External"/><Relationship Id="rId5" Type="http://schemas.openxmlformats.org/officeDocument/2006/relationships/endnotes" Target="endnotes.xml"/><Relationship Id="rId15" Type="http://schemas.openxmlformats.org/officeDocument/2006/relationships/hyperlink" Target="https://webapps.bgs.ac.uk/memoirs/docs/B06123.html" TargetMode="External"/><Relationship Id="rId23" Type="http://schemas.openxmlformats.org/officeDocument/2006/relationships/hyperlink" Target="https://menglim498.wordpress.com/wp-content/uploads/2013/04/pile-design-and-construction.pdf" TargetMode="External"/><Relationship Id="rId10" Type="http://schemas.openxmlformats.org/officeDocument/2006/relationships/image" Target="media/image3.jpeg"/><Relationship Id="rId19" Type="http://schemas.openxmlformats.org/officeDocument/2006/relationships/hyperlink" Target="https://assets.publishing.service.gov.uk/media/5a8192a0e5274a2e8ab54b5f/BR_PDF_AD_C_2013.pdf" TargetMode="External"/><Relationship Id="rId4" Type="http://schemas.openxmlformats.org/officeDocument/2006/relationships/footnotes" Target="footnotes.xml"/><Relationship Id="rId9" Type="http://schemas.openxmlformats.org/officeDocument/2006/relationships/hyperlink" Target="https://api.bgs.ac.uk/sobi-scans/v1/borehole/scans/items/370246" TargetMode="External"/><Relationship Id="rId14" Type="http://schemas.openxmlformats.org/officeDocument/2006/relationships/image" Target="media/image7.jpeg"/><Relationship Id="rId22" Type="http://schemas.openxmlformats.org/officeDocument/2006/relationships/hyperlink" Target="https://cequcest.wordpress.com/wp-content/uploads/2015/09/terzaghi129883967-soil-mechanics-in-engineering-practice-3rd-edition-karl-terzaghi-ralph-b-peck-gholamreza-mesri-1996.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2522</TotalTime>
  <Pages>11</Pages>
  <Words>2714</Words>
  <Characters>15473</Characters>
  <Application>Microsoft Office Word</Application>
  <DocSecurity>0</DocSecurity>
  <Lines>128</Lines>
  <Paragraphs>36</Paragraphs>
  <ScaleCrop>false</ScaleCrop>
  <Company/>
  <LinksUpToDate>false</LinksUpToDate>
  <CharactersWithSpaces>18151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Burgess</dc:creator>
  <cp:keywords/>
  <dc:description/>
  <cp:lastModifiedBy>Rhys Burgess</cp:lastModifiedBy>
  <cp:revision>204</cp:revision>
  <dcterms:created xsi:type="dcterms:W3CDTF">2026-04-11T11:35:00Z</dcterms:created>
  <dcterms:modified xsi:type="dcterms:W3CDTF">2026-04-27T19:00:00Z</dcterms:modified>
</cp:coreProperties>
</file>