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GB"/>
        </w:rPr>
        <w:id w:val="909959538"/>
        <w:docPartObj>
          <w:docPartGallery w:val="Cover Pages"/>
          <w:docPartUnique/>
        </w:docPartObj>
      </w:sdtPr>
      <w:sdtEndPr>
        <w:rPr>
          <w:b/>
          <w:sz w:val="32"/>
          <w:szCs w:val="32"/>
        </w:rPr>
      </w:sdtEndPr>
      <w:sdtContent>
        <w:p w14:paraId="39F8747D" w14:textId="74A8B73B" w:rsidR="00EB2495" w:rsidRPr="00706D35" w:rsidRDefault="002A7235" w:rsidP="006E4B9D">
          <w:pPr>
            <w:rPr>
              <w:lang w:val="en-GB"/>
            </w:rPr>
          </w:pPr>
          <w:r w:rsidRPr="00706D35">
            <w:rPr>
              <w:noProof/>
              <w:lang w:val="en-GB"/>
            </w:rPr>
            <w:drawing>
              <wp:anchor distT="0" distB="0" distL="114300" distR="114300" simplePos="0" relativeHeight="251664384" behindDoc="0" locked="0" layoutInCell="1" allowOverlap="1" wp14:anchorId="1C5C214E" wp14:editId="25D8FF5E">
                <wp:simplePos x="0" y="0"/>
                <wp:positionH relativeFrom="margin">
                  <wp:posOffset>293254</wp:posOffset>
                </wp:positionH>
                <wp:positionV relativeFrom="paragraph">
                  <wp:posOffset>8082</wp:posOffset>
                </wp:positionV>
                <wp:extent cx="3664527" cy="949036"/>
                <wp:effectExtent l="0" t="0" r="0" b="3810"/>
                <wp:wrapNone/>
                <wp:docPr id="1" name="Picture 1" descr="Neath Port Talbot Council Logo&#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714862" cy="962072"/>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4CD1CDB8" w14:textId="0465283F" w:rsidR="005968B9" w:rsidRPr="00706D35" w:rsidRDefault="00BA75E1" w:rsidP="006E4B9D">
          <w:pPr>
            <w:rPr>
              <w:b/>
              <w:sz w:val="32"/>
              <w:szCs w:val="32"/>
              <w:lang w:val="en-GB"/>
            </w:rPr>
          </w:pPr>
          <w:r w:rsidRPr="00706D35">
            <w:rPr>
              <w:noProof/>
              <w:lang w:val="en-GB"/>
            </w:rPr>
            <mc:AlternateContent>
              <mc:Choice Requires="wps">
                <w:drawing>
                  <wp:anchor distT="0" distB="0" distL="114300" distR="114300" simplePos="0" relativeHeight="251661312" behindDoc="0" locked="0" layoutInCell="1" allowOverlap="1" wp14:anchorId="37ACB7D3" wp14:editId="73BF57DB">
                    <wp:simplePos x="0" y="0"/>
                    <wp:positionH relativeFrom="page">
                      <wp:posOffset>1131277</wp:posOffset>
                    </wp:positionH>
                    <wp:positionV relativeFrom="page">
                      <wp:posOffset>8740482</wp:posOffset>
                    </wp:positionV>
                    <wp:extent cx="5753100" cy="1050827"/>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0508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EE1123E" w14:textId="3BC8AF17" w:rsidR="00EB2495" w:rsidRPr="00D01274" w:rsidRDefault="007C5E04">
                                    <w:pPr>
                                      <w:pStyle w:val="NoSpacing"/>
                                      <w:jc w:val="right"/>
                                      <w:rPr>
                                        <w:rFonts w:ascii="Arial" w:hAnsi="Arial" w:cs="Arial"/>
                                        <w:caps/>
                                        <w:color w:val="262626" w:themeColor="text1" w:themeTint="D9"/>
                                        <w:sz w:val="28"/>
                                        <w:szCs w:val="28"/>
                                      </w:rPr>
                                    </w:pPr>
                                    <w:r w:rsidRPr="00D01274">
                                      <w:rPr>
                                        <w:rFonts w:ascii="Arial" w:hAnsi="Arial" w:cs="Arial"/>
                                        <w:caps/>
                                        <w:color w:val="262626" w:themeColor="text1" w:themeTint="D9"/>
                                        <w:sz w:val="28"/>
                                        <w:szCs w:val="28"/>
                                      </w:rPr>
                                      <w:t>cAROLINE aMOTT</w:t>
                                    </w:r>
                                    <w:r w:rsidR="00350998">
                                      <w:rPr>
                                        <w:rFonts w:ascii="Arial" w:hAnsi="Arial" w:cs="Arial"/>
                                        <w:caps/>
                                        <w:color w:val="262626" w:themeColor="text1" w:themeTint="D9"/>
                                        <w:sz w:val="28"/>
                                        <w:szCs w:val="28"/>
                                      </w:rPr>
                                      <w:t xml:space="preserve"> </w:t>
                                    </w:r>
                                    <w:r w:rsidR="00147B6B">
                                      <w:rPr>
                                        <w:rFonts w:ascii="Arial" w:hAnsi="Arial" w:cs="Arial"/>
                                        <w:caps/>
                                        <w:color w:val="262626" w:themeColor="text1" w:themeTint="D9"/>
                                        <w:sz w:val="28"/>
                                        <w:szCs w:val="28"/>
                                      </w:rPr>
                                      <w:t>2519862</w:t>
                                    </w:r>
                                  </w:p>
                                </w:sdtContent>
                              </w:sdt>
                              <w:p w14:paraId="4B85B8A1" w14:textId="6D381DA1" w:rsidR="00EB2495" w:rsidRPr="00D01274" w:rsidRDefault="00000000">
                                <w:pPr>
                                  <w:pStyle w:val="NoSpacing"/>
                                  <w:jc w:val="right"/>
                                  <w:rPr>
                                    <w:rFonts w:ascii="Arial" w:hAnsi="Arial" w:cs="Arial"/>
                                    <w:caps/>
                                    <w:color w:val="262626" w:themeColor="text1" w:themeTint="D9"/>
                                    <w:sz w:val="20"/>
                                    <w:szCs w:val="20"/>
                                  </w:rPr>
                                </w:pPr>
                                <w:sdt>
                                  <w:sdtPr>
                                    <w:rPr>
                                      <w:rFonts w:ascii="Arial" w:hAnsi="Arial" w:cs="Arial"/>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233BF3">
                                      <w:rPr>
                                        <w:rFonts w:ascii="Arial" w:hAnsi="Arial" w:cs="Arial"/>
                                        <w:caps/>
                                        <w:color w:val="262626" w:themeColor="text1" w:themeTint="D9"/>
                                        <w:sz w:val="20"/>
                                        <w:szCs w:val="20"/>
                                      </w:rPr>
                                      <w:t>Word Count task 1 – 38</w:t>
                                    </w:r>
                                    <w:r w:rsidR="00CD76F8">
                                      <w:rPr>
                                        <w:rFonts w:ascii="Arial" w:hAnsi="Arial" w:cs="Arial"/>
                                        <w:caps/>
                                        <w:color w:val="262626" w:themeColor="text1" w:themeTint="D9"/>
                                        <w:sz w:val="20"/>
                                        <w:szCs w:val="20"/>
                                      </w:rPr>
                                      <w:t>20</w:t>
                                    </w:r>
                                    <w:r w:rsidR="00233BF3">
                                      <w:rPr>
                                        <w:rFonts w:ascii="Arial" w:hAnsi="Arial" w:cs="Arial"/>
                                        <w:caps/>
                                        <w:color w:val="262626" w:themeColor="text1" w:themeTint="D9"/>
                                        <w:sz w:val="20"/>
                                        <w:szCs w:val="20"/>
                                      </w:rPr>
                                      <w:t>, task 2 - 1081</w:t>
                                    </w:r>
                                  </w:sdtContent>
                                </w:sdt>
                              </w:p>
                              <w:p w14:paraId="6408C5BD" w14:textId="7BFD75C4" w:rsidR="00EB249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273D9">
                                      <w:rPr>
                                        <w:color w:val="262626" w:themeColor="text1" w:themeTint="D9"/>
                                        <w:sz w:val="20"/>
                                        <w:szCs w:val="20"/>
                                      </w:rPr>
                                      <w:t xml:space="preserve">     </w:t>
                                    </w:r>
                                  </w:sdtContent>
                                </w:sdt>
                                <w:r w:rsidR="00EB249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7ACB7D3" id="_x0000_t202" coordsize="21600,21600" o:spt="202" path="m,l,21600r21600,l21600,xe">
                    <v:stroke joinstyle="miter"/>
                    <v:path gradientshapeok="t" o:connecttype="rect"/>
                  </v:shapetype>
                  <v:shape id="Text Box 112" o:spid="_x0000_s1026" type="#_x0000_t202" style="position:absolute;margin-left:89.1pt;margin-top:688.25pt;width:453pt;height:82.7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" filled="f" stroked="f" strokeweight=".5pt">
                    <v:textbox inset="0,0,0,0">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EE1123E" w14:textId="3BC8AF17" w:rsidR="00EB2495" w:rsidRPr="00D01274" w:rsidRDefault="007C5E04">
                              <w:pPr>
                                <w:pStyle w:val="NoSpacing"/>
                                <w:jc w:val="right"/>
                                <w:rPr>
                                  <w:rFonts w:ascii="Arial" w:hAnsi="Arial" w:cs="Arial"/>
                                  <w:caps/>
                                  <w:color w:val="262626" w:themeColor="text1" w:themeTint="D9"/>
                                  <w:sz w:val="28"/>
                                  <w:szCs w:val="28"/>
                                </w:rPr>
                              </w:pPr>
                              <w:r w:rsidRPr="00D01274">
                                <w:rPr>
                                  <w:rFonts w:ascii="Arial" w:hAnsi="Arial" w:cs="Arial"/>
                                  <w:caps/>
                                  <w:color w:val="262626" w:themeColor="text1" w:themeTint="D9"/>
                                  <w:sz w:val="28"/>
                                  <w:szCs w:val="28"/>
                                </w:rPr>
                                <w:t>cAROLINE aMOTT</w:t>
                              </w:r>
                              <w:r w:rsidR="00350998">
                                <w:rPr>
                                  <w:rFonts w:ascii="Arial" w:hAnsi="Arial" w:cs="Arial"/>
                                  <w:caps/>
                                  <w:color w:val="262626" w:themeColor="text1" w:themeTint="D9"/>
                                  <w:sz w:val="28"/>
                                  <w:szCs w:val="28"/>
                                </w:rPr>
                                <w:t xml:space="preserve"> </w:t>
                              </w:r>
                              <w:r w:rsidR="00147B6B">
                                <w:rPr>
                                  <w:rFonts w:ascii="Arial" w:hAnsi="Arial" w:cs="Arial"/>
                                  <w:caps/>
                                  <w:color w:val="262626" w:themeColor="text1" w:themeTint="D9"/>
                                  <w:sz w:val="28"/>
                                  <w:szCs w:val="28"/>
                                </w:rPr>
                                <w:t>2519862</w:t>
                              </w:r>
                            </w:p>
                          </w:sdtContent>
                        </w:sdt>
                        <w:p w14:paraId="4B85B8A1" w14:textId="6D381DA1" w:rsidR="00EB2495" w:rsidRPr="00D01274" w:rsidRDefault="00000000">
                          <w:pPr>
                            <w:pStyle w:val="NoSpacing"/>
                            <w:jc w:val="right"/>
                            <w:rPr>
                              <w:rFonts w:ascii="Arial" w:hAnsi="Arial" w:cs="Arial"/>
                              <w:caps/>
                              <w:color w:val="262626" w:themeColor="text1" w:themeTint="D9"/>
                              <w:sz w:val="20"/>
                              <w:szCs w:val="20"/>
                            </w:rPr>
                          </w:pPr>
                          <w:sdt>
                            <w:sdtPr>
                              <w:rPr>
                                <w:rFonts w:ascii="Arial" w:hAnsi="Arial" w:cs="Arial"/>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233BF3">
                                <w:rPr>
                                  <w:rFonts w:ascii="Arial" w:hAnsi="Arial" w:cs="Arial"/>
                                  <w:caps/>
                                  <w:color w:val="262626" w:themeColor="text1" w:themeTint="D9"/>
                                  <w:sz w:val="20"/>
                                  <w:szCs w:val="20"/>
                                </w:rPr>
                                <w:t>Word Count task 1 – 38</w:t>
                              </w:r>
                              <w:r w:rsidR="00CD76F8">
                                <w:rPr>
                                  <w:rFonts w:ascii="Arial" w:hAnsi="Arial" w:cs="Arial"/>
                                  <w:caps/>
                                  <w:color w:val="262626" w:themeColor="text1" w:themeTint="D9"/>
                                  <w:sz w:val="20"/>
                                  <w:szCs w:val="20"/>
                                </w:rPr>
                                <w:t>20</w:t>
                              </w:r>
                              <w:r w:rsidR="00233BF3">
                                <w:rPr>
                                  <w:rFonts w:ascii="Arial" w:hAnsi="Arial" w:cs="Arial"/>
                                  <w:caps/>
                                  <w:color w:val="262626" w:themeColor="text1" w:themeTint="D9"/>
                                  <w:sz w:val="20"/>
                                  <w:szCs w:val="20"/>
                                </w:rPr>
                                <w:t>, task 2 - 1081</w:t>
                              </w:r>
                            </w:sdtContent>
                          </w:sdt>
                        </w:p>
                        <w:p w14:paraId="6408C5BD" w14:textId="7BFD75C4" w:rsidR="00EB249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273D9">
                                <w:rPr>
                                  <w:color w:val="262626" w:themeColor="text1" w:themeTint="D9"/>
                                  <w:sz w:val="20"/>
                                  <w:szCs w:val="20"/>
                                </w:rPr>
                                <w:t xml:space="preserve">     </w:t>
                              </w:r>
                            </w:sdtContent>
                          </w:sdt>
                          <w:r w:rsidR="00EB2495">
                            <w:rPr>
                              <w:color w:val="262626" w:themeColor="text1" w:themeTint="D9"/>
                              <w:sz w:val="20"/>
                              <w:szCs w:val="20"/>
                            </w:rPr>
                            <w:t xml:space="preserve"> </w:t>
                          </w:r>
                        </w:p>
                      </w:txbxContent>
                    </v:textbox>
                    <w10:wrap type="square" anchorx="page" anchory="page"/>
                  </v:shape>
                </w:pict>
              </mc:Fallback>
            </mc:AlternateContent>
          </w:r>
          <w:r w:rsidR="00A7400E" w:rsidRPr="00706D35">
            <w:rPr>
              <w:b/>
              <w:noProof/>
              <w:sz w:val="32"/>
              <w:szCs w:val="32"/>
              <w:lang w:val="en-GB"/>
            </w:rPr>
            <w:drawing>
              <wp:anchor distT="0" distB="0" distL="114300" distR="114300" simplePos="0" relativeHeight="251667456" behindDoc="0" locked="0" layoutInCell="1" allowOverlap="1" wp14:anchorId="18C4A906" wp14:editId="1E3EAFCC">
                <wp:simplePos x="0" y="0"/>
                <wp:positionH relativeFrom="margin">
                  <wp:align>left</wp:align>
                </wp:positionH>
                <wp:positionV relativeFrom="paragraph">
                  <wp:posOffset>2971800</wp:posOffset>
                </wp:positionV>
                <wp:extent cx="6299200" cy="2566670"/>
                <wp:effectExtent l="0" t="0" r="6350"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99200" cy="2566670"/>
                        </a:xfrm>
                        <a:prstGeom prst="rect">
                          <a:avLst/>
                        </a:prstGeom>
                      </pic:spPr>
                    </pic:pic>
                  </a:graphicData>
                </a:graphic>
              </wp:anchor>
            </w:drawing>
          </w:r>
          <w:r w:rsidR="00EB2495" w:rsidRPr="00706D35">
            <w:rPr>
              <w:noProof/>
              <w:lang w:val="en-GB"/>
            </w:rPr>
            <mc:AlternateContent>
              <mc:Choice Requires="wps">
                <w:drawing>
                  <wp:anchor distT="0" distB="0" distL="114300" distR="114300" simplePos="0" relativeHeight="251660288" behindDoc="0" locked="0" layoutInCell="1" allowOverlap="1" wp14:anchorId="5438D830" wp14:editId="23CA9DF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803733" w14:textId="6FAF7495" w:rsidR="00EB2495" w:rsidRPr="00D01274" w:rsidRDefault="00000000">
                                <w:pPr>
                                  <w:pStyle w:val="NoSpacing"/>
                                  <w:jc w:val="right"/>
                                  <w:rPr>
                                    <w:rFonts w:ascii="Arial" w:hAnsi="Arial" w:cs="Arial"/>
                                    <w:caps/>
                                    <w:color w:val="007B89" w:themeColor="text2" w:themeShade="BF"/>
                                    <w:sz w:val="52"/>
                                    <w:szCs w:val="52"/>
                                  </w:rPr>
                                </w:pPr>
                                <w:sdt>
                                  <w:sdtPr>
                                    <w:rPr>
                                      <w:rFonts w:ascii="Arial" w:hAnsi="Arial" w:cs="Arial"/>
                                      <w:caps/>
                                      <w:color w:val="007B89"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CA74D5" w:rsidRPr="00D01274">
                                      <w:rPr>
                                        <w:rFonts w:ascii="Arial" w:hAnsi="Arial" w:cs="Arial"/>
                                        <w:caps/>
                                        <w:color w:val="007B89" w:themeColor="text2" w:themeShade="BF"/>
                                        <w:sz w:val="52"/>
                                        <w:szCs w:val="52"/>
                                      </w:rPr>
                                      <w:t>Understanding the business context</w:t>
                                    </w:r>
                                  </w:sdtContent>
                                </w:sdt>
                              </w:p>
                              <w:sdt>
                                <w:sdtPr>
                                  <w:rPr>
                                    <w:rFonts w:ascii="Arial" w:eastAsiaTheme="minorHAnsi" w:hAnsi="Arial" w:cs="Arial"/>
                                    <w:color w:val="404040" w:themeColor="text1" w:themeTint="BF"/>
                                    <w:kern w:val="2"/>
                                    <w:sz w:val="36"/>
                                    <w:szCs w:val="36"/>
                                    <w:lang w:val="en-GB"/>
                                    <w14:ligatures w14:val="standardContextual"/>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FD2552D" w14:textId="17D26FB0" w:rsidR="00EB2495" w:rsidRPr="00D01274" w:rsidRDefault="00233BF3">
                                    <w:pPr>
                                      <w:pStyle w:val="NoSpacing"/>
                                      <w:jc w:val="right"/>
                                      <w:rPr>
                                        <w:rFonts w:ascii="Arial" w:hAnsi="Arial" w:cs="Arial"/>
                                        <w:smallCaps/>
                                        <w:color w:val="00A5B8" w:themeColor="text2"/>
                                        <w:sz w:val="36"/>
                                        <w:szCs w:val="36"/>
                                      </w:rPr>
                                    </w:pPr>
                                    <w:r>
                                      <w:rPr>
                                        <w:rFonts w:ascii="Arial" w:eastAsiaTheme="minorHAnsi" w:hAnsi="Arial" w:cs="Arial"/>
                                        <w:color w:val="404040" w:themeColor="text1" w:themeTint="BF"/>
                                        <w:kern w:val="2"/>
                                        <w:sz w:val="36"/>
                                        <w:szCs w:val="36"/>
                                        <w:lang w:val="en-GB"/>
                                        <w14:ligatures w14:val="standardContextual"/>
                                      </w:rPr>
                                      <w:t>BMHR7012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438D830"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16803733" w14:textId="6FAF7495" w:rsidR="00EB2495" w:rsidRPr="00D01274" w:rsidRDefault="00000000">
                          <w:pPr>
                            <w:pStyle w:val="NoSpacing"/>
                            <w:jc w:val="right"/>
                            <w:rPr>
                              <w:rFonts w:ascii="Arial" w:hAnsi="Arial" w:cs="Arial"/>
                              <w:caps/>
                              <w:color w:val="007B89" w:themeColor="text2" w:themeShade="BF"/>
                              <w:sz w:val="52"/>
                              <w:szCs w:val="52"/>
                            </w:rPr>
                          </w:pPr>
                          <w:sdt>
                            <w:sdtPr>
                              <w:rPr>
                                <w:rFonts w:ascii="Arial" w:hAnsi="Arial" w:cs="Arial"/>
                                <w:caps/>
                                <w:color w:val="007B89"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CA74D5" w:rsidRPr="00D01274">
                                <w:rPr>
                                  <w:rFonts w:ascii="Arial" w:hAnsi="Arial" w:cs="Arial"/>
                                  <w:caps/>
                                  <w:color w:val="007B89" w:themeColor="text2" w:themeShade="BF"/>
                                  <w:sz w:val="52"/>
                                  <w:szCs w:val="52"/>
                                </w:rPr>
                                <w:t>Understanding the business context</w:t>
                              </w:r>
                            </w:sdtContent>
                          </w:sdt>
                        </w:p>
                        <w:sdt>
                          <w:sdtPr>
                            <w:rPr>
                              <w:rFonts w:ascii="Arial" w:eastAsiaTheme="minorHAnsi" w:hAnsi="Arial" w:cs="Arial"/>
                              <w:color w:val="404040" w:themeColor="text1" w:themeTint="BF"/>
                              <w:kern w:val="2"/>
                              <w:sz w:val="36"/>
                              <w:szCs w:val="36"/>
                              <w:lang w:val="en-GB"/>
                              <w14:ligatures w14:val="standardContextual"/>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FD2552D" w14:textId="17D26FB0" w:rsidR="00EB2495" w:rsidRPr="00D01274" w:rsidRDefault="00233BF3">
                              <w:pPr>
                                <w:pStyle w:val="NoSpacing"/>
                                <w:jc w:val="right"/>
                                <w:rPr>
                                  <w:rFonts w:ascii="Arial" w:hAnsi="Arial" w:cs="Arial"/>
                                  <w:smallCaps/>
                                  <w:color w:val="00A5B8" w:themeColor="text2"/>
                                  <w:sz w:val="36"/>
                                  <w:szCs w:val="36"/>
                                </w:rPr>
                              </w:pPr>
                              <w:r>
                                <w:rPr>
                                  <w:rFonts w:ascii="Arial" w:eastAsiaTheme="minorHAnsi" w:hAnsi="Arial" w:cs="Arial"/>
                                  <w:color w:val="404040" w:themeColor="text1" w:themeTint="BF"/>
                                  <w:kern w:val="2"/>
                                  <w:sz w:val="36"/>
                                  <w:szCs w:val="36"/>
                                  <w:lang w:val="en-GB"/>
                                  <w14:ligatures w14:val="standardContextual"/>
                                </w:rPr>
                                <w:t>BMHR7012</w:t>
                              </w:r>
                            </w:p>
                          </w:sdtContent>
                        </w:sdt>
                      </w:txbxContent>
                    </v:textbox>
                    <w10:wrap type="square" anchorx="page" anchory="page"/>
                  </v:shape>
                </w:pict>
              </mc:Fallback>
            </mc:AlternateContent>
          </w:r>
          <w:r w:rsidR="00EB2495" w:rsidRPr="00706D35">
            <w:rPr>
              <w:noProof/>
              <w:lang w:val="en-GB"/>
            </w:rPr>
            <mc:AlternateContent>
              <mc:Choice Requires="wpg">
                <w:drawing>
                  <wp:anchor distT="0" distB="0" distL="114300" distR="114300" simplePos="0" relativeHeight="251659264" behindDoc="0" locked="0" layoutInCell="1" allowOverlap="1" wp14:anchorId="2F1A5E6D" wp14:editId="15BF307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0A5B8"/>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D45834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" filled="f"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" filled="f" stroked="f" strokeweight="2pt">
                      <o:lock v:ext="edit" aspectratio="t"/>
                    </v:rect>
                    <w10:wrap anchorx="page" anchory="page"/>
                  </v:group>
                </w:pict>
              </mc:Fallback>
            </mc:AlternateContent>
          </w:r>
          <w:r w:rsidR="00EB2495" w:rsidRPr="00706D35">
            <w:rPr>
              <w:b/>
              <w:sz w:val="32"/>
              <w:szCs w:val="32"/>
              <w:lang w:val="en-GB"/>
            </w:rPr>
            <w:br w:type="page"/>
          </w:r>
        </w:p>
      </w:sdtContent>
    </w:sdt>
    <w:p w14:paraId="29573B54" w14:textId="77777777" w:rsidR="00E9438C" w:rsidRPr="00706D35" w:rsidRDefault="00E9438C" w:rsidP="006E4B9D">
      <w:pPr>
        <w:pStyle w:val="Title"/>
        <w:rPr>
          <w:rFonts w:ascii="Arial" w:hAnsi="Arial" w:cs="Arial"/>
          <w:lang w:val="en-GB"/>
        </w:rPr>
      </w:pPr>
      <w:bookmarkStart w:id="0" w:name="_Toc215331301"/>
      <w:r w:rsidRPr="00706D35">
        <w:rPr>
          <w:rFonts w:ascii="Arial" w:hAnsi="Arial" w:cs="Arial"/>
          <w:lang w:val="en-GB"/>
        </w:rPr>
        <w:lastRenderedPageBreak/>
        <w:t>Executive Summary</w:t>
      </w:r>
      <w:bookmarkEnd w:id="0"/>
    </w:p>
    <w:p w14:paraId="0ADA0477" w14:textId="77777777" w:rsidR="004E3ECD" w:rsidRPr="00706D35" w:rsidRDefault="004E3ECD" w:rsidP="006E4B9D">
      <w:pPr>
        <w:rPr>
          <w:lang w:val="en-GB"/>
        </w:rPr>
      </w:pPr>
    </w:p>
    <w:p w14:paraId="128BC655" w14:textId="77777777" w:rsidR="00E9438C" w:rsidRPr="00706D35" w:rsidRDefault="00E9438C" w:rsidP="006E4B9D">
      <w:pPr>
        <w:rPr>
          <w:sz w:val="24"/>
          <w:szCs w:val="24"/>
          <w:lang w:val="en-GB"/>
        </w:rPr>
      </w:pPr>
      <w:r w:rsidRPr="00706D35">
        <w:rPr>
          <w:sz w:val="24"/>
          <w:szCs w:val="24"/>
          <w:lang w:val="en-GB"/>
        </w:rPr>
        <w:t>This report is prepared for the Senior Leadership Team to outline the effects of the implementation of the UK Governments ‘make work pay’ plan on Neath Port Talbot Council.  It provides an explanation and critical analysis of the use of a PESTLE tool including internal and external factors influencing Neath Port Talbot Council.</w:t>
      </w:r>
    </w:p>
    <w:p w14:paraId="363DA686" w14:textId="77777777" w:rsidR="00706D35" w:rsidRPr="00706D35" w:rsidRDefault="00706D35" w:rsidP="006E4B9D">
      <w:pPr>
        <w:rPr>
          <w:sz w:val="24"/>
          <w:szCs w:val="24"/>
          <w:lang w:val="en-GB"/>
        </w:rPr>
      </w:pPr>
    </w:p>
    <w:p w14:paraId="174462EE" w14:textId="279B53F8" w:rsidR="00E9438C" w:rsidRPr="00706D35" w:rsidRDefault="00E9438C" w:rsidP="006E4B9D">
      <w:pPr>
        <w:rPr>
          <w:sz w:val="24"/>
          <w:szCs w:val="24"/>
          <w:lang w:val="en-GB"/>
        </w:rPr>
      </w:pPr>
      <w:r w:rsidRPr="00706D35">
        <w:rPr>
          <w:sz w:val="24"/>
          <w:szCs w:val="24"/>
          <w:lang w:val="en-GB"/>
        </w:rPr>
        <w:t>The Political factor review</w:t>
      </w:r>
      <w:r w:rsidR="00DB468A">
        <w:rPr>
          <w:sz w:val="24"/>
          <w:szCs w:val="24"/>
          <w:lang w:val="en-GB"/>
        </w:rPr>
        <w:t>s</w:t>
      </w:r>
      <w:r w:rsidRPr="00706D35">
        <w:rPr>
          <w:sz w:val="24"/>
          <w:szCs w:val="24"/>
          <w:lang w:val="en-GB"/>
        </w:rPr>
        <w:t xml:space="preserve"> mandatory equality and pay reporting requirements for </w:t>
      </w:r>
      <w:r w:rsidR="004E3ECD" w:rsidRPr="00706D35">
        <w:rPr>
          <w:sz w:val="24"/>
          <w:szCs w:val="24"/>
          <w:lang w:val="en-GB"/>
        </w:rPr>
        <w:t>organi</w:t>
      </w:r>
      <w:r w:rsidR="00233BF3">
        <w:rPr>
          <w:sz w:val="24"/>
          <w:szCs w:val="24"/>
          <w:lang w:val="en-GB"/>
        </w:rPr>
        <w:t>s</w:t>
      </w:r>
      <w:r w:rsidR="004E3ECD" w:rsidRPr="00706D35">
        <w:rPr>
          <w:sz w:val="24"/>
          <w:szCs w:val="24"/>
          <w:lang w:val="en-GB"/>
        </w:rPr>
        <w:t>ations’</w:t>
      </w:r>
      <w:r w:rsidRPr="00706D35">
        <w:rPr>
          <w:sz w:val="24"/>
          <w:szCs w:val="24"/>
          <w:lang w:val="en-GB"/>
        </w:rPr>
        <w:t xml:space="preserve"> with over 250 employees stemming from the Equality (Race and Disability) Bill (2025).   It </w:t>
      </w:r>
      <w:r w:rsidR="00E24BA9">
        <w:rPr>
          <w:sz w:val="24"/>
          <w:szCs w:val="24"/>
          <w:lang w:val="en-GB"/>
        </w:rPr>
        <w:t>identified</w:t>
      </w:r>
      <w:r w:rsidR="00A06E09">
        <w:rPr>
          <w:sz w:val="24"/>
          <w:szCs w:val="24"/>
          <w:lang w:val="en-GB"/>
        </w:rPr>
        <w:t xml:space="preserve"> </w:t>
      </w:r>
      <w:r w:rsidR="00C2772A">
        <w:rPr>
          <w:sz w:val="24"/>
          <w:szCs w:val="24"/>
          <w:lang w:val="en-GB"/>
        </w:rPr>
        <w:t>potential</w:t>
      </w:r>
      <w:r w:rsidRPr="00706D35">
        <w:rPr>
          <w:sz w:val="24"/>
          <w:szCs w:val="24"/>
          <w:lang w:val="en-GB"/>
        </w:rPr>
        <w:t xml:space="preserve"> loss of previous competitive advantage </w:t>
      </w:r>
      <w:r w:rsidR="00E564E0">
        <w:rPr>
          <w:sz w:val="24"/>
          <w:szCs w:val="24"/>
          <w:lang w:val="en-GB"/>
        </w:rPr>
        <w:t>in</w:t>
      </w:r>
      <w:r w:rsidRPr="00706D35">
        <w:rPr>
          <w:sz w:val="24"/>
          <w:szCs w:val="24"/>
          <w:lang w:val="en-GB"/>
        </w:rPr>
        <w:t xml:space="preserve"> recruitment initiatives </w:t>
      </w:r>
      <w:r w:rsidR="00B5385D">
        <w:rPr>
          <w:sz w:val="24"/>
          <w:szCs w:val="24"/>
          <w:lang w:val="en-GB"/>
        </w:rPr>
        <w:t xml:space="preserve">requiring </w:t>
      </w:r>
      <w:r w:rsidR="00A86386">
        <w:rPr>
          <w:sz w:val="24"/>
          <w:szCs w:val="24"/>
          <w:lang w:val="en-GB"/>
        </w:rPr>
        <w:t xml:space="preserve">diversification strategies to bolster </w:t>
      </w:r>
      <w:r w:rsidRPr="00706D35">
        <w:rPr>
          <w:sz w:val="24"/>
          <w:szCs w:val="24"/>
          <w:lang w:val="en-GB"/>
        </w:rPr>
        <w:t xml:space="preserve">sustainability of workforce. </w:t>
      </w:r>
    </w:p>
    <w:p w14:paraId="49E57414" w14:textId="77777777" w:rsidR="00706D35" w:rsidRPr="00706D35" w:rsidRDefault="00706D35" w:rsidP="006E4B9D">
      <w:pPr>
        <w:rPr>
          <w:sz w:val="24"/>
          <w:szCs w:val="24"/>
          <w:lang w:val="en-GB"/>
        </w:rPr>
      </w:pPr>
    </w:p>
    <w:p w14:paraId="3593F2D8" w14:textId="6BB8184C" w:rsidR="00E9438C" w:rsidRPr="00706D35" w:rsidRDefault="00E9438C" w:rsidP="006E4B9D">
      <w:pPr>
        <w:rPr>
          <w:sz w:val="24"/>
          <w:szCs w:val="24"/>
          <w:lang w:val="en-GB"/>
        </w:rPr>
      </w:pPr>
      <w:r w:rsidRPr="00706D35">
        <w:rPr>
          <w:sz w:val="24"/>
          <w:szCs w:val="24"/>
          <w:lang w:val="en-GB"/>
        </w:rPr>
        <w:t xml:space="preserve">The legal factor outlines proposals to remove the 2-year probation period and reduction of probation to 6 months, through provision of employment rights from day 1 as drafted in the Employment Rights Bill (2024).  Whilst </w:t>
      </w:r>
      <w:r w:rsidR="00667A2A">
        <w:rPr>
          <w:sz w:val="24"/>
          <w:szCs w:val="24"/>
          <w:lang w:val="en-GB"/>
        </w:rPr>
        <w:t>not yet executed into law</w:t>
      </w:r>
      <w:r w:rsidRPr="00706D35">
        <w:rPr>
          <w:sz w:val="24"/>
          <w:szCs w:val="24"/>
          <w:lang w:val="en-GB"/>
        </w:rPr>
        <w:t xml:space="preserve">, </w:t>
      </w:r>
      <w:r w:rsidR="00A546E5">
        <w:rPr>
          <w:sz w:val="24"/>
          <w:szCs w:val="24"/>
          <w:lang w:val="en-GB"/>
        </w:rPr>
        <w:t xml:space="preserve">potential </w:t>
      </w:r>
      <w:r w:rsidR="00674CA2">
        <w:rPr>
          <w:sz w:val="24"/>
          <w:szCs w:val="24"/>
          <w:lang w:val="en-GB"/>
        </w:rPr>
        <w:t>exposure to</w:t>
      </w:r>
      <w:r w:rsidR="006E0103">
        <w:rPr>
          <w:sz w:val="24"/>
          <w:szCs w:val="24"/>
          <w:lang w:val="en-GB"/>
        </w:rPr>
        <w:t xml:space="preserve"> increased tribunal claims </w:t>
      </w:r>
      <w:r w:rsidR="001F5967">
        <w:rPr>
          <w:sz w:val="24"/>
          <w:szCs w:val="24"/>
          <w:lang w:val="en-GB"/>
        </w:rPr>
        <w:t>of £</w:t>
      </w:r>
      <w:r w:rsidR="00BA5C31">
        <w:rPr>
          <w:sz w:val="24"/>
          <w:szCs w:val="24"/>
          <w:lang w:val="en-GB"/>
        </w:rPr>
        <w:t>458,208</w:t>
      </w:r>
      <w:r w:rsidR="001F5967">
        <w:rPr>
          <w:sz w:val="24"/>
          <w:szCs w:val="24"/>
          <w:lang w:val="en-GB"/>
        </w:rPr>
        <w:t xml:space="preserve"> </w:t>
      </w:r>
      <w:r w:rsidR="006E0103">
        <w:rPr>
          <w:sz w:val="24"/>
          <w:szCs w:val="24"/>
          <w:lang w:val="en-GB"/>
        </w:rPr>
        <w:t>have been identified.</w:t>
      </w:r>
    </w:p>
    <w:p w14:paraId="437E3357" w14:textId="77777777" w:rsidR="00706D35" w:rsidRPr="00706D35" w:rsidRDefault="00706D35" w:rsidP="006E4B9D">
      <w:pPr>
        <w:rPr>
          <w:sz w:val="24"/>
          <w:szCs w:val="24"/>
          <w:lang w:val="en-GB"/>
        </w:rPr>
      </w:pPr>
    </w:p>
    <w:p w14:paraId="07D80CA8" w14:textId="5F5B5BCD" w:rsidR="00E9438C" w:rsidRPr="00706D35" w:rsidRDefault="00E9438C" w:rsidP="006E4B9D">
      <w:pPr>
        <w:rPr>
          <w:sz w:val="24"/>
          <w:szCs w:val="24"/>
          <w:lang w:val="en-GB"/>
        </w:rPr>
      </w:pPr>
      <w:r w:rsidRPr="00706D35">
        <w:rPr>
          <w:sz w:val="24"/>
          <w:szCs w:val="24"/>
          <w:lang w:val="en-GB"/>
        </w:rPr>
        <w:t xml:space="preserve">The economic factor outlines potential damaging effects of the increase to national minimum wage on council budget and statutory service provision.  A budget deficit </w:t>
      </w:r>
      <w:r w:rsidR="00220E79">
        <w:rPr>
          <w:sz w:val="24"/>
          <w:szCs w:val="24"/>
          <w:lang w:val="en-GB"/>
        </w:rPr>
        <w:t xml:space="preserve">of £1.5 million </w:t>
      </w:r>
      <w:r w:rsidRPr="00706D35">
        <w:rPr>
          <w:sz w:val="24"/>
          <w:szCs w:val="24"/>
          <w:lang w:val="en-GB"/>
        </w:rPr>
        <w:t>is predicted</w:t>
      </w:r>
      <w:r w:rsidR="00220E79">
        <w:rPr>
          <w:sz w:val="24"/>
          <w:szCs w:val="24"/>
          <w:lang w:val="en-GB"/>
        </w:rPr>
        <w:t>,</w:t>
      </w:r>
      <w:r w:rsidRPr="00706D35">
        <w:rPr>
          <w:sz w:val="24"/>
          <w:szCs w:val="24"/>
          <w:lang w:val="en-GB"/>
        </w:rPr>
        <w:t xml:space="preserve"> </w:t>
      </w:r>
      <w:r w:rsidR="00683DAE">
        <w:rPr>
          <w:sz w:val="24"/>
          <w:szCs w:val="24"/>
          <w:lang w:val="en-GB"/>
        </w:rPr>
        <w:t>requiring</w:t>
      </w:r>
      <w:r w:rsidRPr="00706D35">
        <w:rPr>
          <w:sz w:val="24"/>
          <w:szCs w:val="24"/>
          <w:lang w:val="en-GB"/>
        </w:rPr>
        <w:t xml:space="preserve"> </w:t>
      </w:r>
      <w:r w:rsidR="002D2AB8">
        <w:rPr>
          <w:sz w:val="24"/>
          <w:szCs w:val="24"/>
          <w:lang w:val="en-GB"/>
        </w:rPr>
        <w:t>potential</w:t>
      </w:r>
      <w:r w:rsidRPr="00706D35">
        <w:rPr>
          <w:sz w:val="24"/>
          <w:szCs w:val="24"/>
          <w:lang w:val="en-GB"/>
        </w:rPr>
        <w:t xml:space="preserve"> implement</w:t>
      </w:r>
      <w:r w:rsidR="00212DAD">
        <w:rPr>
          <w:sz w:val="24"/>
          <w:szCs w:val="24"/>
          <w:lang w:val="en-GB"/>
        </w:rPr>
        <w:t>ation of</w:t>
      </w:r>
      <w:r w:rsidRPr="00706D35">
        <w:rPr>
          <w:sz w:val="24"/>
          <w:szCs w:val="24"/>
          <w:lang w:val="en-GB"/>
        </w:rPr>
        <w:t xml:space="preserve"> costs savings </w:t>
      </w:r>
      <w:r w:rsidR="002D2AB8">
        <w:rPr>
          <w:sz w:val="24"/>
          <w:szCs w:val="24"/>
          <w:lang w:val="en-GB"/>
        </w:rPr>
        <w:t>provisions</w:t>
      </w:r>
      <w:r w:rsidRPr="00706D35">
        <w:rPr>
          <w:sz w:val="24"/>
          <w:szCs w:val="24"/>
          <w:lang w:val="en-GB"/>
        </w:rPr>
        <w:t>.</w:t>
      </w:r>
    </w:p>
    <w:p w14:paraId="0278BA25" w14:textId="77777777" w:rsidR="00706D35" w:rsidRPr="00706D35" w:rsidRDefault="00706D35" w:rsidP="006E4B9D">
      <w:pPr>
        <w:rPr>
          <w:sz w:val="24"/>
          <w:szCs w:val="24"/>
          <w:lang w:val="en-GB"/>
        </w:rPr>
      </w:pPr>
    </w:p>
    <w:p w14:paraId="066A47C0" w14:textId="1BE712D5" w:rsidR="00E9438C" w:rsidRPr="00706D35" w:rsidRDefault="00E9438C" w:rsidP="006E4B9D">
      <w:pPr>
        <w:rPr>
          <w:sz w:val="24"/>
          <w:szCs w:val="24"/>
          <w:lang w:val="en-GB"/>
        </w:rPr>
      </w:pPr>
      <w:r w:rsidRPr="00706D35">
        <w:rPr>
          <w:sz w:val="24"/>
          <w:szCs w:val="24"/>
          <w:lang w:val="en-GB"/>
        </w:rPr>
        <w:t>Based on analysis, 3 recommendations have been proposed for consideration and implementation by strategic leadership.  These include:</w:t>
      </w:r>
    </w:p>
    <w:p w14:paraId="364F4580" w14:textId="77777777" w:rsidR="00E9438C" w:rsidRPr="00706D35" w:rsidRDefault="00E9438C" w:rsidP="002F0EDF">
      <w:pPr>
        <w:pStyle w:val="ListParagraph"/>
        <w:widowControl/>
        <w:numPr>
          <w:ilvl w:val="0"/>
          <w:numId w:val="2"/>
        </w:numPr>
        <w:autoSpaceDE/>
        <w:autoSpaceDN/>
        <w:spacing w:after="160"/>
        <w:contextualSpacing/>
        <w:rPr>
          <w:sz w:val="24"/>
          <w:szCs w:val="24"/>
          <w:lang w:val="en-GB"/>
        </w:rPr>
      </w:pPr>
      <w:r w:rsidRPr="00706D35">
        <w:rPr>
          <w:sz w:val="24"/>
          <w:szCs w:val="24"/>
          <w:lang w:val="en-GB"/>
        </w:rPr>
        <w:t>Recruitment freezes on non-customer facing and statutory provision roles as a cost saving exercise to pay for the additional national minimum wage deficit.</w:t>
      </w:r>
    </w:p>
    <w:p w14:paraId="1A2A148C" w14:textId="17790C88" w:rsidR="00E9438C" w:rsidRPr="00706D35" w:rsidRDefault="00E9438C" w:rsidP="002F0EDF">
      <w:pPr>
        <w:pStyle w:val="ListParagraph"/>
        <w:widowControl/>
        <w:numPr>
          <w:ilvl w:val="0"/>
          <w:numId w:val="2"/>
        </w:numPr>
        <w:autoSpaceDE/>
        <w:autoSpaceDN/>
        <w:spacing w:after="160"/>
        <w:contextualSpacing/>
        <w:rPr>
          <w:sz w:val="24"/>
          <w:szCs w:val="24"/>
          <w:lang w:val="en-GB"/>
        </w:rPr>
      </w:pPr>
      <w:r w:rsidRPr="00706D35">
        <w:rPr>
          <w:sz w:val="24"/>
          <w:szCs w:val="24"/>
          <w:lang w:val="en-GB"/>
        </w:rPr>
        <w:t>Management training on the role and policy surrounding probation and dismissal of employees to safeguard and reduce the possibility of tribunal claims</w:t>
      </w:r>
      <w:r w:rsidR="00E3355E">
        <w:rPr>
          <w:sz w:val="24"/>
          <w:szCs w:val="24"/>
          <w:lang w:val="en-GB"/>
        </w:rPr>
        <w:t>.</w:t>
      </w:r>
    </w:p>
    <w:p w14:paraId="5B62F88E" w14:textId="561530B5" w:rsidR="00E9438C" w:rsidRPr="00706D35" w:rsidRDefault="00E9438C" w:rsidP="002F0EDF">
      <w:pPr>
        <w:pStyle w:val="ListParagraph"/>
        <w:widowControl/>
        <w:numPr>
          <w:ilvl w:val="0"/>
          <w:numId w:val="2"/>
        </w:numPr>
        <w:autoSpaceDE/>
        <w:autoSpaceDN/>
        <w:spacing w:after="160"/>
        <w:contextualSpacing/>
        <w:rPr>
          <w:sz w:val="24"/>
          <w:szCs w:val="24"/>
          <w:lang w:val="en-GB"/>
        </w:rPr>
      </w:pPr>
      <w:r w:rsidRPr="00706D35">
        <w:rPr>
          <w:sz w:val="24"/>
          <w:szCs w:val="24"/>
          <w:lang w:val="en-GB"/>
        </w:rPr>
        <w:t xml:space="preserve">Create a disability and ethnic minority network to support underrepresented employees whilst fulfilling the equality commitments outlined in the </w:t>
      </w:r>
      <w:r w:rsidR="00450610">
        <w:rPr>
          <w:sz w:val="24"/>
          <w:szCs w:val="24"/>
          <w:lang w:val="en-GB"/>
        </w:rPr>
        <w:t>‘</w:t>
      </w:r>
      <w:r w:rsidRPr="00706D35">
        <w:rPr>
          <w:sz w:val="24"/>
          <w:szCs w:val="24"/>
          <w:lang w:val="en-GB"/>
        </w:rPr>
        <w:t>make work pay</w:t>
      </w:r>
      <w:r w:rsidR="00450610">
        <w:rPr>
          <w:sz w:val="24"/>
          <w:szCs w:val="24"/>
          <w:lang w:val="en-GB"/>
        </w:rPr>
        <w:t>’</w:t>
      </w:r>
      <w:r w:rsidRPr="00706D35">
        <w:rPr>
          <w:sz w:val="24"/>
          <w:szCs w:val="24"/>
          <w:lang w:val="en-GB"/>
        </w:rPr>
        <w:t xml:space="preserve"> plan and provid</w:t>
      </w:r>
      <w:r w:rsidR="00450610">
        <w:rPr>
          <w:sz w:val="24"/>
          <w:szCs w:val="24"/>
          <w:lang w:val="en-GB"/>
        </w:rPr>
        <w:t>e</w:t>
      </w:r>
      <w:r w:rsidRPr="00706D35">
        <w:rPr>
          <w:sz w:val="24"/>
          <w:szCs w:val="24"/>
          <w:lang w:val="en-GB"/>
        </w:rPr>
        <w:t xml:space="preserve"> a replacement competitive advantage to bolster effects of private sector initiatives following mandatory equality reporting.</w:t>
      </w:r>
    </w:p>
    <w:p w14:paraId="7EE6342D" w14:textId="3069D82B" w:rsidR="00E9438C" w:rsidRPr="00706D35" w:rsidRDefault="00E9438C" w:rsidP="006E4B9D">
      <w:pPr>
        <w:rPr>
          <w:sz w:val="24"/>
          <w:szCs w:val="24"/>
          <w:lang w:val="en-GB"/>
        </w:rPr>
      </w:pPr>
      <w:r w:rsidRPr="00706D35">
        <w:rPr>
          <w:sz w:val="24"/>
          <w:szCs w:val="24"/>
          <w:lang w:val="en-GB"/>
        </w:rPr>
        <w:t xml:space="preserve">Implementing recommendations will support the </w:t>
      </w:r>
      <w:r w:rsidR="004E3ECD" w:rsidRPr="00706D35">
        <w:rPr>
          <w:sz w:val="24"/>
          <w:szCs w:val="24"/>
          <w:lang w:val="en-GB"/>
        </w:rPr>
        <w:t>organi</w:t>
      </w:r>
      <w:r w:rsidR="00A54A89">
        <w:rPr>
          <w:sz w:val="24"/>
          <w:szCs w:val="24"/>
          <w:lang w:val="en-GB"/>
        </w:rPr>
        <w:t>s</w:t>
      </w:r>
      <w:r w:rsidR="004E3ECD" w:rsidRPr="00706D35">
        <w:rPr>
          <w:sz w:val="24"/>
          <w:szCs w:val="24"/>
          <w:lang w:val="en-GB"/>
        </w:rPr>
        <w:t>ations’</w:t>
      </w:r>
      <w:r w:rsidRPr="00706D35">
        <w:rPr>
          <w:sz w:val="24"/>
          <w:szCs w:val="24"/>
          <w:lang w:val="en-GB"/>
        </w:rPr>
        <w:t xml:space="preserve"> performance and help us achieve the future of work strategy within budgetary frameworks.</w:t>
      </w:r>
    </w:p>
    <w:p w14:paraId="606CA552" w14:textId="77777777" w:rsidR="00E9438C" w:rsidRPr="00706D35" w:rsidRDefault="00E9438C" w:rsidP="006E4B9D">
      <w:pPr>
        <w:rPr>
          <w:sz w:val="24"/>
          <w:szCs w:val="24"/>
          <w:lang w:val="en-GB"/>
        </w:rPr>
      </w:pPr>
      <w:r w:rsidRPr="00706D35">
        <w:rPr>
          <w:sz w:val="24"/>
          <w:szCs w:val="24"/>
          <w:lang w:val="en-GB"/>
        </w:rPr>
        <w:br w:type="page"/>
      </w:r>
    </w:p>
    <w:sdt>
      <w:sdtPr>
        <w:rPr>
          <w:rFonts w:ascii="Arial" w:eastAsiaTheme="minorHAnsi" w:hAnsi="Arial" w:cs="Arial"/>
          <w:color w:val="auto"/>
          <w:kern w:val="2"/>
          <w:sz w:val="24"/>
          <w:szCs w:val="24"/>
          <w:lang w:val="en-GB"/>
          <w14:ligatures w14:val="standardContextual"/>
        </w:rPr>
        <w:id w:val="1189102236"/>
        <w:docPartObj>
          <w:docPartGallery w:val="Table of Contents"/>
          <w:docPartUnique/>
        </w:docPartObj>
      </w:sdtPr>
      <w:sdtEndPr>
        <w:rPr>
          <w:rFonts w:eastAsia="Arial"/>
          <w:b/>
          <w:bCs/>
          <w:noProof/>
          <w:kern w:val="0"/>
          <w14:ligatures w14:val="none"/>
        </w:rPr>
      </w:sdtEndPr>
      <w:sdtContent>
        <w:p w14:paraId="430F281C" w14:textId="77777777" w:rsidR="00E9438C" w:rsidRPr="00706D35" w:rsidRDefault="00E9438C" w:rsidP="006E4B9D">
          <w:pPr>
            <w:pStyle w:val="TOCHeading"/>
            <w:spacing w:line="240" w:lineRule="auto"/>
            <w:rPr>
              <w:rFonts w:ascii="Arial" w:hAnsi="Arial" w:cs="Arial"/>
              <w:sz w:val="24"/>
              <w:szCs w:val="24"/>
              <w:lang w:val="en-GB"/>
            </w:rPr>
          </w:pPr>
          <w:r w:rsidRPr="00706D35">
            <w:rPr>
              <w:rFonts w:ascii="Arial" w:hAnsi="Arial" w:cs="Arial"/>
              <w:sz w:val="24"/>
              <w:szCs w:val="24"/>
              <w:lang w:val="en-GB"/>
            </w:rPr>
            <w:t>Contents</w:t>
          </w:r>
        </w:p>
        <w:p w14:paraId="37829489" w14:textId="4DA71426" w:rsidR="00E9438C" w:rsidRPr="00706D35" w:rsidRDefault="00E9438C" w:rsidP="006E4B9D">
          <w:pPr>
            <w:pStyle w:val="TOC1"/>
            <w:tabs>
              <w:tab w:val="right" w:leader="dot" w:pos="9016"/>
            </w:tabs>
            <w:spacing w:line="240" w:lineRule="auto"/>
            <w:jc w:val="left"/>
            <w:rPr>
              <w:rFonts w:eastAsiaTheme="minorEastAsia"/>
              <w:noProof/>
              <w:sz w:val="24"/>
              <w:szCs w:val="24"/>
              <w:lang w:val="en-GB" w:eastAsia="en-GB"/>
            </w:rPr>
          </w:pPr>
          <w:r w:rsidRPr="00706D35">
            <w:rPr>
              <w:sz w:val="24"/>
              <w:szCs w:val="24"/>
              <w:lang w:val="en-GB"/>
            </w:rPr>
            <w:fldChar w:fldCharType="begin"/>
          </w:r>
          <w:r w:rsidRPr="00706D35">
            <w:rPr>
              <w:sz w:val="24"/>
              <w:szCs w:val="24"/>
              <w:lang w:val="en-GB"/>
            </w:rPr>
            <w:instrText xml:space="preserve"> TOC \o "1-3" \h \z \u </w:instrText>
          </w:r>
          <w:r w:rsidRPr="00706D35">
            <w:rPr>
              <w:sz w:val="24"/>
              <w:szCs w:val="24"/>
              <w:lang w:val="en-GB"/>
            </w:rPr>
            <w:fldChar w:fldCharType="separate"/>
          </w:r>
          <w:hyperlink w:anchor="_Toc215331301" w:history="1">
            <w:r w:rsidRPr="00706D35">
              <w:rPr>
                <w:rStyle w:val="Hyperlink"/>
                <w:noProof/>
                <w:lang w:val="en-GB"/>
              </w:rPr>
              <w:t>Executive Summary</w:t>
            </w:r>
            <w:r w:rsidRPr="00706D35">
              <w:rPr>
                <w:noProof/>
                <w:webHidden/>
                <w:lang w:val="en-GB"/>
              </w:rPr>
              <w:tab/>
            </w:r>
            <w:r w:rsidRPr="00706D35">
              <w:rPr>
                <w:noProof/>
                <w:webHidden/>
                <w:lang w:val="en-GB"/>
              </w:rPr>
              <w:fldChar w:fldCharType="begin"/>
            </w:r>
            <w:r w:rsidRPr="00706D35">
              <w:rPr>
                <w:noProof/>
                <w:webHidden/>
                <w:lang w:val="en-GB"/>
              </w:rPr>
              <w:instrText xml:space="preserve"> PAGEREF _Toc215331301 \h </w:instrText>
            </w:r>
            <w:r w:rsidRPr="00706D35">
              <w:rPr>
                <w:noProof/>
                <w:webHidden/>
                <w:lang w:val="en-GB"/>
              </w:rPr>
            </w:r>
            <w:r w:rsidRPr="00706D35">
              <w:rPr>
                <w:noProof/>
                <w:webHidden/>
                <w:lang w:val="en-GB"/>
              </w:rPr>
              <w:fldChar w:fldCharType="separate"/>
            </w:r>
            <w:r w:rsidR="00341CA0">
              <w:rPr>
                <w:noProof/>
                <w:webHidden/>
                <w:lang w:val="en-GB"/>
              </w:rPr>
              <w:t>2</w:t>
            </w:r>
            <w:r w:rsidRPr="00706D35">
              <w:rPr>
                <w:noProof/>
                <w:webHidden/>
                <w:lang w:val="en-GB"/>
              </w:rPr>
              <w:fldChar w:fldCharType="end"/>
            </w:r>
          </w:hyperlink>
        </w:p>
        <w:p w14:paraId="278927DC" w14:textId="2ECF7F02" w:rsidR="00E9438C" w:rsidRPr="00706D35" w:rsidRDefault="00E9438C" w:rsidP="006E4B9D">
          <w:pPr>
            <w:pStyle w:val="TOC1"/>
            <w:tabs>
              <w:tab w:val="right" w:leader="dot" w:pos="9016"/>
            </w:tabs>
            <w:spacing w:line="240" w:lineRule="auto"/>
            <w:jc w:val="left"/>
            <w:rPr>
              <w:rFonts w:eastAsiaTheme="minorEastAsia"/>
              <w:noProof/>
              <w:sz w:val="24"/>
              <w:szCs w:val="24"/>
              <w:lang w:val="en-GB" w:eastAsia="en-GB"/>
            </w:rPr>
          </w:pPr>
          <w:hyperlink w:anchor="_Toc215331302" w:history="1">
            <w:r w:rsidRPr="00706D35">
              <w:rPr>
                <w:rStyle w:val="Hyperlink"/>
                <w:noProof/>
                <w:lang w:val="en-GB"/>
              </w:rPr>
              <w:t>Introduction</w:t>
            </w:r>
            <w:r w:rsidRPr="00706D35">
              <w:rPr>
                <w:noProof/>
                <w:webHidden/>
                <w:lang w:val="en-GB"/>
              </w:rPr>
              <w:tab/>
            </w:r>
            <w:r w:rsidRPr="00706D35">
              <w:rPr>
                <w:noProof/>
                <w:webHidden/>
                <w:lang w:val="en-GB"/>
              </w:rPr>
              <w:fldChar w:fldCharType="begin"/>
            </w:r>
            <w:r w:rsidRPr="00706D35">
              <w:rPr>
                <w:noProof/>
                <w:webHidden/>
                <w:lang w:val="en-GB"/>
              </w:rPr>
              <w:instrText xml:space="preserve"> PAGEREF _Toc215331302 \h </w:instrText>
            </w:r>
            <w:r w:rsidRPr="00706D35">
              <w:rPr>
                <w:noProof/>
                <w:webHidden/>
                <w:lang w:val="en-GB"/>
              </w:rPr>
            </w:r>
            <w:r w:rsidRPr="00706D35">
              <w:rPr>
                <w:noProof/>
                <w:webHidden/>
                <w:lang w:val="en-GB"/>
              </w:rPr>
              <w:fldChar w:fldCharType="separate"/>
            </w:r>
            <w:r w:rsidR="00341CA0">
              <w:rPr>
                <w:noProof/>
                <w:webHidden/>
                <w:lang w:val="en-GB"/>
              </w:rPr>
              <w:t>4</w:t>
            </w:r>
            <w:r w:rsidRPr="00706D35">
              <w:rPr>
                <w:noProof/>
                <w:webHidden/>
                <w:lang w:val="en-GB"/>
              </w:rPr>
              <w:fldChar w:fldCharType="end"/>
            </w:r>
          </w:hyperlink>
        </w:p>
        <w:p w14:paraId="53CADF77" w14:textId="1CB12189" w:rsidR="00E9438C" w:rsidRPr="00706D35" w:rsidRDefault="00E9438C" w:rsidP="006E4B9D">
          <w:pPr>
            <w:pStyle w:val="TOC1"/>
            <w:tabs>
              <w:tab w:val="right" w:leader="dot" w:pos="9016"/>
            </w:tabs>
            <w:spacing w:line="240" w:lineRule="auto"/>
            <w:jc w:val="left"/>
            <w:rPr>
              <w:rFonts w:eastAsiaTheme="minorEastAsia"/>
              <w:noProof/>
              <w:sz w:val="24"/>
              <w:szCs w:val="24"/>
              <w:lang w:val="en-GB" w:eastAsia="en-GB"/>
            </w:rPr>
          </w:pPr>
          <w:hyperlink w:anchor="_Toc215331303" w:history="1">
            <w:r w:rsidRPr="00706D35">
              <w:rPr>
                <w:rStyle w:val="Hyperlink"/>
                <w:noProof/>
                <w:lang w:val="en-GB"/>
              </w:rPr>
              <w:t>Pestle 1 – Political</w:t>
            </w:r>
            <w:r w:rsidRPr="00706D35">
              <w:rPr>
                <w:noProof/>
                <w:webHidden/>
                <w:lang w:val="en-GB"/>
              </w:rPr>
              <w:tab/>
            </w:r>
            <w:r w:rsidRPr="00706D35">
              <w:rPr>
                <w:noProof/>
                <w:webHidden/>
                <w:lang w:val="en-GB"/>
              </w:rPr>
              <w:fldChar w:fldCharType="begin"/>
            </w:r>
            <w:r w:rsidRPr="00706D35">
              <w:rPr>
                <w:noProof/>
                <w:webHidden/>
                <w:lang w:val="en-GB"/>
              </w:rPr>
              <w:instrText xml:space="preserve"> PAGEREF _Toc215331303 \h </w:instrText>
            </w:r>
            <w:r w:rsidRPr="00706D35">
              <w:rPr>
                <w:noProof/>
                <w:webHidden/>
                <w:lang w:val="en-GB"/>
              </w:rPr>
            </w:r>
            <w:r w:rsidRPr="00706D35">
              <w:rPr>
                <w:noProof/>
                <w:webHidden/>
                <w:lang w:val="en-GB"/>
              </w:rPr>
              <w:fldChar w:fldCharType="separate"/>
            </w:r>
            <w:r w:rsidR="00341CA0">
              <w:rPr>
                <w:noProof/>
                <w:webHidden/>
                <w:lang w:val="en-GB"/>
              </w:rPr>
              <w:t>5</w:t>
            </w:r>
            <w:r w:rsidRPr="00706D35">
              <w:rPr>
                <w:noProof/>
                <w:webHidden/>
                <w:lang w:val="en-GB"/>
              </w:rPr>
              <w:fldChar w:fldCharType="end"/>
            </w:r>
          </w:hyperlink>
        </w:p>
        <w:p w14:paraId="28EBA914" w14:textId="022B6D4C" w:rsidR="00E9438C" w:rsidRPr="00706D35" w:rsidRDefault="00E9438C" w:rsidP="006E4B9D">
          <w:pPr>
            <w:pStyle w:val="TOC1"/>
            <w:tabs>
              <w:tab w:val="right" w:leader="dot" w:pos="9016"/>
            </w:tabs>
            <w:spacing w:line="240" w:lineRule="auto"/>
            <w:jc w:val="left"/>
            <w:rPr>
              <w:rFonts w:eastAsiaTheme="minorEastAsia"/>
              <w:noProof/>
              <w:sz w:val="24"/>
              <w:szCs w:val="24"/>
              <w:lang w:val="en-GB" w:eastAsia="en-GB"/>
            </w:rPr>
          </w:pPr>
          <w:hyperlink w:anchor="_Toc215331304" w:history="1">
            <w:r w:rsidRPr="00706D35">
              <w:rPr>
                <w:rStyle w:val="Hyperlink"/>
                <w:noProof/>
                <w:lang w:val="en-GB"/>
              </w:rPr>
              <w:t>Pestle 2 – Legal</w:t>
            </w:r>
            <w:r w:rsidRPr="00706D35">
              <w:rPr>
                <w:noProof/>
                <w:webHidden/>
                <w:lang w:val="en-GB"/>
              </w:rPr>
              <w:tab/>
            </w:r>
            <w:r w:rsidRPr="00706D35">
              <w:rPr>
                <w:noProof/>
                <w:webHidden/>
                <w:lang w:val="en-GB"/>
              </w:rPr>
              <w:fldChar w:fldCharType="begin"/>
            </w:r>
            <w:r w:rsidRPr="00706D35">
              <w:rPr>
                <w:noProof/>
                <w:webHidden/>
                <w:lang w:val="en-GB"/>
              </w:rPr>
              <w:instrText xml:space="preserve"> PAGEREF _Toc215331304 \h </w:instrText>
            </w:r>
            <w:r w:rsidRPr="00706D35">
              <w:rPr>
                <w:noProof/>
                <w:webHidden/>
                <w:lang w:val="en-GB"/>
              </w:rPr>
            </w:r>
            <w:r w:rsidRPr="00706D35">
              <w:rPr>
                <w:noProof/>
                <w:webHidden/>
                <w:lang w:val="en-GB"/>
              </w:rPr>
              <w:fldChar w:fldCharType="separate"/>
            </w:r>
            <w:r w:rsidR="00341CA0">
              <w:rPr>
                <w:noProof/>
                <w:webHidden/>
                <w:lang w:val="en-GB"/>
              </w:rPr>
              <w:t>7</w:t>
            </w:r>
            <w:r w:rsidRPr="00706D35">
              <w:rPr>
                <w:noProof/>
                <w:webHidden/>
                <w:lang w:val="en-GB"/>
              </w:rPr>
              <w:fldChar w:fldCharType="end"/>
            </w:r>
          </w:hyperlink>
        </w:p>
        <w:p w14:paraId="73C23DBA" w14:textId="1AC5247F" w:rsidR="00E9438C" w:rsidRPr="00706D35" w:rsidRDefault="00E9438C" w:rsidP="006E4B9D">
          <w:pPr>
            <w:pStyle w:val="TOC1"/>
            <w:tabs>
              <w:tab w:val="right" w:leader="dot" w:pos="9016"/>
            </w:tabs>
            <w:spacing w:line="240" w:lineRule="auto"/>
            <w:jc w:val="left"/>
            <w:rPr>
              <w:rFonts w:eastAsiaTheme="minorEastAsia"/>
              <w:noProof/>
              <w:sz w:val="24"/>
              <w:szCs w:val="24"/>
              <w:lang w:val="en-GB" w:eastAsia="en-GB"/>
            </w:rPr>
          </w:pPr>
          <w:hyperlink w:anchor="_Toc215331305" w:history="1">
            <w:r w:rsidRPr="00706D35">
              <w:rPr>
                <w:rStyle w:val="Hyperlink"/>
                <w:noProof/>
                <w:lang w:val="en-GB"/>
              </w:rPr>
              <w:t>Pestle 3 - Economic</w:t>
            </w:r>
            <w:r w:rsidRPr="00706D35">
              <w:rPr>
                <w:noProof/>
                <w:webHidden/>
                <w:lang w:val="en-GB"/>
              </w:rPr>
              <w:tab/>
            </w:r>
            <w:r w:rsidRPr="00706D35">
              <w:rPr>
                <w:noProof/>
                <w:webHidden/>
                <w:lang w:val="en-GB"/>
              </w:rPr>
              <w:fldChar w:fldCharType="begin"/>
            </w:r>
            <w:r w:rsidRPr="00706D35">
              <w:rPr>
                <w:noProof/>
                <w:webHidden/>
                <w:lang w:val="en-GB"/>
              </w:rPr>
              <w:instrText xml:space="preserve"> PAGEREF _Toc215331305 \h </w:instrText>
            </w:r>
            <w:r w:rsidRPr="00706D35">
              <w:rPr>
                <w:noProof/>
                <w:webHidden/>
                <w:lang w:val="en-GB"/>
              </w:rPr>
            </w:r>
            <w:r w:rsidRPr="00706D35">
              <w:rPr>
                <w:noProof/>
                <w:webHidden/>
                <w:lang w:val="en-GB"/>
              </w:rPr>
              <w:fldChar w:fldCharType="separate"/>
            </w:r>
            <w:r w:rsidR="00341CA0">
              <w:rPr>
                <w:noProof/>
                <w:webHidden/>
                <w:lang w:val="en-GB"/>
              </w:rPr>
              <w:t>9</w:t>
            </w:r>
            <w:r w:rsidRPr="00706D35">
              <w:rPr>
                <w:noProof/>
                <w:webHidden/>
                <w:lang w:val="en-GB"/>
              </w:rPr>
              <w:fldChar w:fldCharType="end"/>
            </w:r>
          </w:hyperlink>
        </w:p>
        <w:p w14:paraId="7DC70420" w14:textId="43569890" w:rsidR="00E9438C" w:rsidRPr="00706D35" w:rsidRDefault="00E9438C" w:rsidP="006E4B9D">
          <w:pPr>
            <w:pStyle w:val="TOC1"/>
            <w:tabs>
              <w:tab w:val="right" w:leader="dot" w:pos="9016"/>
            </w:tabs>
            <w:spacing w:line="240" w:lineRule="auto"/>
            <w:jc w:val="left"/>
            <w:rPr>
              <w:rFonts w:eastAsiaTheme="minorEastAsia"/>
              <w:noProof/>
              <w:sz w:val="24"/>
              <w:szCs w:val="24"/>
              <w:lang w:val="en-GB" w:eastAsia="en-GB"/>
            </w:rPr>
          </w:pPr>
          <w:hyperlink w:anchor="_Toc215331306" w:history="1">
            <w:r w:rsidRPr="00706D35">
              <w:rPr>
                <w:rStyle w:val="Hyperlink"/>
                <w:noProof/>
                <w:lang w:val="en-GB"/>
              </w:rPr>
              <w:t>Conclusion</w:t>
            </w:r>
            <w:r w:rsidRPr="00706D35">
              <w:rPr>
                <w:noProof/>
                <w:webHidden/>
                <w:lang w:val="en-GB"/>
              </w:rPr>
              <w:tab/>
            </w:r>
            <w:r w:rsidRPr="00706D35">
              <w:rPr>
                <w:noProof/>
                <w:webHidden/>
                <w:lang w:val="en-GB"/>
              </w:rPr>
              <w:fldChar w:fldCharType="begin"/>
            </w:r>
            <w:r w:rsidRPr="00706D35">
              <w:rPr>
                <w:noProof/>
                <w:webHidden/>
                <w:lang w:val="en-GB"/>
              </w:rPr>
              <w:instrText xml:space="preserve"> PAGEREF _Toc215331306 \h </w:instrText>
            </w:r>
            <w:r w:rsidRPr="00706D35">
              <w:rPr>
                <w:noProof/>
                <w:webHidden/>
                <w:lang w:val="en-GB"/>
              </w:rPr>
            </w:r>
            <w:r w:rsidRPr="00706D35">
              <w:rPr>
                <w:noProof/>
                <w:webHidden/>
                <w:lang w:val="en-GB"/>
              </w:rPr>
              <w:fldChar w:fldCharType="separate"/>
            </w:r>
            <w:r w:rsidR="00341CA0">
              <w:rPr>
                <w:noProof/>
                <w:webHidden/>
                <w:lang w:val="en-GB"/>
              </w:rPr>
              <w:t>11</w:t>
            </w:r>
            <w:r w:rsidRPr="00706D35">
              <w:rPr>
                <w:noProof/>
                <w:webHidden/>
                <w:lang w:val="en-GB"/>
              </w:rPr>
              <w:fldChar w:fldCharType="end"/>
            </w:r>
          </w:hyperlink>
        </w:p>
        <w:p w14:paraId="56F62DB2" w14:textId="00FEFFD2" w:rsidR="00E9438C" w:rsidRPr="00706D35" w:rsidRDefault="00E9438C" w:rsidP="006E4B9D">
          <w:pPr>
            <w:pStyle w:val="TOC1"/>
            <w:tabs>
              <w:tab w:val="right" w:leader="dot" w:pos="9016"/>
            </w:tabs>
            <w:spacing w:line="240" w:lineRule="auto"/>
            <w:jc w:val="left"/>
            <w:rPr>
              <w:rFonts w:eastAsiaTheme="minorEastAsia"/>
              <w:noProof/>
              <w:sz w:val="24"/>
              <w:szCs w:val="24"/>
              <w:lang w:val="en-GB" w:eastAsia="en-GB"/>
            </w:rPr>
          </w:pPr>
          <w:hyperlink w:anchor="_Toc215331307" w:history="1">
            <w:r w:rsidRPr="00706D35">
              <w:rPr>
                <w:rStyle w:val="Hyperlink"/>
                <w:noProof/>
                <w:lang w:val="en-GB"/>
              </w:rPr>
              <w:t>Recommendations</w:t>
            </w:r>
            <w:r w:rsidRPr="00706D35">
              <w:rPr>
                <w:noProof/>
                <w:webHidden/>
                <w:lang w:val="en-GB"/>
              </w:rPr>
              <w:tab/>
            </w:r>
            <w:r w:rsidRPr="00706D35">
              <w:rPr>
                <w:noProof/>
                <w:webHidden/>
                <w:lang w:val="en-GB"/>
              </w:rPr>
              <w:fldChar w:fldCharType="begin"/>
            </w:r>
            <w:r w:rsidRPr="00706D35">
              <w:rPr>
                <w:noProof/>
                <w:webHidden/>
                <w:lang w:val="en-GB"/>
              </w:rPr>
              <w:instrText xml:space="preserve"> PAGEREF _Toc215331307 \h </w:instrText>
            </w:r>
            <w:r w:rsidRPr="00706D35">
              <w:rPr>
                <w:noProof/>
                <w:webHidden/>
                <w:lang w:val="en-GB"/>
              </w:rPr>
            </w:r>
            <w:r w:rsidRPr="00706D35">
              <w:rPr>
                <w:noProof/>
                <w:webHidden/>
                <w:lang w:val="en-GB"/>
              </w:rPr>
              <w:fldChar w:fldCharType="separate"/>
            </w:r>
            <w:r w:rsidR="00341CA0">
              <w:rPr>
                <w:noProof/>
                <w:webHidden/>
                <w:lang w:val="en-GB"/>
              </w:rPr>
              <w:t>11</w:t>
            </w:r>
            <w:r w:rsidRPr="00706D35">
              <w:rPr>
                <w:noProof/>
                <w:webHidden/>
                <w:lang w:val="en-GB"/>
              </w:rPr>
              <w:fldChar w:fldCharType="end"/>
            </w:r>
          </w:hyperlink>
        </w:p>
        <w:p w14:paraId="3D43D90F" w14:textId="77777777" w:rsidR="00E9438C" w:rsidRPr="00706D35" w:rsidRDefault="00E9438C" w:rsidP="006E4B9D">
          <w:pPr>
            <w:rPr>
              <w:sz w:val="24"/>
              <w:szCs w:val="24"/>
              <w:lang w:val="en-GB"/>
            </w:rPr>
          </w:pPr>
          <w:r w:rsidRPr="00706D35">
            <w:rPr>
              <w:b/>
              <w:bCs/>
              <w:noProof/>
              <w:sz w:val="24"/>
              <w:szCs w:val="24"/>
              <w:lang w:val="en-GB"/>
            </w:rPr>
            <w:fldChar w:fldCharType="end"/>
          </w:r>
        </w:p>
      </w:sdtContent>
    </w:sdt>
    <w:p w14:paraId="6EEAF4A8" w14:textId="77777777" w:rsidR="00E9438C" w:rsidRPr="00706D35" w:rsidRDefault="00E9438C" w:rsidP="006E4B9D">
      <w:pPr>
        <w:rPr>
          <w:sz w:val="24"/>
          <w:szCs w:val="24"/>
          <w:lang w:val="en-GB"/>
        </w:rPr>
      </w:pPr>
    </w:p>
    <w:p w14:paraId="46B8B390" w14:textId="77777777" w:rsidR="00E9438C" w:rsidRPr="00706D35" w:rsidRDefault="00E9438C" w:rsidP="006E4B9D">
      <w:pPr>
        <w:rPr>
          <w:sz w:val="24"/>
          <w:szCs w:val="24"/>
          <w:lang w:val="en-GB"/>
        </w:rPr>
      </w:pPr>
    </w:p>
    <w:p w14:paraId="36CD6FC2" w14:textId="77777777" w:rsidR="00E9438C" w:rsidRPr="00706D35" w:rsidRDefault="00E9438C" w:rsidP="006E4B9D">
      <w:pPr>
        <w:rPr>
          <w:sz w:val="24"/>
          <w:szCs w:val="24"/>
          <w:lang w:val="en-GB"/>
        </w:rPr>
      </w:pPr>
      <w:r w:rsidRPr="00706D35">
        <w:rPr>
          <w:sz w:val="24"/>
          <w:szCs w:val="24"/>
          <w:lang w:val="en-GB"/>
        </w:rPr>
        <w:br w:type="page"/>
      </w:r>
    </w:p>
    <w:p w14:paraId="02453428" w14:textId="77777777" w:rsidR="00E9438C" w:rsidRDefault="00E9438C" w:rsidP="00706D35">
      <w:pPr>
        <w:pStyle w:val="Title"/>
        <w:rPr>
          <w:rFonts w:ascii="Arial" w:hAnsi="Arial" w:cs="Arial"/>
          <w:lang w:val="en-GB"/>
        </w:rPr>
      </w:pPr>
      <w:bookmarkStart w:id="1" w:name="_Toc215331302"/>
      <w:r w:rsidRPr="00A3102D">
        <w:rPr>
          <w:rFonts w:ascii="Arial" w:hAnsi="Arial" w:cs="Arial"/>
          <w:lang w:val="en-GB"/>
        </w:rPr>
        <w:lastRenderedPageBreak/>
        <w:t>Introduction</w:t>
      </w:r>
      <w:bookmarkEnd w:id="1"/>
    </w:p>
    <w:p w14:paraId="620CA0CD" w14:textId="77777777" w:rsidR="001C30CE" w:rsidRPr="001C30CE" w:rsidRDefault="001C30CE" w:rsidP="001C30CE">
      <w:pPr>
        <w:rPr>
          <w:lang w:val="en-GB"/>
        </w:rPr>
      </w:pPr>
    </w:p>
    <w:p w14:paraId="33EE8B5E" w14:textId="1C3E4A30" w:rsidR="00E9438C" w:rsidRPr="00706D35" w:rsidRDefault="00E9438C" w:rsidP="00706D35">
      <w:pPr>
        <w:rPr>
          <w:sz w:val="24"/>
          <w:szCs w:val="24"/>
          <w:lang w:val="en-GB"/>
        </w:rPr>
      </w:pPr>
      <w:r w:rsidRPr="00706D35">
        <w:rPr>
          <w:sz w:val="24"/>
          <w:szCs w:val="24"/>
          <w:lang w:val="en-GB"/>
        </w:rPr>
        <w:t>A PESTEL is an analytical tool used to support forward-thinking organisations with strategic decision making (</w:t>
      </w:r>
      <w:proofErr w:type="spellStart"/>
      <w:r w:rsidRPr="00706D35">
        <w:rPr>
          <w:sz w:val="24"/>
          <w:szCs w:val="24"/>
          <w:lang w:val="en-GB"/>
        </w:rPr>
        <w:t>Karadzhov</w:t>
      </w:r>
      <w:proofErr w:type="spellEnd"/>
      <w:r w:rsidRPr="00706D35">
        <w:rPr>
          <w:sz w:val="24"/>
          <w:szCs w:val="24"/>
          <w:lang w:val="en-GB"/>
        </w:rPr>
        <w:t xml:space="preserve"> and </w:t>
      </w:r>
      <w:proofErr w:type="spellStart"/>
      <w:r w:rsidRPr="00706D35">
        <w:rPr>
          <w:sz w:val="24"/>
          <w:szCs w:val="24"/>
          <w:lang w:val="en-GB"/>
        </w:rPr>
        <w:t>Patarchanova</w:t>
      </w:r>
      <w:proofErr w:type="spellEnd"/>
      <w:r w:rsidRPr="00706D35">
        <w:rPr>
          <w:sz w:val="24"/>
          <w:szCs w:val="24"/>
          <w:lang w:val="en-GB"/>
        </w:rPr>
        <w:t>, 2025). It helps businesses identify external factors surrounding Political, Economic, Social, Technological, Environmental and Legal changes that could present trends or risks to the organisation (Marmol et al, 2015).  Understanding the influence of these factors help</w:t>
      </w:r>
      <w:r w:rsidR="001726E3">
        <w:rPr>
          <w:sz w:val="24"/>
          <w:szCs w:val="24"/>
          <w:lang w:val="en-GB"/>
        </w:rPr>
        <w:t>s</w:t>
      </w:r>
      <w:r w:rsidRPr="00706D35">
        <w:rPr>
          <w:sz w:val="24"/>
          <w:szCs w:val="24"/>
          <w:lang w:val="en-GB"/>
        </w:rPr>
        <w:t xml:space="preserve"> organisations make decisions that enhances resilience through forward business planning (CIPD, 2021).  When conducting an analysis, research should be gathered on how each factor could impact the organisation.  For example, the closure of the blast furnace in TATA steel will impact the communities within Neath Port Talbot (NPT)</w:t>
      </w:r>
      <w:r w:rsidR="001726E3">
        <w:rPr>
          <w:sz w:val="24"/>
          <w:szCs w:val="24"/>
          <w:lang w:val="en-GB"/>
        </w:rPr>
        <w:t xml:space="preserve"> through</w:t>
      </w:r>
      <w:r w:rsidRPr="00706D35">
        <w:rPr>
          <w:sz w:val="24"/>
          <w:szCs w:val="24"/>
          <w:lang w:val="en-GB"/>
        </w:rPr>
        <w:t xml:space="preserve"> economic </w:t>
      </w:r>
      <w:r w:rsidR="001726E3">
        <w:rPr>
          <w:sz w:val="24"/>
          <w:szCs w:val="24"/>
          <w:lang w:val="en-GB"/>
        </w:rPr>
        <w:t>downturn</w:t>
      </w:r>
      <w:r w:rsidR="006F34C5">
        <w:rPr>
          <w:sz w:val="24"/>
          <w:szCs w:val="24"/>
          <w:lang w:val="en-GB"/>
        </w:rPr>
        <w:t>, reduced societal wellbeing from unemployment</w:t>
      </w:r>
      <w:r w:rsidR="00BD1105">
        <w:rPr>
          <w:sz w:val="24"/>
          <w:szCs w:val="24"/>
          <w:lang w:val="en-GB"/>
        </w:rPr>
        <w:t xml:space="preserve"> and requirement for financial</w:t>
      </w:r>
      <w:r w:rsidRPr="00706D35">
        <w:rPr>
          <w:sz w:val="24"/>
          <w:szCs w:val="24"/>
          <w:lang w:val="en-GB"/>
        </w:rPr>
        <w:t xml:space="preserve"> support strategies from the council. </w:t>
      </w:r>
    </w:p>
    <w:p w14:paraId="61656EC3" w14:textId="6D37D7AA" w:rsidR="00E9438C" w:rsidRPr="00706D35" w:rsidRDefault="00E9438C" w:rsidP="006E4B9D">
      <w:pPr>
        <w:rPr>
          <w:sz w:val="24"/>
          <w:szCs w:val="24"/>
          <w:lang w:val="en-GB"/>
        </w:rPr>
      </w:pPr>
      <w:r w:rsidRPr="00706D35">
        <w:rPr>
          <w:sz w:val="24"/>
          <w:szCs w:val="24"/>
          <w:lang w:val="en-GB"/>
        </w:rPr>
        <w:t xml:space="preserve">Each pestle factor should be </w:t>
      </w:r>
      <w:r w:rsidR="0009522C">
        <w:rPr>
          <w:sz w:val="24"/>
          <w:szCs w:val="24"/>
          <w:lang w:val="en-GB"/>
        </w:rPr>
        <w:t>evaluated</w:t>
      </w:r>
      <w:r w:rsidRPr="00706D35">
        <w:rPr>
          <w:sz w:val="24"/>
          <w:szCs w:val="24"/>
          <w:lang w:val="en-GB"/>
        </w:rPr>
        <w:t>, conducting wider reading and researching potential affects to the industry.  Changes should be anticipated and the positive or negative impact assessed.  High impact factors should be prioritised and a strategic framework drafted to predict potential shortfalls in funding, resource</w:t>
      </w:r>
      <w:r w:rsidR="00C90DC1">
        <w:rPr>
          <w:sz w:val="24"/>
          <w:szCs w:val="24"/>
          <w:lang w:val="en-GB"/>
        </w:rPr>
        <w:t>,</w:t>
      </w:r>
      <w:r w:rsidRPr="00706D35">
        <w:rPr>
          <w:sz w:val="24"/>
          <w:szCs w:val="24"/>
          <w:lang w:val="en-GB"/>
        </w:rPr>
        <w:t xml:space="preserve"> or provision</w:t>
      </w:r>
      <w:r w:rsidR="00C90DC1">
        <w:rPr>
          <w:sz w:val="24"/>
          <w:szCs w:val="24"/>
          <w:lang w:val="en-GB"/>
        </w:rPr>
        <w:t>,</w:t>
      </w:r>
      <w:r w:rsidRPr="00706D35">
        <w:rPr>
          <w:sz w:val="24"/>
          <w:szCs w:val="24"/>
          <w:lang w:val="en-GB"/>
        </w:rPr>
        <w:t xml:space="preserve"> allowing NPT to react quickly preventing community detriment (Anderson, 2025).  It is also essential to consider the accuracy of the data used, as only reliable sources will provide authentic insights, allowing the Council to adapt to ever changing business needs</w:t>
      </w:r>
      <w:r w:rsidR="00744CDC">
        <w:rPr>
          <w:sz w:val="24"/>
          <w:szCs w:val="24"/>
          <w:lang w:val="en-GB"/>
        </w:rPr>
        <w:t xml:space="preserve"> (</w:t>
      </w:r>
      <w:proofErr w:type="spellStart"/>
      <w:r w:rsidR="00332BA4">
        <w:rPr>
          <w:sz w:val="24"/>
          <w:szCs w:val="24"/>
          <w:lang w:val="en-GB"/>
        </w:rPr>
        <w:t>Mdhlalose</w:t>
      </w:r>
      <w:proofErr w:type="spellEnd"/>
      <w:r w:rsidR="00332BA4">
        <w:rPr>
          <w:sz w:val="24"/>
          <w:szCs w:val="24"/>
          <w:lang w:val="en-GB"/>
        </w:rPr>
        <w:t>, 2025)</w:t>
      </w:r>
      <w:r w:rsidRPr="00706D35">
        <w:rPr>
          <w:sz w:val="24"/>
          <w:szCs w:val="24"/>
          <w:lang w:val="en-GB"/>
        </w:rPr>
        <w:t>.</w:t>
      </w:r>
    </w:p>
    <w:p w14:paraId="0B5728FA" w14:textId="003BEA74" w:rsidR="00E9438C" w:rsidRPr="00706D35" w:rsidRDefault="00E9438C" w:rsidP="006E4B9D">
      <w:pPr>
        <w:rPr>
          <w:sz w:val="24"/>
          <w:szCs w:val="24"/>
          <w:lang w:val="en-GB"/>
        </w:rPr>
      </w:pPr>
      <w:r w:rsidRPr="00706D35">
        <w:rPr>
          <w:sz w:val="24"/>
          <w:szCs w:val="24"/>
          <w:lang w:val="en-GB"/>
        </w:rPr>
        <w:t xml:space="preserve">When used correctly </w:t>
      </w:r>
      <w:r w:rsidR="00575167">
        <w:rPr>
          <w:sz w:val="24"/>
          <w:szCs w:val="24"/>
          <w:lang w:val="en-GB"/>
        </w:rPr>
        <w:t>Pestle</w:t>
      </w:r>
      <w:r w:rsidRPr="00706D35">
        <w:rPr>
          <w:sz w:val="24"/>
          <w:szCs w:val="24"/>
          <w:lang w:val="en-GB"/>
        </w:rPr>
        <w:t xml:space="preserve"> is particularly beneficial when drafting public policy as it can enhance local government decision making, allowing analysis of internal budgetary restraints whilst evaluating external societal influences, ensuring forethought to guarantee continued provision of statutory public services (Belsare, 2025).  However, focussing on incorrect or irrelevant factors can undermine the intended benefits of public policy changes (Liana et al, 2025), meaning that the council can’t deliver on community projects, causing societal detriment.  </w:t>
      </w:r>
    </w:p>
    <w:p w14:paraId="29CBB525" w14:textId="6E088358" w:rsidR="00E9438C" w:rsidRPr="00706D35" w:rsidRDefault="00E9438C" w:rsidP="006E4B9D">
      <w:pPr>
        <w:rPr>
          <w:sz w:val="24"/>
          <w:szCs w:val="24"/>
          <w:lang w:val="en-GB"/>
        </w:rPr>
      </w:pPr>
      <w:r w:rsidRPr="00706D35">
        <w:rPr>
          <w:sz w:val="24"/>
          <w:szCs w:val="24"/>
          <w:lang w:val="en-GB"/>
        </w:rPr>
        <w:t>The pestle tool can help create an analytical snapshot in time. However, with public sector priorities changing rapidly, the analysis should be regularly revisited to ensure continued accuracy. Furthermore, Yuksel (2012) recommends integrating Pestle with other strategic tools such as SWOT to ensure multi-dimensional insights into organisational issues.  Completing a further deep dive into each factor and looking at the strengths, weaknesses opportunities and threats creates a more powerful relevant examination, ensur</w:t>
      </w:r>
      <w:r w:rsidR="000F1972">
        <w:rPr>
          <w:sz w:val="24"/>
          <w:szCs w:val="24"/>
          <w:lang w:val="en-GB"/>
        </w:rPr>
        <w:t>ing</w:t>
      </w:r>
      <w:r w:rsidRPr="00706D35">
        <w:rPr>
          <w:sz w:val="24"/>
          <w:szCs w:val="24"/>
          <w:lang w:val="en-GB"/>
        </w:rPr>
        <w:t xml:space="preserve"> community stability through strategic organisational and financial planning.  This approach is further supported by </w:t>
      </w:r>
      <w:proofErr w:type="spellStart"/>
      <w:r w:rsidRPr="00706D35">
        <w:rPr>
          <w:sz w:val="24"/>
          <w:szCs w:val="24"/>
          <w:lang w:val="en-GB"/>
        </w:rPr>
        <w:t>Kansongue</w:t>
      </w:r>
      <w:proofErr w:type="spellEnd"/>
      <w:r w:rsidRPr="00706D35">
        <w:rPr>
          <w:sz w:val="24"/>
          <w:szCs w:val="24"/>
          <w:lang w:val="en-GB"/>
        </w:rPr>
        <w:t xml:space="preserve"> et al, (2023), who notes that as business and trading environments become ever more unstable, a dynamic process of analysis is needed, overlapping methodological tools to capture both internal capacities and environmental influences to safeguard commercial activities</w:t>
      </w:r>
    </w:p>
    <w:p w14:paraId="06F11A5F" w14:textId="0243E813" w:rsidR="00E9438C" w:rsidRPr="00706D35" w:rsidRDefault="00E9438C" w:rsidP="006E4B9D">
      <w:pPr>
        <w:rPr>
          <w:sz w:val="24"/>
          <w:szCs w:val="24"/>
          <w:lang w:val="en-GB"/>
        </w:rPr>
      </w:pPr>
      <w:r w:rsidRPr="00706D35">
        <w:rPr>
          <w:sz w:val="24"/>
          <w:szCs w:val="24"/>
          <w:lang w:val="en-GB"/>
        </w:rPr>
        <w:t>Understanding and predicting outcomes around changes in governmental policies, agendas and economic development are key to a holistic approach</w:t>
      </w:r>
      <w:r w:rsidR="006644C4">
        <w:rPr>
          <w:sz w:val="24"/>
          <w:szCs w:val="24"/>
          <w:lang w:val="en-GB"/>
        </w:rPr>
        <w:t>,</w:t>
      </w:r>
      <w:r w:rsidRPr="00706D35">
        <w:rPr>
          <w:sz w:val="24"/>
          <w:szCs w:val="24"/>
          <w:lang w:val="en-GB"/>
        </w:rPr>
        <w:t xml:space="preserve"> </w:t>
      </w:r>
      <w:r w:rsidR="009727BC">
        <w:rPr>
          <w:sz w:val="24"/>
          <w:szCs w:val="24"/>
          <w:lang w:val="en-GB"/>
        </w:rPr>
        <w:t>encouraging p</w:t>
      </w:r>
      <w:r w:rsidR="006644C4">
        <w:rPr>
          <w:sz w:val="24"/>
          <w:szCs w:val="24"/>
          <w:lang w:val="en-GB"/>
        </w:rPr>
        <w:t>l</w:t>
      </w:r>
      <w:r w:rsidR="009727BC">
        <w:rPr>
          <w:sz w:val="24"/>
          <w:szCs w:val="24"/>
          <w:lang w:val="en-GB"/>
        </w:rPr>
        <w:t>anning for</w:t>
      </w:r>
      <w:r w:rsidRPr="00706D35">
        <w:rPr>
          <w:sz w:val="24"/>
          <w:szCs w:val="24"/>
          <w:lang w:val="en-GB"/>
        </w:rPr>
        <w:t xml:space="preserve"> potential situations that need to be dealt with in the future (Armstrong, 2014, pp.219). Independent factorial evaluation should </w:t>
      </w:r>
      <w:r w:rsidR="006644C4">
        <w:rPr>
          <w:sz w:val="24"/>
          <w:szCs w:val="24"/>
          <w:lang w:val="en-GB"/>
        </w:rPr>
        <w:t>also</w:t>
      </w:r>
      <w:r w:rsidRPr="00706D35">
        <w:rPr>
          <w:sz w:val="24"/>
          <w:szCs w:val="24"/>
          <w:lang w:val="en-GB"/>
        </w:rPr>
        <w:t xml:space="preserve"> be combined with other resources to identify potential relationships between Pestle factors and avoid ambiguity and vagueness through interpretation, increasing accuracy and further supporting researched based decision making (</w:t>
      </w:r>
      <w:proofErr w:type="spellStart"/>
      <w:r w:rsidRPr="00706D35">
        <w:rPr>
          <w:sz w:val="24"/>
          <w:szCs w:val="24"/>
          <w:lang w:val="en-GB"/>
        </w:rPr>
        <w:t>Namin</w:t>
      </w:r>
      <w:proofErr w:type="spellEnd"/>
      <w:r w:rsidRPr="00706D35">
        <w:rPr>
          <w:sz w:val="24"/>
          <w:szCs w:val="24"/>
          <w:lang w:val="en-GB"/>
        </w:rPr>
        <w:t xml:space="preserve"> et al, 2019).  </w:t>
      </w:r>
    </w:p>
    <w:p w14:paraId="6A8D5E63" w14:textId="21F1B2B9" w:rsidR="00E9438C" w:rsidRPr="00706D35" w:rsidRDefault="00706D35" w:rsidP="006E4B9D">
      <w:pPr>
        <w:rPr>
          <w:sz w:val="24"/>
          <w:szCs w:val="24"/>
          <w:lang w:val="en-GB"/>
        </w:rPr>
      </w:pPr>
      <w:r w:rsidRPr="00706D35">
        <w:rPr>
          <w:sz w:val="24"/>
          <w:szCs w:val="24"/>
          <w:lang w:val="en-GB"/>
        </w:rPr>
        <w:t>Considering</w:t>
      </w:r>
      <w:r w:rsidR="00E9438C" w:rsidRPr="00706D35">
        <w:rPr>
          <w:sz w:val="24"/>
          <w:szCs w:val="24"/>
          <w:lang w:val="en-GB"/>
        </w:rPr>
        <w:t xml:space="preserve"> the proposed UK government changes resulting from the ‘Make Work Pay’ Plan, this report will utilise a PESTLE analysis to present senior leadership with analytical influences of Legal, Political and Economic outcomes, thereby making recommendations for project inclusion in the NPT Strategic Action plan.</w:t>
      </w:r>
    </w:p>
    <w:p w14:paraId="4C6AFECA" w14:textId="77777777" w:rsidR="00E9438C" w:rsidRPr="00706D35" w:rsidRDefault="00E9438C" w:rsidP="006E4B9D">
      <w:pPr>
        <w:rPr>
          <w:sz w:val="24"/>
          <w:szCs w:val="24"/>
          <w:lang w:val="en-GB"/>
        </w:rPr>
      </w:pPr>
    </w:p>
    <w:p w14:paraId="6F7DADE0" w14:textId="7B42C23D" w:rsidR="00E9438C" w:rsidRPr="00706D35" w:rsidRDefault="00E9438C" w:rsidP="006E4B9D">
      <w:pPr>
        <w:rPr>
          <w:sz w:val="24"/>
          <w:szCs w:val="24"/>
          <w:lang w:val="en-GB"/>
        </w:rPr>
      </w:pPr>
    </w:p>
    <w:p w14:paraId="43844DA8" w14:textId="77777777" w:rsidR="00E9438C" w:rsidRDefault="00E9438C" w:rsidP="00A3102D">
      <w:pPr>
        <w:pStyle w:val="Title"/>
        <w:rPr>
          <w:rFonts w:ascii="Arial" w:hAnsi="Arial" w:cs="Arial"/>
          <w:lang w:val="en-GB"/>
        </w:rPr>
      </w:pPr>
      <w:bookmarkStart w:id="2" w:name="_Toc215331303"/>
      <w:r w:rsidRPr="00A3102D">
        <w:rPr>
          <w:rFonts w:ascii="Arial" w:hAnsi="Arial" w:cs="Arial"/>
          <w:lang w:val="en-GB"/>
        </w:rPr>
        <w:lastRenderedPageBreak/>
        <w:t>Pestle 1 – Political</w:t>
      </w:r>
      <w:bookmarkEnd w:id="2"/>
    </w:p>
    <w:p w14:paraId="29382CAF" w14:textId="77777777" w:rsidR="001C30CE" w:rsidRPr="001C30CE" w:rsidRDefault="001C30CE" w:rsidP="001C30CE">
      <w:pPr>
        <w:rPr>
          <w:lang w:val="en-GB"/>
        </w:rPr>
      </w:pPr>
    </w:p>
    <w:p w14:paraId="45A3F36F" w14:textId="0B07CE04" w:rsidR="00E9438C" w:rsidRPr="00706D35" w:rsidRDefault="00E9438C" w:rsidP="006E4B9D">
      <w:pPr>
        <w:rPr>
          <w:sz w:val="24"/>
          <w:szCs w:val="24"/>
          <w:lang w:val="en-GB"/>
        </w:rPr>
      </w:pPr>
      <w:r w:rsidRPr="00706D35">
        <w:rPr>
          <w:sz w:val="24"/>
          <w:szCs w:val="24"/>
          <w:lang w:val="en-GB"/>
        </w:rPr>
        <w:t xml:space="preserve">The UK Governments ‘Make Work Pay’ plan has been designed to boost the UK economy and raise living standards by increasing access to work and strengthening </w:t>
      </w:r>
      <w:r w:rsidR="002F357B" w:rsidRPr="00706D35">
        <w:rPr>
          <w:sz w:val="24"/>
          <w:szCs w:val="24"/>
          <w:lang w:val="en-GB"/>
        </w:rPr>
        <w:t>workers’</w:t>
      </w:r>
      <w:r w:rsidRPr="00706D35">
        <w:rPr>
          <w:sz w:val="24"/>
          <w:szCs w:val="24"/>
          <w:lang w:val="en-GB"/>
        </w:rPr>
        <w:t xml:space="preserve"> rights (UK Government, 2025).  The political agenda focuses on fairness and equality, which underpins the conventions of local government.</w:t>
      </w:r>
    </w:p>
    <w:p w14:paraId="3DBEB527" w14:textId="3A635008" w:rsidR="00E9438C" w:rsidRPr="00706D35" w:rsidRDefault="00E9438C" w:rsidP="006E4B9D">
      <w:pPr>
        <w:rPr>
          <w:sz w:val="24"/>
          <w:szCs w:val="24"/>
          <w:lang w:val="en-GB"/>
        </w:rPr>
      </w:pPr>
      <w:r w:rsidRPr="00706D35">
        <w:rPr>
          <w:sz w:val="24"/>
          <w:szCs w:val="24"/>
          <w:lang w:val="en-GB"/>
        </w:rPr>
        <w:t>NPT are leading the way by signing Race Cymru’s Zero Racism Policy Pledge (NPT, 2025b).  We already monitor and report on equality and diversity across all aspects of the organisation, which means we are prepared for the proposed mandatory ethnicity and disability pay gap reporting from the Equality (Race and Disability) Bill (2025).  However, with proposals to make ethnicity and disability pay gap reporting mandatory for organisations with over 250 employees, this could have a detrimental effect in NPT’s mission to become employer of choice</w:t>
      </w:r>
      <w:r w:rsidR="002F1856">
        <w:rPr>
          <w:sz w:val="24"/>
          <w:szCs w:val="24"/>
          <w:lang w:val="en-GB"/>
        </w:rPr>
        <w:t xml:space="preserve"> (O’Sullivan, 2024)</w:t>
      </w:r>
      <w:r w:rsidRPr="00706D35">
        <w:rPr>
          <w:sz w:val="24"/>
          <w:szCs w:val="24"/>
          <w:lang w:val="en-GB"/>
        </w:rPr>
        <w:t>.</w:t>
      </w:r>
    </w:p>
    <w:p w14:paraId="58386C1D" w14:textId="77777777" w:rsidR="00E9438C" w:rsidRDefault="00E9438C" w:rsidP="006E4B9D">
      <w:pPr>
        <w:rPr>
          <w:sz w:val="24"/>
          <w:szCs w:val="24"/>
          <w:lang w:val="en-GB"/>
        </w:rPr>
      </w:pPr>
      <w:r w:rsidRPr="00706D35">
        <w:rPr>
          <w:sz w:val="24"/>
          <w:szCs w:val="24"/>
          <w:lang w:val="en-GB"/>
        </w:rPr>
        <w:t>Anticipated political pressure for businesses to report on diversity statistics is likely to drive private sector development of action plans to improve workplace equality, erasing current public sector advantage.  Aldi (2025) has already started working with specialist agencies to increase applications for underrepresented groups intensifying competition in sourcing candidates from different demographics.  From an economic standpoint, NPT doesn’t have the budget or resources to compete with positive targeted recruitment campaigns.  Increased competition could further hinder our ability to recruit customer facing roles, limiting capacity to deliver essential community projects which is detrimental to society (Liana et al, 2025).</w:t>
      </w:r>
    </w:p>
    <w:p w14:paraId="0AE6DB00" w14:textId="77777777" w:rsidR="00117742" w:rsidRPr="00706D35" w:rsidRDefault="00117742" w:rsidP="006E4B9D">
      <w:pPr>
        <w:rPr>
          <w:sz w:val="24"/>
          <w:szCs w:val="24"/>
          <w:lang w:val="en-GB"/>
        </w:rPr>
      </w:pPr>
    </w:p>
    <w:p w14:paraId="0798714D" w14:textId="386E2623" w:rsidR="00E9438C" w:rsidRPr="00706D35" w:rsidRDefault="00E9438C" w:rsidP="006E4B9D">
      <w:pPr>
        <w:rPr>
          <w:sz w:val="24"/>
          <w:szCs w:val="24"/>
          <w:lang w:val="en-GB"/>
        </w:rPr>
      </w:pPr>
      <w:r w:rsidRPr="00706D35">
        <w:rPr>
          <w:sz w:val="24"/>
          <w:szCs w:val="24"/>
          <w:lang w:val="en-GB"/>
        </w:rPr>
        <w:t>NPT already create</w:t>
      </w:r>
      <w:r w:rsidR="00117742">
        <w:rPr>
          <w:sz w:val="24"/>
          <w:szCs w:val="24"/>
          <w:lang w:val="en-GB"/>
        </w:rPr>
        <w:t>s</w:t>
      </w:r>
      <w:r w:rsidRPr="00706D35">
        <w:rPr>
          <w:sz w:val="24"/>
          <w:szCs w:val="24"/>
          <w:lang w:val="en-GB"/>
        </w:rPr>
        <w:t xml:space="preserve"> an Annual Equalities Report (NPT, 2024b) which highlights the need to improve representation to reflect the served community.  Statistics show that 1.7% of the workforce identify as Black, Asian and minority Ethnic (BAME).  This is below the 3.4% proportion within the county borough. Despite NPT not setting diversity targets (to ensure continued fairness in the recruitment process), low statistics could foster reputational damage, deterring applicants when they see unrepresented minorit</w:t>
      </w:r>
      <w:r w:rsidR="003C154D">
        <w:rPr>
          <w:sz w:val="24"/>
          <w:szCs w:val="24"/>
          <w:lang w:val="en-GB"/>
        </w:rPr>
        <w:t>ies</w:t>
      </w:r>
      <w:r w:rsidRPr="00706D35">
        <w:rPr>
          <w:sz w:val="24"/>
          <w:szCs w:val="24"/>
          <w:lang w:val="en-GB"/>
        </w:rPr>
        <w:t xml:space="preserve"> in the workforce.  Increased competition for BAME candidates could </w:t>
      </w:r>
      <w:r w:rsidR="003C154D">
        <w:rPr>
          <w:sz w:val="24"/>
          <w:szCs w:val="24"/>
          <w:lang w:val="en-GB"/>
        </w:rPr>
        <w:t xml:space="preserve">further </w:t>
      </w:r>
      <w:r w:rsidRPr="00706D35">
        <w:rPr>
          <w:sz w:val="24"/>
          <w:szCs w:val="24"/>
          <w:lang w:val="en-GB"/>
        </w:rPr>
        <w:t>reduce our effectiveness in recruiting specialist roles, especially those in social care where a substantial proportion of the workforce comprises non-UK nationals (NPT, 2025c).  If private sector target</w:t>
      </w:r>
      <w:r w:rsidR="00C04D57">
        <w:rPr>
          <w:sz w:val="24"/>
          <w:szCs w:val="24"/>
          <w:lang w:val="en-GB"/>
        </w:rPr>
        <w:t>s</w:t>
      </w:r>
      <w:r w:rsidRPr="00706D35">
        <w:rPr>
          <w:sz w:val="24"/>
          <w:szCs w:val="24"/>
          <w:lang w:val="en-GB"/>
        </w:rPr>
        <w:t xml:space="preserve"> diverse talent to improve the mandatory reporting statistics, NPT risks facing shortfalls in recruitment for public service roles. </w:t>
      </w:r>
    </w:p>
    <w:p w14:paraId="0C229B63" w14:textId="08A64594" w:rsidR="00E9438C" w:rsidRPr="00706D35" w:rsidRDefault="00E9438C" w:rsidP="006E4B9D">
      <w:pPr>
        <w:rPr>
          <w:sz w:val="24"/>
          <w:szCs w:val="24"/>
          <w:lang w:val="en-GB"/>
        </w:rPr>
      </w:pPr>
      <w:r w:rsidRPr="00706D35">
        <w:rPr>
          <w:sz w:val="24"/>
          <w:szCs w:val="24"/>
          <w:lang w:val="en-GB"/>
        </w:rPr>
        <w:t>Considering the social effect on this political factor, diversifying the workforce would allow NPT to be representative of the community that it serves (Larkin, 2021).  NPT has already implemented guaranteed interviews for disabled applicants through the recruitment and selection policy (NPT, 2025c).  With 3% of the workforce declaring a disability, active promotion of disability passports and flexible working has significantly helped recruit over 200 disabled workers.  Reporting on these statistics shows NPT commitment to equality, making us more attractive to applicants (CIPD, 2024).</w:t>
      </w:r>
      <w:r w:rsidR="00954972">
        <w:rPr>
          <w:sz w:val="24"/>
          <w:szCs w:val="24"/>
          <w:lang w:val="en-GB"/>
        </w:rPr>
        <w:t xml:space="preserve">  </w:t>
      </w:r>
      <w:r w:rsidRPr="00706D35">
        <w:rPr>
          <w:sz w:val="24"/>
          <w:szCs w:val="24"/>
          <w:lang w:val="en-GB"/>
        </w:rPr>
        <w:t>However, Roache (2025) recommends continuing work with Employability services to help close the gap for disabled people.  Currently disabled people have an employment rate of 53.4% compared to 81.8% for non-disabled people.  Strengthening partnerships with charities and stakeholders could help counter the 28.4 percentage point disparity, improving access to work as outlined in the government’s plan.</w:t>
      </w:r>
    </w:p>
    <w:p w14:paraId="26AFDA77" w14:textId="77777777" w:rsidR="00E9438C" w:rsidRPr="00706D35" w:rsidRDefault="00E9438C" w:rsidP="006E4B9D">
      <w:pPr>
        <w:rPr>
          <w:sz w:val="24"/>
          <w:szCs w:val="24"/>
          <w:lang w:val="en-GB"/>
        </w:rPr>
      </w:pPr>
      <w:r w:rsidRPr="00706D35">
        <w:rPr>
          <w:sz w:val="24"/>
          <w:szCs w:val="24"/>
          <w:lang w:val="en-GB"/>
        </w:rPr>
        <w:t xml:space="preserve">When further analysing the political factor, consideration should be given to legal connotations whereby promoting equality to increase minority representation solely for targeted reporting purposes, could result in discrimination claims.  Beale (2023) reported that to hit minority recruitment targets, the RAF positively discriminated against 31 white male recruits by fast tracking 161 women and ethnic minorities, awarding thousands of pounds in </w:t>
      </w:r>
      <w:r w:rsidRPr="00706D35">
        <w:rPr>
          <w:sz w:val="24"/>
          <w:szCs w:val="24"/>
          <w:lang w:val="en-GB"/>
        </w:rPr>
        <w:lastRenderedPageBreak/>
        <w:t>compensation.  NPT budgets don’t provide additional funds to spend on unlawful discrimination claims, so care must be taken to minimise any potential risk upfront, by ensuring creation of and compliance with watertight policies (Melling, 2023).</w:t>
      </w:r>
    </w:p>
    <w:p w14:paraId="435CD53B" w14:textId="77777777" w:rsidR="00E9438C" w:rsidRPr="00706D35" w:rsidRDefault="00E9438C" w:rsidP="006E4B9D">
      <w:pPr>
        <w:rPr>
          <w:sz w:val="24"/>
          <w:szCs w:val="24"/>
          <w:lang w:val="en-GB"/>
        </w:rPr>
      </w:pPr>
      <w:r w:rsidRPr="00706D35">
        <w:rPr>
          <w:sz w:val="24"/>
          <w:szCs w:val="24"/>
          <w:lang w:val="en-GB"/>
        </w:rPr>
        <w:t>In respect of budgetary constraints, the proposed policy reform also extends to equal pay reporting, which again has been inconsistent in private sector.  With 71% of the workforce being female, NPT took proactive steps and was the first Welsh council to settle the equal pay bill compensating £6.5m to over 2400 workers (Personnel Today, 2007).  With most money stemming from Welsh Government loans, this caused budgetary shortfalls in repayments until 2020.  Strategic financial planning prevented severe disruption to frontline services, preventing strike action as witnessed with Birmingham Councils equal pay claims (Unison, 2025).  To ensure pay equality, since 2007, NPT is signatory to the GLPC job evaluation (Local Government Association, 2025) whereby wage levels are set on objective assessment of role complexity and responsibility.  Whilst ensuring employees are paid fairly and equally, meeting obligation under the Equality Act (2010), the inflexibility of grades mean NPT is uncompetitive with private sector wages.</w:t>
      </w:r>
    </w:p>
    <w:p w14:paraId="5B6D15A5" w14:textId="77777777" w:rsidR="00E9438C" w:rsidRPr="00706D35" w:rsidRDefault="00E9438C" w:rsidP="006E4B9D">
      <w:pPr>
        <w:rPr>
          <w:sz w:val="24"/>
          <w:szCs w:val="24"/>
          <w:lang w:val="en-GB"/>
        </w:rPr>
      </w:pPr>
      <w:r w:rsidRPr="00706D35">
        <w:rPr>
          <w:sz w:val="24"/>
          <w:szCs w:val="24"/>
          <w:lang w:val="en-GB"/>
        </w:rPr>
        <w:t>Mandatory pay gap reporting could result in private firms investing heavily in branding campaigns to counter negative perceptions.  Adjusting pay structures to close gaps could create pay inflation, which NPT cannot match due to GLPC restraints that already create a competitive disadvantage.  Publicised marketing of the widening gap could deter applicants, causing skills shortages and lack of workforce sustainability (Lam et al, 2022).  Hard to fill roles such as engineering and social work currently have market pay supplements to erase the gap between market pricing and graded offerings.  Whilst a temporary fix, this is not financially sustainable long term, and budget prevents it being extended to other areas (Local Government, 2016).</w:t>
      </w:r>
    </w:p>
    <w:p w14:paraId="02E43349" w14:textId="353FE376" w:rsidR="00A3102D" w:rsidRDefault="00E9438C" w:rsidP="006E4B9D">
      <w:pPr>
        <w:rPr>
          <w:sz w:val="24"/>
          <w:szCs w:val="24"/>
          <w:lang w:val="en-GB"/>
        </w:rPr>
      </w:pPr>
      <w:r w:rsidRPr="00706D35">
        <w:rPr>
          <w:sz w:val="24"/>
          <w:szCs w:val="24"/>
          <w:lang w:val="en-GB"/>
        </w:rPr>
        <w:t xml:space="preserve">The Political pestle into equality reporting has uncovered potential threats to recruitment and sustainability.  Whilst positive and negative outcomes have been evaluated, to minimise impact of mandatory reporting and remain competitive, NPT should consider employee engagement benefits to attract candidates through representation whilst strengthening the Strategic Equality Plan (NPT, 2020) and bolstering the long-term sustainability of council services. </w:t>
      </w:r>
    </w:p>
    <w:p w14:paraId="07C8966F" w14:textId="491D47EC" w:rsidR="00E9438C" w:rsidRPr="00706D35" w:rsidRDefault="00A3102D" w:rsidP="006E4B9D">
      <w:pPr>
        <w:rPr>
          <w:sz w:val="24"/>
          <w:szCs w:val="24"/>
          <w:lang w:val="en-GB"/>
        </w:rPr>
      </w:pPr>
      <w:r>
        <w:rPr>
          <w:sz w:val="24"/>
          <w:szCs w:val="24"/>
          <w:lang w:val="en-GB"/>
        </w:rPr>
        <w:br w:type="page"/>
      </w:r>
    </w:p>
    <w:p w14:paraId="079030EB" w14:textId="77777777" w:rsidR="00E9438C" w:rsidRPr="00A3102D" w:rsidRDefault="00E9438C" w:rsidP="00A3102D">
      <w:pPr>
        <w:pStyle w:val="Title"/>
        <w:rPr>
          <w:rFonts w:ascii="Arial" w:hAnsi="Arial" w:cs="Arial"/>
          <w:lang w:val="en-GB"/>
        </w:rPr>
      </w:pPr>
      <w:bookmarkStart w:id="3" w:name="_Toc215331304"/>
      <w:r w:rsidRPr="00A3102D">
        <w:rPr>
          <w:rFonts w:ascii="Arial" w:hAnsi="Arial" w:cs="Arial"/>
          <w:lang w:val="en-GB"/>
        </w:rPr>
        <w:lastRenderedPageBreak/>
        <w:t>Pestle 2 – Legal</w:t>
      </w:r>
      <w:bookmarkEnd w:id="3"/>
    </w:p>
    <w:p w14:paraId="41B16018" w14:textId="77777777" w:rsidR="00E9438C" w:rsidRPr="00706D35" w:rsidRDefault="00E9438C" w:rsidP="006E4B9D">
      <w:pPr>
        <w:rPr>
          <w:sz w:val="24"/>
          <w:szCs w:val="24"/>
          <w:lang w:val="en-GB"/>
        </w:rPr>
      </w:pPr>
    </w:p>
    <w:p w14:paraId="4CC05672" w14:textId="77777777" w:rsidR="00E9438C" w:rsidRPr="00706D35" w:rsidRDefault="00E9438C" w:rsidP="006E4B9D">
      <w:pPr>
        <w:rPr>
          <w:sz w:val="24"/>
          <w:szCs w:val="24"/>
          <w:lang w:val="en-GB"/>
        </w:rPr>
      </w:pPr>
      <w:r w:rsidRPr="00706D35">
        <w:rPr>
          <w:sz w:val="24"/>
          <w:szCs w:val="24"/>
          <w:lang w:val="en-GB"/>
        </w:rPr>
        <w:t>The legal proposals of the ‘Make Work Pay’ Plan are presented in the Employment Rights Bill (2024); however, the regulations are not yet adopted into UK law.  As of 5</w:t>
      </w:r>
      <w:r w:rsidRPr="00706D35">
        <w:rPr>
          <w:sz w:val="24"/>
          <w:szCs w:val="24"/>
          <w:vertAlign w:val="superscript"/>
          <w:lang w:val="en-GB"/>
        </w:rPr>
        <w:t>th</w:t>
      </w:r>
      <w:r w:rsidRPr="00706D35">
        <w:rPr>
          <w:sz w:val="24"/>
          <w:szCs w:val="24"/>
          <w:lang w:val="en-GB"/>
        </w:rPr>
        <w:t xml:space="preserve"> November 2025, the House of Lords was still debating proposals to remove the 2-year unfair dismissal period and reduce probationary timeframe to 6 months (CIPD, 2025a).  Despite this uncertainty, NPT must review potential impact in readiness for future implementation.  Understanding the risks allows NPT to make early decisions on operations and resources.</w:t>
      </w:r>
    </w:p>
    <w:p w14:paraId="09C126E3" w14:textId="418D765A" w:rsidR="00E9438C" w:rsidRPr="00706D35" w:rsidRDefault="00E9438C" w:rsidP="006E4B9D">
      <w:pPr>
        <w:rPr>
          <w:sz w:val="24"/>
          <w:szCs w:val="24"/>
          <w:lang w:val="en-GB"/>
        </w:rPr>
      </w:pPr>
      <w:r w:rsidRPr="00706D35">
        <w:rPr>
          <w:sz w:val="24"/>
          <w:szCs w:val="24"/>
          <w:lang w:val="en-GB"/>
        </w:rPr>
        <w:t xml:space="preserve">NPT currently operates a 6-month probationary period; however, this is a policy recommendation and not mandatory for all departments (NPT, 2023).  With significant differences in directorate needs, managers implement personalised strategies depending on workforce needs.  Recycling operations rely on agency staff so don’t require dismissal services. However, street care regularly uses probationary dismissals.  Potential removal of the 2-year unfair dismissal period could open the Council to unprecedented tribunal claims.  Analysis of data from the workforce Information Report (NPT, 2025) shows 705 employees left the council last financial year, with 26% of terminations initiated by NPT.  Despite 183 people being identified for dismissal, 37 were formally dismissed but only 10 were within 2 years’ service and only 5 due to unsatisfactory probation performance.  Under existing law this presents 10 tribunal risks, however with day 1 rights, all 37 could be </w:t>
      </w:r>
      <w:proofErr w:type="gramStart"/>
      <w:r w:rsidRPr="00706D35">
        <w:rPr>
          <w:sz w:val="24"/>
          <w:szCs w:val="24"/>
          <w:lang w:val="en-GB"/>
        </w:rPr>
        <w:t>challenged</w:t>
      </w:r>
      <w:r w:rsidR="00406B97">
        <w:rPr>
          <w:sz w:val="24"/>
          <w:szCs w:val="24"/>
          <w:lang w:val="en-GB"/>
        </w:rPr>
        <w:t>;</w:t>
      </w:r>
      <w:proofErr w:type="gramEnd"/>
      <w:r w:rsidRPr="00706D35">
        <w:rPr>
          <w:sz w:val="24"/>
          <w:szCs w:val="24"/>
          <w:lang w:val="en-GB"/>
        </w:rPr>
        <w:t xml:space="preserve"> presenting additional risk.</w:t>
      </w:r>
    </w:p>
    <w:p w14:paraId="51FD9347" w14:textId="77777777" w:rsidR="00E9438C" w:rsidRDefault="00E9438C" w:rsidP="006E4B9D">
      <w:pPr>
        <w:rPr>
          <w:sz w:val="24"/>
          <w:szCs w:val="24"/>
          <w:lang w:val="en-GB"/>
        </w:rPr>
      </w:pPr>
      <w:r w:rsidRPr="00706D35">
        <w:rPr>
          <w:sz w:val="24"/>
          <w:szCs w:val="24"/>
          <w:lang w:val="en-GB"/>
        </w:rPr>
        <w:t>Gifford et al (2016) advises that average private sector tribunal investigations can cost upward of £1141 and are estimated to be significantly higher in large public sector organisations due to increased complexity of processes.  This escalates with median litigation costs of £5000, further leaving NPT susceptible to compensatory awards estimated at £6243 (ACAS, 2021). With 678 new joiners in NPT last year, if day 1 rights were introduced, dismissal of staff could become a drain on existing financial resources (NPT, 2025). Irrespective of length of service, proactive planning is still needed to ensure our probation policy is watertight and fit for purpose to keep the workforce functioning.</w:t>
      </w:r>
    </w:p>
    <w:p w14:paraId="2CBCA649" w14:textId="77777777" w:rsidR="00886C51" w:rsidRDefault="00886C51" w:rsidP="006E4B9D">
      <w:pPr>
        <w:rPr>
          <w:sz w:val="24"/>
          <w:szCs w:val="24"/>
          <w:lang w:val="en-GB"/>
        </w:rPr>
      </w:pPr>
    </w:p>
    <w:p w14:paraId="254F6325" w14:textId="41FAE6CE" w:rsidR="00122DD2" w:rsidRPr="00706D35" w:rsidRDefault="006A0112" w:rsidP="00122DD2">
      <w:pPr>
        <w:rPr>
          <w:sz w:val="24"/>
          <w:szCs w:val="24"/>
          <w:lang w:val="en-GB"/>
        </w:rPr>
      </w:pPr>
      <w:r>
        <w:rPr>
          <w:sz w:val="24"/>
          <w:szCs w:val="24"/>
          <w:lang w:val="en-GB"/>
        </w:rPr>
        <w:t xml:space="preserve">Considering last </w:t>
      </w:r>
      <w:r w:rsidR="00187B7E">
        <w:rPr>
          <w:sz w:val="24"/>
          <w:szCs w:val="24"/>
          <w:lang w:val="en-GB"/>
        </w:rPr>
        <w:t>year’s</w:t>
      </w:r>
      <w:r>
        <w:rPr>
          <w:sz w:val="24"/>
          <w:szCs w:val="24"/>
          <w:lang w:val="en-GB"/>
        </w:rPr>
        <w:t xml:space="preserve"> figures, 37 claims could total £</w:t>
      </w:r>
      <w:r w:rsidR="0067558A">
        <w:rPr>
          <w:sz w:val="24"/>
          <w:szCs w:val="24"/>
          <w:lang w:val="en-GB"/>
        </w:rPr>
        <w:t>458,208.</w:t>
      </w:r>
      <w:r w:rsidR="00886C51">
        <w:rPr>
          <w:sz w:val="24"/>
          <w:szCs w:val="24"/>
          <w:lang w:val="en-GB"/>
        </w:rPr>
        <w:t xml:space="preserve">  </w:t>
      </w:r>
      <w:r w:rsidR="00E9438C" w:rsidRPr="00706D35">
        <w:rPr>
          <w:sz w:val="24"/>
          <w:szCs w:val="24"/>
          <w:lang w:val="en-GB"/>
        </w:rPr>
        <w:t xml:space="preserve">NPT don’t have the budget for </w:t>
      </w:r>
      <w:r w:rsidR="00886C51">
        <w:rPr>
          <w:sz w:val="24"/>
          <w:szCs w:val="24"/>
          <w:lang w:val="en-GB"/>
        </w:rPr>
        <w:t xml:space="preserve">potential </w:t>
      </w:r>
      <w:r w:rsidR="00E9438C" w:rsidRPr="00706D35">
        <w:rPr>
          <w:sz w:val="24"/>
          <w:szCs w:val="24"/>
          <w:lang w:val="en-GB"/>
        </w:rPr>
        <w:t xml:space="preserve">unfair dismissal awards so </w:t>
      </w:r>
      <w:r w:rsidR="00187B7E">
        <w:rPr>
          <w:sz w:val="24"/>
          <w:szCs w:val="24"/>
          <w:lang w:val="en-GB"/>
        </w:rPr>
        <w:t xml:space="preserve">have </w:t>
      </w:r>
      <w:r w:rsidR="00E9438C" w:rsidRPr="00706D35">
        <w:rPr>
          <w:sz w:val="24"/>
          <w:szCs w:val="24"/>
          <w:lang w:val="en-GB"/>
        </w:rPr>
        <w:t>invest</w:t>
      </w:r>
      <w:r w:rsidR="00187B7E">
        <w:rPr>
          <w:sz w:val="24"/>
          <w:szCs w:val="24"/>
          <w:lang w:val="en-GB"/>
        </w:rPr>
        <w:t>ed</w:t>
      </w:r>
      <w:r w:rsidR="00E9438C" w:rsidRPr="00706D35">
        <w:rPr>
          <w:sz w:val="24"/>
          <w:szCs w:val="24"/>
          <w:lang w:val="en-GB"/>
        </w:rPr>
        <w:t xml:space="preserve"> heavily in operational hours for early resolution to prevent costly escalation</w:t>
      </w:r>
      <w:r w:rsidR="00187B7E">
        <w:rPr>
          <w:sz w:val="24"/>
          <w:szCs w:val="24"/>
          <w:lang w:val="en-GB"/>
        </w:rPr>
        <w:t xml:space="preserve"> instead</w:t>
      </w:r>
      <w:r w:rsidR="00E9438C" w:rsidRPr="00706D35">
        <w:rPr>
          <w:sz w:val="24"/>
          <w:szCs w:val="24"/>
          <w:lang w:val="en-GB"/>
        </w:rPr>
        <w:t xml:space="preserve">.  Utilising procedural safeguards, management training and Trade </w:t>
      </w:r>
      <w:r w:rsidR="00AB0E76">
        <w:rPr>
          <w:sz w:val="24"/>
          <w:szCs w:val="24"/>
          <w:lang w:val="en-GB"/>
        </w:rPr>
        <w:t>U</w:t>
      </w:r>
      <w:r w:rsidR="00E9438C" w:rsidRPr="00706D35">
        <w:rPr>
          <w:sz w:val="24"/>
          <w:szCs w:val="24"/>
          <w:lang w:val="en-GB"/>
        </w:rPr>
        <w:t>nion consultation with workplace mediation is an investment to avoid litigation that also has beneficial returns by reducing absenteeism and turnover (</w:t>
      </w:r>
      <w:proofErr w:type="spellStart"/>
      <w:r w:rsidR="00E9438C" w:rsidRPr="00706D35">
        <w:rPr>
          <w:sz w:val="24"/>
          <w:szCs w:val="24"/>
          <w:lang w:val="en-GB"/>
        </w:rPr>
        <w:t>Saundry</w:t>
      </w:r>
      <w:proofErr w:type="spellEnd"/>
      <w:r w:rsidR="00E9438C" w:rsidRPr="00706D35">
        <w:rPr>
          <w:sz w:val="24"/>
          <w:szCs w:val="24"/>
          <w:lang w:val="en-GB"/>
        </w:rPr>
        <w:t xml:space="preserve"> and Urwin, 2021).  Using mean gross hourly pay from ASHE, (ONS,2019), informal resolution is estimated at £3000 to £5000 per individual public sector case, which is still considerably less than tribunal costs, compensation and reputational damage.  </w:t>
      </w:r>
      <w:r w:rsidR="00122DD2">
        <w:rPr>
          <w:sz w:val="24"/>
          <w:szCs w:val="24"/>
          <w:lang w:val="en-GB"/>
        </w:rPr>
        <w:t>Furthermore</w:t>
      </w:r>
      <w:r w:rsidR="00122DD2" w:rsidRPr="00A21A40">
        <w:rPr>
          <w:sz w:val="24"/>
          <w:szCs w:val="24"/>
          <w:lang w:val="en-GB"/>
        </w:rPr>
        <w:t xml:space="preserve">, the education directorate makes up 38% of the workforce with 113 of last </w:t>
      </w:r>
      <w:r w:rsidR="009431A7" w:rsidRPr="00A21A40">
        <w:rPr>
          <w:sz w:val="24"/>
          <w:szCs w:val="24"/>
          <w:lang w:val="en-GB"/>
        </w:rPr>
        <w:t>year’s</w:t>
      </w:r>
      <w:r w:rsidR="00122DD2" w:rsidRPr="00A21A40">
        <w:rPr>
          <w:sz w:val="24"/>
          <w:szCs w:val="24"/>
          <w:lang w:val="en-GB"/>
        </w:rPr>
        <w:t xml:space="preserve"> leavers being teachers.  While the employment terms within NPT mean that teachers are not subject to probation, they can still qualify for unfair dismissal claims.  With only 8 dismissals within 2 years’ service, this statistic must still be factored into the presented risk</w:t>
      </w:r>
      <w:r w:rsidR="009431A7">
        <w:rPr>
          <w:sz w:val="24"/>
          <w:szCs w:val="24"/>
          <w:lang w:val="en-GB"/>
        </w:rPr>
        <w:t xml:space="preserve"> (NPT, 2024)</w:t>
      </w:r>
      <w:r w:rsidR="00122DD2" w:rsidRPr="00A21A40">
        <w:rPr>
          <w:sz w:val="24"/>
          <w:szCs w:val="24"/>
          <w:lang w:val="en-GB"/>
        </w:rPr>
        <w:t>.</w:t>
      </w:r>
      <w:r w:rsidR="00122DD2" w:rsidRPr="00706D35">
        <w:rPr>
          <w:sz w:val="24"/>
          <w:szCs w:val="24"/>
          <w:lang w:val="en-GB"/>
        </w:rPr>
        <w:t xml:space="preserve">  </w:t>
      </w:r>
    </w:p>
    <w:p w14:paraId="282EC52F" w14:textId="77777777" w:rsidR="00122DD2" w:rsidRPr="00706D35" w:rsidRDefault="00122DD2" w:rsidP="006E4B9D">
      <w:pPr>
        <w:rPr>
          <w:sz w:val="24"/>
          <w:szCs w:val="24"/>
          <w:lang w:val="en-GB"/>
        </w:rPr>
      </w:pPr>
    </w:p>
    <w:p w14:paraId="328A44A3" w14:textId="05C82963" w:rsidR="00E9438C" w:rsidRPr="00706D35" w:rsidRDefault="00E9438C" w:rsidP="006E4B9D">
      <w:pPr>
        <w:rPr>
          <w:sz w:val="24"/>
          <w:szCs w:val="24"/>
          <w:lang w:val="en-GB"/>
        </w:rPr>
      </w:pPr>
      <w:r w:rsidRPr="00706D35">
        <w:rPr>
          <w:sz w:val="24"/>
          <w:szCs w:val="24"/>
          <w:lang w:val="en-GB"/>
        </w:rPr>
        <w:t>In respect of reputational risk, negative publicity would have a devastating effect on our existing recruitment drive.  The public sector is already struggling to recruit new applicants, with The Local Government Association (2023) workforce survey report suggesting noticeable skills shortages in planning, legal and social services.  Furthermore, in 2024 NPT was struggling to fill 84% of vacancies (NPT, 2024).  With significant investment in operational recruitment and benefit provision strategies, NPT is now successfully filling 96% of vacancies</w:t>
      </w:r>
      <w:r w:rsidR="009C7A22">
        <w:rPr>
          <w:sz w:val="24"/>
          <w:szCs w:val="24"/>
          <w:lang w:val="en-GB"/>
        </w:rPr>
        <w:t xml:space="preserve"> (NPT, 2025)</w:t>
      </w:r>
      <w:r w:rsidRPr="00706D35">
        <w:rPr>
          <w:sz w:val="24"/>
          <w:szCs w:val="24"/>
          <w:lang w:val="en-GB"/>
        </w:rPr>
        <w:t>.  However, this investment could be eroded through reputational damage from tribunal claims making NPT unattractive as a potential employer.</w:t>
      </w:r>
    </w:p>
    <w:p w14:paraId="6099966C" w14:textId="77777777" w:rsidR="00307AA5" w:rsidRDefault="00307AA5" w:rsidP="006E4B9D">
      <w:pPr>
        <w:rPr>
          <w:sz w:val="24"/>
          <w:szCs w:val="24"/>
          <w:lang w:val="en-GB"/>
        </w:rPr>
      </w:pPr>
    </w:p>
    <w:p w14:paraId="7D77E565" w14:textId="4EB3BE55" w:rsidR="00E9438C" w:rsidRPr="00706D35" w:rsidRDefault="00E9438C" w:rsidP="006E4B9D">
      <w:pPr>
        <w:rPr>
          <w:sz w:val="24"/>
          <w:szCs w:val="24"/>
          <w:lang w:val="en-GB"/>
        </w:rPr>
      </w:pPr>
      <w:r w:rsidRPr="00706D35">
        <w:rPr>
          <w:sz w:val="24"/>
          <w:szCs w:val="24"/>
          <w:lang w:val="en-GB"/>
        </w:rPr>
        <w:t xml:space="preserve">With the proposed change in employment rights, the potential financial impact on the organisation from unfair dismissal from staff is substantial.  However, risks can be mitigated through ongoing correct implementation of probation.  Our existing probation policy and stringent performance management frameworks in front facing directorates already provide a competitive advantage over the private sector. Local government is continually under public scrutiny to demonstrate fairness and compliance and recent visits from the Welsh audit office provides reassurance that our existing frameworks are financially sustainable (Audit Wales, 2025), providing a further competitive advantage over less regulated private practices.  Furthermore, inhouse legal teams within corporate services ensure we are complying with legal and regulatory obligations and social partnerships with trade unions mean we have additional support when negotiating dismissal actions (Welsh Government, 2024). </w:t>
      </w:r>
    </w:p>
    <w:p w14:paraId="7BA85F21" w14:textId="77777777" w:rsidR="00E9438C" w:rsidRPr="00706D35" w:rsidRDefault="00E9438C" w:rsidP="006E4B9D">
      <w:pPr>
        <w:rPr>
          <w:sz w:val="24"/>
          <w:szCs w:val="24"/>
          <w:lang w:val="en-GB"/>
        </w:rPr>
      </w:pPr>
      <w:r w:rsidRPr="00706D35">
        <w:rPr>
          <w:sz w:val="24"/>
          <w:szCs w:val="24"/>
          <w:lang w:val="en-GB"/>
        </w:rPr>
        <w:t>The pestle analysis shows that Maintaining these social partnerships and demonstrating fair working practices even through transitional policy negotiation through the house of Lords, is key to workforce sustainability as reacting quickly to the changing legal landscape means that NPT can make decisions of a strategic nature to continue to meet the objectives under section 3.2 of the wellbeing of future generations Wales Act (2015). To keep in line with the change we need to ensure that clear performance management is utilised, maintaining documentation and legal compliance to support all decisions made.  A consistent process will demonstrate fairness and compliance, supporting a smooth transition to new ways of working.</w:t>
      </w:r>
    </w:p>
    <w:p w14:paraId="610E6838" w14:textId="77777777" w:rsidR="00E9438C" w:rsidRPr="00706D35" w:rsidRDefault="00E9438C" w:rsidP="006E4B9D">
      <w:pPr>
        <w:rPr>
          <w:sz w:val="24"/>
          <w:szCs w:val="24"/>
          <w:lang w:val="en-GB"/>
        </w:rPr>
      </w:pPr>
      <w:r w:rsidRPr="00706D35">
        <w:rPr>
          <w:sz w:val="24"/>
          <w:szCs w:val="24"/>
          <w:lang w:val="en-GB"/>
        </w:rPr>
        <w:br w:type="page"/>
      </w:r>
    </w:p>
    <w:p w14:paraId="00C10F41" w14:textId="5399DC2A" w:rsidR="00E9438C" w:rsidRDefault="00E9438C" w:rsidP="00A3102D">
      <w:pPr>
        <w:pStyle w:val="Title"/>
        <w:rPr>
          <w:rFonts w:ascii="Arial" w:hAnsi="Arial" w:cs="Arial"/>
          <w:lang w:val="en-GB"/>
        </w:rPr>
      </w:pPr>
      <w:bookmarkStart w:id="4" w:name="_Toc215331305"/>
      <w:r w:rsidRPr="00A3102D">
        <w:rPr>
          <w:rFonts w:ascii="Arial" w:hAnsi="Arial" w:cs="Arial"/>
          <w:lang w:val="en-GB"/>
        </w:rPr>
        <w:lastRenderedPageBreak/>
        <w:t xml:space="preserve">Pestle 3 </w:t>
      </w:r>
      <w:r w:rsidR="001C30CE">
        <w:rPr>
          <w:rFonts w:ascii="Arial" w:hAnsi="Arial" w:cs="Arial"/>
          <w:lang w:val="en-GB"/>
        </w:rPr>
        <w:t>–</w:t>
      </w:r>
      <w:r w:rsidRPr="00A3102D">
        <w:rPr>
          <w:rFonts w:ascii="Arial" w:hAnsi="Arial" w:cs="Arial"/>
          <w:lang w:val="en-GB"/>
        </w:rPr>
        <w:t xml:space="preserve"> Economic</w:t>
      </w:r>
      <w:bookmarkEnd w:id="4"/>
    </w:p>
    <w:p w14:paraId="427A4988" w14:textId="77777777" w:rsidR="001C30CE" w:rsidRPr="001C30CE" w:rsidRDefault="001C30CE" w:rsidP="001C30CE">
      <w:pPr>
        <w:rPr>
          <w:lang w:val="en-GB"/>
        </w:rPr>
      </w:pPr>
    </w:p>
    <w:p w14:paraId="0972DB1A" w14:textId="77777777" w:rsidR="00E9438C" w:rsidRPr="00706D35" w:rsidRDefault="00E9438C" w:rsidP="006E4B9D">
      <w:pPr>
        <w:rPr>
          <w:sz w:val="24"/>
          <w:szCs w:val="24"/>
          <w:lang w:val="en-GB"/>
        </w:rPr>
      </w:pPr>
      <w:r w:rsidRPr="00706D35">
        <w:rPr>
          <w:sz w:val="24"/>
          <w:szCs w:val="24"/>
          <w:lang w:val="en-GB"/>
        </w:rPr>
        <w:t xml:space="preserve">The latest developments in the UK governments making work pay agenda (2025), proposes significant shifts towards stronger working and living conditions for employees, however CIPD, (2025a) has warned these reforms are predicted to put significant economic pressure on organisations as 36% of employers have already reported severe financial impacts from last year’s national insurance rise (CIPD, 2025b).  </w:t>
      </w:r>
    </w:p>
    <w:p w14:paraId="164C278D" w14:textId="213A678E" w:rsidR="00E9438C" w:rsidRPr="00706D35" w:rsidRDefault="00E9438C" w:rsidP="006E4B9D">
      <w:pPr>
        <w:rPr>
          <w:sz w:val="24"/>
          <w:szCs w:val="24"/>
          <w:lang w:val="en-GB"/>
        </w:rPr>
      </w:pPr>
      <w:r w:rsidRPr="00706D35">
        <w:rPr>
          <w:sz w:val="24"/>
          <w:szCs w:val="24"/>
          <w:lang w:val="en-GB"/>
        </w:rPr>
        <w:t>NPT employs around 6900 employees with staffing costs accounting for 46.6% o</w:t>
      </w:r>
      <w:r w:rsidR="002E112D">
        <w:rPr>
          <w:sz w:val="24"/>
          <w:szCs w:val="24"/>
          <w:lang w:val="en-GB"/>
        </w:rPr>
        <w:t>f</w:t>
      </w:r>
      <w:r w:rsidRPr="00706D35">
        <w:rPr>
          <w:sz w:val="24"/>
          <w:szCs w:val="24"/>
          <w:lang w:val="en-GB"/>
        </w:rPr>
        <w:t xml:space="preserve"> £281 million of gross expenditure (NPT, 2025).  Entry level minimum wage</w:t>
      </w:r>
      <w:r w:rsidR="002E112D">
        <w:rPr>
          <w:sz w:val="24"/>
          <w:szCs w:val="24"/>
          <w:lang w:val="en-GB"/>
        </w:rPr>
        <w:t xml:space="preserve"> roles</w:t>
      </w:r>
      <w:r w:rsidRPr="00706D35">
        <w:rPr>
          <w:sz w:val="24"/>
          <w:szCs w:val="24"/>
          <w:lang w:val="en-GB"/>
        </w:rPr>
        <w:t xml:space="preserve"> account for 26.5% of that expenditure, providing services in catering, cleaning and social care.  The Council’s budget has previously </w:t>
      </w:r>
      <w:r w:rsidR="006B62EA">
        <w:rPr>
          <w:sz w:val="24"/>
          <w:szCs w:val="24"/>
          <w:lang w:val="en-GB"/>
        </w:rPr>
        <w:t>encountered advers</w:t>
      </w:r>
      <w:r w:rsidR="0043789C">
        <w:rPr>
          <w:sz w:val="24"/>
          <w:szCs w:val="24"/>
          <w:lang w:val="en-GB"/>
        </w:rPr>
        <w:t xml:space="preserve">ity from </w:t>
      </w:r>
      <w:r w:rsidRPr="00706D35">
        <w:rPr>
          <w:sz w:val="24"/>
          <w:szCs w:val="24"/>
          <w:lang w:val="en-GB"/>
        </w:rPr>
        <w:t>the 9.8% increase to the national Living Wage in 2024.  This resulted in service cuts and 30 voluntary redundancies in non-statutory services (NPT, 2024).  A £15 million budget shortfall is already identified in 2025 because of Welsh assembly budget cuts (Hains, 2025).  Any further increase in salaries will add exponential pressure, forcing the council further into cost saving measures (</w:t>
      </w:r>
      <w:proofErr w:type="spellStart"/>
      <w:r w:rsidRPr="00706D35">
        <w:rPr>
          <w:sz w:val="24"/>
          <w:szCs w:val="24"/>
          <w:lang w:val="en-GB"/>
        </w:rPr>
        <w:t>Favorido</w:t>
      </w:r>
      <w:proofErr w:type="spellEnd"/>
      <w:r w:rsidRPr="00706D35">
        <w:rPr>
          <w:sz w:val="24"/>
          <w:szCs w:val="24"/>
          <w:lang w:val="en-GB"/>
        </w:rPr>
        <w:t>, 2025).  The proposed 6.7% increase for workers 21 and over, alongside further increase in youth rates (Gov.uk 2024), will support low paid workers and contribute to the improvement of community living standards.  However inflated staffing costs will undoubtedly place further financial strain on resources causing detriment to the communities that the bill aims to support.</w:t>
      </w:r>
    </w:p>
    <w:p w14:paraId="0296068F" w14:textId="77777777" w:rsidR="00E9438C" w:rsidRPr="00706D35" w:rsidRDefault="00E9438C" w:rsidP="006E4B9D">
      <w:pPr>
        <w:rPr>
          <w:sz w:val="24"/>
          <w:szCs w:val="24"/>
          <w:lang w:val="en-GB"/>
        </w:rPr>
      </w:pPr>
      <w:r w:rsidRPr="00706D35">
        <w:rPr>
          <w:sz w:val="24"/>
          <w:szCs w:val="24"/>
          <w:lang w:val="en-GB"/>
        </w:rPr>
        <w:t>As of 26</w:t>
      </w:r>
      <w:r w:rsidRPr="00706D35">
        <w:rPr>
          <w:sz w:val="24"/>
          <w:szCs w:val="24"/>
          <w:vertAlign w:val="superscript"/>
          <w:lang w:val="en-GB"/>
        </w:rPr>
        <w:t>th</w:t>
      </w:r>
      <w:r w:rsidRPr="00706D35">
        <w:rPr>
          <w:sz w:val="24"/>
          <w:szCs w:val="24"/>
          <w:lang w:val="en-GB"/>
        </w:rPr>
        <w:t xml:space="preserve"> November 2025, the low pay commission has advised that national living wage for aged 21 and over will rise by 50p to £12.71 per hour (Gov.uk, 2025).  Using data from NPT pay policy statement 2025/2026, records show that 1830 staff would be eligible for the proposed wage change.  With an average 37-hour week, increased wage costs are estimated to be £962 per employee per year, making a total cost of £1,760,460 which is financially unsustainable.</w:t>
      </w:r>
    </w:p>
    <w:p w14:paraId="50864BDD" w14:textId="77777777" w:rsidR="00E9438C" w:rsidRPr="00706D35" w:rsidRDefault="00E9438C" w:rsidP="006E4B9D">
      <w:pPr>
        <w:rPr>
          <w:sz w:val="24"/>
          <w:szCs w:val="24"/>
          <w:lang w:val="en-GB"/>
        </w:rPr>
      </w:pPr>
      <w:r w:rsidRPr="00706D35">
        <w:rPr>
          <w:sz w:val="24"/>
          <w:szCs w:val="24"/>
          <w:lang w:val="en-GB"/>
        </w:rPr>
        <w:t>NPT has previously implemented recruitment freezes and departmental restructures to redistribute existing staff to create salary savings.  Combined with tightening of the labour market and increased competition for available talent (Low Pay Commission, 2024) means we have struggled to provide essential services in housing and care.  Despite the wage increase expecting to cover trends in inflation up to 2026, the government may have failed to consider the full impact on businesses and the struggling public sector economy.</w:t>
      </w:r>
    </w:p>
    <w:p w14:paraId="4B19506A" w14:textId="77777777" w:rsidR="00E9438C" w:rsidRPr="00706D35" w:rsidRDefault="00E9438C" w:rsidP="006E4B9D">
      <w:pPr>
        <w:rPr>
          <w:sz w:val="24"/>
          <w:szCs w:val="24"/>
          <w:lang w:val="en-GB"/>
        </w:rPr>
      </w:pPr>
      <w:r w:rsidRPr="00706D35">
        <w:rPr>
          <w:sz w:val="24"/>
          <w:szCs w:val="24"/>
          <w:lang w:val="en-GB"/>
        </w:rPr>
        <w:t xml:space="preserve">Improved pay for lower-income workers has been proven to enhance living standards within other EU countries (Bailey, DiNardo and Stuart, 2021).  Higher wages can also make our employee benefit package more attractive for entry roles, strengthening Council retention, especially in low employment areas like Neath and Port Talbot (Xu and Zhu, 2023).  Furthermore, by narrowing the pay gap between council roles and those in the private social care sector, the council will be better positioned to attract and compete for skilled care professionals.  </w:t>
      </w:r>
    </w:p>
    <w:p w14:paraId="252ED39E" w14:textId="77777777" w:rsidR="00E9438C" w:rsidRPr="00706D35" w:rsidRDefault="00E9438C" w:rsidP="006E4B9D">
      <w:pPr>
        <w:rPr>
          <w:sz w:val="24"/>
          <w:szCs w:val="24"/>
          <w:lang w:val="en-GB"/>
        </w:rPr>
      </w:pPr>
      <w:r w:rsidRPr="00706D35">
        <w:rPr>
          <w:sz w:val="24"/>
          <w:szCs w:val="24"/>
          <w:lang w:val="en-GB"/>
        </w:rPr>
        <w:t>The increase in spendable income is also expected to stimulate the economy in NPT, which is historically categorised as being financially inactive area (</w:t>
      </w:r>
      <w:proofErr w:type="spellStart"/>
      <w:r w:rsidRPr="00706D35">
        <w:rPr>
          <w:sz w:val="24"/>
          <w:szCs w:val="24"/>
          <w:lang w:val="en-GB"/>
        </w:rPr>
        <w:t>Gov.wales</w:t>
      </w:r>
      <w:proofErr w:type="spellEnd"/>
      <w:r w:rsidRPr="00706D35">
        <w:rPr>
          <w:sz w:val="24"/>
          <w:szCs w:val="24"/>
          <w:lang w:val="en-GB"/>
        </w:rPr>
        <w:t>, 2015).  With some of the highest unemployment and benefit dependency in Wales (ONS, 2025), better pay for low-income workers should reduce poverty and welfare reliance, aligning with Welsh assembly government Trailblazer initiative (</w:t>
      </w:r>
      <w:proofErr w:type="spellStart"/>
      <w:r w:rsidRPr="00706D35">
        <w:rPr>
          <w:sz w:val="24"/>
          <w:szCs w:val="24"/>
          <w:lang w:val="en-GB"/>
        </w:rPr>
        <w:t>Gov.wales</w:t>
      </w:r>
      <w:proofErr w:type="spellEnd"/>
      <w:r w:rsidRPr="00706D35">
        <w:rPr>
          <w:sz w:val="24"/>
          <w:szCs w:val="24"/>
          <w:lang w:val="en-GB"/>
        </w:rPr>
        <w:t xml:space="preserve">, 2025).  However, the increased wage bill for the council has not been factored into the allocated budget spend, raising the likely need for departmental service cuts.  </w:t>
      </w:r>
    </w:p>
    <w:p w14:paraId="10791776" w14:textId="383EBECF" w:rsidR="00E9438C" w:rsidRPr="00706D35" w:rsidRDefault="00E9438C" w:rsidP="006E4B9D">
      <w:pPr>
        <w:rPr>
          <w:sz w:val="24"/>
          <w:szCs w:val="24"/>
          <w:lang w:val="en-GB"/>
        </w:rPr>
      </w:pPr>
      <w:r w:rsidRPr="00706D35">
        <w:rPr>
          <w:sz w:val="24"/>
          <w:szCs w:val="24"/>
          <w:lang w:val="en-GB"/>
        </w:rPr>
        <w:t xml:space="preserve">Private sector businesses can pass the increase onto the end consumer to mitigate financial detriment (Rudkin, 2024).  NPT does not have this </w:t>
      </w:r>
      <w:r w:rsidR="005C32A8">
        <w:rPr>
          <w:sz w:val="24"/>
          <w:szCs w:val="24"/>
          <w:lang w:val="en-GB"/>
        </w:rPr>
        <w:t>luxury,</w:t>
      </w:r>
      <w:r w:rsidRPr="00706D35">
        <w:rPr>
          <w:sz w:val="24"/>
          <w:szCs w:val="24"/>
          <w:lang w:val="en-GB"/>
        </w:rPr>
        <w:t xml:space="preserve"> so strategic planning is needed to investigate potential savings in other areas to make up budget deficit.  Many departments (including HR) lack viable cost-cutting options, meaning that savings can only be achieved </w:t>
      </w:r>
      <w:r w:rsidRPr="00706D35">
        <w:rPr>
          <w:sz w:val="24"/>
          <w:szCs w:val="24"/>
          <w:lang w:val="en-GB"/>
        </w:rPr>
        <w:lastRenderedPageBreak/>
        <w:t>through the termination of roles, which risks undermining service capacity and workforce morale.  Forced redundancies pose a risk of disruption to essential community services and increases pressure on existing staff, leading to reducing wellbeing, poor work life balance and increased mental health issues (Rydell and Storman, 2022).</w:t>
      </w:r>
    </w:p>
    <w:p w14:paraId="1085D326" w14:textId="3B31474E" w:rsidR="00E9438C" w:rsidRPr="00706D35" w:rsidRDefault="00E9438C" w:rsidP="006E4B9D">
      <w:pPr>
        <w:rPr>
          <w:sz w:val="24"/>
          <w:szCs w:val="24"/>
          <w:lang w:val="en-GB"/>
        </w:rPr>
      </w:pPr>
      <w:r w:rsidRPr="00706D35">
        <w:rPr>
          <w:sz w:val="24"/>
          <w:szCs w:val="24"/>
          <w:lang w:val="en-GB"/>
        </w:rPr>
        <w:t xml:space="preserve">From a social perspective, increasing base wages may pose an unprecedented risk to employee engagement and staff morale as cleaners will be on the same wage as their supervisory officers.  Staff may feel additional responsibilities are unrewarded and could become less willing to take on extra management duties or even seek alternative employment in the private sector consequentially increasing turnover and inflating recruitment and training costs.  The CIPD has also advised that salary reforms are needed to safeguard employee welfare, however the worker protections must be balanced with business sustainability to avoid unintended job losses and community instability.  NPT </w:t>
      </w:r>
      <w:r w:rsidR="0037006E" w:rsidRPr="00706D35">
        <w:rPr>
          <w:sz w:val="24"/>
          <w:szCs w:val="24"/>
          <w:lang w:val="en-GB"/>
        </w:rPr>
        <w:t>must</w:t>
      </w:r>
      <w:r w:rsidRPr="00706D35">
        <w:rPr>
          <w:sz w:val="24"/>
          <w:szCs w:val="24"/>
          <w:lang w:val="en-GB"/>
        </w:rPr>
        <w:t xml:space="preserve"> balance the duty to secure value for money in the use of its resources Under the Public Wales Act (2004), whilst also ensuring sustainable employment and meeting community and staff wellbeing objectives (Future Generations Act, 2015)</w:t>
      </w:r>
    </w:p>
    <w:p w14:paraId="79022501" w14:textId="27BDF6AD" w:rsidR="00E9438C" w:rsidRPr="00706D35" w:rsidRDefault="00E9438C" w:rsidP="006E4B9D">
      <w:pPr>
        <w:rPr>
          <w:sz w:val="24"/>
          <w:szCs w:val="24"/>
          <w:lang w:val="en-GB"/>
        </w:rPr>
      </w:pPr>
      <w:r w:rsidRPr="00706D35">
        <w:rPr>
          <w:sz w:val="24"/>
          <w:szCs w:val="24"/>
          <w:lang w:val="en-GB"/>
        </w:rPr>
        <w:t>Traditionally NPT has mirrored other authorities and cut services from the bottom to save costs (</w:t>
      </w:r>
      <w:proofErr w:type="spellStart"/>
      <w:r w:rsidRPr="00706D35">
        <w:rPr>
          <w:sz w:val="24"/>
          <w:szCs w:val="24"/>
          <w:lang w:val="en-GB"/>
        </w:rPr>
        <w:t>Higashikata</w:t>
      </w:r>
      <w:proofErr w:type="spellEnd"/>
      <w:r w:rsidRPr="00706D35">
        <w:rPr>
          <w:sz w:val="24"/>
          <w:szCs w:val="24"/>
          <w:lang w:val="en-GB"/>
        </w:rPr>
        <w:t xml:space="preserve">, 2021).  However, considering the negative operational impact and strain on social </w:t>
      </w:r>
      <w:r w:rsidR="006344FE">
        <w:rPr>
          <w:sz w:val="24"/>
          <w:szCs w:val="24"/>
          <w:lang w:val="en-GB"/>
        </w:rPr>
        <w:t>T</w:t>
      </w:r>
      <w:r w:rsidRPr="00706D35">
        <w:rPr>
          <w:sz w:val="24"/>
          <w:szCs w:val="24"/>
          <w:lang w:val="en-GB"/>
        </w:rPr>
        <w:t xml:space="preserve">rade </w:t>
      </w:r>
      <w:r w:rsidR="006344FE">
        <w:rPr>
          <w:sz w:val="24"/>
          <w:szCs w:val="24"/>
          <w:lang w:val="en-GB"/>
        </w:rPr>
        <w:t>U</w:t>
      </w:r>
      <w:r w:rsidRPr="00706D35">
        <w:rPr>
          <w:sz w:val="24"/>
          <w:szCs w:val="24"/>
          <w:lang w:val="en-GB"/>
        </w:rPr>
        <w:t>nion partnership, any shortfall will prevent NPT from achieving the community service delivery plan.  NPT could follow the lead of Brooke Weston Trust whereby to avoid teacher redundancies, the CEO has voluntarily forgone a pay increase to address the budget pressures facing the school (Jolly, 2025).  This would however need review from the local government authority to ensure compliance with section 41 of the Public Audit Act (2004) demonstrating value for money for provision of services.</w:t>
      </w:r>
    </w:p>
    <w:p w14:paraId="62528D26" w14:textId="77777777" w:rsidR="00E9438C" w:rsidRPr="00706D35" w:rsidRDefault="00E9438C" w:rsidP="006E4B9D">
      <w:pPr>
        <w:rPr>
          <w:sz w:val="24"/>
          <w:szCs w:val="24"/>
          <w:lang w:val="en-GB"/>
        </w:rPr>
      </w:pPr>
      <w:r w:rsidRPr="00706D35">
        <w:rPr>
          <w:sz w:val="24"/>
          <w:szCs w:val="24"/>
          <w:lang w:val="en-GB"/>
        </w:rPr>
        <w:br w:type="page"/>
      </w:r>
    </w:p>
    <w:p w14:paraId="13FDD954" w14:textId="77777777" w:rsidR="00E9438C" w:rsidRDefault="00E9438C" w:rsidP="00A3102D">
      <w:pPr>
        <w:pStyle w:val="Title"/>
        <w:rPr>
          <w:rFonts w:ascii="Arial" w:hAnsi="Arial" w:cs="Arial"/>
          <w:lang w:val="en-GB"/>
        </w:rPr>
      </w:pPr>
      <w:bookmarkStart w:id="5" w:name="_Toc215331306"/>
      <w:r w:rsidRPr="00A3102D">
        <w:rPr>
          <w:rFonts w:ascii="Arial" w:hAnsi="Arial" w:cs="Arial"/>
          <w:lang w:val="en-GB"/>
        </w:rPr>
        <w:lastRenderedPageBreak/>
        <w:t>Conclusion</w:t>
      </w:r>
      <w:bookmarkEnd w:id="5"/>
    </w:p>
    <w:p w14:paraId="0EC58848" w14:textId="77777777" w:rsidR="00A3102D" w:rsidRPr="00A3102D" w:rsidRDefault="00A3102D" w:rsidP="00A3102D">
      <w:pPr>
        <w:rPr>
          <w:lang w:val="en-GB"/>
        </w:rPr>
      </w:pPr>
    </w:p>
    <w:p w14:paraId="0C871BEC" w14:textId="52CA86F6" w:rsidR="00E9438C" w:rsidRPr="00706D35" w:rsidRDefault="00E9438C" w:rsidP="006E4B9D">
      <w:pPr>
        <w:rPr>
          <w:sz w:val="24"/>
          <w:szCs w:val="24"/>
          <w:lang w:val="en-GB"/>
        </w:rPr>
      </w:pPr>
      <w:r w:rsidRPr="00706D35">
        <w:rPr>
          <w:sz w:val="24"/>
          <w:szCs w:val="24"/>
          <w:lang w:val="en-GB"/>
        </w:rPr>
        <w:t>A Pestle analysis of the make work pay plan has identified benefits and potential risks to NPT. Whilst existing equality reporting covers forthcoming mandatory requirements, private sector reactions to counter negative pay gap reporting will increase recruitment competition</w:t>
      </w:r>
      <w:r w:rsidR="009602F2">
        <w:rPr>
          <w:sz w:val="24"/>
          <w:szCs w:val="24"/>
          <w:lang w:val="en-GB"/>
        </w:rPr>
        <w:t xml:space="preserve"> (</w:t>
      </w:r>
      <w:r w:rsidR="00F62F64">
        <w:rPr>
          <w:sz w:val="24"/>
          <w:szCs w:val="24"/>
          <w:lang w:val="en-GB"/>
        </w:rPr>
        <w:t>O’Sullivan, 2024)</w:t>
      </w:r>
      <w:r w:rsidRPr="00706D35">
        <w:rPr>
          <w:sz w:val="24"/>
          <w:szCs w:val="24"/>
          <w:lang w:val="en-GB"/>
        </w:rPr>
        <w:t xml:space="preserve">.  NPT cannot compete with potential private sector pay inflation so strategic action is needed to expand representative talent pipelines through non-financial employee engagement initiatives instead.  </w:t>
      </w:r>
    </w:p>
    <w:p w14:paraId="3646ED40" w14:textId="77777777" w:rsidR="00E9438C" w:rsidRDefault="00E9438C" w:rsidP="006E4B9D">
      <w:pPr>
        <w:rPr>
          <w:sz w:val="24"/>
          <w:szCs w:val="24"/>
          <w:lang w:val="en-GB"/>
        </w:rPr>
      </w:pPr>
      <w:r w:rsidRPr="00706D35">
        <w:rPr>
          <w:sz w:val="24"/>
          <w:szCs w:val="24"/>
          <w:lang w:val="en-GB"/>
        </w:rPr>
        <w:t>Granting day one employment rights and reduction of probationary security could open NPT to increased unaffordable litigation and tribunal claims. Strengthening social partnerships with trade unions and training on employment policies will support managers in negotiation and prevention of tribunal escalations.  However consequential costs should be considered.</w:t>
      </w:r>
    </w:p>
    <w:p w14:paraId="5A0872C9" w14:textId="6D9D73DA" w:rsidR="00E9438C" w:rsidRDefault="001C30CE" w:rsidP="006E4B9D">
      <w:pPr>
        <w:rPr>
          <w:sz w:val="24"/>
          <w:szCs w:val="24"/>
          <w:lang w:val="en-GB"/>
        </w:rPr>
      </w:pPr>
      <w:r w:rsidRPr="00706D35">
        <w:rPr>
          <w:sz w:val="24"/>
          <w:szCs w:val="24"/>
          <w:lang w:val="en-GB"/>
        </w:rPr>
        <w:t>Economic</w:t>
      </w:r>
      <w:r w:rsidR="00E9438C" w:rsidRPr="00706D35">
        <w:rPr>
          <w:sz w:val="24"/>
          <w:szCs w:val="24"/>
          <w:lang w:val="en-GB"/>
        </w:rPr>
        <w:t xml:space="preserve"> factors surrounding the increase in minimum wage for all workers presents an unmanageable wage bill that is outside current budget capabilities (NPT, 2025).  To avoid a cut in statutory services and mass redundancies, cost saving measures need to be implemented to maintain workforce stability and reputational cohesion. </w:t>
      </w:r>
    </w:p>
    <w:p w14:paraId="5857B667" w14:textId="77777777" w:rsidR="00A3102D" w:rsidRPr="00706D35" w:rsidRDefault="00A3102D" w:rsidP="006E4B9D">
      <w:pPr>
        <w:rPr>
          <w:rFonts w:eastAsiaTheme="minorHAnsi"/>
          <w:sz w:val="24"/>
          <w:szCs w:val="24"/>
          <w:lang w:val="en-GB"/>
        </w:rPr>
      </w:pPr>
    </w:p>
    <w:p w14:paraId="11286E40" w14:textId="77777777" w:rsidR="00E9438C" w:rsidRPr="00A3102D" w:rsidRDefault="00E9438C" w:rsidP="00A3102D">
      <w:pPr>
        <w:pStyle w:val="Title"/>
        <w:rPr>
          <w:rFonts w:ascii="Arial" w:hAnsi="Arial" w:cs="Arial"/>
          <w:lang w:val="en-GB"/>
        </w:rPr>
      </w:pPr>
      <w:bookmarkStart w:id="6" w:name="_Toc215331307"/>
      <w:r w:rsidRPr="00A3102D">
        <w:rPr>
          <w:rFonts w:ascii="Arial" w:hAnsi="Arial" w:cs="Arial"/>
          <w:lang w:val="en-GB"/>
        </w:rPr>
        <w:t>Recommendations</w:t>
      </w:r>
      <w:bookmarkEnd w:id="6"/>
    </w:p>
    <w:p w14:paraId="571A4FEF" w14:textId="77777777" w:rsidR="00E9438C" w:rsidRPr="00706D35" w:rsidRDefault="00E9438C" w:rsidP="006E4B9D">
      <w:pPr>
        <w:rPr>
          <w:sz w:val="24"/>
          <w:szCs w:val="24"/>
          <w:lang w:val="en-GB"/>
        </w:rPr>
      </w:pPr>
    </w:p>
    <w:p w14:paraId="277976FE" w14:textId="77777777" w:rsidR="00E9438C" w:rsidRPr="00706D35" w:rsidRDefault="00E9438C" w:rsidP="002F0EDF">
      <w:pPr>
        <w:pStyle w:val="ListParagraph"/>
        <w:widowControl/>
        <w:numPr>
          <w:ilvl w:val="0"/>
          <w:numId w:val="1"/>
        </w:numPr>
        <w:autoSpaceDE/>
        <w:autoSpaceDN/>
        <w:spacing w:after="160"/>
        <w:contextualSpacing/>
        <w:rPr>
          <w:sz w:val="24"/>
          <w:szCs w:val="24"/>
          <w:lang w:val="en-GB"/>
        </w:rPr>
      </w:pPr>
      <w:r w:rsidRPr="00706D35">
        <w:rPr>
          <w:sz w:val="24"/>
          <w:szCs w:val="24"/>
          <w:lang w:val="en-GB"/>
        </w:rPr>
        <w:t>To maintain budget stability and plan for the increase in national minimum wage NPT should implement a recruitment freeze in non-essential and management roles mirroring actions taken in 2010 to counter the predicted £24million budget gap in 2014 (BBC, 2010).</w:t>
      </w:r>
    </w:p>
    <w:p w14:paraId="79D6A8B7"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Union consultation on roles would be needed, however using new joiner data (NPT, 2025), freezing non-support service roles in Leisure, Tourism, Property and Business Services could save 25 grade 9 roles and 12 grade 10 roles, totalling an estimated saving of £1,450,000.</w:t>
      </w:r>
    </w:p>
    <w:p w14:paraId="3B136865"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A planned cut to overtime on those could also be used to mitigate finances further at an estimated cost of £1 million.</w:t>
      </w:r>
    </w:p>
    <w:p w14:paraId="7298C487"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Stakeholder consultation would be needed to manage employee communication and avoid reputational damage.</w:t>
      </w:r>
    </w:p>
    <w:p w14:paraId="69B86713" w14:textId="77777777" w:rsidR="00E9438C" w:rsidRPr="00706D35" w:rsidRDefault="00E9438C" w:rsidP="006E4B9D">
      <w:pPr>
        <w:pStyle w:val="ListParagraph"/>
        <w:ind w:left="1440" w:firstLine="0"/>
        <w:rPr>
          <w:sz w:val="24"/>
          <w:szCs w:val="24"/>
          <w:lang w:val="en-GB"/>
        </w:rPr>
      </w:pPr>
    </w:p>
    <w:p w14:paraId="625743CE" w14:textId="77777777" w:rsidR="00E9438C" w:rsidRPr="00706D35" w:rsidRDefault="00E9438C" w:rsidP="002F0EDF">
      <w:pPr>
        <w:pStyle w:val="ListParagraph"/>
        <w:widowControl/>
        <w:numPr>
          <w:ilvl w:val="0"/>
          <w:numId w:val="1"/>
        </w:numPr>
        <w:autoSpaceDE/>
        <w:autoSpaceDN/>
        <w:spacing w:after="160"/>
        <w:contextualSpacing/>
        <w:rPr>
          <w:sz w:val="24"/>
          <w:szCs w:val="24"/>
          <w:lang w:val="en-GB"/>
        </w:rPr>
      </w:pPr>
      <w:r w:rsidRPr="00706D35">
        <w:rPr>
          <w:sz w:val="24"/>
          <w:szCs w:val="24"/>
          <w:lang w:val="en-GB"/>
        </w:rPr>
        <w:t>To ensure a smooth transition with changes to employment rights and probationary periods, NPT should implement recruitment and retention training to all hiring managers.</w:t>
      </w:r>
    </w:p>
    <w:p w14:paraId="48D111FF"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Mandatory Training of revised policy implementation, legal changes, and financial implications will strengthen relilience and protect NPT from potential claims.  Training pack creation is estimated at 20 operational hours, managed by the internal training team resource.  Delivery will be scheduled 2-hour workshops for all 200 operational managers with 400-hour operational impact.  Disruption will be minimal with release spread across departments but resource cost of 420 hours at £15 per hour is estimated at £6300 as a one-off cost.</w:t>
      </w:r>
    </w:p>
    <w:p w14:paraId="17AC4D83"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 xml:space="preserve">With estimated 20 new managers appointed a year, additional annual sessions should be offered for new management joiners at £600 per year.  </w:t>
      </w:r>
    </w:p>
    <w:p w14:paraId="48266751"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Return on investment will be through avoidance or reduction of tribunal claims.  Additional benefits will be gained from management upskill and investment in staff development.</w:t>
      </w:r>
    </w:p>
    <w:p w14:paraId="04566845" w14:textId="77777777" w:rsidR="00E9438C" w:rsidRPr="00706D35" w:rsidRDefault="00E9438C" w:rsidP="006E4B9D">
      <w:pPr>
        <w:pStyle w:val="ListParagraph"/>
        <w:ind w:left="720" w:firstLine="0"/>
        <w:rPr>
          <w:sz w:val="24"/>
          <w:szCs w:val="24"/>
          <w:lang w:val="en-GB"/>
        </w:rPr>
      </w:pPr>
    </w:p>
    <w:p w14:paraId="01EACA61" w14:textId="77777777" w:rsidR="00E9438C" w:rsidRPr="00706D35" w:rsidRDefault="00E9438C" w:rsidP="002F0EDF">
      <w:pPr>
        <w:pStyle w:val="ListParagraph"/>
        <w:widowControl/>
        <w:numPr>
          <w:ilvl w:val="0"/>
          <w:numId w:val="1"/>
        </w:numPr>
        <w:autoSpaceDE/>
        <w:autoSpaceDN/>
        <w:spacing w:after="160"/>
        <w:contextualSpacing/>
        <w:rPr>
          <w:sz w:val="24"/>
          <w:szCs w:val="24"/>
          <w:lang w:val="en-GB"/>
        </w:rPr>
      </w:pPr>
      <w:r w:rsidRPr="00706D35">
        <w:rPr>
          <w:sz w:val="24"/>
          <w:szCs w:val="24"/>
          <w:lang w:val="en-GB"/>
        </w:rPr>
        <w:lastRenderedPageBreak/>
        <w:t>To bolster recruitment and remain competitive following diversity and pay gap reporting, NPT should Set up a disability and ethnic minority network to support underrepresented employees whilst fulfilling the equality commitments outlined in the make work pay plan.</w:t>
      </w:r>
    </w:p>
    <w:p w14:paraId="27629E44"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Strengthening internal alignments can tackle inequality and improve representation by providing a voice for employees to feel valued by sharing experiences and allowing them to contribute to development of inclusive policies and practices.  Embedding diversity will improve trust, engagement and provide a springboard for marketing the council as an inclusive workplace to potential applicants.</w:t>
      </w:r>
    </w:p>
    <w:p w14:paraId="0D5E64EF"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Creation of the network will require a policy change to incorporate memorandum of understanding for network purpose and outlines responsibilities and permissions.  Previous network creation for carers was costed at approximately £1000 of operational hours.  Indirect costs of membership lost operational hours is negligible at 2 hours per quarterly meeting.  Administration will be voluntary with no additional wage for staff participants.</w:t>
      </w:r>
    </w:p>
    <w:p w14:paraId="7952E137" w14:textId="77777777" w:rsidR="00E9438C" w:rsidRPr="00706D35" w:rsidRDefault="00E9438C" w:rsidP="002F0EDF">
      <w:pPr>
        <w:pStyle w:val="ListParagraph"/>
        <w:widowControl/>
        <w:numPr>
          <w:ilvl w:val="1"/>
          <w:numId w:val="1"/>
        </w:numPr>
        <w:autoSpaceDE/>
        <w:autoSpaceDN/>
        <w:spacing w:after="160"/>
        <w:contextualSpacing/>
        <w:rPr>
          <w:sz w:val="24"/>
          <w:szCs w:val="24"/>
          <w:lang w:val="en-GB"/>
        </w:rPr>
      </w:pPr>
      <w:r w:rsidRPr="00706D35">
        <w:rPr>
          <w:sz w:val="24"/>
          <w:szCs w:val="24"/>
          <w:lang w:val="en-GB"/>
        </w:rPr>
        <w:t>Return on investment will include immediate marketing potential of good news stories across social media and the community borough, demonstrating NPT commitment to equality.  Instead of merely complying with legislation change, we are proactive in culture creation, forward policy thinking and enhancing our brand attractiveness to the talent pool.  Ethnic and disability data monitoring should resultantly show an increase in workers over the next 1-2 years. Bolstering our workforce.</w:t>
      </w:r>
    </w:p>
    <w:p w14:paraId="7B96E440" w14:textId="77777777" w:rsidR="00E9438C" w:rsidRPr="00706D35" w:rsidRDefault="00E9438C" w:rsidP="006E4B9D">
      <w:pPr>
        <w:rPr>
          <w:sz w:val="24"/>
          <w:szCs w:val="24"/>
          <w:lang w:val="en-GB"/>
        </w:rPr>
      </w:pPr>
    </w:p>
    <w:p w14:paraId="66BF7365" w14:textId="77777777" w:rsidR="00E9438C" w:rsidRPr="00706D35" w:rsidRDefault="00E9438C" w:rsidP="006E4B9D">
      <w:pPr>
        <w:rPr>
          <w:sz w:val="24"/>
          <w:szCs w:val="24"/>
          <w:lang w:val="en-GB"/>
        </w:rPr>
      </w:pPr>
      <w:r w:rsidRPr="00706D35">
        <w:rPr>
          <w:sz w:val="24"/>
          <w:szCs w:val="24"/>
          <w:lang w:val="en-GB"/>
        </w:rPr>
        <w:br w:type="page"/>
      </w:r>
    </w:p>
    <w:p w14:paraId="59BAC52D" w14:textId="77777777" w:rsidR="00E9438C" w:rsidRDefault="00E9438C" w:rsidP="00A3102D">
      <w:pPr>
        <w:pStyle w:val="Title"/>
        <w:rPr>
          <w:rFonts w:ascii="Arial" w:hAnsi="Arial" w:cs="Arial"/>
          <w:lang w:val="en-GB"/>
        </w:rPr>
      </w:pPr>
      <w:r w:rsidRPr="00A3102D">
        <w:rPr>
          <w:rFonts w:ascii="Arial" w:hAnsi="Arial" w:cs="Arial"/>
          <w:lang w:val="en-GB"/>
        </w:rPr>
        <w:lastRenderedPageBreak/>
        <w:t xml:space="preserve">References </w:t>
      </w:r>
    </w:p>
    <w:p w14:paraId="3ECCCD24" w14:textId="77777777" w:rsidR="00A3102D" w:rsidRPr="00A3102D" w:rsidRDefault="00A3102D" w:rsidP="00A3102D">
      <w:pPr>
        <w:rPr>
          <w:lang w:val="en-GB"/>
        </w:rPr>
      </w:pPr>
    </w:p>
    <w:p w14:paraId="6D2B473B" w14:textId="77777777" w:rsidR="00E9438C" w:rsidRDefault="00E9438C" w:rsidP="006E4B9D">
      <w:pPr>
        <w:rPr>
          <w:sz w:val="24"/>
          <w:szCs w:val="24"/>
          <w:lang w:val="en-GB"/>
        </w:rPr>
      </w:pPr>
      <w:r w:rsidRPr="00706D35">
        <w:rPr>
          <w:sz w:val="24"/>
          <w:szCs w:val="24"/>
          <w:lang w:val="en-GB"/>
        </w:rPr>
        <w:t xml:space="preserve">ALDI (2025) </w:t>
      </w:r>
      <w:r w:rsidRPr="00706D35">
        <w:rPr>
          <w:i/>
          <w:iCs/>
          <w:sz w:val="24"/>
          <w:szCs w:val="24"/>
          <w:lang w:val="en-GB"/>
        </w:rPr>
        <w:t>Diversity &amp; Inclusion</w:t>
      </w:r>
      <w:r w:rsidRPr="00706D35">
        <w:rPr>
          <w:sz w:val="24"/>
          <w:szCs w:val="24"/>
          <w:lang w:val="en-GB"/>
        </w:rPr>
        <w:t xml:space="preserve">. Aldi recruitment.  Available </w:t>
      </w:r>
      <w:proofErr w:type="gramStart"/>
      <w:r w:rsidRPr="00706D35">
        <w:rPr>
          <w:sz w:val="24"/>
          <w:szCs w:val="24"/>
          <w:lang w:val="en-GB"/>
        </w:rPr>
        <w:t>at :</w:t>
      </w:r>
      <w:proofErr w:type="gramEnd"/>
      <w:r w:rsidRPr="00706D35">
        <w:rPr>
          <w:sz w:val="24"/>
          <w:szCs w:val="24"/>
          <w:lang w:val="en-GB"/>
        </w:rPr>
        <w:t xml:space="preserve"> </w:t>
      </w:r>
      <w:hyperlink r:id="rId11" w:history="1">
        <w:r w:rsidRPr="00706D35">
          <w:rPr>
            <w:rStyle w:val="Hyperlink"/>
            <w:sz w:val="24"/>
            <w:szCs w:val="24"/>
            <w:lang w:val="en-GB"/>
          </w:rPr>
          <w:t>https://www.aldirecruitment.co.uk/diversity-inclusion</w:t>
        </w:r>
      </w:hyperlink>
      <w:r w:rsidRPr="00706D35">
        <w:rPr>
          <w:sz w:val="24"/>
          <w:szCs w:val="24"/>
          <w:lang w:val="en-GB"/>
        </w:rPr>
        <w:t xml:space="preserve"> Accessed on 29 November 2025.</w:t>
      </w:r>
    </w:p>
    <w:p w14:paraId="1A220FF2" w14:textId="77777777" w:rsidR="00A3102D" w:rsidRPr="00706D35" w:rsidRDefault="00A3102D" w:rsidP="006E4B9D">
      <w:pPr>
        <w:rPr>
          <w:sz w:val="24"/>
          <w:szCs w:val="24"/>
          <w:lang w:val="en-GB"/>
        </w:rPr>
      </w:pPr>
    </w:p>
    <w:p w14:paraId="30589440" w14:textId="77777777" w:rsidR="00E9438C" w:rsidRDefault="00E9438C" w:rsidP="006E4B9D">
      <w:pPr>
        <w:rPr>
          <w:sz w:val="24"/>
          <w:szCs w:val="24"/>
          <w:lang w:val="en-GB"/>
        </w:rPr>
      </w:pPr>
      <w:r w:rsidRPr="00706D35">
        <w:rPr>
          <w:sz w:val="24"/>
          <w:szCs w:val="24"/>
          <w:lang w:val="en-GB"/>
        </w:rPr>
        <w:t xml:space="preserve">Anderson, P.D. (2025). ‘The PESTEL Framework and its Variants for Analysing the Strategic Environment: Evolution, Limitations and Adoption in Energy Policy Research’, </w:t>
      </w:r>
      <w:r w:rsidRPr="00706D35">
        <w:rPr>
          <w:i/>
          <w:iCs/>
          <w:sz w:val="24"/>
          <w:szCs w:val="24"/>
          <w:lang w:val="en-GB"/>
        </w:rPr>
        <w:t>SSRN</w:t>
      </w:r>
      <w:r w:rsidRPr="00706D35">
        <w:rPr>
          <w:sz w:val="24"/>
          <w:szCs w:val="24"/>
          <w:lang w:val="en-GB"/>
        </w:rPr>
        <w:t xml:space="preserve">. Available at: </w:t>
      </w:r>
      <w:hyperlink r:id="rId12" w:history="1">
        <w:r w:rsidRPr="00706D35">
          <w:rPr>
            <w:rStyle w:val="Hyperlink"/>
            <w:sz w:val="24"/>
            <w:szCs w:val="24"/>
            <w:lang w:val="en-GB"/>
          </w:rPr>
          <w:t>https://doi.org/10.2139/ssrn.5266562</w:t>
        </w:r>
      </w:hyperlink>
      <w:r w:rsidRPr="00706D35">
        <w:rPr>
          <w:sz w:val="24"/>
          <w:szCs w:val="24"/>
          <w:lang w:val="en-GB"/>
        </w:rPr>
        <w:t xml:space="preserve">   </w:t>
      </w:r>
    </w:p>
    <w:p w14:paraId="1AA2988A" w14:textId="77777777" w:rsidR="00A3102D" w:rsidRPr="00706D35" w:rsidRDefault="00A3102D" w:rsidP="006E4B9D">
      <w:pPr>
        <w:rPr>
          <w:sz w:val="24"/>
          <w:szCs w:val="24"/>
          <w:lang w:val="en-GB"/>
        </w:rPr>
      </w:pPr>
    </w:p>
    <w:p w14:paraId="513C31CB" w14:textId="77777777" w:rsidR="00E9438C" w:rsidRDefault="00E9438C" w:rsidP="006E4B9D">
      <w:pPr>
        <w:rPr>
          <w:sz w:val="24"/>
          <w:szCs w:val="24"/>
          <w:lang w:val="en-GB"/>
        </w:rPr>
      </w:pPr>
      <w:r w:rsidRPr="00706D35">
        <w:rPr>
          <w:sz w:val="24"/>
          <w:szCs w:val="24"/>
          <w:lang w:val="en-GB"/>
        </w:rPr>
        <w:t>Armstrong, M. and Taylor, S. (2014) Armstrongs Handbook of Human Resource Management Practice, Kogan Page</w:t>
      </w:r>
    </w:p>
    <w:p w14:paraId="46FEC22C" w14:textId="77777777" w:rsidR="00A3102D" w:rsidRPr="00706D35" w:rsidRDefault="00A3102D" w:rsidP="006E4B9D">
      <w:pPr>
        <w:rPr>
          <w:sz w:val="24"/>
          <w:szCs w:val="24"/>
          <w:lang w:val="en-GB"/>
        </w:rPr>
      </w:pPr>
    </w:p>
    <w:p w14:paraId="0D4F0AB9" w14:textId="77777777" w:rsidR="00E9438C" w:rsidRDefault="00E9438C" w:rsidP="006E4B9D">
      <w:pPr>
        <w:rPr>
          <w:sz w:val="24"/>
          <w:szCs w:val="24"/>
          <w:lang w:val="en-GB"/>
        </w:rPr>
      </w:pPr>
      <w:r w:rsidRPr="00706D35">
        <w:rPr>
          <w:sz w:val="24"/>
          <w:szCs w:val="24"/>
          <w:lang w:val="en-GB"/>
        </w:rPr>
        <w:t xml:space="preserve">Audit Wales (2025) Neath Port Talbot Council Annual Audit Summary 2024.  Available at: </w:t>
      </w:r>
      <w:hyperlink r:id="rId13" w:history="1">
        <w:r w:rsidRPr="00706D35">
          <w:rPr>
            <w:rStyle w:val="Hyperlink"/>
            <w:sz w:val="24"/>
            <w:szCs w:val="24"/>
            <w:lang w:val="en-GB"/>
          </w:rPr>
          <w:t>https://www.audit.wales/publication/neath-port-talbot-council-annual-audit-summary-2024</w:t>
        </w:r>
      </w:hyperlink>
      <w:r w:rsidRPr="00706D35">
        <w:rPr>
          <w:sz w:val="24"/>
          <w:szCs w:val="24"/>
          <w:lang w:val="en-GB"/>
        </w:rPr>
        <w:t xml:space="preserve"> Accessed on 29 November 2025.</w:t>
      </w:r>
    </w:p>
    <w:p w14:paraId="637CA3C1" w14:textId="77777777" w:rsidR="00A3102D" w:rsidRPr="00706D35" w:rsidRDefault="00A3102D" w:rsidP="006E4B9D">
      <w:pPr>
        <w:rPr>
          <w:sz w:val="24"/>
          <w:szCs w:val="24"/>
          <w:lang w:val="en-GB"/>
        </w:rPr>
      </w:pPr>
    </w:p>
    <w:p w14:paraId="2C5B03BF" w14:textId="77777777" w:rsidR="00E9438C" w:rsidRDefault="00E9438C" w:rsidP="006E4B9D">
      <w:pPr>
        <w:rPr>
          <w:sz w:val="24"/>
          <w:szCs w:val="24"/>
          <w:lang w:val="en-GB"/>
        </w:rPr>
      </w:pPr>
      <w:r w:rsidRPr="00706D35">
        <w:rPr>
          <w:sz w:val="24"/>
          <w:szCs w:val="24"/>
          <w:lang w:val="en-GB"/>
        </w:rPr>
        <w:t xml:space="preserve">Bailey, M.J., DiNardo, J. and Stuart, B.A. (2021) ‘The Economic Impact of a High National Minimum Wage: Evidence from the 1966 Fair Labor Standards Act’, </w:t>
      </w:r>
      <w:r w:rsidRPr="00706D35">
        <w:rPr>
          <w:i/>
          <w:iCs/>
          <w:sz w:val="24"/>
          <w:szCs w:val="24"/>
          <w:lang w:val="en-GB"/>
        </w:rPr>
        <w:t>Journal of Labor Economics</w:t>
      </w:r>
      <w:r w:rsidRPr="00706D35">
        <w:rPr>
          <w:sz w:val="24"/>
          <w:szCs w:val="24"/>
          <w:lang w:val="en-GB"/>
        </w:rPr>
        <w:t>, 39, pp. S329–S367. doi:10.1086/712554.</w:t>
      </w:r>
    </w:p>
    <w:p w14:paraId="70552EAE" w14:textId="77777777" w:rsidR="00A3102D" w:rsidRPr="00706D35" w:rsidRDefault="00A3102D" w:rsidP="006E4B9D">
      <w:pPr>
        <w:rPr>
          <w:sz w:val="24"/>
          <w:szCs w:val="24"/>
          <w:lang w:val="en-GB"/>
        </w:rPr>
      </w:pPr>
    </w:p>
    <w:p w14:paraId="3AAB7421" w14:textId="77777777" w:rsidR="00E9438C" w:rsidRDefault="00E9438C" w:rsidP="006E4B9D">
      <w:pPr>
        <w:rPr>
          <w:sz w:val="24"/>
          <w:szCs w:val="24"/>
          <w:lang w:val="en-GB"/>
        </w:rPr>
      </w:pPr>
      <w:r w:rsidRPr="00706D35">
        <w:rPr>
          <w:sz w:val="24"/>
          <w:szCs w:val="24"/>
          <w:lang w:val="en-GB"/>
        </w:rPr>
        <w:t>BBC News (2010) ‘Dismissal warning to 7000 neath Port Talbot Staff’. BBC News 29</w:t>
      </w:r>
      <w:r w:rsidRPr="00706D35">
        <w:rPr>
          <w:sz w:val="24"/>
          <w:szCs w:val="24"/>
          <w:vertAlign w:val="superscript"/>
          <w:lang w:val="en-GB"/>
        </w:rPr>
        <w:t>th</w:t>
      </w:r>
      <w:r w:rsidRPr="00706D35">
        <w:rPr>
          <w:sz w:val="24"/>
          <w:szCs w:val="24"/>
          <w:lang w:val="en-GB"/>
        </w:rPr>
        <w:t xml:space="preserve"> June 2010.  Available </w:t>
      </w:r>
      <w:proofErr w:type="gramStart"/>
      <w:r w:rsidRPr="00706D35">
        <w:rPr>
          <w:sz w:val="24"/>
          <w:szCs w:val="24"/>
          <w:lang w:val="en-GB"/>
        </w:rPr>
        <w:t>at :</w:t>
      </w:r>
      <w:proofErr w:type="gramEnd"/>
      <w:r w:rsidRPr="00706D35">
        <w:rPr>
          <w:sz w:val="24"/>
          <w:szCs w:val="24"/>
          <w:lang w:val="en-GB"/>
        </w:rPr>
        <w:t xml:space="preserve"> </w:t>
      </w:r>
      <w:hyperlink r:id="rId14" w:history="1">
        <w:r w:rsidRPr="00706D35">
          <w:rPr>
            <w:rStyle w:val="Hyperlink"/>
            <w:sz w:val="24"/>
            <w:szCs w:val="24"/>
            <w:lang w:val="en-GB"/>
          </w:rPr>
          <w:t>https://www.bbc.co.uk/news/10449934</w:t>
        </w:r>
      </w:hyperlink>
      <w:r w:rsidRPr="00706D35">
        <w:rPr>
          <w:sz w:val="24"/>
          <w:szCs w:val="24"/>
          <w:lang w:val="en-GB"/>
        </w:rPr>
        <w:t xml:space="preserve"> Accessed on 29 November 2025.</w:t>
      </w:r>
    </w:p>
    <w:p w14:paraId="2DC0F034" w14:textId="77777777" w:rsidR="00A3102D" w:rsidRPr="00706D35" w:rsidRDefault="00A3102D" w:rsidP="006E4B9D">
      <w:pPr>
        <w:rPr>
          <w:sz w:val="24"/>
          <w:szCs w:val="24"/>
          <w:lang w:val="en-GB"/>
        </w:rPr>
      </w:pPr>
    </w:p>
    <w:p w14:paraId="5E92E33D" w14:textId="77777777" w:rsidR="00E9438C" w:rsidRDefault="00E9438C" w:rsidP="006E4B9D">
      <w:pPr>
        <w:rPr>
          <w:sz w:val="24"/>
          <w:szCs w:val="24"/>
          <w:lang w:val="en-GB"/>
        </w:rPr>
      </w:pPr>
      <w:r w:rsidRPr="00706D35">
        <w:rPr>
          <w:sz w:val="24"/>
          <w:szCs w:val="24"/>
          <w:lang w:val="en-GB"/>
        </w:rPr>
        <w:t xml:space="preserve">Beale, J. (2023) </w:t>
      </w:r>
      <w:r w:rsidRPr="00706D35">
        <w:rPr>
          <w:i/>
          <w:iCs/>
          <w:sz w:val="24"/>
          <w:szCs w:val="24"/>
          <w:lang w:val="en-GB"/>
        </w:rPr>
        <w:t>RAF diversity targets discriminated against white men.</w:t>
      </w:r>
      <w:r w:rsidRPr="00706D35">
        <w:rPr>
          <w:sz w:val="24"/>
          <w:szCs w:val="24"/>
          <w:lang w:val="en-GB"/>
        </w:rPr>
        <w:t xml:space="preserve"> BBC News.  Available </w:t>
      </w:r>
      <w:proofErr w:type="gramStart"/>
      <w:r w:rsidRPr="00706D35">
        <w:rPr>
          <w:sz w:val="24"/>
          <w:szCs w:val="24"/>
          <w:lang w:val="en-GB"/>
        </w:rPr>
        <w:t>at :</w:t>
      </w:r>
      <w:proofErr w:type="gramEnd"/>
      <w:r w:rsidRPr="00706D35">
        <w:rPr>
          <w:sz w:val="24"/>
          <w:szCs w:val="24"/>
          <w:lang w:val="en-GB"/>
        </w:rPr>
        <w:t xml:space="preserve"> </w:t>
      </w:r>
      <w:hyperlink r:id="rId15" w:history="1">
        <w:r w:rsidRPr="00706D35">
          <w:rPr>
            <w:rStyle w:val="Hyperlink"/>
            <w:sz w:val="24"/>
            <w:szCs w:val="24"/>
            <w:lang w:val="en-GB"/>
          </w:rPr>
          <w:t>https://www.bbc.co.uk/news/uk-66060490</w:t>
        </w:r>
      </w:hyperlink>
      <w:r w:rsidRPr="00706D35">
        <w:rPr>
          <w:sz w:val="24"/>
          <w:szCs w:val="24"/>
          <w:lang w:val="en-GB"/>
        </w:rPr>
        <w:t xml:space="preserve"> Accessed on 17 November 2025.</w:t>
      </w:r>
    </w:p>
    <w:p w14:paraId="6DAA52C1" w14:textId="77777777" w:rsidR="00A3102D" w:rsidRPr="00706D35" w:rsidRDefault="00A3102D" w:rsidP="006E4B9D">
      <w:pPr>
        <w:rPr>
          <w:sz w:val="24"/>
          <w:szCs w:val="24"/>
          <w:lang w:val="en-GB"/>
        </w:rPr>
      </w:pPr>
    </w:p>
    <w:p w14:paraId="44247F6A" w14:textId="77777777" w:rsidR="00E9438C" w:rsidRDefault="00E9438C" w:rsidP="006E4B9D">
      <w:pPr>
        <w:rPr>
          <w:sz w:val="24"/>
          <w:szCs w:val="24"/>
          <w:lang w:val="en-GB"/>
        </w:rPr>
      </w:pPr>
      <w:r w:rsidRPr="00706D35">
        <w:rPr>
          <w:sz w:val="24"/>
          <w:szCs w:val="24"/>
          <w:lang w:val="en-GB"/>
        </w:rPr>
        <w:t xml:space="preserve">Belsare, H. (2025) ‘Pestle Analysis’, </w:t>
      </w:r>
      <w:r w:rsidRPr="00706D35">
        <w:rPr>
          <w:i/>
          <w:iCs/>
          <w:sz w:val="24"/>
          <w:szCs w:val="24"/>
          <w:lang w:val="en-GB"/>
        </w:rPr>
        <w:t>International Journal of advanced research,</w:t>
      </w:r>
      <w:r w:rsidRPr="00706D35">
        <w:rPr>
          <w:sz w:val="24"/>
          <w:szCs w:val="24"/>
          <w:lang w:val="en-GB"/>
        </w:rPr>
        <w:t xml:space="preserve"> Vol 3, I2. P608-612.  Available at: </w:t>
      </w:r>
      <w:hyperlink r:id="rId16" w:history="1">
        <w:r w:rsidRPr="00706D35">
          <w:rPr>
            <w:rStyle w:val="Hyperlink"/>
            <w:sz w:val="24"/>
            <w:szCs w:val="24"/>
            <w:lang w:val="en-GB"/>
          </w:rPr>
          <w:t>https://dx.doi.org/10.21474/IJAR01/20411</w:t>
        </w:r>
      </w:hyperlink>
      <w:r w:rsidRPr="00706D35">
        <w:rPr>
          <w:sz w:val="24"/>
          <w:szCs w:val="24"/>
          <w:lang w:val="en-GB"/>
        </w:rPr>
        <w:t xml:space="preserve"> </w:t>
      </w:r>
    </w:p>
    <w:p w14:paraId="351F671C" w14:textId="77777777" w:rsidR="00A3102D" w:rsidRPr="00706D35" w:rsidRDefault="00A3102D" w:rsidP="006E4B9D">
      <w:pPr>
        <w:rPr>
          <w:sz w:val="24"/>
          <w:szCs w:val="24"/>
          <w:lang w:val="en-GB"/>
        </w:rPr>
      </w:pPr>
    </w:p>
    <w:p w14:paraId="4738E0B2" w14:textId="77777777" w:rsidR="00E9438C" w:rsidRDefault="00E9438C" w:rsidP="006E4B9D">
      <w:pPr>
        <w:rPr>
          <w:sz w:val="24"/>
          <w:szCs w:val="24"/>
          <w:lang w:val="en-GB"/>
        </w:rPr>
      </w:pPr>
      <w:r w:rsidRPr="00706D35">
        <w:rPr>
          <w:sz w:val="24"/>
          <w:szCs w:val="24"/>
          <w:lang w:val="en-GB"/>
        </w:rPr>
        <w:t xml:space="preserve">Chorna, O. (2021) ‘Firm-Level Effects of Minimum Wages’, </w:t>
      </w:r>
      <w:r w:rsidRPr="00706D35">
        <w:rPr>
          <w:i/>
          <w:iCs/>
          <w:sz w:val="24"/>
          <w:szCs w:val="24"/>
          <w:lang w:val="en-GB"/>
        </w:rPr>
        <w:t>Prague Economic Papers</w:t>
      </w:r>
      <w:r w:rsidRPr="00706D35">
        <w:rPr>
          <w:sz w:val="24"/>
          <w:szCs w:val="24"/>
          <w:lang w:val="en-GB"/>
        </w:rPr>
        <w:t xml:space="preserve">, 30(4), pp. 402–425. </w:t>
      </w:r>
      <w:proofErr w:type="gramStart"/>
      <w:r w:rsidRPr="00706D35">
        <w:rPr>
          <w:sz w:val="24"/>
          <w:szCs w:val="24"/>
          <w:lang w:val="en-GB"/>
        </w:rPr>
        <w:t>doi:10.18267/j.pep</w:t>
      </w:r>
      <w:proofErr w:type="gramEnd"/>
      <w:r w:rsidRPr="00706D35">
        <w:rPr>
          <w:sz w:val="24"/>
          <w:szCs w:val="24"/>
          <w:lang w:val="en-GB"/>
        </w:rPr>
        <w:t>.773.</w:t>
      </w:r>
    </w:p>
    <w:p w14:paraId="326F45A8" w14:textId="77777777" w:rsidR="00A3102D" w:rsidRPr="00706D35" w:rsidRDefault="00A3102D" w:rsidP="006E4B9D">
      <w:pPr>
        <w:rPr>
          <w:sz w:val="24"/>
          <w:szCs w:val="24"/>
          <w:lang w:val="en-GB"/>
        </w:rPr>
      </w:pPr>
    </w:p>
    <w:p w14:paraId="6C10E8AC" w14:textId="77777777" w:rsidR="00E9438C" w:rsidRDefault="00E9438C" w:rsidP="006E4B9D">
      <w:pPr>
        <w:rPr>
          <w:sz w:val="24"/>
          <w:szCs w:val="24"/>
          <w:lang w:val="en-GB"/>
        </w:rPr>
      </w:pPr>
      <w:r w:rsidRPr="00706D35">
        <w:rPr>
          <w:sz w:val="24"/>
          <w:szCs w:val="24"/>
          <w:lang w:val="en-GB"/>
        </w:rPr>
        <w:t>CIPD (2021). </w:t>
      </w:r>
      <w:r w:rsidRPr="00706D35">
        <w:rPr>
          <w:i/>
          <w:iCs/>
          <w:sz w:val="24"/>
          <w:szCs w:val="24"/>
          <w:lang w:val="en-GB"/>
        </w:rPr>
        <w:t>PESTLE analysis</w:t>
      </w:r>
      <w:r w:rsidRPr="00706D35">
        <w:rPr>
          <w:sz w:val="24"/>
          <w:szCs w:val="24"/>
          <w:lang w:val="en-GB"/>
        </w:rPr>
        <w:t>. [online] </w:t>
      </w:r>
      <w:r w:rsidRPr="00706D35">
        <w:rPr>
          <w:i/>
          <w:iCs/>
          <w:sz w:val="24"/>
          <w:szCs w:val="24"/>
          <w:lang w:val="en-GB"/>
        </w:rPr>
        <w:t>CIPD</w:t>
      </w:r>
      <w:r w:rsidRPr="00706D35">
        <w:rPr>
          <w:sz w:val="24"/>
          <w:szCs w:val="24"/>
          <w:lang w:val="en-GB"/>
        </w:rPr>
        <w:t xml:space="preserve">. Available at: </w:t>
      </w:r>
      <w:hyperlink r:id="rId17" w:history="1">
        <w:r w:rsidRPr="00706D35">
          <w:rPr>
            <w:rStyle w:val="Hyperlink"/>
            <w:sz w:val="24"/>
            <w:szCs w:val="24"/>
            <w:lang w:val="en-GB"/>
          </w:rPr>
          <w:t>https://www.cipd.org/globalassets/media/knowledge/knowledge-hub/factsheets/pestle-analysis-factsheet_20221230T092611.pdf</w:t>
        </w:r>
      </w:hyperlink>
      <w:r w:rsidRPr="00706D35">
        <w:rPr>
          <w:sz w:val="24"/>
          <w:szCs w:val="24"/>
          <w:lang w:val="en-GB"/>
        </w:rPr>
        <w:t>. Accessed on 15 October 2025.</w:t>
      </w:r>
    </w:p>
    <w:p w14:paraId="541A1B3F" w14:textId="77777777" w:rsidR="00A3102D" w:rsidRPr="00706D35" w:rsidRDefault="00A3102D" w:rsidP="006E4B9D">
      <w:pPr>
        <w:rPr>
          <w:sz w:val="24"/>
          <w:szCs w:val="24"/>
          <w:lang w:val="en-GB"/>
        </w:rPr>
      </w:pPr>
    </w:p>
    <w:p w14:paraId="5FBB10C8" w14:textId="77777777" w:rsidR="00E9438C" w:rsidRDefault="00E9438C" w:rsidP="006E4B9D">
      <w:pPr>
        <w:rPr>
          <w:sz w:val="24"/>
          <w:szCs w:val="24"/>
          <w:lang w:val="en-GB"/>
        </w:rPr>
      </w:pPr>
      <w:r w:rsidRPr="00706D35">
        <w:rPr>
          <w:sz w:val="24"/>
          <w:szCs w:val="24"/>
          <w:lang w:val="en-GB"/>
        </w:rPr>
        <w:t xml:space="preserve">CIPD (2024) </w:t>
      </w:r>
      <w:r w:rsidRPr="00706D35">
        <w:rPr>
          <w:i/>
          <w:iCs/>
          <w:sz w:val="24"/>
          <w:szCs w:val="24"/>
          <w:lang w:val="en-GB"/>
        </w:rPr>
        <w:t>Inclusive recruitment: Guide for people professionals.</w:t>
      </w:r>
      <w:r w:rsidRPr="00706D35">
        <w:rPr>
          <w:sz w:val="24"/>
          <w:szCs w:val="24"/>
          <w:lang w:val="en-GB"/>
        </w:rPr>
        <w:t xml:space="preserve">  Available </w:t>
      </w:r>
      <w:proofErr w:type="gramStart"/>
      <w:r w:rsidRPr="00706D35">
        <w:rPr>
          <w:sz w:val="24"/>
          <w:szCs w:val="24"/>
          <w:lang w:val="en-GB"/>
        </w:rPr>
        <w:t>at :</w:t>
      </w:r>
      <w:proofErr w:type="gramEnd"/>
      <w:r w:rsidRPr="00706D35">
        <w:rPr>
          <w:sz w:val="24"/>
          <w:szCs w:val="24"/>
          <w:lang w:val="en-GB"/>
        </w:rPr>
        <w:t xml:space="preserve"> </w:t>
      </w:r>
      <w:hyperlink r:id="rId18" w:history="1">
        <w:r w:rsidRPr="00706D35">
          <w:rPr>
            <w:rStyle w:val="Hyperlink"/>
            <w:sz w:val="24"/>
            <w:szCs w:val="24"/>
            <w:lang w:val="en-GB"/>
          </w:rPr>
          <w:t>https://www.cipd.org/uk/knowledge/guides/inclusive-employers/</w:t>
        </w:r>
      </w:hyperlink>
      <w:r w:rsidRPr="00706D35">
        <w:rPr>
          <w:sz w:val="24"/>
          <w:szCs w:val="24"/>
          <w:lang w:val="en-GB"/>
        </w:rPr>
        <w:t xml:space="preserve"> Accessed on 29 November 2025.</w:t>
      </w:r>
    </w:p>
    <w:p w14:paraId="37B9A311" w14:textId="77777777" w:rsidR="00A3102D" w:rsidRPr="00706D35" w:rsidRDefault="00A3102D" w:rsidP="006E4B9D">
      <w:pPr>
        <w:rPr>
          <w:sz w:val="24"/>
          <w:szCs w:val="24"/>
          <w:lang w:val="en-GB"/>
        </w:rPr>
      </w:pPr>
    </w:p>
    <w:p w14:paraId="267FC411" w14:textId="07A4957F" w:rsidR="00E9438C" w:rsidRDefault="00E9438C" w:rsidP="006E4B9D">
      <w:pPr>
        <w:rPr>
          <w:sz w:val="24"/>
          <w:szCs w:val="24"/>
          <w:lang w:val="en-GB"/>
        </w:rPr>
      </w:pPr>
      <w:r w:rsidRPr="00706D35">
        <w:rPr>
          <w:sz w:val="24"/>
          <w:szCs w:val="24"/>
          <w:lang w:val="en-GB"/>
        </w:rPr>
        <w:t>CIPD (2024). </w:t>
      </w:r>
      <w:r w:rsidRPr="00706D35">
        <w:rPr>
          <w:i/>
          <w:iCs/>
          <w:sz w:val="24"/>
          <w:szCs w:val="24"/>
          <w:lang w:val="en-GB"/>
        </w:rPr>
        <w:t>CIPD | Proposed Employment Law Changes under the New Labour Government</w:t>
      </w:r>
      <w:r w:rsidRPr="00706D35">
        <w:rPr>
          <w:sz w:val="24"/>
          <w:szCs w:val="24"/>
          <w:lang w:val="en-GB"/>
        </w:rPr>
        <w:t xml:space="preserve">. [online] CIPD. Available at: </w:t>
      </w:r>
      <w:hyperlink r:id="rId19" w:history="1">
        <w:r w:rsidR="00A3102D" w:rsidRPr="00402F02">
          <w:rPr>
            <w:rStyle w:val="Hyperlink"/>
            <w:sz w:val="24"/>
            <w:szCs w:val="24"/>
            <w:lang w:val="en-GB"/>
          </w:rPr>
          <w:t>https://www.cipd.org/uk/knowledge/employment-law/proposed-changes-under-labour-government/</w:t>
        </w:r>
      </w:hyperlink>
      <w:r w:rsidRPr="00706D35">
        <w:rPr>
          <w:sz w:val="24"/>
          <w:szCs w:val="24"/>
          <w:lang w:val="en-GB"/>
        </w:rPr>
        <w:t>.</w:t>
      </w:r>
    </w:p>
    <w:p w14:paraId="228E4363" w14:textId="77777777" w:rsidR="00A3102D" w:rsidRPr="00706D35" w:rsidRDefault="00A3102D" w:rsidP="006E4B9D">
      <w:pPr>
        <w:rPr>
          <w:sz w:val="24"/>
          <w:szCs w:val="24"/>
          <w:lang w:val="en-GB"/>
        </w:rPr>
      </w:pPr>
    </w:p>
    <w:p w14:paraId="0E9179E0" w14:textId="77777777" w:rsidR="00E9438C" w:rsidRDefault="00E9438C" w:rsidP="006E4B9D">
      <w:pPr>
        <w:rPr>
          <w:sz w:val="24"/>
          <w:szCs w:val="24"/>
          <w:lang w:val="en-GB"/>
        </w:rPr>
      </w:pPr>
      <w:r w:rsidRPr="00706D35">
        <w:rPr>
          <w:sz w:val="24"/>
          <w:szCs w:val="24"/>
          <w:lang w:val="en-GB"/>
        </w:rPr>
        <w:t xml:space="preserve">CIPD (2025a) Tracking law changes: Employment Rights Bill and Make Work Pay plan.  Available at : </w:t>
      </w:r>
      <w:hyperlink r:id="rId20" w:history="1">
        <w:r w:rsidRPr="00706D35">
          <w:rPr>
            <w:rStyle w:val="Hyperlink"/>
            <w:sz w:val="24"/>
            <w:szCs w:val="24"/>
            <w:lang w:val="en-GB"/>
          </w:rPr>
          <w:t>Employment Rights Bill and Make Work Pay plan changes | CIPD</w:t>
        </w:r>
      </w:hyperlink>
      <w:r w:rsidRPr="00706D35">
        <w:rPr>
          <w:sz w:val="24"/>
          <w:szCs w:val="24"/>
          <w:lang w:val="en-GB"/>
        </w:rPr>
        <w:t xml:space="preserve"> Accessed on 15 November 2025.</w:t>
      </w:r>
    </w:p>
    <w:p w14:paraId="0C4AA8EA" w14:textId="77777777" w:rsidR="00A3102D" w:rsidRPr="00706D35" w:rsidRDefault="00A3102D" w:rsidP="006E4B9D">
      <w:pPr>
        <w:rPr>
          <w:sz w:val="24"/>
          <w:szCs w:val="24"/>
          <w:lang w:val="en-GB"/>
        </w:rPr>
      </w:pPr>
    </w:p>
    <w:p w14:paraId="7DFD349A" w14:textId="3EB603B8" w:rsidR="00E9438C" w:rsidRDefault="00E9438C" w:rsidP="006E4B9D">
      <w:pPr>
        <w:rPr>
          <w:sz w:val="24"/>
          <w:szCs w:val="24"/>
          <w:lang w:val="en-GB"/>
        </w:rPr>
      </w:pPr>
      <w:r w:rsidRPr="00706D35">
        <w:rPr>
          <w:sz w:val="24"/>
          <w:szCs w:val="24"/>
          <w:lang w:val="en-GB"/>
        </w:rPr>
        <w:t>CIPD. (2025b). </w:t>
      </w:r>
      <w:r w:rsidRPr="00706D35">
        <w:rPr>
          <w:i/>
          <w:iCs/>
          <w:sz w:val="24"/>
          <w:szCs w:val="24"/>
          <w:lang w:val="en-GB"/>
        </w:rPr>
        <w:t>CIPD | CIPD consultation response: Low Pay Commission 2025 consultation</w:t>
      </w:r>
      <w:r w:rsidRPr="00706D35">
        <w:rPr>
          <w:sz w:val="24"/>
          <w:szCs w:val="24"/>
          <w:lang w:val="en-GB"/>
        </w:rPr>
        <w:t xml:space="preserve">. [online] Available at: </w:t>
      </w:r>
      <w:hyperlink r:id="rId21" w:history="1">
        <w:r w:rsidR="001C30CE" w:rsidRPr="00402F02">
          <w:rPr>
            <w:rStyle w:val="Hyperlink"/>
            <w:sz w:val="24"/>
            <w:szCs w:val="24"/>
            <w:lang w:val="en-GB"/>
          </w:rPr>
          <w:t>https://www.cipd.org/en/about/public-policy/our-calls-for-</w:t>
        </w:r>
        <w:r w:rsidR="001C30CE" w:rsidRPr="00402F02">
          <w:rPr>
            <w:rStyle w:val="Hyperlink"/>
            <w:sz w:val="24"/>
            <w:szCs w:val="24"/>
            <w:lang w:val="en-GB"/>
          </w:rPr>
          <w:lastRenderedPageBreak/>
          <w:t>action/response-low-pay-commission/</w:t>
        </w:r>
      </w:hyperlink>
      <w:r w:rsidR="001C30CE">
        <w:rPr>
          <w:sz w:val="24"/>
          <w:szCs w:val="24"/>
          <w:lang w:val="en-GB"/>
        </w:rPr>
        <w:t xml:space="preserve"> </w:t>
      </w:r>
      <w:r w:rsidRPr="00706D35">
        <w:rPr>
          <w:sz w:val="24"/>
          <w:szCs w:val="24"/>
          <w:lang w:val="en-GB"/>
        </w:rPr>
        <w:t xml:space="preserve"> [Accessed 28 Oct. 2025].</w:t>
      </w:r>
    </w:p>
    <w:p w14:paraId="2D602EEC" w14:textId="77777777" w:rsidR="00A3102D" w:rsidRPr="00706D35" w:rsidRDefault="00A3102D" w:rsidP="006E4B9D">
      <w:pPr>
        <w:rPr>
          <w:sz w:val="24"/>
          <w:szCs w:val="24"/>
          <w:lang w:val="en-GB"/>
        </w:rPr>
      </w:pPr>
    </w:p>
    <w:p w14:paraId="75D7FAEB" w14:textId="77777777" w:rsidR="00E9438C" w:rsidRDefault="00E9438C" w:rsidP="006E4B9D">
      <w:pPr>
        <w:rPr>
          <w:sz w:val="24"/>
          <w:szCs w:val="24"/>
          <w:lang w:val="en-GB"/>
        </w:rPr>
      </w:pPr>
      <w:r w:rsidRPr="00706D35">
        <w:rPr>
          <w:sz w:val="24"/>
          <w:szCs w:val="24"/>
          <w:lang w:val="en-GB"/>
        </w:rPr>
        <w:t xml:space="preserve">Employment Rights Bill (2024). Parliament UK </w:t>
      </w:r>
      <w:r w:rsidRPr="00706D35">
        <w:rPr>
          <w:i/>
          <w:iCs/>
          <w:sz w:val="24"/>
          <w:szCs w:val="24"/>
          <w:lang w:val="en-GB"/>
        </w:rPr>
        <w:t xml:space="preserve">House of Lords.  Bill 144 </w:t>
      </w:r>
      <w:r w:rsidRPr="00706D35">
        <w:rPr>
          <w:sz w:val="24"/>
          <w:szCs w:val="24"/>
          <w:lang w:val="en-GB"/>
        </w:rPr>
        <w:t xml:space="preserve">Available at: </w:t>
      </w:r>
      <w:hyperlink r:id="rId22" w:history="1">
        <w:r w:rsidRPr="00706D35">
          <w:rPr>
            <w:rStyle w:val="Hyperlink"/>
            <w:sz w:val="24"/>
            <w:szCs w:val="24"/>
            <w:lang w:val="en-GB"/>
          </w:rPr>
          <w:t>https://bills.parliament.uk/bills/3737/publications</w:t>
        </w:r>
      </w:hyperlink>
      <w:r w:rsidRPr="00706D35">
        <w:rPr>
          <w:sz w:val="24"/>
          <w:szCs w:val="24"/>
          <w:lang w:val="en-GB"/>
        </w:rPr>
        <w:t xml:space="preserve"> Accessed on 10 November 2025.</w:t>
      </w:r>
    </w:p>
    <w:p w14:paraId="182143F4" w14:textId="77777777" w:rsidR="00A3102D" w:rsidRPr="00706D35" w:rsidRDefault="00A3102D" w:rsidP="006E4B9D">
      <w:pPr>
        <w:rPr>
          <w:sz w:val="24"/>
          <w:szCs w:val="24"/>
          <w:lang w:val="en-GB"/>
        </w:rPr>
      </w:pPr>
    </w:p>
    <w:p w14:paraId="79C1F6B0" w14:textId="77777777" w:rsidR="00E9438C" w:rsidRDefault="00E9438C" w:rsidP="006E4B9D">
      <w:pPr>
        <w:rPr>
          <w:sz w:val="24"/>
          <w:szCs w:val="24"/>
          <w:lang w:val="en-GB"/>
        </w:rPr>
      </w:pPr>
      <w:r w:rsidRPr="00706D35">
        <w:rPr>
          <w:sz w:val="24"/>
          <w:szCs w:val="24"/>
          <w:lang w:val="en-GB"/>
        </w:rPr>
        <w:t xml:space="preserve">Equality Act (2010) Chapter 3, Section 71.  Available </w:t>
      </w:r>
      <w:proofErr w:type="gramStart"/>
      <w:r w:rsidRPr="00706D35">
        <w:rPr>
          <w:sz w:val="24"/>
          <w:szCs w:val="24"/>
          <w:lang w:val="en-GB"/>
        </w:rPr>
        <w:t>at :</w:t>
      </w:r>
      <w:proofErr w:type="gramEnd"/>
      <w:r w:rsidRPr="00706D35">
        <w:rPr>
          <w:sz w:val="24"/>
          <w:szCs w:val="24"/>
          <w:lang w:val="en-GB"/>
        </w:rPr>
        <w:t xml:space="preserve"> </w:t>
      </w:r>
      <w:hyperlink r:id="rId23" w:history="1">
        <w:r w:rsidRPr="00706D35">
          <w:rPr>
            <w:rStyle w:val="Hyperlink"/>
            <w:sz w:val="24"/>
            <w:szCs w:val="24"/>
            <w:lang w:val="en-GB"/>
          </w:rPr>
          <w:t>https://www.legislation.gov.uk/ukpga/2010/15/contents</w:t>
        </w:r>
      </w:hyperlink>
      <w:r w:rsidRPr="00706D35">
        <w:rPr>
          <w:sz w:val="24"/>
          <w:szCs w:val="24"/>
          <w:lang w:val="en-GB"/>
        </w:rPr>
        <w:t xml:space="preserve"> (Accessed on 31 October 2025)</w:t>
      </w:r>
    </w:p>
    <w:p w14:paraId="49E5BC98" w14:textId="77777777" w:rsidR="00A3102D" w:rsidRPr="00706D35" w:rsidRDefault="00A3102D" w:rsidP="006E4B9D">
      <w:pPr>
        <w:rPr>
          <w:sz w:val="24"/>
          <w:szCs w:val="24"/>
          <w:lang w:val="en-GB"/>
        </w:rPr>
      </w:pPr>
    </w:p>
    <w:p w14:paraId="2121BEBE" w14:textId="356C2DF7" w:rsidR="00E9438C" w:rsidRDefault="00E9438C" w:rsidP="006E4B9D">
      <w:pPr>
        <w:rPr>
          <w:sz w:val="24"/>
          <w:szCs w:val="24"/>
          <w:lang w:val="en-GB"/>
        </w:rPr>
      </w:pPr>
      <w:r w:rsidRPr="00706D35">
        <w:rPr>
          <w:sz w:val="24"/>
          <w:szCs w:val="24"/>
          <w:lang w:val="en-GB"/>
        </w:rPr>
        <w:t>‌</w:t>
      </w:r>
      <w:proofErr w:type="spellStart"/>
      <w:r w:rsidRPr="00706D35">
        <w:rPr>
          <w:sz w:val="24"/>
          <w:szCs w:val="24"/>
          <w:lang w:val="en-GB"/>
        </w:rPr>
        <w:t>Favorido</w:t>
      </w:r>
      <w:proofErr w:type="spellEnd"/>
      <w:r w:rsidRPr="00706D35">
        <w:rPr>
          <w:sz w:val="24"/>
          <w:szCs w:val="24"/>
          <w:lang w:val="en-GB"/>
        </w:rPr>
        <w:t>, N. (2025). </w:t>
      </w:r>
      <w:r w:rsidRPr="00706D35">
        <w:rPr>
          <w:i/>
          <w:iCs/>
          <w:sz w:val="24"/>
          <w:szCs w:val="24"/>
          <w:lang w:val="en-GB"/>
        </w:rPr>
        <w:t xml:space="preserve">Neath Port Talbot’s budget 2025/26 – protecting your services in challenging times - </w:t>
      </w:r>
      <w:proofErr w:type="spellStart"/>
      <w:r w:rsidRPr="00706D35">
        <w:rPr>
          <w:i/>
          <w:iCs/>
          <w:sz w:val="24"/>
          <w:szCs w:val="24"/>
          <w:lang w:val="en-GB"/>
        </w:rPr>
        <w:t>Herald.Wales</w:t>
      </w:r>
      <w:proofErr w:type="spellEnd"/>
      <w:r w:rsidRPr="00706D35">
        <w:rPr>
          <w:sz w:val="24"/>
          <w:szCs w:val="24"/>
          <w:lang w:val="en-GB"/>
        </w:rPr>
        <w:t xml:space="preserve">. [online] </w:t>
      </w:r>
      <w:proofErr w:type="spellStart"/>
      <w:r w:rsidRPr="00706D35">
        <w:rPr>
          <w:sz w:val="24"/>
          <w:szCs w:val="24"/>
          <w:lang w:val="en-GB"/>
        </w:rPr>
        <w:t>Herald.Wales</w:t>
      </w:r>
      <w:proofErr w:type="spellEnd"/>
      <w:r w:rsidRPr="00706D35">
        <w:rPr>
          <w:sz w:val="24"/>
          <w:szCs w:val="24"/>
          <w:lang w:val="en-GB"/>
        </w:rPr>
        <w:t xml:space="preserve">. Available at: </w:t>
      </w:r>
      <w:hyperlink r:id="rId24" w:history="1">
        <w:r w:rsidR="001C30CE" w:rsidRPr="00402F02">
          <w:rPr>
            <w:rStyle w:val="Hyperlink"/>
            <w:sz w:val="24"/>
            <w:szCs w:val="24"/>
            <w:lang w:val="en-GB"/>
          </w:rPr>
          <w:t>https://herald.wales/south-wales/neath/neath-port-talbots-budget-2025-26-protecting-your-services-in-challenging-times/</w:t>
        </w:r>
      </w:hyperlink>
      <w:r w:rsidR="001C30CE">
        <w:rPr>
          <w:sz w:val="24"/>
          <w:szCs w:val="24"/>
          <w:lang w:val="en-GB"/>
        </w:rPr>
        <w:t xml:space="preserve"> </w:t>
      </w:r>
      <w:r w:rsidRPr="00706D35">
        <w:rPr>
          <w:sz w:val="24"/>
          <w:szCs w:val="24"/>
          <w:lang w:val="en-GB"/>
        </w:rPr>
        <w:t xml:space="preserve"> [Accessed 28 Oct. 2025].</w:t>
      </w:r>
    </w:p>
    <w:p w14:paraId="290CE7DA" w14:textId="77777777" w:rsidR="00A3102D" w:rsidRPr="00706D35" w:rsidRDefault="00A3102D" w:rsidP="006E4B9D">
      <w:pPr>
        <w:rPr>
          <w:sz w:val="24"/>
          <w:szCs w:val="24"/>
          <w:lang w:val="en-GB"/>
        </w:rPr>
      </w:pPr>
    </w:p>
    <w:p w14:paraId="269F3BCB" w14:textId="77777777" w:rsidR="00E9438C" w:rsidRDefault="00E9438C" w:rsidP="006E4B9D">
      <w:pPr>
        <w:rPr>
          <w:sz w:val="24"/>
          <w:szCs w:val="24"/>
          <w:lang w:val="en-GB"/>
        </w:rPr>
      </w:pPr>
      <w:r w:rsidRPr="00706D35">
        <w:rPr>
          <w:sz w:val="24"/>
          <w:szCs w:val="24"/>
          <w:lang w:val="en-GB"/>
        </w:rPr>
        <w:t xml:space="preserve">‌Gifford, J. Gould, M. </w:t>
      </w:r>
      <w:proofErr w:type="spellStart"/>
      <w:r w:rsidRPr="00706D35">
        <w:rPr>
          <w:sz w:val="24"/>
          <w:szCs w:val="24"/>
          <w:lang w:val="en-GB"/>
        </w:rPr>
        <w:t>Latriille</w:t>
      </w:r>
      <w:proofErr w:type="spellEnd"/>
      <w:r w:rsidRPr="00706D35">
        <w:rPr>
          <w:sz w:val="24"/>
          <w:szCs w:val="24"/>
          <w:lang w:val="en-GB"/>
        </w:rPr>
        <w:t xml:space="preserve">, P. Urwin, P. (2016) </w:t>
      </w:r>
      <w:r w:rsidRPr="00706D35">
        <w:rPr>
          <w:i/>
          <w:iCs/>
          <w:sz w:val="24"/>
          <w:szCs w:val="24"/>
          <w:lang w:val="en-GB"/>
        </w:rPr>
        <w:t>Workplace Conflict: Who, Where, When and Why?</w:t>
      </w:r>
      <w:r w:rsidRPr="00706D35">
        <w:rPr>
          <w:sz w:val="24"/>
          <w:szCs w:val="24"/>
          <w:lang w:val="en-GB"/>
        </w:rPr>
        <w:t xml:space="preserve"> in R. </w:t>
      </w:r>
      <w:proofErr w:type="spellStart"/>
      <w:r w:rsidRPr="00706D35">
        <w:rPr>
          <w:sz w:val="24"/>
          <w:szCs w:val="24"/>
          <w:lang w:val="en-GB"/>
        </w:rPr>
        <w:t>Saundry</w:t>
      </w:r>
      <w:proofErr w:type="spellEnd"/>
      <w:r w:rsidRPr="00706D35">
        <w:rPr>
          <w:sz w:val="24"/>
          <w:szCs w:val="24"/>
          <w:lang w:val="en-GB"/>
        </w:rPr>
        <w:t xml:space="preserve">, P. Latreille and I. Ashman (eds.) Reframing Resolution: Innovation and Change in the Management of Workplace Conflict. London: Palgrave Macmillan, pp. 57 - 77. </w:t>
      </w:r>
      <w:proofErr w:type="spellStart"/>
      <w:r w:rsidRPr="00706D35">
        <w:rPr>
          <w:sz w:val="24"/>
          <w:szCs w:val="24"/>
          <w:lang w:val="en-GB"/>
        </w:rPr>
        <w:t>doi</w:t>
      </w:r>
      <w:proofErr w:type="spellEnd"/>
      <w:r w:rsidRPr="00706D35">
        <w:rPr>
          <w:sz w:val="24"/>
          <w:szCs w:val="24"/>
          <w:lang w:val="en-GB"/>
        </w:rPr>
        <w:t xml:space="preserve">: 10.1057/978-1-137-51560-5_4. Available </w:t>
      </w:r>
      <w:proofErr w:type="gramStart"/>
      <w:r w:rsidRPr="00706D35">
        <w:rPr>
          <w:sz w:val="24"/>
          <w:szCs w:val="24"/>
          <w:lang w:val="en-GB"/>
        </w:rPr>
        <w:t>at :</w:t>
      </w:r>
      <w:proofErr w:type="gramEnd"/>
      <w:r w:rsidRPr="00706D35">
        <w:rPr>
          <w:sz w:val="24"/>
          <w:szCs w:val="24"/>
          <w:lang w:val="en-GB"/>
        </w:rPr>
        <w:t xml:space="preserve"> </w:t>
      </w:r>
      <w:hyperlink r:id="rId25" w:history="1">
        <w:r w:rsidRPr="00706D35">
          <w:rPr>
            <w:rStyle w:val="Hyperlink"/>
            <w:sz w:val="24"/>
            <w:szCs w:val="24"/>
            <w:lang w:val="en-GB"/>
          </w:rPr>
          <w:t>https://doi.org/10.1057/978-1-137-51560-5_4</w:t>
        </w:r>
      </w:hyperlink>
      <w:r w:rsidRPr="00706D35">
        <w:rPr>
          <w:sz w:val="24"/>
          <w:szCs w:val="24"/>
          <w:lang w:val="en-GB"/>
        </w:rPr>
        <w:t xml:space="preserve"> </w:t>
      </w:r>
    </w:p>
    <w:p w14:paraId="54419AA0" w14:textId="77777777" w:rsidR="00A3102D" w:rsidRPr="00706D35" w:rsidRDefault="00A3102D" w:rsidP="006E4B9D">
      <w:pPr>
        <w:rPr>
          <w:sz w:val="24"/>
          <w:szCs w:val="24"/>
          <w:lang w:val="en-GB"/>
        </w:rPr>
      </w:pPr>
    </w:p>
    <w:p w14:paraId="45C59A23" w14:textId="77777777" w:rsidR="00E9438C" w:rsidRDefault="00E9438C" w:rsidP="006E4B9D">
      <w:pPr>
        <w:rPr>
          <w:sz w:val="24"/>
          <w:szCs w:val="24"/>
          <w:lang w:val="en-GB"/>
        </w:rPr>
      </w:pPr>
      <w:r w:rsidRPr="00706D35">
        <w:rPr>
          <w:sz w:val="24"/>
          <w:szCs w:val="24"/>
          <w:lang w:val="en-GB"/>
        </w:rPr>
        <w:t>GOV.UK (2024). </w:t>
      </w:r>
      <w:r w:rsidRPr="00706D35">
        <w:rPr>
          <w:i/>
          <w:iCs/>
          <w:sz w:val="24"/>
          <w:szCs w:val="24"/>
          <w:lang w:val="en-GB"/>
        </w:rPr>
        <w:t>National Living Wage to increase to £12.21 in April 2025</w:t>
      </w:r>
      <w:r w:rsidRPr="00706D35">
        <w:rPr>
          <w:sz w:val="24"/>
          <w:szCs w:val="24"/>
          <w:lang w:val="en-GB"/>
        </w:rPr>
        <w:t xml:space="preserve">. [online] GOV.UK. Available at: </w:t>
      </w:r>
      <w:hyperlink r:id="rId26" w:history="1">
        <w:r w:rsidRPr="00706D35">
          <w:rPr>
            <w:rStyle w:val="Hyperlink"/>
            <w:sz w:val="24"/>
            <w:szCs w:val="24"/>
            <w:lang w:val="en-GB"/>
          </w:rPr>
          <w:t>https://www.gov.uk/government/news/national-living-wage-to-increase-to-1221-in-april-2025</w:t>
        </w:r>
      </w:hyperlink>
      <w:r w:rsidRPr="00706D35">
        <w:rPr>
          <w:sz w:val="24"/>
          <w:szCs w:val="24"/>
          <w:lang w:val="en-GB"/>
        </w:rPr>
        <w:t>.</w:t>
      </w:r>
    </w:p>
    <w:p w14:paraId="6CDE91F7" w14:textId="77777777" w:rsidR="00A3102D" w:rsidRPr="00706D35" w:rsidRDefault="00A3102D" w:rsidP="006E4B9D">
      <w:pPr>
        <w:rPr>
          <w:sz w:val="24"/>
          <w:szCs w:val="24"/>
          <w:lang w:val="en-GB"/>
        </w:rPr>
      </w:pPr>
    </w:p>
    <w:p w14:paraId="48B6FDD1" w14:textId="77777777" w:rsidR="00E9438C" w:rsidRDefault="00E9438C" w:rsidP="006E4B9D">
      <w:pPr>
        <w:rPr>
          <w:sz w:val="24"/>
          <w:szCs w:val="24"/>
          <w:lang w:val="en-GB"/>
        </w:rPr>
      </w:pPr>
      <w:r w:rsidRPr="00706D35">
        <w:rPr>
          <w:sz w:val="24"/>
          <w:szCs w:val="24"/>
          <w:lang w:val="en-GB"/>
        </w:rPr>
        <w:t xml:space="preserve">Gov.uk (2025) LPC advice to government </w:t>
      </w:r>
      <w:proofErr w:type="gramStart"/>
      <w:r w:rsidRPr="00706D35">
        <w:rPr>
          <w:sz w:val="24"/>
          <w:szCs w:val="24"/>
          <w:lang w:val="en-GB"/>
        </w:rPr>
        <w:t>on</w:t>
      </w:r>
      <w:proofErr w:type="gramEnd"/>
      <w:r w:rsidRPr="00706D35">
        <w:rPr>
          <w:sz w:val="24"/>
          <w:szCs w:val="24"/>
          <w:lang w:val="en-GB"/>
        </w:rPr>
        <w:t xml:space="preserve"> 2026 minimum wage rates. Low Pay Commission. Available at </w:t>
      </w:r>
      <w:hyperlink r:id="rId27" w:history="1">
        <w:r w:rsidRPr="00706D35">
          <w:rPr>
            <w:rStyle w:val="Hyperlink"/>
            <w:sz w:val="24"/>
            <w:szCs w:val="24"/>
            <w:lang w:val="en-GB"/>
          </w:rPr>
          <w:t>https://www.gov.uk/government/publications/minimum-wage-rates-for-2026/lpc-advice-to-government-on-2026-minimum-wage-rates</w:t>
        </w:r>
      </w:hyperlink>
      <w:r w:rsidRPr="00706D35">
        <w:rPr>
          <w:sz w:val="24"/>
          <w:szCs w:val="24"/>
          <w:lang w:val="en-GB"/>
        </w:rPr>
        <w:t xml:space="preserve"> Accessed on 29 November 2025.</w:t>
      </w:r>
    </w:p>
    <w:p w14:paraId="63B19189" w14:textId="77777777" w:rsidR="00A3102D" w:rsidRPr="00706D35" w:rsidRDefault="00A3102D" w:rsidP="006E4B9D">
      <w:pPr>
        <w:rPr>
          <w:sz w:val="24"/>
          <w:szCs w:val="24"/>
          <w:lang w:val="en-GB"/>
        </w:rPr>
      </w:pPr>
    </w:p>
    <w:p w14:paraId="2F34113F" w14:textId="4FF8D5A3" w:rsidR="00E9438C" w:rsidRDefault="00E9438C" w:rsidP="006E4B9D">
      <w:pPr>
        <w:rPr>
          <w:sz w:val="24"/>
          <w:szCs w:val="24"/>
          <w:lang w:val="en-GB"/>
        </w:rPr>
      </w:pPr>
      <w:proofErr w:type="spellStart"/>
      <w:r w:rsidRPr="00706D35">
        <w:rPr>
          <w:sz w:val="24"/>
          <w:szCs w:val="24"/>
          <w:lang w:val="en-GB"/>
        </w:rPr>
        <w:t>Gov.wales</w:t>
      </w:r>
      <w:proofErr w:type="spellEnd"/>
      <w:r w:rsidRPr="00706D35">
        <w:rPr>
          <w:sz w:val="24"/>
          <w:szCs w:val="24"/>
          <w:lang w:val="en-GB"/>
        </w:rPr>
        <w:t>. (2015). </w:t>
      </w:r>
      <w:r w:rsidRPr="00706D35">
        <w:rPr>
          <w:i/>
          <w:iCs/>
          <w:sz w:val="24"/>
          <w:szCs w:val="24"/>
          <w:lang w:val="en-GB"/>
        </w:rPr>
        <w:t>Economic inactivity rates (excluding students) by Welsh local area and year</w:t>
      </w:r>
      <w:r w:rsidRPr="00706D35">
        <w:rPr>
          <w:sz w:val="24"/>
          <w:szCs w:val="24"/>
          <w:lang w:val="en-GB"/>
        </w:rPr>
        <w:t xml:space="preserve">. [online] Available at: </w:t>
      </w:r>
      <w:hyperlink r:id="rId28" w:history="1">
        <w:r w:rsidR="00A3102D" w:rsidRPr="00402F02">
          <w:rPr>
            <w:rStyle w:val="Hyperlink"/>
            <w:sz w:val="24"/>
            <w:szCs w:val="24"/>
            <w:lang w:val="en-GB"/>
          </w:rPr>
          <w:t>https://statswales.gov.wales/Catalogue/Business-Economy-and-Labour-Market/People-and-Work/Economic-Inactivity/economicinactivityratesexcludingstudents-by-welshlocalarea-year</w:t>
        </w:r>
      </w:hyperlink>
      <w:r w:rsidR="00A3102D">
        <w:rPr>
          <w:sz w:val="24"/>
          <w:szCs w:val="24"/>
          <w:lang w:val="en-GB"/>
        </w:rPr>
        <w:t xml:space="preserve"> </w:t>
      </w:r>
      <w:r w:rsidRPr="00706D35">
        <w:rPr>
          <w:sz w:val="24"/>
          <w:szCs w:val="24"/>
          <w:lang w:val="en-GB"/>
        </w:rPr>
        <w:t xml:space="preserve"> [Accessed 28 Oct. 2025].</w:t>
      </w:r>
    </w:p>
    <w:p w14:paraId="79EB53C7" w14:textId="77777777" w:rsidR="00A3102D" w:rsidRPr="00706D35" w:rsidRDefault="00A3102D" w:rsidP="006E4B9D">
      <w:pPr>
        <w:rPr>
          <w:sz w:val="24"/>
          <w:szCs w:val="24"/>
          <w:lang w:val="en-GB"/>
        </w:rPr>
      </w:pPr>
    </w:p>
    <w:p w14:paraId="7B865AF3" w14:textId="1735CF4B" w:rsidR="00E9438C" w:rsidRDefault="00E9438C" w:rsidP="006E4B9D">
      <w:pPr>
        <w:rPr>
          <w:sz w:val="24"/>
          <w:szCs w:val="24"/>
          <w:lang w:val="en-GB"/>
        </w:rPr>
      </w:pPr>
      <w:r w:rsidRPr="00706D35">
        <w:rPr>
          <w:sz w:val="24"/>
          <w:szCs w:val="24"/>
          <w:lang w:val="en-GB"/>
        </w:rPr>
        <w:t>‌GOV.WALES. (2025). </w:t>
      </w:r>
      <w:r w:rsidRPr="00706D35">
        <w:rPr>
          <w:i/>
          <w:iCs/>
          <w:sz w:val="24"/>
          <w:szCs w:val="24"/>
          <w:lang w:val="en-GB"/>
        </w:rPr>
        <w:t>Tailored employment scheme blazing a trail into the workplace | GOV.WALES</w:t>
      </w:r>
      <w:r w:rsidRPr="00706D35">
        <w:rPr>
          <w:sz w:val="24"/>
          <w:szCs w:val="24"/>
          <w:lang w:val="en-GB"/>
        </w:rPr>
        <w:t xml:space="preserve">. [online] Available at: </w:t>
      </w:r>
      <w:hyperlink r:id="rId29" w:history="1">
        <w:r w:rsidR="000872A9" w:rsidRPr="00402F02">
          <w:rPr>
            <w:rStyle w:val="Hyperlink"/>
            <w:sz w:val="24"/>
            <w:szCs w:val="24"/>
            <w:lang w:val="en-GB"/>
          </w:rPr>
          <w:t>https://www.gov.wales/tailored-employment-scheme-blazing-trail-workplace</w:t>
        </w:r>
      </w:hyperlink>
      <w:r w:rsidR="000872A9">
        <w:rPr>
          <w:sz w:val="24"/>
          <w:szCs w:val="24"/>
          <w:lang w:val="en-GB"/>
        </w:rPr>
        <w:t xml:space="preserve"> </w:t>
      </w:r>
      <w:r w:rsidRPr="00706D35">
        <w:rPr>
          <w:sz w:val="24"/>
          <w:szCs w:val="24"/>
          <w:lang w:val="en-GB"/>
        </w:rPr>
        <w:t xml:space="preserve"> [Accessed 28 Oct. 2025].</w:t>
      </w:r>
    </w:p>
    <w:p w14:paraId="731D8E1F" w14:textId="77777777" w:rsidR="000872A9" w:rsidRPr="00706D35" w:rsidRDefault="000872A9" w:rsidP="006E4B9D">
      <w:pPr>
        <w:rPr>
          <w:sz w:val="24"/>
          <w:szCs w:val="24"/>
          <w:lang w:val="en-GB"/>
        </w:rPr>
      </w:pPr>
    </w:p>
    <w:p w14:paraId="6C5C1DE7" w14:textId="40442DA3" w:rsidR="00E9438C" w:rsidRPr="00706D35" w:rsidRDefault="00E9438C" w:rsidP="006E4B9D">
      <w:pPr>
        <w:rPr>
          <w:sz w:val="24"/>
          <w:szCs w:val="24"/>
          <w:lang w:val="en-GB"/>
        </w:rPr>
      </w:pPr>
      <w:r w:rsidRPr="00706D35">
        <w:rPr>
          <w:sz w:val="24"/>
          <w:szCs w:val="24"/>
          <w:lang w:val="en-GB"/>
        </w:rPr>
        <w:t>Haines, C. (2025). </w:t>
      </w:r>
      <w:r w:rsidRPr="00706D35">
        <w:rPr>
          <w:i/>
          <w:iCs/>
          <w:sz w:val="24"/>
          <w:szCs w:val="24"/>
          <w:lang w:val="en-GB"/>
        </w:rPr>
        <w:t xml:space="preserve">Drakeford warns of £7bn cuts if Welsh Government budget not passed - </w:t>
      </w:r>
      <w:proofErr w:type="spellStart"/>
      <w:r w:rsidRPr="00706D35">
        <w:rPr>
          <w:i/>
          <w:iCs/>
          <w:sz w:val="24"/>
          <w:szCs w:val="24"/>
          <w:lang w:val="en-GB"/>
        </w:rPr>
        <w:t>Herald.Wales</w:t>
      </w:r>
      <w:proofErr w:type="spellEnd"/>
      <w:r w:rsidRPr="00706D35">
        <w:rPr>
          <w:sz w:val="24"/>
          <w:szCs w:val="24"/>
          <w:lang w:val="en-GB"/>
        </w:rPr>
        <w:t xml:space="preserve">. [online] </w:t>
      </w:r>
      <w:proofErr w:type="spellStart"/>
      <w:r w:rsidRPr="00706D35">
        <w:rPr>
          <w:sz w:val="24"/>
          <w:szCs w:val="24"/>
          <w:lang w:val="en-GB"/>
        </w:rPr>
        <w:t>Herald.Wales</w:t>
      </w:r>
      <w:proofErr w:type="spellEnd"/>
      <w:r w:rsidRPr="00706D35">
        <w:rPr>
          <w:sz w:val="24"/>
          <w:szCs w:val="24"/>
          <w:lang w:val="en-GB"/>
        </w:rPr>
        <w:t xml:space="preserve">. Available at: </w:t>
      </w:r>
      <w:hyperlink r:id="rId30" w:history="1">
        <w:r w:rsidR="000872A9" w:rsidRPr="00402F02">
          <w:rPr>
            <w:rStyle w:val="Hyperlink"/>
            <w:sz w:val="24"/>
            <w:szCs w:val="24"/>
            <w:lang w:val="en-GB"/>
          </w:rPr>
          <w:t>https://herald.wales/senedd/drakeford-warns-of-7bn-cuts-if-welsh-government-budget-not-passed/</w:t>
        </w:r>
      </w:hyperlink>
      <w:r w:rsidR="000872A9">
        <w:rPr>
          <w:sz w:val="24"/>
          <w:szCs w:val="24"/>
          <w:lang w:val="en-GB"/>
        </w:rPr>
        <w:t xml:space="preserve"> </w:t>
      </w:r>
      <w:r w:rsidRPr="00706D35">
        <w:rPr>
          <w:sz w:val="24"/>
          <w:szCs w:val="24"/>
          <w:lang w:val="en-GB"/>
        </w:rPr>
        <w:t xml:space="preserve"> [Accessed 28 Oct. 2025].</w:t>
      </w:r>
    </w:p>
    <w:p w14:paraId="23AD95E7" w14:textId="77777777" w:rsidR="000872A9" w:rsidRDefault="000872A9" w:rsidP="006E4B9D">
      <w:pPr>
        <w:rPr>
          <w:sz w:val="24"/>
          <w:szCs w:val="24"/>
          <w:lang w:val="en-GB"/>
        </w:rPr>
      </w:pPr>
    </w:p>
    <w:p w14:paraId="24F40A0D" w14:textId="2000220A" w:rsidR="00E9438C" w:rsidRPr="00706D35" w:rsidRDefault="00E9438C" w:rsidP="006E4B9D">
      <w:pPr>
        <w:rPr>
          <w:sz w:val="24"/>
          <w:szCs w:val="24"/>
          <w:lang w:val="en-GB"/>
        </w:rPr>
      </w:pPr>
      <w:proofErr w:type="spellStart"/>
      <w:r w:rsidRPr="00706D35">
        <w:rPr>
          <w:sz w:val="24"/>
          <w:szCs w:val="24"/>
          <w:lang w:val="en-GB"/>
        </w:rPr>
        <w:t>Higashikata</w:t>
      </w:r>
      <w:proofErr w:type="spellEnd"/>
      <w:r w:rsidRPr="00706D35">
        <w:rPr>
          <w:sz w:val="24"/>
          <w:szCs w:val="24"/>
          <w:lang w:val="en-GB"/>
        </w:rPr>
        <w:t xml:space="preserve">, T. (2021) ‘The Effect of Increasing the Minimum Wage on Employment in </w:t>
      </w:r>
      <w:proofErr w:type="gramStart"/>
      <w:r w:rsidRPr="00706D35">
        <w:rPr>
          <w:sz w:val="24"/>
          <w:szCs w:val="24"/>
          <w:lang w:val="en-GB"/>
        </w:rPr>
        <w:t>Indonesia :</w:t>
      </w:r>
      <w:proofErr w:type="gramEnd"/>
      <w:r w:rsidRPr="00706D35">
        <w:rPr>
          <w:sz w:val="24"/>
          <w:szCs w:val="24"/>
          <w:lang w:val="en-GB"/>
        </w:rPr>
        <w:t xml:space="preserve"> An Analysis of Manufacturing Firms in West Java from 1994 to 2015’, </w:t>
      </w:r>
      <w:r w:rsidRPr="00706D35">
        <w:rPr>
          <w:i/>
          <w:iCs/>
          <w:sz w:val="24"/>
          <w:szCs w:val="24"/>
          <w:lang w:val="en-GB"/>
        </w:rPr>
        <w:t>Journal of Southeast Asian Economies</w:t>
      </w:r>
      <w:r w:rsidRPr="00706D35">
        <w:rPr>
          <w:sz w:val="24"/>
          <w:szCs w:val="24"/>
          <w:lang w:val="en-GB"/>
        </w:rPr>
        <w:t xml:space="preserve">, 38(3), pp. 358–374. Available at: </w:t>
      </w:r>
      <w:hyperlink r:id="rId31" w:history="1">
        <w:r w:rsidR="000872A9" w:rsidRPr="00402F02">
          <w:rPr>
            <w:rStyle w:val="Hyperlink"/>
            <w:sz w:val="24"/>
            <w:szCs w:val="24"/>
            <w:lang w:val="en-GB"/>
          </w:rPr>
          <w:t>https://research.ebsco.com/linkprocessor/plink?id=76ee3b30-5566-3f27-954e-8854feec4957</w:t>
        </w:r>
      </w:hyperlink>
      <w:r w:rsidR="000872A9">
        <w:rPr>
          <w:sz w:val="24"/>
          <w:szCs w:val="24"/>
          <w:lang w:val="en-GB"/>
        </w:rPr>
        <w:t xml:space="preserve"> </w:t>
      </w:r>
      <w:r w:rsidRPr="00706D35">
        <w:rPr>
          <w:sz w:val="24"/>
          <w:szCs w:val="24"/>
          <w:lang w:val="en-GB"/>
        </w:rPr>
        <w:t xml:space="preserve"> (Accessed: 29 October 2025).</w:t>
      </w:r>
    </w:p>
    <w:p w14:paraId="41325430" w14:textId="77777777" w:rsidR="00E9438C" w:rsidRPr="00706D35" w:rsidRDefault="00E9438C" w:rsidP="006E4B9D">
      <w:pPr>
        <w:rPr>
          <w:sz w:val="24"/>
          <w:szCs w:val="24"/>
          <w:lang w:val="en-GB"/>
        </w:rPr>
      </w:pPr>
    </w:p>
    <w:p w14:paraId="42D48982" w14:textId="77777777" w:rsidR="00E9438C" w:rsidRPr="00706D35" w:rsidRDefault="00E9438C" w:rsidP="006E4B9D">
      <w:pPr>
        <w:rPr>
          <w:sz w:val="24"/>
          <w:szCs w:val="24"/>
          <w:lang w:val="en-GB"/>
        </w:rPr>
      </w:pPr>
      <w:r w:rsidRPr="00706D35">
        <w:rPr>
          <w:sz w:val="24"/>
          <w:szCs w:val="24"/>
          <w:lang w:val="en-GB"/>
        </w:rPr>
        <w:t xml:space="preserve">Jolly, b. (2025) ‘Brooke Weston Trust CEO 'voluntarily declined a pay rise'’ </w:t>
      </w:r>
      <w:r w:rsidRPr="00706D35">
        <w:rPr>
          <w:i/>
          <w:iCs/>
          <w:sz w:val="24"/>
          <w:szCs w:val="24"/>
          <w:lang w:val="en-GB"/>
        </w:rPr>
        <w:t>Wisbech Standard</w:t>
      </w:r>
      <w:r w:rsidRPr="00706D35">
        <w:rPr>
          <w:sz w:val="24"/>
          <w:szCs w:val="24"/>
          <w:lang w:val="en-GB"/>
        </w:rPr>
        <w:t xml:space="preserve"> 20th June. Available at : </w:t>
      </w:r>
      <w:hyperlink r:id="rId32" w:history="1">
        <w:r w:rsidRPr="00706D35">
          <w:rPr>
            <w:rStyle w:val="Hyperlink"/>
            <w:sz w:val="24"/>
            <w:szCs w:val="24"/>
            <w:lang w:val="en-GB"/>
          </w:rPr>
          <w:t>https://www.wisbechstandard.co.uk/news/25256344.brooke-weston-trust-ceo-voluntarily-declined-pay-rise/</w:t>
        </w:r>
      </w:hyperlink>
      <w:r w:rsidRPr="00706D35">
        <w:rPr>
          <w:sz w:val="24"/>
          <w:szCs w:val="24"/>
          <w:lang w:val="en-GB"/>
        </w:rPr>
        <w:t xml:space="preserve"> Accessed on 29 November 2025.</w:t>
      </w:r>
    </w:p>
    <w:p w14:paraId="6EAC126C" w14:textId="6C3ED09D" w:rsidR="00E9438C" w:rsidRDefault="00E9438C" w:rsidP="006E4B9D">
      <w:pPr>
        <w:rPr>
          <w:sz w:val="24"/>
          <w:szCs w:val="24"/>
          <w:lang w:val="en-GB"/>
        </w:rPr>
      </w:pPr>
      <w:proofErr w:type="spellStart"/>
      <w:r w:rsidRPr="00706D35">
        <w:rPr>
          <w:sz w:val="24"/>
          <w:szCs w:val="24"/>
          <w:lang w:val="en-GB"/>
        </w:rPr>
        <w:lastRenderedPageBreak/>
        <w:t>Kansongue</w:t>
      </w:r>
      <w:proofErr w:type="spellEnd"/>
      <w:r w:rsidRPr="00706D35">
        <w:rPr>
          <w:sz w:val="24"/>
          <w:szCs w:val="24"/>
          <w:lang w:val="en-GB"/>
        </w:rPr>
        <w:t xml:space="preserve">, N. Njuguna, J. </w:t>
      </w:r>
      <w:proofErr w:type="spellStart"/>
      <w:r w:rsidRPr="00706D35">
        <w:rPr>
          <w:sz w:val="24"/>
          <w:szCs w:val="24"/>
          <w:lang w:val="en-GB"/>
        </w:rPr>
        <w:t>Vertigans</w:t>
      </w:r>
      <w:proofErr w:type="spellEnd"/>
      <w:r w:rsidRPr="00706D35">
        <w:rPr>
          <w:sz w:val="24"/>
          <w:szCs w:val="24"/>
          <w:lang w:val="en-GB"/>
        </w:rPr>
        <w:t xml:space="preserve">, S. (2023) ‘A PESTEL and SWOT impact analysis on renewable energy development in Togo’, </w:t>
      </w:r>
      <w:r w:rsidRPr="00706D35">
        <w:rPr>
          <w:i/>
          <w:iCs/>
          <w:sz w:val="24"/>
          <w:szCs w:val="24"/>
          <w:lang w:val="en-GB"/>
        </w:rPr>
        <w:t>Modelling and Optimization for decision support</w:t>
      </w:r>
      <w:r w:rsidRPr="00706D35">
        <w:rPr>
          <w:sz w:val="24"/>
          <w:szCs w:val="24"/>
          <w:lang w:val="en-GB"/>
        </w:rPr>
        <w:t xml:space="preserve">, Vol 3.  Available at: </w:t>
      </w:r>
      <w:hyperlink r:id="rId33" w:history="1">
        <w:r w:rsidRPr="00706D35">
          <w:rPr>
            <w:rStyle w:val="Hyperlink"/>
            <w:sz w:val="24"/>
            <w:szCs w:val="24"/>
            <w:lang w:val="en-GB"/>
          </w:rPr>
          <w:t>https://doi.org/10.3389/frsus.2022.990173</w:t>
        </w:r>
      </w:hyperlink>
      <w:r w:rsidRPr="00706D35">
        <w:rPr>
          <w:sz w:val="24"/>
          <w:szCs w:val="24"/>
          <w:lang w:val="en-GB"/>
        </w:rPr>
        <w:t xml:space="preserve"> </w:t>
      </w:r>
      <w:r w:rsidR="000872A9">
        <w:rPr>
          <w:sz w:val="24"/>
          <w:szCs w:val="24"/>
          <w:lang w:val="en-GB"/>
        </w:rPr>
        <w:t xml:space="preserve"> </w:t>
      </w:r>
    </w:p>
    <w:p w14:paraId="6CF3772F" w14:textId="77777777" w:rsidR="000872A9" w:rsidRPr="00706D35" w:rsidRDefault="000872A9" w:rsidP="006E4B9D">
      <w:pPr>
        <w:rPr>
          <w:sz w:val="24"/>
          <w:szCs w:val="24"/>
          <w:lang w:val="en-GB"/>
        </w:rPr>
      </w:pPr>
    </w:p>
    <w:p w14:paraId="5A4B9D0A" w14:textId="77777777" w:rsidR="00E9438C" w:rsidRDefault="00E9438C" w:rsidP="006E4B9D">
      <w:pPr>
        <w:rPr>
          <w:sz w:val="24"/>
          <w:szCs w:val="24"/>
          <w:lang w:val="en-GB"/>
        </w:rPr>
      </w:pPr>
      <w:proofErr w:type="spellStart"/>
      <w:r w:rsidRPr="00706D35">
        <w:rPr>
          <w:sz w:val="24"/>
          <w:szCs w:val="24"/>
          <w:lang w:val="en-GB"/>
        </w:rPr>
        <w:t>Karadzhov</w:t>
      </w:r>
      <w:proofErr w:type="spellEnd"/>
      <w:r w:rsidRPr="00706D35">
        <w:rPr>
          <w:sz w:val="24"/>
          <w:szCs w:val="24"/>
          <w:lang w:val="en-GB"/>
        </w:rPr>
        <w:t xml:space="preserve">, V and </w:t>
      </w:r>
      <w:proofErr w:type="spellStart"/>
      <w:r w:rsidRPr="00706D35">
        <w:rPr>
          <w:sz w:val="24"/>
          <w:szCs w:val="24"/>
          <w:lang w:val="en-GB"/>
        </w:rPr>
        <w:t>Patarchanova</w:t>
      </w:r>
      <w:proofErr w:type="spellEnd"/>
      <w:r w:rsidRPr="00706D35">
        <w:rPr>
          <w:sz w:val="24"/>
          <w:szCs w:val="24"/>
          <w:lang w:val="en-GB"/>
        </w:rPr>
        <w:t xml:space="preserve">, E (2025) ‘How to create the Best PESTEL Analysis’, </w:t>
      </w:r>
      <w:r w:rsidRPr="00706D35">
        <w:rPr>
          <w:i/>
          <w:iCs/>
          <w:sz w:val="24"/>
          <w:szCs w:val="24"/>
          <w:lang w:val="en-GB"/>
        </w:rPr>
        <w:t>International Journal of Digital Research</w:t>
      </w:r>
      <w:r w:rsidRPr="00706D35">
        <w:rPr>
          <w:sz w:val="24"/>
          <w:szCs w:val="24"/>
          <w:lang w:val="en-GB"/>
        </w:rPr>
        <w:t xml:space="preserve">, Vol 1: Issue 3, </w:t>
      </w:r>
      <w:proofErr w:type="spellStart"/>
      <w:r w:rsidRPr="00706D35">
        <w:rPr>
          <w:sz w:val="24"/>
          <w:szCs w:val="24"/>
          <w:lang w:val="en-GB"/>
        </w:rPr>
        <w:t>P.p</w:t>
      </w:r>
      <w:proofErr w:type="spellEnd"/>
      <w:r w:rsidRPr="00706D35">
        <w:rPr>
          <w:sz w:val="24"/>
          <w:szCs w:val="24"/>
          <w:lang w:val="en-GB"/>
        </w:rPr>
        <w:t xml:space="preserve"> 8-20.  Available at : </w:t>
      </w:r>
      <w:hyperlink r:id="rId34" w:history="1">
        <w:r w:rsidRPr="00706D35">
          <w:rPr>
            <w:rStyle w:val="Hyperlink"/>
            <w:sz w:val="24"/>
            <w:szCs w:val="24"/>
            <w:lang w:val="en-GB"/>
          </w:rPr>
          <w:t>https://www.researchgate.net/deref/https%3A%2F%2Fdoi.org%2F10.63711%2Fijdr.net20250301?_tp=eyJjb250ZXh0Ijp7ImZpcnN0UGFnZSI6InB1YmxpY2F0aW9uIiwicGFnZSI6InB1YmxpY2F0aW9uIn19</w:t>
        </w:r>
      </w:hyperlink>
      <w:r w:rsidRPr="00706D35">
        <w:rPr>
          <w:sz w:val="24"/>
          <w:szCs w:val="24"/>
          <w:lang w:val="en-GB"/>
        </w:rPr>
        <w:t xml:space="preserve"> (Accessed : 14 November 2025.)</w:t>
      </w:r>
    </w:p>
    <w:p w14:paraId="7DD405CF" w14:textId="77777777" w:rsidR="000872A9" w:rsidRPr="00706D35" w:rsidRDefault="000872A9" w:rsidP="006E4B9D">
      <w:pPr>
        <w:rPr>
          <w:sz w:val="24"/>
          <w:szCs w:val="24"/>
          <w:lang w:val="en-GB"/>
        </w:rPr>
      </w:pPr>
    </w:p>
    <w:p w14:paraId="21D46060" w14:textId="49EFDD38" w:rsidR="00E9438C" w:rsidRDefault="00E9438C" w:rsidP="006E4B9D">
      <w:pPr>
        <w:rPr>
          <w:sz w:val="24"/>
          <w:szCs w:val="24"/>
          <w:lang w:val="en-GB"/>
        </w:rPr>
      </w:pPr>
      <w:r w:rsidRPr="00706D35">
        <w:rPr>
          <w:sz w:val="24"/>
          <w:szCs w:val="24"/>
          <w:lang w:val="en-GB"/>
        </w:rPr>
        <w:t xml:space="preserve">‌Koch, A., Reiner, M. and Scheu, T. (2024) ‘Der </w:t>
      </w:r>
      <w:proofErr w:type="spellStart"/>
      <w:r w:rsidRPr="00706D35">
        <w:rPr>
          <w:sz w:val="24"/>
          <w:szCs w:val="24"/>
          <w:lang w:val="en-GB"/>
        </w:rPr>
        <w:t>Mindestlohn</w:t>
      </w:r>
      <w:proofErr w:type="spellEnd"/>
      <w:r w:rsidRPr="00706D35">
        <w:rPr>
          <w:sz w:val="24"/>
          <w:szCs w:val="24"/>
          <w:lang w:val="en-GB"/>
        </w:rPr>
        <w:t xml:space="preserve"> in der Praxis: </w:t>
      </w:r>
      <w:proofErr w:type="spellStart"/>
      <w:r w:rsidRPr="00706D35">
        <w:rPr>
          <w:sz w:val="24"/>
          <w:szCs w:val="24"/>
          <w:lang w:val="en-GB"/>
        </w:rPr>
        <w:t>Auswirkungen</w:t>
      </w:r>
      <w:proofErr w:type="spellEnd"/>
      <w:r w:rsidRPr="00706D35">
        <w:rPr>
          <w:sz w:val="24"/>
          <w:szCs w:val="24"/>
          <w:lang w:val="en-GB"/>
        </w:rPr>
        <w:t xml:space="preserve"> auf </w:t>
      </w:r>
      <w:proofErr w:type="spellStart"/>
      <w:r w:rsidRPr="00706D35">
        <w:rPr>
          <w:sz w:val="24"/>
          <w:szCs w:val="24"/>
          <w:lang w:val="en-GB"/>
        </w:rPr>
        <w:t>Lohnstrukturen</w:t>
      </w:r>
      <w:proofErr w:type="spellEnd"/>
      <w:r w:rsidRPr="00706D35">
        <w:rPr>
          <w:sz w:val="24"/>
          <w:szCs w:val="24"/>
          <w:lang w:val="en-GB"/>
        </w:rPr>
        <w:t xml:space="preserve">, </w:t>
      </w:r>
      <w:proofErr w:type="spellStart"/>
      <w:r w:rsidRPr="00706D35">
        <w:rPr>
          <w:sz w:val="24"/>
          <w:szCs w:val="24"/>
          <w:lang w:val="en-GB"/>
        </w:rPr>
        <w:t>Arbeitsorganisation</w:t>
      </w:r>
      <w:proofErr w:type="spellEnd"/>
      <w:r w:rsidRPr="00706D35">
        <w:rPr>
          <w:sz w:val="24"/>
          <w:szCs w:val="24"/>
          <w:lang w:val="en-GB"/>
        </w:rPr>
        <w:t xml:space="preserve"> und (Non-)Compliance’, </w:t>
      </w:r>
      <w:proofErr w:type="spellStart"/>
      <w:r w:rsidRPr="00706D35">
        <w:rPr>
          <w:i/>
          <w:iCs/>
          <w:sz w:val="24"/>
          <w:szCs w:val="24"/>
          <w:lang w:val="en-GB"/>
        </w:rPr>
        <w:t>Wirtschafts</w:t>
      </w:r>
      <w:proofErr w:type="spellEnd"/>
      <w:r w:rsidRPr="00706D35">
        <w:rPr>
          <w:i/>
          <w:iCs/>
          <w:sz w:val="24"/>
          <w:szCs w:val="24"/>
          <w:lang w:val="en-GB"/>
        </w:rPr>
        <w:t xml:space="preserve">- und </w:t>
      </w:r>
      <w:proofErr w:type="spellStart"/>
      <w:r w:rsidRPr="00706D35">
        <w:rPr>
          <w:i/>
          <w:iCs/>
          <w:sz w:val="24"/>
          <w:szCs w:val="24"/>
          <w:lang w:val="en-GB"/>
        </w:rPr>
        <w:t>Sozialwissenschaftliches</w:t>
      </w:r>
      <w:proofErr w:type="spellEnd"/>
      <w:r w:rsidRPr="00706D35">
        <w:rPr>
          <w:i/>
          <w:iCs/>
          <w:sz w:val="24"/>
          <w:szCs w:val="24"/>
          <w:lang w:val="en-GB"/>
        </w:rPr>
        <w:t xml:space="preserve"> </w:t>
      </w:r>
      <w:proofErr w:type="spellStart"/>
      <w:r w:rsidRPr="00706D35">
        <w:rPr>
          <w:i/>
          <w:iCs/>
          <w:sz w:val="24"/>
          <w:szCs w:val="24"/>
          <w:lang w:val="en-GB"/>
        </w:rPr>
        <w:t>Institut</w:t>
      </w:r>
      <w:proofErr w:type="spellEnd"/>
      <w:r w:rsidRPr="00706D35">
        <w:rPr>
          <w:i/>
          <w:iCs/>
          <w:sz w:val="24"/>
          <w:szCs w:val="24"/>
          <w:lang w:val="en-GB"/>
        </w:rPr>
        <w:t xml:space="preserve"> </w:t>
      </w:r>
      <w:proofErr w:type="spellStart"/>
      <w:r w:rsidRPr="00706D35">
        <w:rPr>
          <w:i/>
          <w:iCs/>
          <w:sz w:val="24"/>
          <w:szCs w:val="24"/>
          <w:lang w:val="en-GB"/>
        </w:rPr>
        <w:t>Mitteilungen</w:t>
      </w:r>
      <w:proofErr w:type="spellEnd"/>
      <w:r w:rsidRPr="00706D35">
        <w:rPr>
          <w:sz w:val="24"/>
          <w:szCs w:val="24"/>
          <w:lang w:val="en-GB"/>
        </w:rPr>
        <w:t>, 77(4), pp. 262–272. doi:10.5771/0342-300X-2024-4-262.</w:t>
      </w:r>
    </w:p>
    <w:p w14:paraId="2154528A" w14:textId="77777777" w:rsidR="000872A9" w:rsidRPr="00706D35" w:rsidRDefault="000872A9" w:rsidP="006E4B9D">
      <w:pPr>
        <w:rPr>
          <w:sz w:val="24"/>
          <w:szCs w:val="24"/>
          <w:lang w:val="en-GB"/>
        </w:rPr>
      </w:pPr>
    </w:p>
    <w:p w14:paraId="6B82113F" w14:textId="77777777" w:rsidR="00E9438C" w:rsidRDefault="00E9438C" w:rsidP="006E4B9D">
      <w:pPr>
        <w:rPr>
          <w:sz w:val="24"/>
          <w:szCs w:val="24"/>
          <w:lang w:val="en-GB"/>
        </w:rPr>
      </w:pPr>
      <w:r w:rsidRPr="00706D35">
        <w:rPr>
          <w:sz w:val="24"/>
          <w:szCs w:val="24"/>
          <w:lang w:val="en-GB"/>
        </w:rPr>
        <w:t xml:space="preserve">Lam, L. Cheng, B.H. Bamberger, P. Wong, M. (2022) Research: The unintended Consequences of Pay Transparency. Harvard Business review.  Available at : </w:t>
      </w:r>
      <w:hyperlink r:id="rId35" w:history="1">
        <w:r w:rsidRPr="00706D35">
          <w:rPr>
            <w:rStyle w:val="Hyperlink"/>
            <w:sz w:val="24"/>
            <w:szCs w:val="24"/>
            <w:lang w:val="en-GB"/>
          </w:rPr>
          <w:t>https://hbr.org/2022/08/research-the-unintended-consequences-of-pay-transparency</w:t>
        </w:r>
      </w:hyperlink>
      <w:r w:rsidRPr="00706D35">
        <w:rPr>
          <w:sz w:val="24"/>
          <w:szCs w:val="24"/>
          <w:lang w:val="en-GB"/>
        </w:rPr>
        <w:t xml:space="preserve"> Accessed on 29 November 2025.</w:t>
      </w:r>
    </w:p>
    <w:p w14:paraId="068AF8C7" w14:textId="77777777" w:rsidR="000872A9" w:rsidRPr="00706D35" w:rsidRDefault="000872A9" w:rsidP="006E4B9D">
      <w:pPr>
        <w:rPr>
          <w:sz w:val="24"/>
          <w:szCs w:val="24"/>
          <w:lang w:val="en-GB"/>
        </w:rPr>
      </w:pPr>
    </w:p>
    <w:p w14:paraId="77DC9DF0" w14:textId="77777777" w:rsidR="00E9438C" w:rsidRDefault="00E9438C" w:rsidP="006E4B9D">
      <w:pPr>
        <w:rPr>
          <w:sz w:val="24"/>
          <w:szCs w:val="24"/>
          <w:lang w:val="en-GB"/>
        </w:rPr>
      </w:pPr>
      <w:r w:rsidRPr="00706D35">
        <w:rPr>
          <w:sz w:val="24"/>
          <w:szCs w:val="24"/>
          <w:lang w:val="en-GB"/>
        </w:rPr>
        <w:t xml:space="preserve">Larkin, G (2021) Why we need to prioritise equality, diversity and inclusion. Planning Inspectorate Available at : </w:t>
      </w:r>
      <w:hyperlink r:id="rId36" w:history="1">
        <w:r w:rsidRPr="00706D35">
          <w:rPr>
            <w:rStyle w:val="Hyperlink"/>
            <w:sz w:val="24"/>
            <w:szCs w:val="24"/>
            <w:lang w:val="en-GB"/>
          </w:rPr>
          <w:t>https://planninginspectorate.blog.gov.uk/2021/11/18/why-we-need-to-prioritise-equality-diversity-and-inclusion/</w:t>
        </w:r>
      </w:hyperlink>
      <w:r w:rsidRPr="00706D35">
        <w:rPr>
          <w:sz w:val="24"/>
          <w:szCs w:val="24"/>
          <w:lang w:val="en-GB"/>
        </w:rPr>
        <w:t xml:space="preserve"> Accessed on 29 November 2025.</w:t>
      </w:r>
    </w:p>
    <w:p w14:paraId="0B227C2D" w14:textId="77777777" w:rsidR="000872A9" w:rsidRPr="00706D35" w:rsidRDefault="000872A9" w:rsidP="006E4B9D">
      <w:pPr>
        <w:rPr>
          <w:sz w:val="24"/>
          <w:szCs w:val="24"/>
          <w:lang w:val="en-GB"/>
        </w:rPr>
      </w:pPr>
    </w:p>
    <w:p w14:paraId="65A3EA5C" w14:textId="77777777" w:rsidR="00E9438C" w:rsidRDefault="00E9438C" w:rsidP="006E4B9D">
      <w:pPr>
        <w:rPr>
          <w:sz w:val="24"/>
          <w:szCs w:val="24"/>
          <w:lang w:val="en-GB"/>
        </w:rPr>
      </w:pPr>
      <w:r w:rsidRPr="00706D35">
        <w:rPr>
          <w:sz w:val="24"/>
          <w:szCs w:val="24"/>
          <w:lang w:val="en-GB"/>
        </w:rPr>
        <w:t xml:space="preserve">Liana, K. Hovhannes, A. Shogher, P. Liana, A. </w:t>
      </w:r>
      <w:proofErr w:type="spellStart"/>
      <w:r w:rsidRPr="00706D35">
        <w:rPr>
          <w:sz w:val="24"/>
          <w:szCs w:val="24"/>
          <w:lang w:val="en-GB"/>
        </w:rPr>
        <w:t>Tsovinar</w:t>
      </w:r>
      <w:proofErr w:type="spellEnd"/>
      <w:r w:rsidRPr="00706D35">
        <w:rPr>
          <w:sz w:val="24"/>
          <w:szCs w:val="24"/>
          <w:lang w:val="en-GB"/>
        </w:rPr>
        <w:t>, K. Alvard, M. Meri, M. (2025) ‘The agriculture specialization through the lens of PESTLE analysis’, </w:t>
      </w:r>
      <w:r w:rsidRPr="00706D35">
        <w:rPr>
          <w:i/>
          <w:iCs/>
          <w:sz w:val="24"/>
          <w:szCs w:val="24"/>
          <w:lang w:val="en-GB"/>
        </w:rPr>
        <w:t>Open Agriculture</w:t>
      </w:r>
      <w:r w:rsidRPr="00706D35">
        <w:rPr>
          <w:sz w:val="24"/>
          <w:szCs w:val="24"/>
          <w:lang w:val="en-GB"/>
        </w:rPr>
        <w:t xml:space="preserve">, Vol 10(1), pp. 122–32. Available at: doi:10.1515/opag-2025-0451 </w:t>
      </w:r>
    </w:p>
    <w:p w14:paraId="0CBB8CA7" w14:textId="77777777" w:rsidR="000872A9" w:rsidRPr="00706D35" w:rsidRDefault="000872A9" w:rsidP="006E4B9D">
      <w:pPr>
        <w:rPr>
          <w:sz w:val="24"/>
          <w:szCs w:val="24"/>
          <w:lang w:val="en-GB"/>
        </w:rPr>
      </w:pPr>
    </w:p>
    <w:p w14:paraId="5C62B418" w14:textId="77777777" w:rsidR="00E9438C" w:rsidRDefault="00E9438C" w:rsidP="006E4B9D">
      <w:pPr>
        <w:rPr>
          <w:sz w:val="24"/>
          <w:szCs w:val="24"/>
          <w:lang w:val="en-GB"/>
        </w:rPr>
      </w:pPr>
      <w:r w:rsidRPr="00706D35">
        <w:rPr>
          <w:sz w:val="24"/>
          <w:szCs w:val="24"/>
          <w:lang w:val="en-GB"/>
        </w:rPr>
        <w:t xml:space="preserve">Local Government (2016) </w:t>
      </w:r>
      <w:r w:rsidRPr="00706D35">
        <w:rPr>
          <w:i/>
          <w:iCs/>
          <w:sz w:val="24"/>
          <w:szCs w:val="24"/>
          <w:lang w:val="en-GB"/>
        </w:rPr>
        <w:t>Local Government Services Job Evaluation Scheme Technical Note NO. 15.</w:t>
      </w:r>
      <w:r w:rsidRPr="00706D35">
        <w:rPr>
          <w:sz w:val="24"/>
          <w:szCs w:val="24"/>
          <w:lang w:val="en-GB"/>
        </w:rPr>
        <w:t xml:space="preserve">  Available at : </w:t>
      </w:r>
      <w:hyperlink r:id="rId37" w:history="1">
        <w:r w:rsidRPr="00706D35">
          <w:rPr>
            <w:rStyle w:val="Hyperlink"/>
            <w:sz w:val="24"/>
            <w:szCs w:val="24"/>
            <w:lang w:val="en-GB"/>
          </w:rPr>
          <w:t>https://www.local.gov.uk/sites/default/files/documents/tech-note-15-market-suppl-88b.pdf</w:t>
        </w:r>
      </w:hyperlink>
      <w:r w:rsidRPr="00706D35">
        <w:rPr>
          <w:sz w:val="24"/>
          <w:szCs w:val="24"/>
          <w:lang w:val="en-GB"/>
        </w:rPr>
        <w:t xml:space="preserve"> Accessed on 28 November 2025.</w:t>
      </w:r>
    </w:p>
    <w:p w14:paraId="7DA63C97" w14:textId="77777777" w:rsidR="000872A9" w:rsidRPr="00706D35" w:rsidRDefault="000872A9" w:rsidP="006E4B9D">
      <w:pPr>
        <w:rPr>
          <w:sz w:val="24"/>
          <w:szCs w:val="24"/>
          <w:lang w:val="en-GB"/>
        </w:rPr>
      </w:pPr>
    </w:p>
    <w:p w14:paraId="51A3F368" w14:textId="77777777" w:rsidR="00E9438C" w:rsidRDefault="00E9438C" w:rsidP="006E4B9D">
      <w:pPr>
        <w:rPr>
          <w:sz w:val="24"/>
          <w:szCs w:val="24"/>
          <w:lang w:val="en-GB"/>
        </w:rPr>
      </w:pPr>
      <w:r w:rsidRPr="00706D35">
        <w:rPr>
          <w:sz w:val="24"/>
          <w:szCs w:val="24"/>
          <w:lang w:val="en-GB"/>
        </w:rPr>
        <w:t xml:space="preserve">Local Government Association (2025) </w:t>
      </w:r>
      <w:r w:rsidRPr="00706D35">
        <w:rPr>
          <w:i/>
          <w:iCs/>
          <w:sz w:val="24"/>
          <w:szCs w:val="24"/>
          <w:lang w:val="en-GB"/>
        </w:rPr>
        <w:t xml:space="preserve">Local Government services pay agreement 2025. </w:t>
      </w:r>
      <w:r w:rsidRPr="00706D35">
        <w:rPr>
          <w:sz w:val="24"/>
          <w:szCs w:val="24"/>
          <w:lang w:val="en-GB"/>
        </w:rPr>
        <w:t xml:space="preserve">Available at : </w:t>
      </w:r>
      <w:hyperlink r:id="rId38" w:history="1">
        <w:r w:rsidRPr="00706D35">
          <w:rPr>
            <w:rStyle w:val="Hyperlink"/>
            <w:sz w:val="24"/>
            <w:szCs w:val="24"/>
            <w:lang w:val="en-GB"/>
          </w:rPr>
          <w:t>https://www.local.gov.uk/our-support/workforce-and-hr-support/local-government-services/local-government-services-pay-2</w:t>
        </w:r>
      </w:hyperlink>
      <w:r w:rsidRPr="00706D35">
        <w:rPr>
          <w:sz w:val="24"/>
          <w:szCs w:val="24"/>
          <w:lang w:val="en-GB"/>
        </w:rPr>
        <w:t xml:space="preserve"> (Accessed on 15 November 2025)</w:t>
      </w:r>
    </w:p>
    <w:p w14:paraId="64A10240" w14:textId="77777777" w:rsidR="000872A9" w:rsidRPr="00706D35" w:rsidRDefault="000872A9" w:rsidP="006E4B9D">
      <w:pPr>
        <w:rPr>
          <w:sz w:val="24"/>
          <w:szCs w:val="24"/>
          <w:lang w:val="en-GB"/>
        </w:rPr>
      </w:pPr>
    </w:p>
    <w:p w14:paraId="19BDABD5" w14:textId="77777777" w:rsidR="00E9438C" w:rsidRDefault="00E9438C" w:rsidP="006E4B9D">
      <w:pPr>
        <w:rPr>
          <w:sz w:val="24"/>
          <w:szCs w:val="24"/>
          <w:lang w:val="en-GB"/>
        </w:rPr>
      </w:pPr>
      <w:r w:rsidRPr="00706D35">
        <w:rPr>
          <w:sz w:val="24"/>
          <w:szCs w:val="24"/>
          <w:lang w:val="en-GB"/>
        </w:rPr>
        <w:t xml:space="preserve">Local Government Association (2023) </w:t>
      </w:r>
      <w:r w:rsidRPr="00706D35">
        <w:rPr>
          <w:i/>
          <w:iCs/>
          <w:sz w:val="24"/>
          <w:szCs w:val="24"/>
          <w:lang w:val="en-GB"/>
        </w:rPr>
        <w:t xml:space="preserve">Local Government Workforce Survey 2022 Research Report </w:t>
      </w:r>
      <w:r w:rsidRPr="00706D35">
        <w:rPr>
          <w:sz w:val="24"/>
          <w:szCs w:val="24"/>
          <w:lang w:val="en-GB"/>
        </w:rPr>
        <w:t xml:space="preserve">Available at : </w:t>
      </w:r>
      <w:hyperlink r:id="rId39" w:history="1">
        <w:r w:rsidRPr="00706D35">
          <w:rPr>
            <w:rStyle w:val="Hyperlink"/>
            <w:sz w:val="24"/>
            <w:szCs w:val="24"/>
            <w:lang w:val="en-GB"/>
          </w:rPr>
          <w:t>https://www.local.gov.uk/sites/default/files/documents/LG%20Workforce%20Survey%202022%20-%20Final%20for%20Publication%20-%20Tables%20Hard%20Coded.pdf</w:t>
        </w:r>
      </w:hyperlink>
      <w:r w:rsidRPr="00706D35">
        <w:rPr>
          <w:sz w:val="24"/>
          <w:szCs w:val="24"/>
          <w:lang w:val="en-GB"/>
        </w:rPr>
        <w:t xml:space="preserve"> Accessed on 17 November 2025.</w:t>
      </w:r>
    </w:p>
    <w:p w14:paraId="26C218F1" w14:textId="77777777" w:rsidR="000872A9" w:rsidRPr="00706D35" w:rsidRDefault="000872A9" w:rsidP="006E4B9D">
      <w:pPr>
        <w:rPr>
          <w:sz w:val="24"/>
          <w:szCs w:val="24"/>
          <w:lang w:val="en-GB"/>
        </w:rPr>
      </w:pPr>
    </w:p>
    <w:p w14:paraId="1C75D60F" w14:textId="79625D19" w:rsidR="00E9438C" w:rsidRDefault="00E9438C" w:rsidP="006E4B9D">
      <w:pPr>
        <w:rPr>
          <w:sz w:val="24"/>
          <w:szCs w:val="24"/>
          <w:lang w:val="en-GB"/>
        </w:rPr>
      </w:pPr>
      <w:r w:rsidRPr="00706D35">
        <w:rPr>
          <w:sz w:val="24"/>
          <w:szCs w:val="24"/>
          <w:lang w:val="en-GB"/>
        </w:rPr>
        <w:t xml:space="preserve">Low Pay Commission consultation 2024 Chartered Institute of Personnel and Development (CIPD). (2024). Available at: </w:t>
      </w:r>
      <w:hyperlink r:id="rId40" w:history="1">
        <w:r w:rsidR="001C30CE" w:rsidRPr="00402F02">
          <w:rPr>
            <w:rStyle w:val="Hyperlink"/>
            <w:sz w:val="24"/>
            <w:szCs w:val="24"/>
            <w:lang w:val="en-GB"/>
          </w:rPr>
          <w:t>https://www.cipd.org/globalassets/media/comms/about-us/influencing-public-policy/2024-cipd-response-low-pay-commission.pdf</w:t>
        </w:r>
      </w:hyperlink>
      <w:r w:rsidRPr="00706D35">
        <w:rPr>
          <w:sz w:val="24"/>
          <w:szCs w:val="24"/>
          <w:lang w:val="en-GB"/>
        </w:rPr>
        <w:t>.</w:t>
      </w:r>
    </w:p>
    <w:p w14:paraId="1C76E31F" w14:textId="77777777" w:rsidR="001C30CE" w:rsidRPr="00706D35" w:rsidRDefault="001C30CE" w:rsidP="006E4B9D">
      <w:pPr>
        <w:rPr>
          <w:sz w:val="24"/>
          <w:szCs w:val="24"/>
          <w:lang w:val="en-GB"/>
        </w:rPr>
      </w:pPr>
    </w:p>
    <w:p w14:paraId="6FA1C275" w14:textId="7B2B3F75" w:rsidR="00E9438C" w:rsidRDefault="00E9438C" w:rsidP="006E4B9D">
      <w:pPr>
        <w:rPr>
          <w:sz w:val="24"/>
          <w:szCs w:val="24"/>
          <w:lang w:val="en-GB"/>
        </w:rPr>
      </w:pPr>
      <w:r w:rsidRPr="00706D35">
        <w:rPr>
          <w:sz w:val="24"/>
          <w:szCs w:val="24"/>
          <w:lang w:val="en-GB"/>
        </w:rPr>
        <w:t>Low Pay Commission (2024). </w:t>
      </w:r>
      <w:r w:rsidRPr="00706D35">
        <w:rPr>
          <w:i/>
          <w:iCs/>
          <w:sz w:val="24"/>
          <w:szCs w:val="24"/>
          <w:lang w:val="en-GB"/>
        </w:rPr>
        <w:t>Letter from Baroness Stroud with LPC recommendations for 2025</w:t>
      </w:r>
      <w:r w:rsidRPr="00706D35">
        <w:rPr>
          <w:sz w:val="24"/>
          <w:szCs w:val="24"/>
          <w:lang w:val="en-GB"/>
        </w:rPr>
        <w:t xml:space="preserve">. [online] GOV.UK. Available at: </w:t>
      </w:r>
      <w:hyperlink r:id="rId41" w:history="1">
        <w:r w:rsidR="001C30CE" w:rsidRPr="00402F02">
          <w:rPr>
            <w:rStyle w:val="Hyperlink"/>
            <w:sz w:val="24"/>
            <w:szCs w:val="24"/>
            <w:lang w:val="en-GB"/>
          </w:rPr>
          <w:t>https://www.gov.uk/government/publications/minimum-wage-rates-for-2025/letter-from-baroness-stroud-with-lpc-recommendations-for-2025</w:t>
        </w:r>
      </w:hyperlink>
      <w:r w:rsidRPr="00706D35">
        <w:rPr>
          <w:sz w:val="24"/>
          <w:szCs w:val="24"/>
          <w:lang w:val="en-GB"/>
        </w:rPr>
        <w:t>.</w:t>
      </w:r>
      <w:r w:rsidR="001C30CE">
        <w:rPr>
          <w:sz w:val="24"/>
          <w:szCs w:val="24"/>
          <w:lang w:val="en-GB"/>
        </w:rPr>
        <w:t xml:space="preserve"> Accessed on 28 November 2025</w:t>
      </w:r>
    </w:p>
    <w:p w14:paraId="21A487F8" w14:textId="77777777" w:rsidR="001C30CE" w:rsidRPr="00706D35" w:rsidRDefault="001C30CE" w:rsidP="006E4B9D">
      <w:pPr>
        <w:rPr>
          <w:sz w:val="24"/>
          <w:szCs w:val="24"/>
          <w:lang w:val="en-GB"/>
        </w:rPr>
      </w:pPr>
    </w:p>
    <w:p w14:paraId="74EAC48A" w14:textId="77777777" w:rsidR="001C30CE" w:rsidRDefault="001C30CE" w:rsidP="006E4B9D">
      <w:pPr>
        <w:rPr>
          <w:sz w:val="24"/>
          <w:szCs w:val="24"/>
          <w:lang w:val="en-GB"/>
        </w:rPr>
      </w:pPr>
    </w:p>
    <w:p w14:paraId="2BADE782" w14:textId="271F4019" w:rsidR="00E9438C" w:rsidRDefault="00E9438C" w:rsidP="006E4B9D">
      <w:pPr>
        <w:rPr>
          <w:sz w:val="24"/>
          <w:szCs w:val="24"/>
          <w:lang w:val="en-GB"/>
        </w:rPr>
      </w:pPr>
      <w:r w:rsidRPr="00706D35">
        <w:rPr>
          <w:sz w:val="24"/>
          <w:szCs w:val="24"/>
          <w:lang w:val="en-GB"/>
        </w:rPr>
        <w:lastRenderedPageBreak/>
        <w:t xml:space="preserve">Marmol, T. del </w:t>
      </w:r>
      <w:r w:rsidRPr="00706D35">
        <w:rPr>
          <w:i/>
          <w:iCs/>
          <w:sz w:val="24"/>
          <w:szCs w:val="24"/>
          <w:lang w:val="en-GB"/>
        </w:rPr>
        <w:t>et al.</w:t>
      </w:r>
      <w:r w:rsidRPr="00706D35">
        <w:rPr>
          <w:sz w:val="24"/>
          <w:szCs w:val="24"/>
          <w:lang w:val="en-GB"/>
        </w:rPr>
        <w:t xml:space="preserve"> (2015) </w:t>
      </w:r>
      <w:r w:rsidRPr="00706D35">
        <w:rPr>
          <w:i/>
          <w:iCs/>
          <w:sz w:val="24"/>
          <w:szCs w:val="24"/>
          <w:lang w:val="en-GB"/>
        </w:rPr>
        <w:t>PESTLE analysis</w:t>
      </w:r>
      <w:r w:rsidRPr="00706D35">
        <w:rPr>
          <w:sz w:val="24"/>
          <w:szCs w:val="24"/>
          <w:lang w:val="en-GB"/>
        </w:rPr>
        <w:t>. Translated by C. Probert. Namur: Lemaitre Publishing.</w:t>
      </w:r>
    </w:p>
    <w:p w14:paraId="7E5CD568" w14:textId="77777777" w:rsidR="001C30CE" w:rsidRPr="00706D35" w:rsidRDefault="001C30CE" w:rsidP="006E4B9D">
      <w:pPr>
        <w:rPr>
          <w:sz w:val="24"/>
          <w:szCs w:val="24"/>
          <w:lang w:val="en-GB"/>
        </w:rPr>
      </w:pPr>
    </w:p>
    <w:p w14:paraId="49973A5F" w14:textId="77777777" w:rsidR="00E9438C" w:rsidRPr="00706D35" w:rsidRDefault="00E9438C" w:rsidP="006E4B9D">
      <w:pPr>
        <w:rPr>
          <w:sz w:val="24"/>
          <w:szCs w:val="24"/>
          <w:lang w:val="en-GB"/>
        </w:rPr>
      </w:pPr>
      <w:r w:rsidRPr="00706D35">
        <w:rPr>
          <w:sz w:val="24"/>
          <w:szCs w:val="24"/>
          <w:lang w:val="en-GB"/>
        </w:rPr>
        <w:t xml:space="preserve">Meiling, A. (2023) Walker Morris Solicitors Positive action in recruitment: what is it and how can it go wrong? Available at : </w:t>
      </w:r>
      <w:hyperlink r:id="rId42" w:history="1">
        <w:r w:rsidRPr="00706D35">
          <w:rPr>
            <w:rStyle w:val="Hyperlink"/>
            <w:sz w:val="24"/>
            <w:szCs w:val="24"/>
            <w:lang w:val="en-GB"/>
          </w:rPr>
          <w:t>https://www.walkermorris.co.uk/comment-opinion/positive-action-in-recruitment-what-is-it-and-how-can-it-go-wrong/</w:t>
        </w:r>
      </w:hyperlink>
      <w:r w:rsidRPr="00706D35">
        <w:rPr>
          <w:sz w:val="24"/>
          <w:szCs w:val="24"/>
          <w:lang w:val="en-GB"/>
        </w:rPr>
        <w:t xml:space="preserve"> (Accessed on 17 November 2025).</w:t>
      </w:r>
    </w:p>
    <w:p w14:paraId="5B72AEEA" w14:textId="77777777" w:rsidR="001C30CE" w:rsidRDefault="001C30CE" w:rsidP="006E4B9D">
      <w:pPr>
        <w:rPr>
          <w:sz w:val="24"/>
          <w:szCs w:val="24"/>
          <w:lang w:val="en-GB"/>
        </w:rPr>
      </w:pPr>
    </w:p>
    <w:p w14:paraId="7DA9E51F" w14:textId="3F0733D7" w:rsidR="00FC70DB" w:rsidRDefault="00FC70DB" w:rsidP="006E4B9D">
      <w:pPr>
        <w:rPr>
          <w:sz w:val="24"/>
          <w:szCs w:val="24"/>
          <w:lang w:val="en-GB"/>
        </w:rPr>
      </w:pPr>
      <w:proofErr w:type="spellStart"/>
      <w:r>
        <w:rPr>
          <w:sz w:val="24"/>
          <w:szCs w:val="24"/>
          <w:lang w:val="en-GB"/>
        </w:rPr>
        <w:t>M</w:t>
      </w:r>
      <w:r w:rsidR="008B0BC4">
        <w:rPr>
          <w:sz w:val="24"/>
          <w:szCs w:val="24"/>
          <w:lang w:val="en-GB"/>
        </w:rPr>
        <w:t>dhlalose</w:t>
      </w:r>
      <w:proofErr w:type="spellEnd"/>
      <w:r w:rsidR="008B0BC4">
        <w:rPr>
          <w:sz w:val="24"/>
          <w:szCs w:val="24"/>
          <w:lang w:val="en-GB"/>
        </w:rPr>
        <w:t xml:space="preserve">, D. (2025) ‘The </w:t>
      </w:r>
      <w:r w:rsidR="0066151A">
        <w:rPr>
          <w:sz w:val="24"/>
          <w:szCs w:val="24"/>
          <w:lang w:val="en-GB"/>
        </w:rPr>
        <w:t>A</w:t>
      </w:r>
      <w:r w:rsidR="008B0BC4">
        <w:rPr>
          <w:sz w:val="24"/>
          <w:szCs w:val="24"/>
          <w:lang w:val="en-GB"/>
        </w:rPr>
        <w:t xml:space="preserve">nalysis of </w:t>
      </w:r>
      <w:r w:rsidR="0066151A">
        <w:rPr>
          <w:sz w:val="24"/>
          <w:szCs w:val="24"/>
          <w:lang w:val="en-GB"/>
        </w:rPr>
        <w:t xml:space="preserve">the Criticality of Data Integrity in Human Resources Information </w:t>
      </w:r>
      <w:r w:rsidR="007E0366">
        <w:rPr>
          <w:sz w:val="24"/>
          <w:szCs w:val="24"/>
          <w:lang w:val="en-GB"/>
        </w:rPr>
        <w:t>Systems</w:t>
      </w:r>
      <w:r w:rsidR="00145081">
        <w:rPr>
          <w:sz w:val="24"/>
          <w:szCs w:val="24"/>
          <w:lang w:val="en-GB"/>
        </w:rPr>
        <w:t>’. Advanced research in economics and business strategy journal</w:t>
      </w:r>
      <w:r w:rsidR="008D78E0">
        <w:rPr>
          <w:sz w:val="24"/>
          <w:szCs w:val="24"/>
          <w:lang w:val="en-GB"/>
        </w:rPr>
        <w:t xml:space="preserve"> Vol.</w:t>
      </w:r>
      <w:r w:rsidR="007E0366">
        <w:rPr>
          <w:sz w:val="24"/>
          <w:szCs w:val="24"/>
          <w:lang w:val="en-GB"/>
        </w:rPr>
        <w:t>6, no 1</w:t>
      </w:r>
      <w:r w:rsidR="008D78E0">
        <w:rPr>
          <w:sz w:val="24"/>
          <w:szCs w:val="24"/>
          <w:lang w:val="en-GB"/>
        </w:rPr>
        <w:t xml:space="preserve">.  Available </w:t>
      </w:r>
      <w:proofErr w:type="gramStart"/>
      <w:r w:rsidR="008D78E0">
        <w:rPr>
          <w:sz w:val="24"/>
          <w:szCs w:val="24"/>
          <w:lang w:val="en-GB"/>
        </w:rPr>
        <w:t>at :</w:t>
      </w:r>
      <w:proofErr w:type="gramEnd"/>
      <w:r w:rsidR="008D78E0">
        <w:rPr>
          <w:sz w:val="24"/>
          <w:szCs w:val="24"/>
          <w:lang w:val="en-GB"/>
        </w:rPr>
        <w:t xml:space="preserve"> </w:t>
      </w:r>
      <w:hyperlink r:id="rId43" w:history="1">
        <w:r w:rsidR="007E0366" w:rsidRPr="00715BB0">
          <w:rPr>
            <w:rStyle w:val="Hyperlink"/>
            <w:sz w:val="24"/>
            <w:szCs w:val="24"/>
            <w:lang w:val="en-GB"/>
          </w:rPr>
          <w:t>https://doi.org/10.52919/arebus.v6i1.85</w:t>
        </w:r>
      </w:hyperlink>
      <w:r w:rsidR="007E0366">
        <w:rPr>
          <w:sz w:val="24"/>
          <w:szCs w:val="24"/>
          <w:lang w:val="en-GB"/>
        </w:rPr>
        <w:t xml:space="preserve"> Accessed on 1 December 2025.</w:t>
      </w:r>
    </w:p>
    <w:p w14:paraId="02058A5C" w14:textId="77777777" w:rsidR="00FC70DB" w:rsidRDefault="00FC70DB" w:rsidP="006E4B9D">
      <w:pPr>
        <w:rPr>
          <w:sz w:val="24"/>
          <w:szCs w:val="24"/>
          <w:lang w:val="en-GB"/>
        </w:rPr>
      </w:pPr>
    </w:p>
    <w:p w14:paraId="49A727AD" w14:textId="79C7D364" w:rsidR="00E9438C" w:rsidRPr="00706D35" w:rsidRDefault="00E9438C" w:rsidP="006E4B9D">
      <w:pPr>
        <w:rPr>
          <w:sz w:val="24"/>
          <w:szCs w:val="24"/>
          <w:lang w:val="en-GB"/>
        </w:rPr>
      </w:pPr>
      <w:proofErr w:type="spellStart"/>
      <w:r w:rsidRPr="00706D35">
        <w:rPr>
          <w:sz w:val="24"/>
          <w:szCs w:val="24"/>
          <w:lang w:val="en-GB"/>
        </w:rPr>
        <w:t>Namin</w:t>
      </w:r>
      <w:proofErr w:type="spellEnd"/>
      <w:r w:rsidRPr="00706D35">
        <w:rPr>
          <w:sz w:val="24"/>
          <w:szCs w:val="24"/>
          <w:lang w:val="en-GB"/>
        </w:rPr>
        <w:t xml:space="preserve">, F.N, Askari, H.R, Ramesh, S. Hassani, S.M (2019) ‘Application of ANP Network analysis process method in SWOT model’, </w:t>
      </w:r>
      <w:r w:rsidRPr="00706D35">
        <w:rPr>
          <w:i/>
          <w:iCs/>
          <w:sz w:val="24"/>
          <w:szCs w:val="24"/>
          <w:lang w:val="en-GB"/>
        </w:rPr>
        <w:t>Civil Engineering Journal</w:t>
      </w:r>
      <w:r w:rsidRPr="00706D35">
        <w:rPr>
          <w:sz w:val="24"/>
          <w:szCs w:val="24"/>
          <w:lang w:val="en-GB"/>
        </w:rPr>
        <w:t xml:space="preserve">, Vol 5, No.2, Available at: </w:t>
      </w:r>
      <w:hyperlink r:id="rId44" w:history="1">
        <w:r w:rsidRPr="00706D35">
          <w:rPr>
            <w:rStyle w:val="Hyperlink"/>
            <w:sz w:val="24"/>
            <w:szCs w:val="24"/>
            <w:lang w:val="en-GB"/>
          </w:rPr>
          <w:t>http://dx.doi.org/10.28991/cej-2019-03091260</w:t>
        </w:r>
      </w:hyperlink>
      <w:r w:rsidRPr="00706D35">
        <w:rPr>
          <w:sz w:val="24"/>
          <w:szCs w:val="24"/>
          <w:lang w:val="en-GB"/>
        </w:rPr>
        <w:t xml:space="preserve"> </w:t>
      </w:r>
    </w:p>
    <w:p w14:paraId="6328071D" w14:textId="77777777" w:rsidR="001C30CE" w:rsidRDefault="001C30CE" w:rsidP="006E4B9D">
      <w:pPr>
        <w:rPr>
          <w:sz w:val="24"/>
          <w:szCs w:val="24"/>
          <w:lang w:val="en-GB"/>
        </w:rPr>
      </w:pPr>
    </w:p>
    <w:p w14:paraId="2CA9F788" w14:textId="59AD29C3" w:rsidR="00E9438C" w:rsidRPr="00706D35" w:rsidRDefault="00E9438C" w:rsidP="006E4B9D">
      <w:pPr>
        <w:rPr>
          <w:sz w:val="24"/>
          <w:szCs w:val="24"/>
          <w:lang w:val="en-GB"/>
        </w:rPr>
      </w:pPr>
      <w:r w:rsidRPr="00706D35">
        <w:rPr>
          <w:sz w:val="24"/>
          <w:szCs w:val="24"/>
          <w:lang w:val="en-GB"/>
        </w:rPr>
        <w:t xml:space="preserve">NPT (2023) </w:t>
      </w:r>
      <w:r w:rsidRPr="00706D35">
        <w:rPr>
          <w:i/>
          <w:iCs/>
          <w:sz w:val="24"/>
          <w:szCs w:val="24"/>
          <w:lang w:val="en-GB"/>
        </w:rPr>
        <w:t>Employee code of conduct</w:t>
      </w:r>
      <w:r w:rsidRPr="00706D35">
        <w:rPr>
          <w:sz w:val="24"/>
          <w:szCs w:val="24"/>
          <w:lang w:val="en-GB"/>
        </w:rPr>
        <w:t xml:space="preserve"> Neath Port Talbot Council.  Unpublished.</w:t>
      </w:r>
    </w:p>
    <w:p w14:paraId="1F8CAFF8" w14:textId="77777777" w:rsidR="001C30CE" w:rsidRDefault="001C30CE" w:rsidP="006E4B9D">
      <w:pPr>
        <w:rPr>
          <w:sz w:val="24"/>
          <w:szCs w:val="24"/>
          <w:lang w:val="en-GB"/>
        </w:rPr>
      </w:pPr>
    </w:p>
    <w:p w14:paraId="0F89F486" w14:textId="11A5C53F" w:rsidR="00E9438C" w:rsidRPr="00706D35" w:rsidRDefault="00E9438C" w:rsidP="006E4B9D">
      <w:pPr>
        <w:rPr>
          <w:sz w:val="24"/>
          <w:szCs w:val="24"/>
          <w:lang w:val="en-GB"/>
        </w:rPr>
      </w:pPr>
      <w:r w:rsidRPr="00706D35">
        <w:rPr>
          <w:sz w:val="24"/>
          <w:szCs w:val="24"/>
          <w:lang w:val="en-GB"/>
        </w:rPr>
        <w:t xml:space="preserve">NPT (2020) </w:t>
      </w:r>
      <w:r w:rsidRPr="00706D35">
        <w:rPr>
          <w:i/>
          <w:iCs/>
          <w:sz w:val="24"/>
          <w:szCs w:val="24"/>
          <w:lang w:val="en-GB"/>
        </w:rPr>
        <w:t xml:space="preserve">Strategic Equality Plan 2020-2024 </w:t>
      </w:r>
      <w:r w:rsidRPr="00706D35">
        <w:rPr>
          <w:sz w:val="24"/>
          <w:szCs w:val="24"/>
          <w:lang w:val="en-GB"/>
        </w:rPr>
        <w:t xml:space="preserve">Neath Port Talbot Council Available at : </w:t>
      </w:r>
      <w:hyperlink r:id="rId45" w:history="1">
        <w:r w:rsidRPr="00706D35">
          <w:rPr>
            <w:rStyle w:val="Hyperlink"/>
            <w:sz w:val="24"/>
            <w:szCs w:val="24"/>
            <w:lang w:val="en-GB"/>
          </w:rPr>
          <w:t>Neath Port Talbot County Borough Council Strategic Equality Plan 2020-2024</w:t>
        </w:r>
      </w:hyperlink>
      <w:r w:rsidRPr="00706D35">
        <w:rPr>
          <w:sz w:val="24"/>
          <w:szCs w:val="24"/>
          <w:lang w:val="en-GB"/>
        </w:rPr>
        <w:t xml:space="preserve"> Accessed on 30 October 2025.</w:t>
      </w:r>
    </w:p>
    <w:p w14:paraId="1AC9D3C5" w14:textId="77777777" w:rsidR="001C30CE" w:rsidRDefault="001C30CE" w:rsidP="006E4B9D">
      <w:pPr>
        <w:rPr>
          <w:sz w:val="24"/>
          <w:szCs w:val="24"/>
          <w:lang w:val="en-GB"/>
        </w:rPr>
      </w:pPr>
    </w:p>
    <w:p w14:paraId="3A768389" w14:textId="73478BC4" w:rsidR="00E9438C" w:rsidRPr="00706D35" w:rsidRDefault="00E9438C" w:rsidP="006E4B9D">
      <w:pPr>
        <w:rPr>
          <w:sz w:val="24"/>
          <w:szCs w:val="24"/>
          <w:lang w:val="en-GB"/>
        </w:rPr>
      </w:pPr>
      <w:r w:rsidRPr="00706D35">
        <w:rPr>
          <w:sz w:val="24"/>
          <w:szCs w:val="24"/>
          <w:lang w:val="en-GB"/>
        </w:rPr>
        <w:t xml:space="preserve">NPT (2025) </w:t>
      </w:r>
      <w:r w:rsidRPr="00706D35">
        <w:rPr>
          <w:i/>
          <w:iCs/>
          <w:sz w:val="24"/>
          <w:szCs w:val="24"/>
          <w:lang w:val="en-GB"/>
        </w:rPr>
        <w:t xml:space="preserve">WORKFORCE INFORMATION REPORT </w:t>
      </w:r>
      <w:r w:rsidRPr="00706D35">
        <w:rPr>
          <w:sz w:val="24"/>
          <w:szCs w:val="24"/>
          <w:lang w:val="en-GB"/>
        </w:rPr>
        <w:t>Neath Port Talbot Council Unpublished</w:t>
      </w:r>
    </w:p>
    <w:p w14:paraId="341317ED" w14:textId="77777777" w:rsidR="001C30CE" w:rsidRDefault="001C30CE" w:rsidP="006E4B9D">
      <w:pPr>
        <w:rPr>
          <w:sz w:val="24"/>
          <w:szCs w:val="24"/>
          <w:lang w:val="en-GB"/>
        </w:rPr>
      </w:pPr>
    </w:p>
    <w:p w14:paraId="6FA0E3DA" w14:textId="4BCDDFE4" w:rsidR="00E9438C" w:rsidRPr="00706D35" w:rsidRDefault="00E9438C" w:rsidP="006E4B9D">
      <w:pPr>
        <w:rPr>
          <w:sz w:val="24"/>
          <w:szCs w:val="24"/>
          <w:lang w:val="en-GB"/>
        </w:rPr>
      </w:pPr>
      <w:r w:rsidRPr="00706D35">
        <w:rPr>
          <w:sz w:val="24"/>
          <w:szCs w:val="24"/>
          <w:lang w:val="en-GB"/>
        </w:rPr>
        <w:t xml:space="preserve">NPT (2025b) </w:t>
      </w:r>
      <w:r w:rsidRPr="00706D35">
        <w:rPr>
          <w:i/>
          <w:iCs/>
          <w:sz w:val="24"/>
          <w:szCs w:val="24"/>
          <w:lang w:val="en-GB"/>
        </w:rPr>
        <w:t xml:space="preserve">Zero Racism Policy Pledge </w:t>
      </w:r>
      <w:r w:rsidRPr="00706D35">
        <w:rPr>
          <w:sz w:val="24"/>
          <w:szCs w:val="24"/>
          <w:lang w:val="en-GB"/>
        </w:rPr>
        <w:t xml:space="preserve">Neath Port Talbot Council Available at : </w:t>
      </w:r>
      <w:hyperlink r:id="rId46" w:history="1">
        <w:r w:rsidRPr="00706D35">
          <w:rPr>
            <w:rStyle w:val="Hyperlink"/>
            <w:sz w:val="24"/>
            <w:szCs w:val="24"/>
            <w:lang w:val="en-GB"/>
          </w:rPr>
          <w:t>93TD - UA Report - Zero Racism Wales Policy.pdf</w:t>
        </w:r>
      </w:hyperlink>
      <w:r w:rsidRPr="00706D35">
        <w:rPr>
          <w:sz w:val="24"/>
          <w:szCs w:val="24"/>
          <w:lang w:val="en-GB"/>
        </w:rPr>
        <w:t xml:space="preserve"> Accessed on 15 November 2025</w:t>
      </w:r>
    </w:p>
    <w:p w14:paraId="4EB39369" w14:textId="77777777" w:rsidR="001C30CE" w:rsidRDefault="001C30CE" w:rsidP="006E4B9D">
      <w:pPr>
        <w:rPr>
          <w:sz w:val="24"/>
          <w:szCs w:val="24"/>
          <w:lang w:val="en-GB"/>
        </w:rPr>
      </w:pPr>
    </w:p>
    <w:p w14:paraId="0A520E2C" w14:textId="5B89C0BA" w:rsidR="00E9438C" w:rsidRPr="00706D35" w:rsidRDefault="00E9438C" w:rsidP="006E4B9D">
      <w:pPr>
        <w:rPr>
          <w:sz w:val="24"/>
          <w:szCs w:val="24"/>
          <w:lang w:val="en-GB"/>
        </w:rPr>
      </w:pPr>
      <w:r w:rsidRPr="00706D35">
        <w:rPr>
          <w:sz w:val="24"/>
          <w:szCs w:val="24"/>
          <w:lang w:val="en-GB"/>
        </w:rPr>
        <w:t xml:space="preserve">NPT (2025c) Recruitment and selection policy and procedure, Neath Port Talbot Council.  Available at : </w:t>
      </w:r>
      <w:hyperlink r:id="rId47" w:history="1">
        <w:r w:rsidRPr="00706D35">
          <w:rPr>
            <w:rStyle w:val="Hyperlink"/>
            <w:sz w:val="24"/>
            <w:szCs w:val="24"/>
            <w:lang w:val="en-GB"/>
          </w:rPr>
          <w:t>https://democracy.npt.gov.uk/documents/s101408/App+1+-+Revised+Recruitment+and+Selection+Policy.pdf</w:t>
        </w:r>
      </w:hyperlink>
      <w:r w:rsidRPr="00706D35">
        <w:rPr>
          <w:sz w:val="24"/>
          <w:szCs w:val="24"/>
          <w:lang w:val="en-GB"/>
        </w:rPr>
        <w:t xml:space="preserve"> Accessed on October 2025.</w:t>
      </w:r>
    </w:p>
    <w:p w14:paraId="3D29ED60" w14:textId="77777777" w:rsidR="001C30CE" w:rsidRDefault="001C30CE" w:rsidP="006E4B9D">
      <w:pPr>
        <w:rPr>
          <w:sz w:val="24"/>
          <w:szCs w:val="24"/>
          <w:lang w:val="en-GB"/>
        </w:rPr>
      </w:pPr>
    </w:p>
    <w:p w14:paraId="08F657B9" w14:textId="1C633705" w:rsidR="00E9438C" w:rsidRPr="00706D35" w:rsidRDefault="00E9438C" w:rsidP="006E4B9D">
      <w:pPr>
        <w:rPr>
          <w:sz w:val="24"/>
          <w:szCs w:val="24"/>
          <w:lang w:val="en-GB"/>
        </w:rPr>
      </w:pPr>
      <w:r w:rsidRPr="00706D35">
        <w:rPr>
          <w:sz w:val="24"/>
          <w:szCs w:val="24"/>
          <w:lang w:val="en-GB"/>
        </w:rPr>
        <w:t xml:space="preserve">NPT (2024) </w:t>
      </w:r>
      <w:r w:rsidRPr="00706D35">
        <w:rPr>
          <w:i/>
          <w:iCs/>
          <w:sz w:val="24"/>
          <w:szCs w:val="24"/>
          <w:lang w:val="en-GB"/>
        </w:rPr>
        <w:t>WORKFORCE INFORMATION REPORT</w:t>
      </w:r>
      <w:r w:rsidR="009A1A6F">
        <w:rPr>
          <w:i/>
          <w:iCs/>
          <w:sz w:val="24"/>
          <w:szCs w:val="24"/>
          <w:lang w:val="en-GB"/>
        </w:rPr>
        <w:t>.</w:t>
      </w:r>
      <w:r w:rsidRPr="00706D35">
        <w:rPr>
          <w:i/>
          <w:iCs/>
          <w:sz w:val="24"/>
          <w:szCs w:val="24"/>
          <w:lang w:val="en-GB"/>
        </w:rPr>
        <w:t xml:space="preserve"> </w:t>
      </w:r>
      <w:r w:rsidRPr="00706D35">
        <w:rPr>
          <w:sz w:val="24"/>
          <w:szCs w:val="24"/>
          <w:lang w:val="en-GB"/>
        </w:rPr>
        <w:t>Neath Port Talbot Council Unpublished</w:t>
      </w:r>
    </w:p>
    <w:p w14:paraId="4C579976" w14:textId="77777777" w:rsidR="001C30CE" w:rsidRDefault="001C30CE" w:rsidP="006E4B9D">
      <w:pPr>
        <w:rPr>
          <w:sz w:val="24"/>
          <w:szCs w:val="24"/>
          <w:lang w:val="en-GB"/>
        </w:rPr>
      </w:pPr>
    </w:p>
    <w:p w14:paraId="6D900E59" w14:textId="0C845904" w:rsidR="00E9438C" w:rsidRPr="00706D35" w:rsidRDefault="00E9438C" w:rsidP="006E4B9D">
      <w:pPr>
        <w:rPr>
          <w:sz w:val="24"/>
          <w:szCs w:val="24"/>
          <w:lang w:val="en-GB"/>
        </w:rPr>
      </w:pPr>
      <w:r w:rsidRPr="00706D35">
        <w:rPr>
          <w:sz w:val="24"/>
          <w:szCs w:val="24"/>
          <w:lang w:val="en-GB"/>
        </w:rPr>
        <w:t xml:space="preserve">NPT (2024b) Annual Equalities in Employment Report 2023/2024 Neath Port Talbot Council.  Available at : </w:t>
      </w:r>
      <w:hyperlink r:id="rId48" w:history="1">
        <w:r w:rsidRPr="00706D35">
          <w:rPr>
            <w:rStyle w:val="Hyperlink"/>
            <w:sz w:val="24"/>
            <w:szCs w:val="24"/>
            <w:lang w:val="en-GB"/>
          </w:rPr>
          <w:t>https://democracy.npt.gov.uk/documents/s102896/App+1+-+Annual+Equalities+Report+2023+2024.pdf</w:t>
        </w:r>
      </w:hyperlink>
      <w:r w:rsidRPr="00706D35">
        <w:rPr>
          <w:sz w:val="24"/>
          <w:szCs w:val="24"/>
          <w:lang w:val="en-GB"/>
        </w:rPr>
        <w:t xml:space="preserve"> Accessed on 15 November 2025.</w:t>
      </w:r>
    </w:p>
    <w:p w14:paraId="42ACA919" w14:textId="77777777" w:rsidR="001C30CE" w:rsidRDefault="001C30CE" w:rsidP="006E4B9D">
      <w:pPr>
        <w:rPr>
          <w:sz w:val="24"/>
          <w:szCs w:val="24"/>
          <w:lang w:val="en-GB"/>
        </w:rPr>
      </w:pPr>
    </w:p>
    <w:p w14:paraId="4A836ABC" w14:textId="11E92533" w:rsidR="00E9438C" w:rsidRDefault="00E9438C" w:rsidP="006E4B9D">
      <w:pPr>
        <w:rPr>
          <w:sz w:val="24"/>
          <w:szCs w:val="24"/>
          <w:lang w:val="en-GB"/>
        </w:rPr>
      </w:pPr>
      <w:r w:rsidRPr="00706D35">
        <w:rPr>
          <w:sz w:val="24"/>
          <w:szCs w:val="24"/>
          <w:lang w:val="en-GB"/>
        </w:rPr>
        <w:t>Ons.gov.uk. (2019). </w:t>
      </w:r>
      <w:r w:rsidRPr="00706D35">
        <w:rPr>
          <w:i/>
          <w:iCs/>
          <w:sz w:val="24"/>
          <w:szCs w:val="24"/>
          <w:lang w:val="en-GB"/>
        </w:rPr>
        <w:t>Annual Survey of Hours and Earnings (ASHE): non-longitudinal analysis of job changers and stayers</w:t>
      </w:r>
      <w:r w:rsidRPr="00706D35">
        <w:rPr>
          <w:sz w:val="24"/>
          <w:szCs w:val="24"/>
          <w:lang w:val="en-GB"/>
        </w:rPr>
        <w:t xml:space="preserve">. [online] Available at: </w:t>
      </w:r>
      <w:hyperlink r:id="rId49" w:history="1">
        <w:r w:rsidR="001C30CE" w:rsidRPr="00402F02">
          <w:rPr>
            <w:rStyle w:val="Hyperlink"/>
            <w:sz w:val="24"/>
            <w:szCs w:val="24"/>
            <w:lang w:val="en-GB"/>
          </w:rPr>
          <w:t>https://www.ons.gov.uk/employmentandlabourmarket/peopleinwork/earningsandworkinghours/adhocs/010314annualsurveyofhoursandearningsashenonlongitudinalanalysisofjobchangersandstayers</w:t>
        </w:r>
      </w:hyperlink>
      <w:r w:rsidR="001C30CE">
        <w:rPr>
          <w:sz w:val="24"/>
          <w:szCs w:val="24"/>
          <w:lang w:val="en-GB"/>
        </w:rPr>
        <w:t xml:space="preserve"> </w:t>
      </w:r>
      <w:r w:rsidRPr="00706D35">
        <w:rPr>
          <w:sz w:val="24"/>
          <w:szCs w:val="24"/>
          <w:lang w:val="en-GB"/>
        </w:rPr>
        <w:t xml:space="preserve"> [Accessed 15 Nov. 2025].</w:t>
      </w:r>
    </w:p>
    <w:p w14:paraId="4DC7334E" w14:textId="77777777" w:rsidR="001C30CE" w:rsidRPr="00706D35" w:rsidRDefault="001C30CE" w:rsidP="006E4B9D">
      <w:pPr>
        <w:rPr>
          <w:sz w:val="24"/>
          <w:szCs w:val="24"/>
          <w:lang w:val="en-GB"/>
        </w:rPr>
      </w:pPr>
    </w:p>
    <w:p w14:paraId="6781B93C" w14:textId="7D999D93" w:rsidR="004B1098" w:rsidRPr="004B1098" w:rsidRDefault="002F1856" w:rsidP="004B1098">
      <w:pPr>
        <w:rPr>
          <w:sz w:val="24"/>
          <w:szCs w:val="24"/>
          <w:lang w:val="en-GB"/>
        </w:rPr>
      </w:pPr>
      <w:r>
        <w:rPr>
          <w:sz w:val="24"/>
          <w:szCs w:val="24"/>
          <w:lang w:val="en-GB"/>
        </w:rPr>
        <w:t>O’Sullivan</w:t>
      </w:r>
      <w:r w:rsidR="00A60A3C">
        <w:rPr>
          <w:sz w:val="24"/>
          <w:szCs w:val="24"/>
          <w:lang w:val="en-GB"/>
        </w:rPr>
        <w:t>, S. (2024) ‘The First Year Gender Pay Gap Reporting in Ireland</w:t>
      </w:r>
      <w:r w:rsidR="00E779FA">
        <w:rPr>
          <w:sz w:val="24"/>
          <w:szCs w:val="24"/>
          <w:lang w:val="en-GB"/>
        </w:rPr>
        <w:t xml:space="preserve">: A Sociological Analysis’. Economic and Social Review, </w:t>
      </w:r>
      <w:r w:rsidR="00F24CA3" w:rsidRPr="00F24CA3">
        <w:rPr>
          <w:sz w:val="24"/>
          <w:szCs w:val="24"/>
        </w:rPr>
        <w:t>Vol. 55 Issue 3, p491-513. 23p</w:t>
      </w:r>
      <w:r w:rsidR="00F24CA3">
        <w:rPr>
          <w:sz w:val="24"/>
          <w:szCs w:val="24"/>
        </w:rPr>
        <w:t xml:space="preserve">.  </w:t>
      </w:r>
      <w:r w:rsidR="00C844AA">
        <w:rPr>
          <w:sz w:val="24"/>
          <w:szCs w:val="24"/>
        </w:rPr>
        <w:t xml:space="preserve">ISSN </w:t>
      </w:r>
      <w:r w:rsidR="004B1098" w:rsidRPr="004B1098">
        <w:rPr>
          <w:sz w:val="24"/>
          <w:szCs w:val="24"/>
          <w:lang w:val="en-GB"/>
        </w:rPr>
        <w:t>0012-9984</w:t>
      </w:r>
    </w:p>
    <w:p w14:paraId="5F96F73D" w14:textId="5B60E002" w:rsidR="002F1856" w:rsidRDefault="00F24CA3" w:rsidP="006E4B9D">
      <w:pPr>
        <w:rPr>
          <w:sz w:val="24"/>
          <w:szCs w:val="24"/>
        </w:rPr>
      </w:pPr>
      <w:r>
        <w:rPr>
          <w:sz w:val="24"/>
          <w:szCs w:val="24"/>
        </w:rPr>
        <w:t xml:space="preserve">Available </w:t>
      </w:r>
      <w:proofErr w:type="gramStart"/>
      <w:r>
        <w:rPr>
          <w:sz w:val="24"/>
          <w:szCs w:val="24"/>
        </w:rPr>
        <w:t>at :</w:t>
      </w:r>
      <w:proofErr w:type="gramEnd"/>
      <w:r>
        <w:rPr>
          <w:sz w:val="24"/>
          <w:szCs w:val="24"/>
        </w:rPr>
        <w:t xml:space="preserve"> </w:t>
      </w:r>
      <w:hyperlink r:id="rId50" w:history="1">
        <w:r w:rsidR="00C844AA" w:rsidRPr="00F82510">
          <w:rPr>
            <w:rStyle w:val="Hyperlink"/>
            <w:sz w:val="24"/>
            <w:szCs w:val="24"/>
          </w:rPr>
          <w:t>https://www.esr.ie/issue/archive</w:t>
        </w:r>
      </w:hyperlink>
      <w:r w:rsidR="00C844AA">
        <w:rPr>
          <w:sz w:val="24"/>
          <w:szCs w:val="24"/>
        </w:rPr>
        <w:t xml:space="preserve"> Accessed on 14 November 2025.</w:t>
      </w:r>
    </w:p>
    <w:p w14:paraId="14F38819" w14:textId="77777777" w:rsidR="00F24CA3" w:rsidRDefault="00F24CA3" w:rsidP="006E4B9D">
      <w:pPr>
        <w:rPr>
          <w:sz w:val="24"/>
          <w:szCs w:val="24"/>
          <w:lang w:val="en-GB"/>
        </w:rPr>
      </w:pPr>
    </w:p>
    <w:p w14:paraId="2EA2989F" w14:textId="0F02201F" w:rsidR="00E9438C" w:rsidRDefault="00E9438C" w:rsidP="006E4B9D">
      <w:pPr>
        <w:rPr>
          <w:i/>
          <w:iCs/>
          <w:sz w:val="24"/>
          <w:szCs w:val="24"/>
          <w:lang w:val="en-GB"/>
        </w:rPr>
      </w:pPr>
      <w:proofErr w:type="spellStart"/>
      <w:r w:rsidRPr="00706D35">
        <w:rPr>
          <w:sz w:val="24"/>
          <w:szCs w:val="24"/>
          <w:lang w:val="en-GB"/>
        </w:rPr>
        <w:t>Parventia</w:t>
      </w:r>
      <w:proofErr w:type="spellEnd"/>
      <w:r w:rsidRPr="00706D35">
        <w:rPr>
          <w:sz w:val="24"/>
          <w:szCs w:val="24"/>
          <w:lang w:val="en-GB"/>
        </w:rPr>
        <w:t xml:space="preserve">, O. </w:t>
      </w:r>
      <w:proofErr w:type="spellStart"/>
      <w:r w:rsidRPr="00706D35">
        <w:rPr>
          <w:sz w:val="24"/>
          <w:szCs w:val="24"/>
          <w:lang w:val="en-GB"/>
        </w:rPr>
        <w:t>Grechan</w:t>
      </w:r>
      <w:proofErr w:type="spellEnd"/>
      <w:r w:rsidRPr="00706D35">
        <w:rPr>
          <w:sz w:val="24"/>
          <w:szCs w:val="24"/>
          <w:lang w:val="en-GB"/>
        </w:rPr>
        <w:t xml:space="preserve">, A. </w:t>
      </w:r>
      <w:proofErr w:type="spellStart"/>
      <w:r w:rsidRPr="00706D35">
        <w:rPr>
          <w:sz w:val="24"/>
          <w:szCs w:val="24"/>
          <w:lang w:val="en-GB"/>
        </w:rPr>
        <w:t>Bezuglyi</w:t>
      </w:r>
      <w:proofErr w:type="spellEnd"/>
      <w:r w:rsidRPr="00706D35">
        <w:rPr>
          <w:sz w:val="24"/>
          <w:szCs w:val="24"/>
          <w:lang w:val="en-GB"/>
        </w:rPr>
        <w:t xml:space="preserve">, A. </w:t>
      </w:r>
      <w:proofErr w:type="spellStart"/>
      <w:r w:rsidRPr="00706D35">
        <w:rPr>
          <w:sz w:val="24"/>
          <w:szCs w:val="24"/>
          <w:lang w:val="en-GB"/>
        </w:rPr>
        <w:t>Kompanets</w:t>
      </w:r>
      <w:proofErr w:type="spellEnd"/>
      <w:r w:rsidRPr="00706D35">
        <w:rPr>
          <w:sz w:val="24"/>
          <w:szCs w:val="24"/>
          <w:lang w:val="en-GB"/>
        </w:rPr>
        <w:t xml:space="preserve">, K. </w:t>
      </w:r>
      <w:proofErr w:type="spellStart"/>
      <w:r w:rsidRPr="00706D35">
        <w:rPr>
          <w:sz w:val="24"/>
          <w:szCs w:val="24"/>
          <w:lang w:val="en-GB"/>
        </w:rPr>
        <w:t>Salimon</w:t>
      </w:r>
      <w:proofErr w:type="spellEnd"/>
      <w:r w:rsidRPr="00706D35">
        <w:rPr>
          <w:sz w:val="24"/>
          <w:szCs w:val="24"/>
          <w:lang w:val="en-GB"/>
        </w:rPr>
        <w:t xml:space="preserve">, O. (2021) “The role of organisational and economic mechanism of strategic company management in the national economy”, </w:t>
      </w:r>
      <w:r w:rsidRPr="00706D35">
        <w:rPr>
          <w:i/>
          <w:iCs/>
          <w:sz w:val="24"/>
          <w:szCs w:val="24"/>
          <w:lang w:val="en-GB"/>
        </w:rPr>
        <w:t xml:space="preserve">Financial &amp; Credit Activity: Problems of Theory &amp; Practice. Vol. 6 Issue 41, p307-317.  Available at: </w:t>
      </w:r>
      <w:hyperlink r:id="rId51" w:history="1">
        <w:r w:rsidRPr="00706D35">
          <w:rPr>
            <w:rStyle w:val="Hyperlink"/>
            <w:i/>
            <w:iCs/>
            <w:sz w:val="24"/>
            <w:szCs w:val="24"/>
            <w:lang w:val="en-GB"/>
          </w:rPr>
          <w:t>https://research.ebsco.com/linkprocessor/plink?id=b1799d83-bfd4-36f9-</w:t>
        </w:r>
        <w:r w:rsidRPr="00706D35">
          <w:rPr>
            <w:rStyle w:val="Hyperlink"/>
            <w:i/>
            <w:iCs/>
            <w:sz w:val="24"/>
            <w:szCs w:val="24"/>
            <w:lang w:val="en-GB"/>
          </w:rPr>
          <w:lastRenderedPageBreak/>
          <w:t>a687-eed0af2c3ebf</w:t>
        </w:r>
      </w:hyperlink>
      <w:r w:rsidRPr="00706D35">
        <w:rPr>
          <w:i/>
          <w:iCs/>
          <w:sz w:val="24"/>
          <w:szCs w:val="24"/>
          <w:lang w:val="en-GB"/>
        </w:rPr>
        <w:t xml:space="preserve">  (Accessed: 15 November 2025)</w:t>
      </w:r>
    </w:p>
    <w:p w14:paraId="6F236712" w14:textId="77777777" w:rsidR="001C30CE" w:rsidRPr="00706D35" w:rsidRDefault="001C30CE" w:rsidP="006E4B9D">
      <w:pPr>
        <w:rPr>
          <w:i/>
          <w:iCs/>
          <w:sz w:val="24"/>
          <w:szCs w:val="24"/>
          <w:lang w:val="en-GB"/>
        </w:rPr>
      </w:pPr>
    </w:p>
    <w:p w14:paraId="2EC5DBF0" w14:textId="77777777" w:rsidR="00E9438C" w:rsidRDefault="00E9438C" w:rsidP="006E4B9D">
      <w:pPr>
        <w:rPr>
          <w:sz w:val="24"/>
          <w:szCs w:val="24"/>
          <w:lang w:val="en-GB"/>
        </w:rPr>
      </w:pPr>
      <w:r w:rsidRPr="00706D35">
        <w:rPr>
          <w:sz w:val="24"/>
          <w:szCs w:val="24"/>
          <w:lang w:val="en-GB"/>
        </w:rPr>
        <w:t xml:space="preserve">Personnel Today (2007) </w:t>
      </w:r>
      <w:r w:rsidRPr="00706D35">
        <w:rPr>
          <w:i/>
          <w:iCs/>
          <w:sz w:val="24"/>
          <w:szCs w:val="24"/>
          <w:lang w:val="en-GB"/>
        </w:rPr>
        <w:t xml:space="preserve">Neath Port Talbot claims to be first Welsh council to settle equal pay bill </w:t>
      </w:r>
      <w:r w:rsidRPr="00706D35">
        <w:rPr>
          <w:sz w:val="24"/>
          <w:szCs w:val="24"/>
          <w:lang w:val="en-GB"/>
        </w:rPr>
        <w:t xml:space="preserve">Available at : </w:t>
      </w:r>
      <w:hyperlink r:id="rId52" w:history="1">
        <w:r w:rsidRPr="00706D35">
          <w:rPr>
            <w:rStyle w:val="Hyperlink"/>
            <w:sz w:val="24"/>
            <w:szCs w:val="24"/>
            <w:lang w:val="en-GB"/>
          </w:rPr>
          <w:t>https://www.personneltoday.com/hr/neath-port-talbot-claims-to-be-first-welsh-council-to-settle-equal-pay-bill/</w:t>
        </w:r>
      </w:hyperlink>
      <w:r w:rsidRPr="00706D35">
        <w:rPr>
          <w:sz w:val="24"/>
          <w:szCs w:val="24"/>
          <w:lang w:val="en-GB"/>
        </w:rPr>
        <w:t xml:space="preserve"> (Accessed on 17 November 2025).</w:t>
      </w:r>
    </w:p>
    <w:p w14:paraId="0295D9FB" w14:textId="77777777" w:rsidR="001C30CE" w:rsidRPr="00706D35" w:rsidRDefault="001C30CE" w:rsidP="006E4B9D">
      <w:pPr>
        <w:rPr>
          <w:b/>
          <w:bCs/>
          <w:sz w:val="24"/>
          <w:szCs w:val="24"/>
          <w:lang w:val="en-GB"/>
        </w:rPr>
      </w:pPr>
    </w:p>
    <w:p w14:paraId="7793474C" w14:textId="77777777" w:rsidR="00E9438C" w:rsidRDefault="00E9438C" w:rsidP="006E4B9D">
      <w:pPr>
        <w:rPr>
          <w:sz w:val="24"/>
          <w:szCs w:val="24"/>
          <w:lang w:val="en-GB"/>
        </w:rPr>
      </w:pPr>
      <w:r w:rsidRPr="00706D35">
        <w:rPr>
          <w:sz w:val="24"/>
          <w:szCs w:val="24"/>
          <w:lang w:val="en-GB"/>
        </w:rPr>
        <w:t>Roache, Q. (2025) ‘</w:t>
      </w:r>
      <w:r w:rsidRPr="00706D35">
        <w:rPr>
          <w:i/>
          <w:iCs/>
          <w:sz w:val="24"/>
          <w:szCs w:val="24"/>
          <w:lang w:val="en-GB"/>
        </w:rPr>
        <w:t xml:space="preserve">Equality (Race and Disability) Bill: mandatory ethnicity and disability pay gap reporting consultation, </w:t>
      </w:r>
      <w:r w:rsidRPr="00706D35">
        <w:rPr>
          <w:sz w:val="24"/>
          <w:szCs w:val="24"/>
          <w:lang w:val="en-GB"/>
        </w:rPr>
        <w:t xml:space="preserve">TUC Response Available at </w:t>
      </w:r>
      <w:hyperlink r:id="rId53" w:history="1">
        <w:r w:rsidRPr="00706D35">
          <w:rPr>
            <w:rStyle w:val="Hyperlink"/>
            <w:sz w:val="24"/>
            <w:szCs w:val="24"/>
            <w:lang w:val="en-GB"/>
          </w:rPr>
          <w:t>equalitybill-mandatoryethnicityanddisabilitypaygapreportingconsulation.pdf</w:t>
        </w:r>
      </w:hyperlink>
      <w:r w:rsidRPr="00706D35">
        <w:rPr>
          <w:sz w:val="24"/>
          <w:szCs w:val="24"/>
          <w:lang w:val="en-GB"/>
        </w:rPr>
        <w:t xml:space="preserve"> Accessed on 15 November 2025.</w:t>
      </w:r>
    </w:p>
    <w:p w14:paraId="0609A07A" w14:textId="77777777" w:rsidR="001C30CE" w:rsidRPr="00706D35" w:rsidRDefault="001C30CE" w:rsidP="006E4B9D">
      <w:pPr>
        <w:rPr>
          <w:sz w:val="24"/>
          <w:szCs w:val="24"/>
          <w:lang w:val="en-GB"/>
        </w:rPr>
      </w:pPr>
    </w:p>
    <w:p w14:paraId="682328E4" w14:textId="77777777" w:rsidR="00E9438C" w:rsidRPr="00706D35" w:rsidRDefault="00E9438C" w:rsidP="006E4B9D">
      <w:pPr>
        <w:rPr>
          <w:sz w:val="24"/>
          <w:szCs w:val="24"/>
          <w:lang w:val="en-GB"/>
        </w:rPr>
      </w:pPr>
      <w:r w:rsidRPr="00706D35">
        <w:rPr>
          <w:sz w:val="24"/>
          <w:szCs w:val="24"/>
          <w:lang w:val="en-GB"/>
        </w:rPr>
        <w:t xml:space="preserve">Rudkin, B. (2024) </w:t>
      </w:r>
      <w:r w:rsidRPr="00706D35">
        <w:rPr>
          <w:i/>
          <w:iCs/>
          <w:sz w:val="24"/>
          <w:szCs w:val="24"/>
          <w:lang w:val="en-GB"/>
        </w:rPr>
        <w:t xml:space="preserve">Family Business Report </w:t>
      </w:r>
      <w:proofErr w:type="gramStart"/>
      <w:r w:rsidRPr="00706D35">
        <w:rPr>
          <w:i/>
          <w:iCs/>
          <w:sz w:val="24"/>
          <w:szCs w:val="24"/>
          <w:lang w:val="en-GB"/>
        </w:rPr>
        <w:t>2024:NMW</w:t>
      </w:r>
      <w:proofErr w:type="gramEnd"/>
      <w:r w:rsidRPr="00706D35">
        <w:rPr>
          <w:i/>
          <w:iCs/>
          <w:sz w:val="24"/>
          <w:szCs w:val="24"/>
          <w:lang w:val="en-GB"/>
        </w:rPr>
        <w:t xml:space="preserve"> increase may negatively impact more than 50% of businesses</w:t>
      </w:r>
      <w:r w:rsidRPr="00706D35">
        <w:rPr>
          <w:sz w:val="24"/>
          <w:szCs w:val="24"/>
          <w:lang w:val="en-GB"/>
        </w:rPr>
        <w:t xml:space="preserve">. Armstrong Watson.  Available at : </w:t>
      </w:r>
      <w:hyperlink r:id="rId54" w:history="1">
        <w:r w:rsidRPr="00706D35">
          <w:rPr>
            <w:rStyle w:val="Hyperlink"/>
            <w:sz w:val="24"/>
            <w:szCs w:val="24"/>
            <w:lang w:val="en-GB"/>
          </w:rPr>
          <w:t>https://www.armstrongwatson.co.uk/news/2024/05/family-business-report-2024-nmw-increase-may-negatively-impact-more-50-businesses</w:t>
        </w:r>
      </w:hyperlink>
      <w:r w:rsidRPr="00706D35">
        <w:rPr>
          <w:sz w:val="24"/>
          <w:szCs w:val="24"/>
          <w:lang w:val="en-GB"/>
        </w:rPr>
        <w:t xml:space="preserve"> Accessed on 29 November 2025.</w:t>
      </w:r>
    </w:p>
    <w:p w14:paraId="4557CA0F" w14:textId="77777777" w:rsidR="001C30CE" w:rsidRDefault="00E9438C" w:rsidP="006E4B9D">
      <w:pPr>
        <w:rPr>
          <w:sz w:val="24"/>
          <w:szCs w:val="24"/>
          <w:lang w:val="en-GB"/>
        </w:rPr>
      </w:pPr>
      <w:r w:rsidRPr="00706D35">
        <w:rPr>
          <w:sz w:val="24"/>
          <w:szCs w:val="24"/>
          <w:lang w:val="en-GB"/>
        </w:rPr>
        <w:t>‌</w:t>
      </w:r>
    </w:p>
    <w:p w14:paraId="27E49D74" w14:textId="3A5E0E4F" w:rsidR="00E9438C" w:rsidRPr="00706D35" w:rsidRDefault="00E9438C" w:rsidP="006E4B9D">
      <w:pPr>
        <w:rPr>
          <w:sz w:val="24"/>
          <w:szCs w:val="24"/>
          <w:lang w:val="en-GB"/>
        </w:rPr>
      </w:pPr>
      <w:r w:rsidRPr="00706D35">
        <w:rPr>
          <w:sz w:val="24"/>
          <w:szCs w:val="24"/>
          <w:lang w:val="en-GB"/>
        </w:rPr>
        <w:t xml:space="preserve">Rydell, A and Storman, E (2022) ‘Short-time Work, Redundancies, and Changing Work Environment: The Hospitality Sector During COVID-19’, </w:t>
      </w:r>
      <w:r w:rsidRPr="00706D35">
        <w:rPr>
          <w:i/>
          <w:iCs/>
          <w:sz w:val="24"/>
          <w:szCs w:val="24"/>
          <w:lang w:val="en-GB"/>
        </w:rPr>
        <w:t>Nordic Journal of Working Life Studies</w:t>
      </w:r>
      <w:r w:rsidRPr="00706D35">
        <w:rPr>
          <w:sz w:val="24"/>
          <w:szCs w:val="24"/>
          <w:lang w:val="en-GB"/>
        </w:rPr>
        <w:t xml:space="preserve"> [Preprint]. doi:10.18291/njwls.134827.</w:t>
      </w:r>
    </w:p>
    <w:p w14:paraId="2736C217" w14:textId="77777777" w:rsidR="001C30CE" w:rsidRDefault="001C30CE" w:rsidP="006E4B9D">
      <w:pPr>
        <w:rPr>
          <w:sz w:val="24"/>
          <w:szCs w:val="24"/>
          <w:lang w:val="en-GB"/>
        </w:rPr>
      </w:pPr>
    </w:p>
    <w:p w14:paraId="087930D4" w14:textId="53EF87BA" w:rsidR="00E9438C" w:rsidRPr="00706D35" w:rsidRDefault="00E9438C" w:rsidP="006E4B9D">
      <w:pPr>
        <w:rPr>
          <w:sz w:val="24"/>
          <w:szCs w:val="24"/>
          <w:lang w:val="en-GB"/>
        </w:rPr>
      </w:pPr>
      <w:proofErr w:type="spellStart"/>
      <w:r w:rsidRPr="00706D35">
        <w:rPr>
          <w:sz w:val="24"/>
          <w:szCs w:val="24"/>
          <w:lang w:val="en-GB"/>
        </w:rPr>
        <w:t>Saundry</w:t>
      </w:r>
      <w:proofErr w:type="spellEnd"/>
      <w:r w:rsidRPr="00706D35">
        <w:rPr>
          <w:sz w:val="24"/>
          <w:szCs w:val="24"/>
          <w:lang w:val="en-GB"/>
        </w:rPr>
        <w:t>, R. and Urwin, P. (2021). </w:t>
      </w:r>
      <w:r w:rsidRPr="00706D35">
        <w:rPr>
          <w:i/>
          <w:iCs/>
          <w:sz w:val="24"/>
          <w:szCs w:val="24"/>
          <w:lang w:val="en-GB"/>
        </w:rPr>
        <w:t>Estimating the costs of workplace conflict</w:t>
      </w:r>
      <w:r w:rsidRPr="00706D35">
        <w:rPr>
          <w:sz w:val="24"/>
          <w:szCs w:val="24"/>
          <w:lang w:val="en-GB"/>
        </w:rPr>
        <w:t xml:space="preserve">. [online] </w:t>
      </w:r>
      <w:proofErr w:type="spellStart"/>
      <w:r w:rsidRPr="00706D35">
        <w:rPr>
          <w:sz w:val="24"/>
          <w:szCs w:val="24"/>
          <w:lang w:val="en-GB"/>
        </w:rPr>
        <w:t>Acas</w:t>
      </w:r>
      <w:proofErr w:type="spellEnd"/>
      <w:r w:rsidRPr="00706D35">
        <w:rPr>
          <w:sz w:val="24"/>
          <w:szCs w:val="24"/>
          <w:lang w:val="en-GB"/>
        </w:rPr>
        <w:t xml:space="preserve">. Available at: </w:t>
      </w:r>
      <w:hyperlink r:id="rId55" w:history="1">
        <w:r w:rsidRPr="00706D35">
          <w:rPr>
            <w:rStyle w:val="Hyperlink"/>
            <w:sz w:val="24"/>
            <w:szCs w:val="24"/>
            <w:lang w:val="en-GB"/>
          </w:rPr>
          <w:t>https://www.acas.org.uk/research-and-commentary/estimating-the-costs-of-workplace-conflict/report</w:t>
        </w:r>
      </w:hyperlink>
      <w:r w:rsidRPr="00706D35">
        <w:rPr>
          <w:sz w:val="24"/>
          <w:szCs w:val="24"/>
          <w:lang w:val="en-GB"/>
        </w:rPr>
        <w:t xml:space="preserve"> </w:t>
      </w:r>
    </w:p>
    <w:p w14:paraId="4BA675B4" w14:textId="77777777" w:rsidR="001C30CE" w:rsidRDefault="001C30CE" w:rsidP="006E4B9D">
      <w:pPr>
        <w:rPr>
          <w:sz w:val="24"/>
          <w:szCs w:val="24"/>
          <w:lang w:val="en-GB"/>
        </w:rPr>
      </w:pPr>
    </w:p>
    <w:p w14:paraId="2C52E5A5" w14:textId="7AC0A5D2" w:rsidR="00E9438C" w:rsidRPr="00706D35" w:rsidRDefault="00E9438C" w:rsidP="006E4B9D">
      <w:pPr>
        <w:rPr>
          <w:sz w:val="24"/>
          <w:szCs w:val="24"/>
          <w:lang w:val="en-GB"/>
        </w:rPr>
      </w:pPr>
      <w:r w:rsidRPr="00706D35">
        <w:rPr>
          <w:sz w:val="24"/>
          <w:szCs w:val="24"/>
          <w:lang w:val="en-GB"/>
        </w:rPr>
        <w:t xml:space="preserve">UK Government (2025) Make work pay. Available at: </w:t>
      </w:r>
      <w:hyperlink r:id="rId56" w:history="1">
        <w:r w:rsidRPr="00706D35">
          <w:rPr>
            <w:rStyle w:val="Hyperlink"/>
            <w:sz w:val="24"/>
            <w:szCs w:val="24"/>
            <w:lang w:val="en-GB"/>
          </w:rPr>
          <w:t>https://www.gov.uk/government/collections/make-work-pay</w:t>
        </w:r>
      </w:hyperlink>
      <w:r w:rsidRPr="00706D35">
        <w:rPr>
          <w:sz w:val="24"/>
          <w:szCs w:val="24"/>
          <w:lang w:val="en-GB"/>
        </w:rPr>
        <w:t xml:space="preserve">  (Accessed: October 2025)</w:t>
      </w:r>
    </w:p>
    <w:p w14:paraId="793C92B8" w14:textId="77777777" w:rsidR="001C30CE" w:rsidRDefault="00E9438C" w:rsidP="006E4B9D">
      <w:pPr>
        <w:rPr>
          <w:sz w:val="24"/>
          <w:szCs w:val="24"/>
          <w:lang w:val="en-GB"/>
        </w:rPr>
      </w:pPr>
      <w:r w:rsidRPr="00706D35">
        <w:rPr>
          <w:sz w:val="24"/>
          <w:szCs w:val="24"/>
          <w:lang w:val="en-GB"/>
        </w:rPr>
        <w:t>‌</w:t>
      </w:r>
    </w:p>
    <w:p w14:paraId="0340C05D" w14:textId="4BFE6384" w:rsidR="00E9438C" w:rsidRPr="00706D35" w:rsidRDefault="00E9438C" w:rsidP="006E4B9D">
      <w:pPr>
        <w:rPr>
          <w:sz w:val="24"/>
          <w:szCs w:val="24"/>
          <w:lang w:val="en-GB"/>
        </w:rPr>
      </w:pPr>
      <w:r w:rsidRPr="00706D35">
        <w:rPr>
          <w:sz w:val="24"/>
          <w:szCs w:val="24"/>
          <w:lang w:val="en-GB"/>
        </w:rPr>
        <w:t>TURNER, S. (2002) Tools for success: a manager’s guide. London: McGraw Hill.</w:t>
      </w:r>
    </w:p>
    <w:p w14:paraId="662065F5" w14:textId="77777777" w:rsidR="00E9438C" w:rsidRPr="00706D35" w:rsidRDefault="00E9438C" w:rsidP="006E4B9D">
      <w:pPr>
        <w:rPr>
          <w:sz w:val="24"/>
          <w:szCs w:val="24"/>
          <w:lang w:val="en-GB"/>
        </w:rPr>
      </w:pPr>
      <w:r w:rsidRPr="00706D35">
        <w:rPr>
          <w:sz w:val="24"/>
          <w:szCs w:val="24"/>
          <w:lang w:val="en-GB"/>
        </w:rPr>
        <w:t xml:space="preserve">Unison (2025) </w:t>
      </w:r>
      <w:r w:rsidRPr="00706D35">
        <w:rPr>
          <w:i/>
          <w:iCs/>
          <w:sz w:val="24"/>
          <w:szCs w:val="24"/>
          <w:lang w:val="en-GB"/>
        </w:rPr>
        <w:t xml:space="preserve">Equal pay victory for women at Birmingham City Council </w:t>
      </w:r>
      <w:r w:rsidRPr="00706D35">
        <w:rPr>
          <w:sz w:val="24"/>
          <w:szCs w:val="24"/>
          <w:lang w:val="en-GB"/>
        </w:rPr>
        <w:t xml:space="preserve">Available at : </w:t>
      </w:r>
      <w:hyperlink r:id="rId57" w:history="1">
        <w:r w:rsidRPr="00706D35">
          <w:rPr>
            <w:rStyle w:val="Hyperlink"/>
            <w:sz w:val="24"/>
            <w:szCs w:val="24"/>
            <w:lang w:val="en-GB"/>
          </w:rPr>
          <w:t>https://www.unison.org.uk/news/2025/10/equal-pay-victory-for-women-at-birmingham-city-council/</w:t>
        </w:r>
      </w:hyperlink>
      <w:r w:rsidRPr="00706D35">
        <w:rPr>
          <w:sz w:val="24"/>
          <w:szCs w:val="24"/>
          <w:lang w:val="en-GB"/>
        </w:rPr>
        <w:t xml:space="preserve"> (Accessed on 17 November 2025). </w:t>
      </w:r>
    </w:p>
    <w:p w14:paraId="5563E231" w14:textId="77777777" w:rsidR="001C30CE" w:rsidRDefault="001C30CE" w:rsidP="006E4B9D">
      <w:pPr>
        <w:rPr>
          <w:sz w:val="24"/>
          <w:szCs w:val="24"/>
          <w:lang w:val="en-GB"/>
        </w:rPr>
      </w:pPr>
    </w:p>
    <w:p w14:paraId="03F44E5D" w14:textId="23D59FE5" w:rsidR="00E9438C" w:rsidRPr="00706D35" w:rsidRDefault="00E9438C" w:rsidP="006E4B9D">
      <w:pPr>
        <w:rPr>
          <w:sz w:val="24"/>
          <w:szCs w:val="24"/>
          <w:lang w:val="en-GB"/>
        </w:rPr>
      </w:pPr>
      <w:r w:rsidRPr="00706D35">
        <w:rPr>
          <w:sz w:val="24"/>
          <w:szCs w:val="24"/>
          <w:lang w:val="en-GB"/>
        </w:rPr>
        <w:t xml:space="preserve">UK Government (2025) Make work pay. Available at: </w:t>
      </w:r>
      <w:hyperlink r:id="rId58" w:history="1">
        <w:r w:rsidRPr="00706D35">
          <w:rPr>
            <w:rStyle w:val="Hyperlink"/>
            <w:sz w:val="24"/>
            <w:szCs w:val="24"/>
            <w:lang w:val="en-GB"/>
          </w:rPr>
          <w:t>https://www.gov.uk/government/collections/make-work-pay</w:t>
        </w:r>
      </w:hyperlink>
      <w:r w:rsidRPr="00706D35">
        <w:rPr>
          <w:sz w:val="24"/>
          <w:szCs w:val="24"/>
          <w:lang w:val="en-GB"/>
        </w:rPr>
        <w:t xml:space="preserve">  (Accessed: October 2025)</w:t>
      </w:r>
    </w:p>
    <w:p w14:paraId="5888FE6E" w14:textId="77777777" w:rsidR="001C30CE" w:rsidRDefault="001C30CE" w:rsidP="006E4B9D">
      <w:pPr>
        <w:rPr>
          <w:i/>
          <w:iCs/>
          <w:sz w:val="24"/>
          <w:szCs w:val="24"/>
          <w:lang w:val="en-GB"/>
        </w:rPr>
      </w:pPr>
    </w:p>
    <w:p w14:paraId="4E6EEE8C" w14:textId="73E94F02" w:rsidR="00E9438C" w:rsidRPr="00706D35" w:rsidRDefault="00E9438C" w:rsidP="006E4B9D">
      <w:pPr>
        <w:rPr>
          <w:sz w:val="24"/>
          <w:szCs w:val="24"/>
          <w:lang w:val="en-GB"/>
        </w:rPr>
      </w:pPr>
      <w:r w:rsidRPr="00706D35">
        <w:rPr>
          <w:i/>
          <w:iCs/>
          <w:sz w:val="24"/>
          <w:szCs w:val="24"/>
          <w:lang w:val="en-GB"/>
        </w:rPr>
        <w:t>Well Being of Future Generations (Wales) Act 2015 3(2)</w:t>
      </w:r>
      <w:r w:rsidRPr="00706D35">
        <w:rPr>
          <w:sz w:val="24"/>
          <w:szCs w:val="24"/>
          <w:lang w:val="en-GB"/>
        </w:rPr>
        <w:t xml:space="preserve"> Available </w:t>
      </w:r>
      <w:proofErr w:type="gramStart"/>
      <w:r w:rsidRPr="00706D35">
        <w:rPr>
          <w:sz w:val="24"/>
          <w:szCs w:val="24"/>
          <w:lang w:val="en-GB"/>
        </w:rPr>
        <w:t>at :</w:t>
      </w:r>
      <w:proofErr w:type="gramEnd"/>
      <w:r w:rsidRPr="00706D35">
        <w:rPr>
          <w:sz w:val="24"/>
          <w:szCs w:val="24"/>
          <w:lang w:val="en-GB"/>
        </w:rPr>
        <w:t xml:space="preserve"> </w:t>
      </w:r>
      <w:hyperlink r:id="rId59" w:history="1">
        <w:r w:rsidRPr="00706D35">
          <w:rPr>
            <w:rStyle w:val="Hyperlink"/>
            <w:sz w:val="24"/>
            <w:szCs w:val="24"/>
            <w:lang w:val="en-GB"/>
          </w:rPr>
          <w:t>https://www.legislation.gov.uk/anaw/2015/2/contents</w:t>
        </w:r>
      </w:hyperlink>
      <w:r w:rsidRPr="00706D35">
        <w:rPr>
          <w:sz w:val="24"/>
          <w:szCs w:val="24"/>
          <w:lang w:val="en-GB"/>
        </w:rPr>
        <w:t xml:space="preserve"> Accessed on 29 November 2025.</w:t>
      </w:r>
    </w:p>
    <w:p w14:paraId="796CCECC" w14:textId="77777777" w:rsidR="001C30CE" w:rsidRDefault="001C30CE" w:rsidP="006E4B9D">
      <w:pPr>
        <w:rPr>
          <w:sz w:val="24"/>
          <w:szCs w:val="24"/>
          <w:lang w:val="en-GB"/>
        </w:rPr>
      </w:pPr>
    </w:p>
    <w:p w14:paraId="10C24382" w14:textId="1A95A1CC" w:rsidR="00E9438C" w:rsidRPr="00706D35" w:rsidRDefault="00E9438C" w:rsidP="006E4B9D">
      <w:pPr>
        <w:rPr>
          <w:sz w:val="24"/>
          <w:szCs w:val="24"/>
          <w:lang w:val="en-GB"/>
        </w:rPr>
      </w:pPr>
      <w:r w:rsidRPr="00706D35">
        <w:rPr>
          <w:sz w:val="24"/>
          <w:szCs w:val="24"/>
          <w:lang w:val="en-GB"/>
        </w:rPr>
        <w:t xml:space="preserve">Welsh Government (2024) </w:t>
      </w:r>
      <w:r w:rsidRPr="00706D35">
        <w:rPr>
          <w:i/>
          <w:iCs/>
          <w:sz w:val="24"/>
          <w:szCs w:val="24"/>
          <w:lang w:val="en-GB"/>
        </w:rPr>
        <w:t>Neath Port Talbot Council Social Partnership Case Study</w:t>
      </w:r>
      <w:r w:rsidRPr="00706D35">
        <w:rPr>
          <w:sz w:val="24"/>
          <w:szCs w:val="24"/>
          <w:lang w:val="en-GB"/>
        </w:rPr>
        <w:t xml:space="preserve">.  Available at : </w:t>
      </w:r>
      <w:hyperlink r:id="rId60" w:history="1">
        <w:r w:rsidRPr="00706D35">
          <w:rPr>
            <w:rStyle w:val="Hyperlink"/>
            <w:sz w:val="24"/>
            <w:szCs w:val="24"/>
            <w:lang w:val="en-GB"/>
          </w:rPr>
          <w:t>https://www.gov.wales/sites/default/files/publications/2024-02/neath-port-talbot-council-social-partnership-case-study.pdf</w:t>
        </w:r>
      </w:hyperlink>
      <w:r w:rsidRPr="00706D35">
        <w:rPr>
          <w:sz w:val="24"/>
          <w:szCs w:val="24"/>
          <w:lang w:val="en-GB"/>
        </w:rPr>
        <w:t xml:space="preserve"> Accessed on 28 November 2025.</w:t>
      </w:r>
    </w:p>
    <w:p w14:paraId="4AA17EE6" w14:textId="77777777" w:rsidR="001C30CE" w:rsidRDefault="001C30CE" w:rsidP="006E4B9D">
      <w:pPr>
        <w:rPr>
          <w:sz w:val="24"/>
          <w:szCs w:val="24"/>
          <w:lang w:val="en-GB"/>
        </w:rPr>
      </w:pPr>
    </w:p>
    <w:p w14:paraId="07A4931E" w14:textId="5E465115" w:rsidR="00E9438C" w:rsidRPr="00706D35" w:rsidRDefault="00E9438C" w:rsidP="006E4B9D">
      <w:pPr>
        <w:rPr>
          <w:sz w:val="24"/>
          <w:szCs w:val="24"/>
          <w:lang w:val="en-GB"/>
        </w:rPr>
      </w:pPr>
      <w:r w:rsidRPr="00706D35">
        <w:rPr>
          <w:sz w:val="24"/>
          <w:szCs w:val="24"/>
          <w:lang w:val="en-GB"/>
        </w:rPr>
        <w:t>Xu, L. and Zhu, Y. (2023) ‘Does the employment effect of national minimum wage vary by non</w:t>
      </w:r>
      <w:r w:rsidRPr="00706D35">
        <w:rPr>
          <w:rFonts w:ascii="Cambria Math" w:hAnsi="Cambria Math" w:cs="Cambria Math"/>
          <w:sz w:val="24"/>
          <w:szCs w:val="24"/>
          <w:lang w:val="en-GB"/>
        </w:rPr>
        <w:t>‐</w:t>
      </w:r>
      <w:r w:rsidRPr="00706D35">
        <w:rPr>
          <w:sz w:val="24"/>
          <w:szCs w:val="24"/>
          <w:lang w:val="en-GB"/>
        </w:rPr>
        <w:t xml:space="preserve">employment rate? A regression discontinuity approach’, </w:t>
      </w:r>
      <w:r w:rsidRPr="00706D35">
        <w:rPr>
          <w:i/>
          <w:iCs/>
          <w:sz w:val="24"/>
          <w:szCs w:val="24"/>
          <w:lang w:val="en-GB"/>
        </w:rPr>
        <w:t>Manchester School (1463-6786)</w:t>
      </w:r>
      <w:r w:rsidRPr="00706D35">
        <w:rPr>
          <w:sz w:val="24"/>
          <w:szCs w:val="24"/>
          <w:lang w:val="en-GB"/>
        </w:rPr>
        <w:t>, 91(1), pp. 18–36. doi:10.1111/manc.12427.</w:t>
      </w:r>
    </w:p>
    <w:p w14:paraId="58D91032" w14:textId="77777777" w:rsidR="001C30CE" w:rsidRDefault="001C30CE" w:rsidP="006E4B9D">
      <w:pPr>
        <w:rPr>
          <w:sz w:val="24"/>
          <w:szCs w:val="24"/>
          <w:lang w:val="en-GB"/>
        </w:rPr>
      </w:pPr>
    </w:p>
    <w:p w14:paraId="4FACA4EA" w14:textId="308E2974" w:rsidR="00E9438C" w:rsidRPr="00706D35" w:rsidRDefault="00E9438C" w:rsidP="006E4B9D">
      <w:pPr>
        <w:rPr>
          <w:sz w:val="24"/>
          <w:szCs w:val="24"/>
          <w:lang w:val="en-GB"/>
        </w:rPr>
      </w:pPr>
      <w:r w:rsidRPr="00706D35">
        <w:rPr>
          <w:sz w:val="24"/>
          <w:szCs w:val="24"/>
          <w:lang w:val="en-GB"/>
        </w:rPr>
        <w:t xml:space="preserve">Yuksel, I (2012) ‘Developing a multi criteria decision making model for PESTEL analysis’, </w:t>
      </w:r>
      <w:r w:rsidRPr="00706D35">
        <w:rPr>
          <w:i/>
          <w:iCs/>
          <w:sz w:val="24"/>
          <w:szCs w:val="24"/>
          <w:lang w:val="en-GB"/>
        </w:rPr>
        <w:t>International Journal of business and management,</w:t>
      </w:r>
      <w:r w:rsidRPr="00706D35">
        <w:rPr>
          <w:sz w:val="24"/>
          <w:szCs w:val="24"/>
          <w:lang w:val="en-GB"/>
        </w:rPr>
        <w:t xml:space="preserve"> Vol. 7, No. 24; Available at: </w:t>
      </w:r>
      <w:hyperlink r:id="rId61" w:history="1">
        <w:r w:rsidRPr="00706D35">
          <w:rPr>
            <w:rStyle w:val="Hyperlink"/>
            <w:sz w:val="24"/>
            <w:szCs w:val="24"/>
            <w:lang w:val="en-GB"/>
          </w:rPr>
          <w:t>http://dx.doi.org/10.5539/ijbm.v7n24p52</w:t>
        </w:r>
      </w:hyperlink>
      <w:r w:rsidRPr="00706D35">
        <w:rPr>
          <w:sz w:val="24"/>
          <w:szCs w:val="24"/>
          <w:lang w:val="en-GB"/>
        </w:rPr>
        <w:t xml:space="preserve"> </w:t>
      </w:r>
    </w:p>
    <w:p w14:paraId="2D3F75A2" w14:textId="77777777" w:rsidR="00E9438C" w:rsidRPr="00706D35" w:rsidRDefault="00E9438C" w:rsidP="006E4B9D">
      <w:pPr>
        <w:rPr>
          <w:sz w:val="24"/>
          <w:szCs w:val="24"/>
          <w:lang w:val="en-GB"/>
        </w:rPr>
      </w:pPr>
    </w:p>
    <w:p w14:paraId="76908C68" w14:textId="77777777" w:rsidR="00E9438C" w:rsidRPr="00706D35" w:rsidRDefault="00E9438C" w:rsidP="006E4B9D">
      <w:pPr>
        <w:rPr>
          <w:sz w:val="24"/>
          <w:szCs w:val="24"/>
          <w:lang w:val="en-GB"/>
        </w:rPr>
      </w:pPr>
    </w:p>
    <w:p w14:paraId="31D3A959" w14:textId="77777777" w:rsidR="00AF5A5F" w:rsidRPr="00706D35" w:rsidRDefault="00AF5A5F" w:rsidP="006E4B9D">
      <w:pPr>
        <w:pStyle w:val="BodyText"/>
        <w:rPr>
          <w:lang w:val="en-GB"/>
        </w:rPr>
      </w:pPr>
    </w:p>
    <w:p w14:paraId="4FD1147C" w14:textId="77777777" w:rsidR="00AF5A5F" w:rsidRPr="00706D35" w:rsidRDefault="00AF5A5F" w:rsidP="006E4B9D">
      <w:pPr>
        <w:pStyle w:val="BodyText"/>
        <w:rPr>
          <w:lang w:val="en-GB"/>
        </w:rPr>
      </w:pPr>
    </w:p>
    <w:p w14:paraId="7E30F62A" w14:textId="713991AC" w:rsidR="00A67AF2" w:rsidRPr="00706D35" w:rsidRDefault="00A67AF2" w:rsidP="006E4B9D">
      <w:pPr>
        <w:pStyle w:val="BodyText"/>
        <w:rPr>
          <w:lang w:val="en-GB"/>
        </w:rPr>
      </w:pPr>
    </w:p>
    <w:sectPr w:rsidR="00A67AF2" w:rsidRPr="00706D35">
      <w:footerReference w:type="even" r:id="rId62"/>
      <w:footerReference w:type="default" r:id="rId63"/>
      <w:pgSz w:w="11900" w:h="16840"/>
      <w:pgMar w:top="1460" w:right="980" w:bottom="980" w:left="1000" w:header="0" w:footer="79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E048C" w14:textId="77777777" w:rsidR="00855B00" w:rsidRDefault="00855B00">
      <w:r>
        <w:separator/>
      </w:r>
    </w:p>
  </w:endnote>
  <w:endnote w:type="continuationSeparator" w:id="0">
    <w:p w14:paraId="539CE596" w14:textId="77777777" w:rsidR="00855B00" w:rsidRDefault="00855B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E2D5F" w14:textId="77777777" w:rsidR="00006456" w:rsidRDefault="00006456">
    <w:pPr>
      <w:pStyle w:val="BodyText"/>
      <w:spacing w:line="14" w:lineRule="auto"/>
      <w:rPr>
        <w:sz w:val="20"/>
      </w:rPr>
    </w:pPr>
    <w:r>
      <w:rPr>
        <w:noProof/>
        <w:lang w:val="en-GB" w:eastAsia="en-GB"/>
      </w:rPr>
      <mc:AlternateContent>
        <mc:Choice Requires="wps">
          <w:drawing>
            <wp:anchor distT="0" distB="0" distL="114300" distR="114300" simplePos="0" relativeHeight="487056384" behindDoc="1" locked="0" layoutInCell="1" allowOverlap="1" wp14:anchorId="4A99E654" wp14:editId="0D25F54B">
              <wp:simplePos x="0" y="0"/>
              <wp:positionH relativeFrom="page">
                <wp:posOffset>6210935</wp:posOffset>
              </wp:positionH>
              <wp:positionV relativeFrom="page">
                <wp:posOffset>10050780</wp:posOffset>
              </wp:positionV>
              <wp:extent cx="258445" cy="196215"/>
              <wp:effectExtent l="0" t="0" r="0" b="0"/>
              <wp:wrapNone/>
              <wp:docPr id="4" name="docshape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445"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9162D8" w14:textId="77777777" w:rsidR="00006456" w:rsidRDefault="00006456">
                          <w:pPr>
                            <w:pStyle w:val="BodyText"/>
                            <w:spacing w:before="12"/>
                            <w:ind w:left="60"/>
                          </w:pPr>
                          <w:r>
                            <w:rPr>
                              <w:spacing w:val="-5"/>
                            </w:rPr>
                            <w:fldChar w:fldCharType="begin"/>
                          </w:r>
                          <w:r>
                            <w:rPr>
                              <w:spacing w:val="-5"/>
                            </w:rPr>
                            <w:instrText xml:space="preserve"> PAGE </w:instrText>
                          </w:r>
                          <w:r>
                            <w:rPr>
                              <w:spacing w:val="-5"/>
                            </w:rPr>
                            <w:fldChar w:fldCharType="separate"/>
                          </w:r>
                          <w:r>
                            <w:rPr>
                              <w:noProof/>
                              <w:spacing w:val="-5"/>
                            </w:rPr>
                            <w:t>20</w:t>
                          </w:r>
                          <w:r>
                            <w:rPr>
                              <w:spacing w:val="-5"/>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A99E654" id="_x0000_t202" coordsize="21600,21600" o:spt="202" path="m,l,21600r21600,l21600,xe">
              <v:stroke joinstyle="miter"/>
              <v:path gradientshapeok="t" o:connecttype="rect"/>
            </v:shapetype>
            <v:shape id="docshape24" o:spid="_x0000_s1028" type="#_x0000_t202" style="position:absolute;margin-left:489.05pt;margin-top:791.4pt;width:20.35pt;height:15.45pt;z-index:-16260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" filled="f" stroked="f">
              <v:textbox inset="0,0,0,0">
                <w:txbxContent>
                  <w:p w14:paraId="209162D8" w14:textId="77777777" w:rsidR="00006456" w:rsidRDefault="00006456">
                    <w:pPr>
                      <w:pStyle w:val="BodyText"/>
                      <w:spacing w:before="12"/>
                      <w:ind w:left="60"/>
                    </w:pPr>
                    <w:r>
                      <w:rPr>
                        <w:spacing w:val="-5"/>
                      </w:rPr>
                      <w:fldChar w:fldCharType="begin"/>
                    </w:r>
                    <w:r>
                      <w:rPr>
                        <w:spacing w:val="-5"/>
                      </w:rPr>
                      <w:instrText xml:space="preserve"> PAGE </w:instrText>
                    </w:r>
                    <w:r>
                      <w:rPr>
                        <w:spacing w:val="-5"/>
                      </w:rPr>
                      <w:fldChar w:fldCharType="separate"/>
                    </w:r>
                    <w:r>
                      <w:rPr>
                        <w:noProof/>
                        <w:spacing w:val="-5"/>
                      </w:rPr>
                      <w:t>20</w:t>
                    </w:r>
                    <w:r>
                      <w:rPr>
                        <w:spacing w:val="-5"/>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7BA33" w14:textId="77777777" w:rsidR="00006456" w:rsidRDefault="00006456">
    <w:pPr>
      <w:pStyle w:val="BodyText"/>
      <w:spacing w:line="14" w:lineRule="auto"/>
      <w:rPr>
        <w:sz w:val="20"/>
      </w:rPr>
    </w:pPr>
    <w:r>
      <w:rPr>
        <w:noProof/>
        <w:lang w:val="en-GB" w:eastAsia="en-GB"/>
      </w:rPr>
      <mc:AlternateContent>
        <mc:Choice Requires="wps">
          <w:drawing>
            <wp:anchor distT="0" distB="0" distL="114300" distR="114300" simplePos="0" relativeHeight="487056896" behindDoc="1" locked="0" layoutInCell="1" allowOverlap="1" wp14:anchorId="043FEA62" wp14:editId="230F648E">
              <wp:simplePos x="0" y="0"/>
              <wp:positionH relativeFrom="page">
                <wp:posOffset>1129030</wp:posOffset>
              </wp:positionH>
              <wp:positionV relativeFrom="page">
                <wp:posOffset>10050780</wp:posOffset>
              </wp:positionV>
              <wp:extent cx="194945" cy="196215"/>
              <wp:effectExtent l="0" t="0" r="0" b="0"/>
              <wp:wrapNone/>
              <wp:docPr id="2" name="docshape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D7A393" w14:textId="3D66E786" w:rsidR="00006456" w:rsidRDefault="00006456">
                          <w:pPr>
                            <w:pStyle w:val="BodyText"/>
                            <w:spacing w:before="12"/>
                            <w:ind w:left="20"/>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3FEA62" id="_x0000_t202" coordsize="21600,21600" o:spt="202" path="m,l,21600r21600,l21600,xe">
              <v:stroke joinstyle="miter"/>
              <v:path gradientshapeok="t" o:connecttype="rect"/>
            </v:shapetype>
            <v:shape id="docshape25" o:spid="_x0000_s1029" type="#_x0000_t202" style="position:absolute;margin-left:88.9pt;margin-top:791.4pt;width:15.35pt;height:15.45pt;z-index:-16259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" filled="f" stroked="f">
              <v:textbox inset="0,0,0,0">
                <w:txbxContent>
                  <w:p w14:paraId="34D7A393" w14:textId="3D66E786" w:rsidR="00006456" w:rsidRDefault="00006456">
                    <w:pPr>
                      <w:pStyle w:val="BodyText"/>
                      <w:spacing w:before="12"/>
                      <w:ind w:left="20"/>
                    </w:pP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DC3D3" w14:textId="77777777" w:rsidR="00855B00" w:rsidRDefault="00855B00">
      <w:r>
        <w:separator/>
      </w:r>
    </w:p>
  </w:footnote>
  <w:footnote w:type="continuationSeparator" w:id="0">
    <w:p w14:paraId="736A496B" w14:textId="77777777" w:rsidR="00855B00" w:rsidRDefault="00855B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D0738"/>
    <w:multiLevelType w:val="multilevel"/>
    <w:tmpl w:val="3890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B71DD5"/>
    <w:multiLevelType w:val="hybridMultilevel"/>
    <w:tmpl w:val="B3AEA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566CD0"/>
    <w:multiLevelType w:val="hybridMultilevel"/>
    <w:tmpl w:val="915881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2227028">
    <w:abstractNumId w:val="2"/>
  </w:num>
  <w:num w:numId="2" w16cid:durableId="121046231">
    <w:abstractNumId w:val="1"/>
  </w:num>
  <w:num w:numId="3" w16cid:durableId="1967001785">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18B"/>
    <w:rsid w:val="0000100F"/>
    <w:rsid w:val="00002CE4"/>
    <w:rsid w:val="00003CD6"/>
    <w:rsid w:val="00004F29"/>
    <w:rsid w:val="00006456"/>
    <w:rsid w:val="0001383E"/>
    <w:rsid w:val="00016A88"/>
    <w:rsid w:val="00020BA6"/>
    <w:rsid w:val="00027574"/>
    <w:rsid w:val="00027890"/>
    <w:rsid w:val="00030546"/>
    <w:rsid w:val="00033E88"/>
    <w:rsid w:val="00035CBD"/>
    <w:rsid w:val="00036B96"/>
    <w:rsid w:val="00036CB1"/>
    <w:rsid w:val="0004547E"/>
    <w:rsid w:val="00052CA1"/>
    <w:rsid w:val="0005326D"/>
    <w:rsid w:val="00054049"/>
    <w:rsid w:val="0005786B"/>
    <w:rsid w:val="000647B8"/>
    <w:rsid w:val="00065533"/>
    <w:rsid w:val="00072518"/>
    <w:rsid w:val="00082A3F"/>
    <w:rsid w:val="00083E0A"/>
    <w:rsid w:val="000872A9"/>
    <w:rsid w:val="00087574"/>
    <w:rsid w:val="0008793C"/>
    <w:rsid w:val="00091C71"/>
    <w:rsid w:val="000931D1"/>
    <w:rsid w:val="0009522C"/>
    <w:rsid w:val="000952FD"/>
    <w:rsid w:val="00095964"/>
    <w:rsid w:val="000A1614"/>
    <w:rsid w:val="000A5C03"/>
    <w:rsid w:val="000A650D"/>
    <w:rsid w:val="000B1720"/>
    <w:rsid w:val="000B234A"/>
    <w:rsid w:val="000B26D1"/>
    <w:rsid w:val="000B277B"/>
    <w:rsid w:val="000C1867"/>
    <w:rsid w:val="000C3928"/>
    <w:rsid w:val="000C4A2A"/>
    <w:rsid w:val="000D1904"/>
    <w:rsid w:val="000D7727"/>
    <w:rsid w:val="000D7C5C"/>
    <w:rsid w:val="000E1B39"/>
    <w:rsid w:val="000E2C6E"/>
    <w:rsid w:val="000E4C0B"/>
    <w:rsid w:val="000F1972"/>
    <w:rsid w:val="000F1D3B"/>
    <w:rsid w:val="001009E7"/>
    <w:rsid w:val="001015CB"/>
    <w:rsid w:val="00103BF6"/>
    <w:rsid w:val="001046DD"/>
    <w:rsid w:val="0011031E"/>
    <w:rsid w:val="00115918"/>
    <w:rsid w:val="00117742"/>
    <w:rsid w:val="00117A94"/>
    <w:rsid w:val="00122DD2"/>
    <w:rsid w:val="00127A3F"/>
    <w:rsid w:val="00132C4D"/>
    <w:rsid w:val="0013367E"/>
    <w:rsid w:val="00133C97"/>
    <w:rsid w:val="001410B4"/>
    <w:rsid w:val="0014210D"/>
    <w:rsid w:val="00145081"/>
    <w:rsid w:val="00146C34"/>
    <w:rsid w:val="00146F7D"/>
    <w:rsid w:val="00147B6B"/>
    <w:rsid w:val="00152757"/>
    <w:rsid w:val="00153AB6"/>
    <w:rsid w:val="00154C40"/>
    <w:rsid w:val="00157612"/>
    <w:rsid w:val="00164FF8"/>
    <w:rsid w:val="00165CFB"/>
    <w:rsid w:val="001726E3"/>
    <w:rsid w:val="00172E3A"/>
    <w:rsid w:val="00173872"/>
    <w:rsid w:val="00173E00"/>
    <w:rsid w:val="0017411E"/>
    <w:rsid w:val="0017752E"/>
    <w:rsid w:val="00187B7E"/>
    <w:rsid w:val="00187BAB"/>
    <w:rsid w:val="00197BD7"/>
    <w:rsid w:val="001A7C36"/>
    <w:rsid w:val="001B4AD2"/>
    <w:rsid w:val="001B568C"/>
    <w:rsid w:val="001B7619"/>
    <w:rsid w:val="001C228B"/>
    <w:rsid w:val="001C30CE"/>
    <w:rsid w:val="001D7276"/>
    <w:rsid w:val="001D76CC"/>
    <w:rsid w:val="001E1C3D"/>
    <w:rsid w:val="001E4D88"/>
    <w:rsid w:val="001E6445"/>
    <w:rsid w:val="001F4505"/>
    <w:rsid w:val="001F5967"/>
    <w:rsid w:val="00207557"/>
    <w:rsid w:val="00212DAD"/>
    <w:rsid w:val="00214CAC"/>
    <w:rsid w:val="00216924"/>
    <w:rsid w:val="00220E79"/>
    <w:rsid w:val="00223C1B"/>
    <w:rsid w:val="0022794F"/>
    <w:rsid w:val="00232074"/>
    <w:rsid w:val="00233BF3"/>
    <w:rsid w:val="00235B11"/>
    <w:rsid w:val="00236563"/>
    <w:rsid w:val="002447D0"/>
    <w:rsid w:val="00244E53"/>
    <w:rsid w:val="002479B9"/>
    <w:rsid w:val="00247B96"/>
    <w:rsid w:val="00250400"/>
    <w:rsid w:val="002518BD"/>
    <w:rsid w:val="00252BCF"/>
    <w:rsid w:val="00253BE2"/>
    <w:rsid w:val="0025785D"/>
    <w:rsid w:val="002607D0"/>
    <w:rsid w:val="00261582"/>
    <w:rsid w:val="00264C92"/>
    <w:rsid w:val="002722D4"/>
    <w:rsid w:val="00275A86"/>
    <w:rsid w:val="002829B1"/>
    <w:rsid w:val="00283B9D"/>
    <w:rsid w:val="0029786A"/>
    <w:rsid w:val="002A3BF2"/>
    <w:rsid w:val="002A49F9"/>
    <w:rsid w:val="002A7235"/>
    <w:rsid w:val="002B2AA5"/>
    <w:rsid w:val="002B642C"/>
    <w:rsid w:val="002B73CF"/>
    <w:rsid w:val="002C0B9D"/>
    <w:rsid w:val="002C3CC5"/>
    <w:rsid w:val="002C3FF8"/>
    <w:rsid w:val="002C5858"/>
    <w:rsid w:val="002C689C"/>
    <w:rsid w:val="002D2AB8"/>
    <w:rsid w:val="002D4F8E"/>
    <w:rsid w:val="002D6F76"/>
    <w:rsid w:val="002E112D"/>
    <w:rsid w:val="002E76B5"/>
    <w:rsid w:val="002F0EDF"/>
    <w:rsid w:val="002F1856"/>
    <w:rsid w:val="002F1FA6"/>
    <w:rsid w:val="002F357B"/>
    <w:rsid w:val="002F76E2"/>
    <w:rsid w:val="00304229"/>
    <w:rsid w:val="00305150"/>
    <w:rsid w:val="00307AA5"/>
    <w:rsid w:val="00313E3C"/>
    <w:rsid w:val="00314577"/>
    <w:rsid w:val="003164BB"/>
    <w:rsid w:val="00320C51"/>
    <w:rsid w:val="003224A2"/>
    <w:rsid w:val="00322C1B"/>
    <w:rsid w:val="00323038"/>
    <w:rsid w:val="00324482"/>
    <w:rsid w:val="00326302"/>
    <w:rsid w:val="00327344"/>
    <w:rsid w:val="003277B7"/>
    <w:rsid w:val="00330475"/>
    <w:rsid w:val="00332444"/>
    <w:rsid w:val="00332BA4"/>
    <w:rsid w:val="00334C10"/>
    <w:rsid w:val="00335A7E"/>
    <w:rsid w:val="00337EAE"/>
    <w:rsid w:val="00340C82"/>
    <w:rsid w:val="00341CA0"/>
    <w:rsid w:val="003428F6"/>
    <w:rsid w:val="00343D14"/>
    <w:rsid w:val="00347A91"/>
    <w:rsid w:val="00350998"/>
    <w:rsid w:val="00350B72"/>
    <w:rsid w:val="00352764"/>
    <w:rsid w:val="0035769B"/>
    <w:rsid w:val="00361258"/>
    <w:rsid w:val="00364C45"/>
    <w:rsid w:val="00364D0E"/>
    <w:rsid w:val="00364E36"/>
    <w:rsid w:val="00367687"/>
    <w:rsid w:val="0037006E"/>
    <w:rsid w:val="003727A1"/>
    <w:rsid w:val="00372BAA"/>
    <w:rsid w:val="00383B17"/>
    <w:rsid w:val="00390A69"/>
    <w:rsid w:val="00390C62"/>
    <w:rsid w:val="003927D9"/>
    <w:rsid w:val="00393566"/>
    <w:rsid w:val="00396DB7"/>
    <w:rsid w:val="00397E97"/>
    <w:rsid w:val="003A0243"/>
    <w:rsid w:val="003A0F72"/>
    <w:rsid w:val="003A1C3A"/>
    <w:rsid w:val="003A74E6"/>
    <w:rsid w:val="003A76BC"/>
    <w:rsid w:val="003B13D7"/>
    <w:rsid w:val="003B1710"/>
    <w:rsid w:val="003B49F3"/>
    <w:rsid w:val="003C044B"/>
    <w:rsid w:val="003C0809"/>
    <w:rsid w:val="003C154D"/>
    <w:rsid w:val="003C280E"/>
    <w:rsid w:val="003C3827"/>
    <w:rsid w:val="003C6DF6"/>
    <w:rsid w:val="003D29A4"/>
    <w:rsid w:val="003D3D2A"/>
    <w:rsid w:val="003D4469"/>
    <w:rsid w:val="003E1350"/>
    <w:rsid w:val="003E6F69"/>
    <w:rsid w:val="003E7001"/>
    <w:rsid w:val="003F0E54"/>
    <w:rsid w:val="003F1837"/>
    <w:rsid w:val="0040019B"/>
    <w:rsid w:val="004007C8"/>
    <w:rsid w:val="00405940"/>
    <w:rsid w:val="004061E7"/>
    <w:rsid w:val="00406B97"/>
    <w:rsid w:val="00414D26"/>
    <w:rsid w:val="00415678"/>
    <w:rsid w:val="0042153A"/>
    <w:rsid w:val="004221B5"/>
    <w:rsid w:val="00423D31"/>
    <w:rsid w:val="00425F45"/>
    <w:rsid w:val="0042769A"/>
    <w:rsid w:val="0043789C"/>
    <w:rsid w:val="00443663"/>
    <w:rsid w:val="00444610"/>
    <w:rsid w:val="004457C3"/>
    <w:rsid w:val="00450610"/>
    <w:rsid w:val="00450C75"/>
    <w:rsid w:val="00450F67"/>
    <w:rsid w:val="004517E2"/>
    <w:rsid w:val="00452CC1"/>
    <w:rsid w:val="00453299"/>
    <w:rsid w:val="00453750"/>
    <w:rsid w:val="004551A4"/>
    <w:rsid w:val="00456C9E"/>
    <w:rsid w:val="00457EA9"/>
    <w:rsid w:val="004630EA"/>
    <w:rsid w:val="00464CAD"/>
    <w:rsid w:val="00464CB3"/>
    <w:rsid w:val="004654A4"/>
    <w:rsid w:val="0047180D"/>
    <w:rsid w:val="00471E0F"/>
    <w:rsid w:val="00472287"/>
    <w:rsid w:val="00482301"/>
    <w:rsid w:val="0048308E"/>
    <w:rsid w:val="0048379B"/>
    <w:rsid w:val="00485B31"/>
    <w:rsid w:val="00487B7F"/>
    <w:rsid w:val="00491AED"/>
    <w:rsid w:val="00491C3B"/>
    <w:rsid w:val="004927FD"/>
    <w:rsid w:val="00496D92"/>
    <w:rsid w:val="004A3AF8"/>
    <w:rsid w:val="004A49CA"/>
    <w:rsid w:val="004A6EC8"/>
    <w:rsid w:val="004B1098"/>
    <w:rsid w:val="004B51E9"/>
    <w:rsid w:val="004C3E72"/>
    <w:rsid w:val="004C6E8C"/>
    <w:rsid w:val="004D15F9"/>
    <w:rsid w:val="004D4FFC"/>
    <w:rsid w:val="004E1479"/>
    <w:rsid w:val="004E23FD"/>
    <w:rsid w:val="004E3ECD"/>
    <w:rsid w:val="004E4410"/>
    <w:rsid w:val="004E4E05"/>
    <w:rsid w:val="004E74C5"/>
    <w:rsid w:val="004F457D"/>
    <w:rsid w:val="004F4690"/>
    <w:rsid w:val="004F7EDA"/>
    <w:rsid w:val="00500695"/>
    <w:rsid w:val="00500A42"/>
    <w:rsid w:val="00504524"/>
    <w:rsid w:val="00504BB0"/>
    <w:rsid w:val="00510158"/>
    <w:rsid w:val="00521D30"/>
    <w:rsid w:val="00522030"/>
    <w:rsid w:val="00526F57"/>
    <w:rsid w:val="005273D9"/>
    <w:rsid w:val="00533CC4"/>
    <w:rsid w:val="00536C2C"/>
    <w:rsid w:val="005432D0"/>
    <w:rsid w:val="00544163"/>
    <w:rsid w:val="005530B2"/>
    <w:rsid w:val="00561F07"/>
    <w:rsid w:val="00562C98"/>
    <w:rsid w:val="00574BCC"/>
    <w:rsid w:val="00575167"/>
    <w:rsid w:val="005908B0"/>
    <w:rsid w:val="00593840"/>
    <w:rsid w:val="0059532F"/>
    <w:rsid w:val="005968B9"/>
    <w:rsid w:val="005976C1"/>
    <w:rsid w:val="005A6E9D"/>
    <w:rsid w:val="005A7249"/>
    <w:rsid w:val="005B4C83"/>
    <w:rsid w:val="005B7866"/>
    <w:rsid w:val="005B7898"/>
    <w:rsid w:val="005B7D64"/>
    <w:rsid w:val="005C1164"/>
    <w:rsid w:val="005C1E19"/>
    <w:rsid w:val="005C241D"/>
    <w:rsid w:val="005C32A8"/>
    <w:rsid w:val="005C3361"/>
    <w:rsid w:val="005F06E9"/>
    <w:rsid w:val="005F2387"/>
    <w:rsid w:val="005F2DF0"/>
    <w:rsid w:val="005F3913"/>
    <w:rsid w:val="005F484A"/>
    <w:rsid w:val="005F65F8"/>
    <w:rsid w:val="005F739C"/>
    <w:rsid w:val="00600693"/>
    <w:rsid w:val="00601D52"/>
    <w:rsid w:val="006033F0"/>
    <w:rsid w:val="00603C0C"/>
    <w:rsid w:val="006050FE"/>
    <w:rsid w:val="006064D9"/>
    <w:rsid w:val="00610955"/>
    <w:rsid w:val="00613A65"/>
    <w:rsid w:val="006142D1"/>
    <w:rsid w:val="00617876"/>
    <w:rsid w:val="006200FE"/>
    <w:rsid w:val="00625142"/>
    <w:rsid w:val="00627056"/>
    <w:rsid w:val="006275C6"/>
    <w:rsid w:val="006300D0"/>
    <w:rsid w:val="00632F51"/>
    <w:rsid w:val="00633A11"/>
    <w:rsid w:val="006344FE"/>
    <w:rsid w:val="006406AC"/>
    <w:rsid w:val="006413C0"/>
    <w:rsid w:val="006437E5"/>
    <w:rsid w:val="00643E0C"/>
    <w:rsid w:val="00650D18"/>
    <w:rsid w:val="006526D8"/>
    <w:rsid w:val="00652FFC"/>
    <w:rsid w:val="00653363"/>
    <w:rsid w:val="00653578"/>
    <w:rsid w:val="00656DC0"/>
    <w:rsid w:val="0066151A"/>
    <w:rsid w:val="0066430B"/>
    <w:rsid w:val="006644C4"/>
    <w:rsid w:val="00667A2A"/>
    <w:rsid w:val="00671F42"/>
    <w:rsid w:val="0067347F"/>
    <w:rsid w:val="00674CA2"/>
    <w:rsid w:val="0067519F"/>
    <w:rsid w:val="006752A5"/>
    <w:rsid w:val="0067558A"/>
    <w:rsid w:val="0067671A"/>
    <w:rsid w:val="0067734D"/>
    <w:rsid w:val="00683DAE"/>
    <w:rsid w:val="006847BD"/>
    <w:rsid w:val="00684E7A"/>
    <w:rsid w:val="00687CE1"/>
    <w:rsid w:val="0069161D"/>
    <w:rsid w:val="00697CD0"/>
    <w:rsid w:val="006A0112"/>
    <w:rsid w:val="006A050E"/>
    <w:rsid w:val="006B578B"/>
    <w:rsid w:val="006B5D38"/>
    <w:rsid w:val="006B62EA"/>
    <w:rsid w:val="006B725A"/>
    <w:rsid w:val="006C0A8F"/>
    <w:rsid w:val="006D17D0"/>
    <w:rsid w:val="006D2E7E"/>
    <w:rsid w:val="006D5686"/>
    <w:rsid w:val="006E0103"/>
    <w:rsid w:val="006E2B4D"/>
    <w:rsid w:val="006E4B9D"/>
    <w:rsid w:val="006E5B6C"/>
    <w:rsid w:val="006E778C"/>
    <w:rsid w:val="006F06D9"/>
    <w:rsid w:val="006F34C5"/>
    <w:rsid w:val="006F378C"/>
    <w:rsid w:val="006F58A5"/>
    <w:rsid w:val="007018D0"/>
    <w:rsid w:val="00703BF1"/>
    <w:rsid w:val="007063D4"/>
    <w:rsid w:val="00706C4D"/>
    <w:rsid w:val="00706D35"/>
    <w:rsid w:val="00707843"/>
    <w:rsid w:val="00711423"/>
    <w:rsid w:val="0071185A"/>
    <w:rsid w:val="00730671"/>
    <w:rsid w:val="0073167F"/>
    <w:rsid w:val="00733F47"/>
    <w:rsid w:val="00741C64"/>
    <w:rsid w:val="00743545"/>
    <w:rsid w:val="00744CDC"/>
    <w:rsid w:val="00745EB0"/>
    <w:rsid w:val="00753597"/>
    <w:rsid w:val="00754DAA"/>
    <w:rsid w:val="00756ACE"/>
    <w:rsid w:val="00757023"/>
    <w:rsid w:val="007575F1"/>
    <w:rsid w:val="00762876"/>
    <w:rsid w:val="0076331D"/>
    <w:rsid w:val="007657B6"/>
    <w:rsid w:val="007713A3"/>
    <w:rsid w:val="0077272E"/>
    <w:rsid w:val="00773730"/>
    <w:rsid w:val="0077617B"/>
    <w:rsid w:val="00776232"/>
    <w:rsid w:val="00780778"/>
    <w:rsid w:val="00781033"/>
    <w:rsid w:val="00793A24"/>
    <w:rsid w:val="0079764B"/>
    <w:rsid w:val="007A0EBD"/>
    <w:rsid w:val="007A3A06"/>
    <w:rsid w:val="007B3E18"/>
    <w:rsid w:val="007B71F4"/>
    <w:rsid w:val="007C14D3"/>
    <w:rsid w:val="007C2E44"/>
    <w:rsid w:val="007C413E"/>
    <w:rsid w:val="007C5E04"/>
    <w:rsid w:val="007C6367"/>
    <w:rsid w:val="007D0C62"/>
    <w:rsid w:val="007D2698"/>
    <w:rsid w:val="007D3CE6"/>
    <w:rsid w:val="007D49C2"/>
    <w:rsid w:val="007E0366"/>
    <w:rsid w:val="007E1996"/>
    <w:rsid w:val="007E5955"/>
    <w:rsid w:val="007F3976"/>
    <w:rsid w:val="007F6770"/>
    <w:rsid w:val="007F74AB"/>
    <w:rsid w:val="0080255D"/>
    <w:rsid w:val="00802562"/>
    <w:rsid w:val="008045E5"/>
    <w:rsid w:val="008047BC"/>
    <w:rsid w:val="00806F86"/>
    <w:rsid w:val="0080720D"/>
    <w:rsid w:val="00817783"/>
    <w:rsid w:val="0082557D"/>
    <w:rsid w:val="00832A72"/>
    <w:rsid w:val="00842D72"/>
    <w:rsid w:val="008465C7"/>
    <w:rsid w:val="00852EDA"/>
    <w:rsid w:val="00855B00"/>
    <w:rsid w:val="00857ACE"/>
    <w:rsid w:val="008606F6"/>
    <w:rsid w:val="00861EF8"/>
    <w:rsid w:val="00863BAD"/>
    <w:rsid w:val="008646CC"/>
    <w:rsid w:val="008742C3"/>
    <w:rsid w:val="008765BA"/>
    <w:rsid w:val="00877619"/>
    <w:rsid w:val="00882F28"/>
    <w:rsid w:val="00885810"/>
    <w:rsid w:val="00886C51"/>
    <w:rsid w:val="00887347"/>
    <w:rsid w:val="00891780"/>
    <w:rsid w:val="008947D1"/>
    <w:rsid w:val="008A146B"/>
    <w:rsid w:val="008B06FB"/>
    <w:rsid w:val="008B0BC4"/>
    <w:rsid w:val="008B16CB"/>
    <w:rsid w:val="008B2DA1"/>
    <w:rsid w:val="008B3D62"/>
    <w:rsid w:val="008B6221"/>
    <w:rsid w:val="008C08A0"/>
    <w:rsid w:val="008C5477"/>
    <w:rsid w:val="008C690F"/>
    <w:rsid w:val="008C6BDB"/>
    <w:rsid w:val="008C77CA"/>
    <w:rsid w:val="008C797D"/>
    <w:rsid w:val="008D1982"/>
    <w:rsid w:val="008D21ED"/>
    <w:rsid w:val="008D4E04"/>
    <w:rsid w:val="008D78E0"/>
    <w:rsid w:val="008E1002"/>
    <w:rsid w:val="008E1D09"/>
    <w:rsid w:val="008E24CB"/>
    <w:rsid w:val="008E5D3C"/>
    <w:rsid w:val="008E69B8"/>
    <w:rsid w:val="008F4617"/>
    <w:rsid w:val="008F54EE"/>
    <w:rsid w:val="00901F2A"/>
    <w:rsid w:val="00903784"/>
    <w:rsid w:val="00904D1D"/>
    <w:rsid w:val="00904FB0"/>
    <w:rsid w:val="00905E43"/>
    <w:rsid w:val="00914D43"/>
    <w:rsid w:val="0091525C"/>
    <w:rsid w:val="00915301"/>
    <w:rsid w:val="009233A0"/>
    <w:rsid w:val="00923CD6"/>
    <w:rsid w:val="009259FA"/>
    <w:rsid w:val="0092659F"/>
    <w:rsid w:val="00936DCE"/>
    <w:rsid w:val="00942DA0"/>
    <w:rsid w:val="009431A7"/>
    <w:rsid w:val="00944585"/>
    <w:rsid w:val="00944B6F"/>
    <w:rsid w:val="00950911"/>
    <w:rsid w:val="0095118B"/>
    <w:rsid w:val="00954972"/>
    <w:rsid w:val="009602F2"/>
    <w:rsid w:val="009632C8"/>
    <w:rsid w:val="00965F5C"/>
    <w:rsid w:val="00967F3D"/>
    <w:rsid w:val="00970194"/>
    <w:rsid w:val="00970F35"/>
    <w:rsid w:val="009727BC"/>
    <w:rsid w:val="009727FD"/>
    <w:rsid w:val="009740EF"/>
    <w:rsid w:val="00977F56"/>
    <w:rsid w:val="00984BB6"/>
    <w:rsid w:val="00985E26"/>
    <w:rsid w:val="009874A0"/>
    <w:rsid w:val="00990D95"/>
    <w:rsid w:val="00991891"/>
    <w:rsid w:val="0099612D"/>
    <w:rsid w:val="00997F09"/>
    <w:rsid w:val="009A1A6F"/>
    <w:rsid w:val="009A2FB8"/>
    <w:rsid w:val="009A42E7"/>
    <w:rsid w:val="009A5B0B"/>
    <w:rsid w:val="009A6A2B"/>
    <w:rsid w:val="009A6FE6"/>
    <w:rsid w:val="009B1351"/>
    <w:rsid w:val="009B36B4"/>
    <w:rsid w:val="009B43CF"/>
    <w:rsid w:val="009B5252"/>
    <w:rsid w:val="009B581F"/>
    <w:rsid w:val="009C21BE"/>
    <w:rsid w:val="009C26AC"/>
    <w:rsid w:val="009C4296"/>
    <w:rsid w:val="009C4CA1"/>
    <w:rsid w:val="009C7A22"/>
    <w:rsid w:val="009D111E"/>
    <w:rsid w:val="009D115D"/>
    <w:rsid w:val="009D1B1F"/>
    <w:rsid w:val="009D40E4"/>
    <w:rsid w:val="009E08FC"/>
    <w:rsid w:val="009E6351"/>
    <w:rsid w:val="009F3BC3"/>
    <w:rsid w:val="009F418C"/>
    <w:rsid w:val="009F5227"/>
    <w:rsid w:val="009F5959"/>
    <w:rsid w:val="009F612A"/>
    <w:rsid w:val="009F63C9"/>
    <w:rsid w:val="00A02CBB"/>
    <w:rsid w:val="00A03987"/>
    <w:rsid w:val="00A05F66"/>
    <w:rsid w:val="00A06904"/>
    <w:rsid w:val="00A06E09"/>
    <w:rsid w:val="00A10359"/>
    <w:rsid w:val="00A13B70"/>
    <w:rsid w:val="00A14442"/>
    <w:rsid w:val="00A21A40"/>
    <w:rsid w:val="00A27083"/>
    <w:rsid w:val="00A274E8"/>
    <w:rsid w:val="00A3102D"/>
    <w:rsid w:val="00A31410"/>
    <w:rsid w:val="00A347D7"/>
    <w:rsid w:val="00A41A54"/>
    <w:rsid w:val="00A43005"/>
    <w:rsid w:val="00A45A74"/>
    <w:rsid w:val="00A47BEF"/>
    <w:rsid w:val="00A5268F"/>
    <w:rsid w:val="00A533FA"/>
    <w:rsid w:val="00A546E5"/>
    <w:rsid w:val="00A54A89"/>
    <w:rsid w:val="00A56046"/>
    <w:rsid w:val="00A60A3C"/>
    <w:rsid w:val="00A63513"/>
    <w:rsid w:val="00A665C1"/>
    <w:rsid w:val="00A666DD"/>
    <w:rsid w:val="00A67AF2"/>
    <w:rsid w:val="00A67B83"/>
    <w:rsid w:val="00A71036"/>
    <w:rsid w:val="00A712C8"/>
    <w:rsid w:val="00A737C7"/>
    <w:rsid w:val="00A74008"/>
    <w:rsid w:val="00A7400E"/>
    <w:rsid w:val="00A77CFE"/>
    <w:rsid w:val="00A77D0D"/>
    <w:rsid w:val="00A81EA9"/>
    <w:rsid w:val="00A82FF1"/>
    <w:rsid w:val="00A83B3D"/>
    <w:rsid w:val="00A86386"/>
    <w:rsid w:val="00A87FF4"/>
    <w:rsid w:val="00A91015"/>
    <w:rsid w:val="00A91144"/>
    <w:rsid w:val="00A92016"/>
    <w:rsid w:val="00A96F4C"/>
    <w:rsid w:val="00AA2EE6"/>
    <w:rsid w:val="00AA5CD6"/>
    <w:rsid w:val="00AB0E76"/>
    <w:rsid w:val="00AB39E2"/>
    <w:rsid w:val="00AB55D9"/>
    <w:rsid w:val="00AB6FE7"/>
    <w:rsid w:val="00AC1B52"/>
    <w:rsid w:val="00AC3420"/>
    <w:rsid w:val="00AC51DB"/>
    <w:rsid w:val="00AC7C1C"/>
    <w:rsid w:val="00AD1E66"/>
    <w:rsid w:val="00AD315D"/>
    <w:rsid w:val="00AF25E7"/>
    <w:rsid w:val="00AF5A5F"/>
    <w:rsid w:val="00AF75DE"/>
    <w:rsid w:val="00AF7CF4"/>
    <w:rsid w:val="00B05035"/>
    <w:rsid w:val="00B07BB6"/>
    <w:rsid w:val="00B10CEE"/>
    <w:rsid w:val="00B1204F"/>
    <w:rsid w:val="00B149D3"/>
    <w:rsid w:val="00B1543E"/>
    <w:rsid w:val="00B200A8"/>
    <w:rsid w:val="00B217A1"/>
    <w:rsid w:val="00B2375B"/>
    <w:rsid w:val="00B36BC1"/>
    <w:rsid w:val="00B442CF"/>
    <w:rsid w:val="00B500F5"/>
    <w:rsid w:val="00B52190"/>
    <w:rsid w:val="00B5385D"/>
    <w:rsid w:val="00B54351"/>
    <w:rsid w:val="00B56A65"/>
    <w:rsid w:val="00B57B78"/>
    <w:rsid w:val="00B6087F"/>
    <w:rsid w:val="00B71431"/>
    <w:rsid w:val="00B737C4"/>
    <w:rsid w:val="00B76E01"/>
    <w:rsid w:val="00B810A8"/>
    <w:rsid w:val="00B827A1"/>
    <w:rsid w:val="00B84A23"/>
    <w:rsid w:val="00B84F14"/>
    <w:rsid w:val="00B86CB0"/>
    <w:rsid w:val="00B9117A"/>
    <w:rsid w:val="00B91BFE"/>
    <w:rsid w:val="00B96545"/>
    <w:rsid w:val="00B97628"/>
    <w:rsid w:val="00BA0630"/>
    <w:rsid w:val="00BA096E"/>
    <w:rsid w:val="00BA2F7C"/>
    <w:rsid w:val="00BA3C17"/>
    <w:rsid w:val="00BA5C31"/>
    <w:rsid w:val="00BA75E1"/>
    <w:rsid w:val="00BB051B"/>
    <w:rsid w:val="00BB1991"/>
    <w:rsid w:val="00BB1F46"/>
    <w:rsid w:val="00BB4AC4"/>
    <w:rsid w:val="00BC4EC9"/>
    <w:rsid w:val="00BC7D9C"/>
    <w:rsid w:val="00BD1105"/>
    <w:rsid w:val="00BD5DE9"/>
    <w:rsid w:val="00BD7F0F"/>
    <w:rsid w:val="00BE175E"/>
    <w:rsid w:val="00BE2167"/>
    <w:rsid w:val="00BE4C1A"/>
    <w:rsid w:val="00BE6907"/>
    <w:rsid w:val="00BF1E39"/>
    <w:rsid w:val="00BF2875"/>
    <w:rsid w:val="00BF30AA"/>
    <w:rsid w:val="00BF338B"/>
    <w:rsid w:val="00BF4D92"/>
    <w:rsid w:val="00BF61A1"/>
    <w:rsid w:val="00BF7495"/>
    <w:rsid w:val="00C02F1C"/>
    <w:rsid w:val="00C04D57"/>
    <w:rsid w:val="00C11D6B"/>
    <w:rsid w:val="00C143C9"/>
    <w:rsid w:val="00C1480E"/>
    <w:rsid w:val="00C14EA1"/>
    <w:rsid w:val="00C156C3"/>
    <w:rsid w:val="00C211E1"/>
    <w:rsid w:val="00C256AB"/>
    <w:rsid w:val="00C2772A"/>
    <w:rsid w:val="00C373F9"/>
    <w:rsid w:val="00C40858"/>
    <w:rsid w:val="00C4139B"/>
    <w:rsid w:val="00C41E5F"/>
    <w:rsid w:val="00C4208A"/>
    <w:rsid w:val="00C42512"/>
    <w:rsid w:val="00C43952"/>
    <w:rsid w:val="00C475D6"/>
    <w:rsid w:val="00C52C5A"/>
    <w:rsid w:val="00C54196"/>
    <w:rsid w:val="00C55A8C"/>
    <w:rsid w:val="00C62D9C"/>
    <w:rsid w:val="00C6441D"/>
    <w:rsid w:val="00C65427"/>
    <w:rsid w:val="00C70888"/>
    <w:rsid w:val="00C71172"/>
    <w:rsid w:val="00C75844"/>
    <w:rsid w:val="00C844AA"/>
    <w:rsid w:val="00C8594B"/>
    <w:rsid w:val="00C871D9"/>
    <w:rsid w:val="00C90170"/>
    <w:rsid w:val="00C90611"/>
    <w:rsid w:val="00C90DC1"/>
    <w:rsid w:val="00CA20E9"/>
    <w:rsid w:val="00CA4A03"/>
    <w:rsid w:val="00CA5F92"/>
    <w:rsid w:val="00CA74D5"/>
    <w:rsid w:val="00CB19B2"/>
    <w:rsid w:val="00CC1A09"/>
    <w:rsid w:val="00CC2E71"/>
    <w:rsid w:val="00CC6952"/>
    <w:rsid w:val="00CD2213"/>
    <w:rsid w:val="00CD67DE"/>
    <w:rsid w:val="00CD76F8"/>
    <w:rsid w:val="00CE24AD"/>
    <w:rsid w:val="00CE75CA"/>
    <w:rsid w:val="00CF111A"/>
    <w:rsid w:val="00D01274"/>
    <w:rsid w:val="00D01BA0"/>
    <w:rsid w:val="00D05B35"/>
    <w:rsid w:val="00D05D78"/>
    <w:rsid w:val="00D078E8"/>
    <w:rsid w:val="00D103DE"/>
    <w:rsid w:val="00D10D81"/>
    <w:rsid w:val="00D1182A"/>
    <w:rsid w:val="00D2026C"/>
    <w:rsid w:val="00D20A73"/>
    <w:rsid w:val="00D216AF"/>
    <w:rsid w:val="00D230D7"/>
    <w:rsid w:val="00D24153"/>
    <w:rsid w:val="00D2610B"/>
    <w:rsid w:val="00D47915"/>
    <w:rsid w:val="00D54C7A"/>
    <w:rsid w:val="00D56D2E"/>
    <w:rsid w:val="00D605FF"/>
    <w:rsid w:val="00D63E38"/>
    <w:rsid w:val="00D6474F"/>
    <w:rsid w:val="00D67B9A"/>
    <w:rsid w:val="00D733A8"/>
    <w:rsid w:val="00D73671"/>
    <w:rsid w:val="00D84891"/>
    <w:rsid w:val="00D850A7"/>
    <w:rsid w:val="00D85DEB"/>
    <w:rsid w:val="00D87E4C"/>
    <w:rsid w:val="00D94390"/>
    <w:rsid w:val="00D95C05"/>
    <w:rsid w:val="00DA3A89"/>
    <w:rsid w:val="00DB0021"/>
    <w:rsid w:val="00DB2BD7"/>
    <w:rsid w:val="00DB468A"/>
    <w:rsid w:val="00DC3D83"/>
    <w:rsid w:val="00DC430C"/>
    <w:rsid w:val="00DC6C51"/>
    <w:rsid w:val="00DC6F69"/>
    <w:rsid w:val="00DC7C2C"/>
    <w:rsid w:val="00DD25CA"/>
    <w:rsid w:val="00DE2B69"/>
    <w:rsid w:val="00DE4680"/>
    <w:rsid w:val="00DE48FD"/>
    <w:rsid w:val="00DE6966"/>
    <w:rsid w:val="00DF08FB"/>
    <w:rsid w:val="00DF4517"/>
    <w:rsid w:val="00E0364B"/>
    <w:rsid w:val="00E057EF"/>
    <w:rsid w:val="00E07675"/>
    <w:rsid w:val="00E10CEF"/>
    <w:rsid w:val="00E12153"/>
    <w:rsid w:val="00E13B2C"/>
    <w:rsid w:val="00E16995"/>
    <w:rsid w:val="00E21217"/>
    <w:rsid w:val="00E24BA9"/>
    <w:rsid w:val="00E26F9F"/>
    <w:rsid w:val="00E32809"/>
    <w:rsid w:val="00E32CC4"/>
    <w:rsid w:val="00E3355E"/>
    <w:rsid w:val="00E34766"/>
    <w:rsid w:val="00E349EE"/>
    <w:rsid w:val="00E405CD"/>
    <w:rsid w:val="00E41FDF"/>
    <w:rsid w:val="00E564E0"/>
    <w:rsid w:val="00E66383"/>
    <w:rsid w:val="00E668B6"/>
    <w:rsid w:val="00E7519C"/>
    <w:rsid w:val="00E779FA"/>
    <w:rsid w:val="00E80610"/>
    <w:rsid w:val="00E82BCC"/>
    <w:rsid w:val="00E86E52"/>
    <w:rsid w:val="00E9438C"/>
    <w:rsid w:val="00EA2041"/>
    <w:rsid w:val="00EA453C"/>
    <w:rsid w:val="00EA754A"/>
    <w:rsid w:val="00EB2495"/>
    <w:rsid w:val="00EB2C15"/>
    <w:rsid w:val="00EC1350"/>
    <w:rsid w:val="00EC46F1"/>
    <w:rsid w:val="00ED2414"/>
    <w:rsid w:val="00ED276F"/>
    <w:rsid w:val="00ED5456"/>
    <w:rsid w:val="00ED77AE"/>
    <w:rsid w:val="00EE2049"/>
    <w:rsid w:val="00EE4947"/>
    <w:rsid w:val="00EF214C"/>
    <w:rsid w:val="00EF75CB"/>
    <w:rsid w:val="00F020E2"/>
    <w:rsid w:val="00F05756"/>
    <w:rsid w:val="00F07746"/>
    <w:rsid w:val="00F1117E"/>
    <w:rsid w:val="00F13197"/>
    <w:rsid w:val="00F2169D"/>
    <w:rsid w:val="00F24CA3"/>
    <w:rsid w:val="00F2536D"/>
    <w:rsid w:val="00F34F4C"/>
    <w:rsid w:val="00F3605C"/>
    <w:rsid w:val="00F50530"/>
    <w:rsid w:val="00F54964"/>
    <w:rsid w:val="00F549B2"/>
    <w:rsid w:val="00F57FCE"/>
    <w:rsid w:val="00F6041E"/>
    <w:rsid w:val="00F60673"/>
    <w:rsid w:val="00F60F26"/>
    <w:rsid w:val="00F611F7"/>
    <w:rsid w:val="00F62F64"/>
    <w:rsid w:val="00F717F0"/>
    <w:rsid w:val="00F72351"/>
    <w:rsid w:val="00F72906"/>
    <w:rsid w:val="00F801AB"/>
    <w:rsid w:val="00F82743"/>
    <w:rsid w:val="00F9487D"/>
    <w:rsid w:val="00F95C54"/>
    <w:rsid w:val="00FA4B31"/>
    <w:rsid w:val="00FA7851"/>
    <w:rsid w:val="00FA7FAD"/>
    <w:rsid w:val="00FB0883"/>
    <w:rsid w:val="00FB58DA"/>
    <w:rsid w:val="00FB5E64"/>
    <w:rsid w:val="00FB701A"/>
    <w:rsid w:val="00FC516E"/>
    <w:rsid w:val="00FC70DB"/>
    <w:rsid w:val="00FD01C1"/>
    <w:rsid w:val="00FD5322"/>
    <w:rsid w:val="00FE25E4"/>
    <w:rsid w:val="00FF3DB8"/>
    <w:rsid w:val="00FF4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6E9BC"/>
  <w15:docId w15:val="{29B7AAB9-38D6-4C94-928B-5130669DA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link w:val="Heading1Char"/>
    <w:uiPriority w:val="9"/>
    <w:qFormat/>
    <w:pPr>
      <w:spacing w:before="75"/>
      <w:ind w:left="797"/>
      <w:outlineLvl w:val="0"/>
    </w:pPr>
    <w:rPr>
      <w:b/>
      <w:bCs/>
      <w:sz w:val="28"/>
      <w:szCs w:val="28"/>
    </w:rPr>
  </w:style>
  <w:style w:type="paragraph" w:styleId="Heading2">
    <w:name w:val="heading 2"/>
    <w:basedOn w:val="Normal"/>
    <w:link w:val="Heading2Char"/>
    <w:uiPriority w:val="9"/>
    <w:qFormat/>
    <w:pPr>
      <w:spacing w:before="1"/>
      <w:ind w:left="134"/>
      <w:outlineLvl w:val="1"/>
    </w:pPr>
    <w:rPr>
      <w:b/>
      <w:bCs/>
      <w:sz w:val="24"/>
      <w:szCs w:val="24"/>
    </w:rPr>
  </w:style>
  <w:style w:type="paragraph" w:styleId="Heading3">
    <w:name w:val="heading 3"/>
    <w:basedOn w:val="Normal"/>
    <w:link w:val="Heading3Char"/>
    <w:uiPriority w:val="9"/>
    <w:qFormat/>
    <w:pPr>
      <w:spacing w:line="275" w:lineRule="exact"/>
      <w:ind w:left="2237"/>
      <w:outlineLvl w:val="2"/>
    </w:pPr>
    <w:rPr>
      <w:b/>
      <w:bCs/>
      <w:i/>
      <w:iCs/>
      <w:sz w:val="24"/>
      <w:szCs w:val="24"/>
    </w:rPr>
  </w:style>
  <w:style w:type="paragraph" w:styleId="Heading4">
    <w:name w:val="heading 4"/>
    <w:basedOn w:val="Normal"/>
    <w:next w:val="Normal"/>
    <w:link w:val="Heading4Char"/>
    <w:uiPriority w:val="9"/>
    <w:semiHidden/>
    <w:unhideWhenUsed/>
    <w:qFormat/>
    <w:rsid w:val="00E9438C"/>
    <w:pPr>
      <w:keepNext/>
      <w:keepLines/>
      <w:widowControl/>
      <w:autoSpaceDE/>
      <w:autoSpaceDN/>
      <w:spacing w:before="80" w:after="40" w:line="259" w:lineRule="auto"/>
      <w:outlineLvl w:val="3"/>
    </w:pPr>
    <w:rPr>
      <w:rFonts w:asciiTheme="minorHAnsi" w:eastAsiaTheme="majorEastAsia" w:hAnsiTheme="minorHAnsi" w:cstheme="majorBidi"/>
      <w:i/>
      <w:iCs/>
      <w:color w:val="007B89"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E9438C"/>
    <w:pPr>
      <w:keepNext/>
      <w:keepLines/>
      <w:widowControl/>
      <w:autoSpaceDE/>
      <w:autoSpaceDN/>
      <w:spacing w:before="80" w:after="40" w:line="259" w:lineRule="auto"/>
      <w:outlineLvl w:val="4"/>
    </w:pPr>
    <w:rPr>
      <w:rFonts w:asciiTheme="minorHAnsi" w:eastAsiaTheme="majorEastAsia" w:hAnsiTheme="minorHAnsi" w:cstheme="majorBidi"/>
      <w:color w:val="007B89"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E9438C"/>
    <w:pPr>
      <w:keepNext/>
      <w:keepLines/>
      <w:widowControl/>
      <w:autoSpaceDE/>
      <w:autoSpaceDN/>
      <w:spacing w:before="4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E9438C"/>
    <w:pPr>
      <w:keepNext/>
      <w:keepLines/>
      <w:widowControl/>
      <w:autoSpaceDE/>
      <w:autoSpaceDN/>
      <w:spacing w:before="4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E9438C"/>
    <w:pPr>
      <w:keepNext/>
      <w:keepLines/>
      <w:widowControl/>
      <w:autoSpaceDE/>
      <w:autoSpaceDN/>
      <w:spacing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E9438C"/>
    <w:pPr>
      <w:keepNext/>
      <w:keepLines/>
      <w:widowControl/>
      <w:autoSpaceDE/>
      <w:autoSpaceDN/>
      <w:spacing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line="322" w:lineRule="exact"/>
      <w:ind w:right="577"/>
      <w:jc w:val="center"/>
    </w:pPr>
    <w:rPr>
      <w:sz w:val="28"/>
      <w:szCs w:val="28"/>
    </w:rPr>
  </w:style>
  <w:style w:type="paragraph" w:styleId="TOC2">
    <w:name w:val="toc 2"/>
    <w:basedOn w:val="Normal"/>
    <w:uiPriority w:val="39"/>
    <w:qFormat/>
    <w:pPr>
      <w:ind w:left="953"/>
      <w:jc w:val="center"/>
    </w:pPr>
    <w:rPr>
      <w:sz w:val="28"/>
      <w:szCs w:val="28"/>
    </w:rPr>
  </w:style>
  <w:style w:type="paragraph" w:styleId="TOC3">
    <w:name w:val="toc 3"/>
    <w:basedOn w:val="Normal"/>
    <w:uiPriority w:val="39"/>
    <w:qFormat/>
    <w:pPr>
      <w:ind w:left="1506"/>
    </w:pPr>
    <w:rPr>
      <w:sz w:val="28"/>
      <w:szCs w:val="28"/>
    </w:rPr>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157" w:hanging="360"/>
    </w:pPr>
  </w:style>
  <w:style w:type="paragraph" w:customStyle="1" w:styleId="TableParagraph">
    <w:name w:val="Table Paragraph"/>
    <w:basedOn w:val="Normal"/>
    <w:uiPriority w:val="1"/>
    <w:qFormat/>
    <w:pPr>
      <w:spacing w:line="228" w:lineRule="exact"/>
    </w:pPr>
  </w:style>
  <w:style w:type="paragraph" w:styleId="BalloonText">
    <w:name w:val="Balloon Text"/>
    <w:basedOn w:val="Normal"/>
    <w:link w:val="BalloonTextChar"/>
    <w:uiPriority w:val="99"/>
    <w:semiHidden/>
    <w:unhideWhenUsed/>
    <w:rsid w:val="00472287"/>
    <w:pPr>
      <w:widowControl/>
      <w:autoSpaceDE/>
      <w:autoSpaceDN/>
    </w:pPr>
    <w:rPr>
      <w:rFonts w:ascii="Segoe UI" w:eastAsiaTheme="minorHAnsi" w:hAnsi="Segoe UI" w:cs="Segoe UI"/>
      <w:sz w:val="18"/>
      <w:szCs w:val="18"/>
      <w:lang w:val="en-GB"/>
    </w:rPr>
  </w:style>
  <w:style w:type="character" w:customStyle="1" w:styleId="BalloonTextChar">
    <w:name w:val="Balloon Text Char"/>
    <w:basedOn w:val="DefaultParagraphFont"/>
    <w:link w:val="BalloonText"/>
    <w:uiPriority w:val="99"/>
    <w:semiHidden/>
    <w:rsid w:val="00472287"/>
    <w:rPr>
      <w:rFonts w:ascii="Segoe UI" w:hAnsi="Segoe UI" w:cs="Segoe UI"/>
      <w:sz w:val="18"/>
      <w:szCs w:val="18"/>
      <w:lang w:val="en-GB"/>
    </w:rPr>
  </w:style>
  <w:style w:type="paragraph" w:styleId="NormalWeb">
    <w:name w:val="Normal (Web)"/>
    <w:basedOn w:val="Normal"/>
    <w:uiPriority w:val="99"/>
    <w:unhideWhenUsed/>
    <w:rsid w:val="00472287"/>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472287"/>
    <w:pPr>
      <w:tabs>
        <w:tab w:val="center" w:pos="4513"/>
        <w:tab w:val="right" w:pos="9026"/>
      </w:tabs>
    </w:pPr>
  </w:style>
  <w:style w:type="character" w:customStyle="1" w:styleId="HeaderChar">
    <w:name w:val="Header Char"/>
    <w:basedOn w:val="DefaultParagraphFont"/>
    <w:link w:val="Header"/>
    <w:uiPriority w:val="99"/>
    <w:rsid w:val="00472287"/>
    <w:rPr>
      <w:rFonts w:ascii="Arial" w:eastAsia="Arial" w:hAnsi="Arial" w:cs="Arial"/>
    </w:rPr>
  </w:style>
  <w:style w:type="paragraph" w:styleId="Footer">
    <w:name w:val="footer"/>
    <w:basedOn w:val="Normal"/>
    <w:link w:val="FooterChar"/>
    <w:uiPriority w:val="99"/>
    <w:unhideWhenUsed/>
    <w:rsid w:val="00472287"/>
    <w:pPr>
      <w:tabs>
        <w:tab w:val="center" w:pos="4513"/>
        <w:tab w:val="right" w:pos="9026"/>
      </w:tabs>
    </w:pPr>
  </w:style>
  <w:style w:type="character" w:customStyle="1" w:styleId="FooterChar">
    <w:name w:val="Footer Char"/>
    <w:basedOn w:val="DefaultParagraphFont"/>
    <w:link w:val="Footer"/>
    <w:uiPriority w:val="99"/>
    <w:rsid w:val="00472287"/>
    <w:rPr>
      <w:rFonts w:ascii="Arial" w:eastAsia="Arial" w:hAnsi="Arial" w:cs="Arial"/>
    </w:rPr>
  </w:style>
  <w:style w:type="table" w:styleId="TableGrid">
    <w:name w:val="Table Grid"/>
    <w:basedOn w:val="TableNormal"/>
    <w:uiPriority w:val="39"/>
    <w:rsid w:val="00970F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B7898"/>
    <w:rPr>
      <w:sz w:val="16"/>
      <w:szCs w:val="16"/>
    </w:rPr>
  </w:style>
  <w:style w:type="paragraph" w:styleId="CommentText">
    <w:name w:val="annotation text"/>
    <w:basedOn w:val="Normal"/>
    <w:link w:val="CommentTextChar"/>
    <w:uiPriority w:val="99"/>
    <w:unhideWhenUsed/>
    <w:rsid w:val="005B7898"/>
    <w:rPr>
      <w:sz w:val="20"/>
      <w:szCs w:val="20"/>
    </w:rPr>
  </w:style>
  <w:style w:type="character" w:customStyle="1" w:styleId="CommentTextChar">
    <w:name w:val="Comment Text Char"/>
    <w:basedOn w:val="DefaultParagraphFont"/>
    <w:link w:val="CommentText"/>
    <w:uiPriority w:val="99"/>
    <w:rsid w:val="005B7898"/>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5B7898"/>
    <w:rPr>
      <w:b/>
      <w:bCs/>
    </w:rPr>
  </w:style>
  <w:style w:type="character" w:customStyle="1" w:styleId="CommentSubjectChar">
    <w:name w:val="Comment Subject Char"/>
    <w:basedOn w:val="CommentTextChar"/>
    <w:link w:val="CommentSubject"/>
    <w:uiPriority w:val="99"/>
    <w:semiHidden/>
    <w:rsid w:val="005B7898"/>
    <w:rPr>
      <w:rFonts w:ascii="Arial" w:eastAsia="Arial" w:hAnsi="Arial" w:cs="Arial"/>
      <w:b/>
      <w:bCs/>
      <w:sz w:val="20"/>
      <w:szCs w:val="20"/>
    </w:rPr>
  </w:style>
  <w:style w:type="paragraph" w:styleId="NoSpacing">
    <w:name w:val="No Spacing"/>
    <w:link w:val="NoSpacingChar"/>
    <w:uiPriority w:val="1"/>
    <w:qFormat/>
    <w:rsid w:val="00EB2495"/>
    <w:pPr>
      <w:widowControl/>
      <w:autoSpaceDE/>
      <w:autoSpaceDN/>
    </w:pPr>
    <w:rPr>
      <w:rFonts w:eastAsiaTheme="minorEastAsia"/>
    </w:rPr>
  </w:style>
  <w:style w:type="character" w:customStyle="1" w:styleId="NoSpacingChar">
    <w:name w:val="No Spacing Char"/>
    <w:basedOn w:val="DefaultParagraphFont"/>
    <w:link w:val="NoSpacing"/>
    <w:uiPriority w:val="1"/>
    <w:rsid w:val="00EB2495"/>
    <w:rPr>
      <w:rFonts w:eastAsiaTheme="minorEastAsia"/>
    </w:rPr>
  </w:style>
  <w:style w:type="paragraph" w:styleId="TOCHeading">
    <w:name w:val="TOC Heading"/>
    <w:basedOn w:val="Heading1"/>
    <w:next w:val="Normal"/>
    <w:uiPriority w:val="39"/>
    <w:unhideWhenUsed/>
    <w:qFormat/>
    <w:rsid w:val="002A7235"/>
    <w:pPr>
      <w:keepNext/>
      <w:keepLines/>
      <w:widowControl/>
      <w:autoSpaceDE/>
      <w:autoSpaceDN/>
      <w:spacing w:before="240" w:line="259" w:lineRule="auto"/>
      <w:ind w:left="0"/>
      <w:outlineLvl w:val="9"/>
    </w:pPr>
    <w:rPr>
      <w:rFonts w:asciiTheme="majorHAnsi" w:eastAsiaTheme="majorEastAsia" w:hAnsiTheme="majorHAnsi" w:cstheme="majorBidi"/>
      <w:b w:val="0"/>
      <w:bCs w:val="0"/>
      <w:color w:val="007B89" w:themeColor="accent1" w:themeShade="BF"/>
      <w:sz w:val="32"/>
      <w:szCs w:val="32"/>
    </w:rPr>
  </w:style>
  <w:style w:type="character" w:styleId="Hyperlink">
    <w:name w:val="Hyperlink"/>
    <w:basedOn w:val="DefaultParagraphFont"/>
    <w:uiPriority w:val="99"/>
    <w:unhideWhenUsed/>
    <w:rsid w:val="002A7235"/>
    <w:rPr>
      <w:color w:val="00A5B8" w:themeColor="hyperlink"/>
      <w:u w:val="single"/>
    </w:rPr>
  </w:style>
  <w:style w:type="paragraph" w:styleId="Title">
    <w:name w:val="Title"/>
    <w:basedOn w:val="Normal"/>
    <w:next w:val="Normal"/>
    <w:link w:val="TitleChar"/>
    <w:uiPriority w:val="10"/>
    <w:qFormat/>
    <w:rsid w:val="00C6542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42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E69B8"/>
    <w:rPr>
      <w:rFonts w:ascii="Arial" w:eastAsia="Arial" w:hAnsi="Arial" w:cs="Arial"/>
      <w:b/>
      <w:bCs/>
      <w:sz w:val="28"/>
      <w:szCs w:val="28"/>
    </w:rPr>
  </w:style>
  <w:style w:type="character" w:customStyle="1" w:styleId="Heading2Char">
    <w:name w:val="Heading 2 Char"/>
    <w:basedOn w:val="DefaultParagraphFont"/>
    <w:link w:val="Heading2"/>
    <w:uiPriority w:val="9"/>
    <w:rsid w:val="00B97628"/>
    <w:rPr>
      <w:rFonts w:ascii="Arial" w:eastAsia="Arial" w:hAnsi="Arial" w:cs="Arial"/>
      <w:b/>
      <w:bCs/>
      <w:sz w:val="24"/>
      <w:szCs w:val="24"/>
    </w:rPr>
  </w:style>
  <w:style w:type="table" w:styleId="PlainTable3">
    <w:name w:val="Plain Table 3"/>
    <w:basedOn w:val="TableNormal"/>
    <w:uiPriority w:val="43"/>
    <w:rsid w:val="00003CD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5">
    <w:name w:val="Grid Table 5 Dark Accent 5"/>
    <w:basedOn w:val="TableNormal"/>
    <w:uiPriority w:val="50"/>
    <w:rsid w:val="00733F4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FFF7"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7FFDB"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7FFDB"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7FFDB"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7FFDB" w:themeFill="accent5"/>
      </w:tcPr>
    </w:tblStylePr>
    <w:tblStylePr w:type="band1Vert">
      <w:tblPr/>
      <w:tcPr>
        <w:shd w:val="clear" w:color="auto" w:fill="E2FFF0" w:themeFill="accent5" w:themeFillTint="66"/>
      </w:tcPr>
    </w:tblStylePr>
    <w:tblStylePr w:type="band1Horz">
      <w:tblPr/>
      <w:tcPr>
        <w:shd w:val="clear" w:color="auto" w:fill="E2FFF0" w:themeFill="accent5" w:themeFillTint="66"/>
      </w:tcPr>
    </w:tblStylePr>
  </w:style>
  <w:style w:type="table" w:styleId="GridTable4-Accent5">
    <w:name w:val="Grid Table 4 Accent 5"/>
    <w:basedOn w:val="TableNormal"/>
    <w:uiPriority w:val="49"/>
    <w:rsid w:val="006E778C"/>
    <w:tblPr>
      <w:tblStyleRowBandSize w:val="1"/>
      <w:tblStyleColBandSize w:val="1"/>
      <w:tblBorders>
        <w:top w:val="single" w:sz="4" w:space="0" w:color="D3FFE9" w:themeColor="accent5" w:themeTint="99"/>
        <w:left w:val="single" w:sz="4" w:space="0" w:color="D3FFE9" w:themeColor="accent5" w:themeTint="99"/>
        <w:bottom w:val="single" w:sz="4" w:space="0" w:color="D3FFE9" w:themeColor="accent5" w:themeTint="99"/>
        <w:right w:val="single" w:sz="4" w:space="0" w:color="D3FFE9" w:themeColor="accent5" w:themeTint="99"/>
        <w:insideH w:val="single" w:sz="4" w:space="0" w:color="D3FFE9" w:themeColor="accent5" w:themeTint="99"/>
        <w:insideV w:val="single" w:sz="4" w:space="0" w:color="D3FFE9" w:themeColor="accent5" w:themeTint="99"/>
      </w:tblBorders>
    </w:tblPr>
    <w:tblStylePr w:type="firstRow">
      <w:rPr>
        <w:b/>
        <w:bCs/>
        <w:color w:val="FFFFFF" w:themeColor="background1"/>
      </w:rPr>
      <w:tblPr/>
      <w:tcPr>
        <w:tcBorders>
          <w:top w:val="single" w:sz="4" w:space="0" w:color="B7FFDB" w:themeColor="accent5"/>
          <w:left w:val="single" w:sz="4" w:space="0" w:color="B7FFDB" w:themeColor="accent5"/>
          <w:bottom w:val="single" w:sz="4" w:space="0" w:color="B7FFDB" w:themeColor="accent5"/>
          <w:right w:val="single" w:sz="4" w:space="0" w:color="B7FFDB" w:themeColor="accent5"/>
          <w:insideH w:val="nil"/>
          <w:insideV w:val="nil"/>
        </w:tcBorders>
        <w:shd w:val="clear" w:color="auto" w:fill="B7FFDB" w:themeFill="accent5"/>
      </w:tcPr>
    </w:tblStylePr>
    <w:tblStylePr w:type="lastRow">
      <w:rPr>
        <w:b/>
        <w:bCs/>
      </w:rPr>
      <w:tblPr/>
      <w:tcPr>
        <w:tcBorders>
          <w:top w:val="double" w:sz="4" w:space="0" w:color="B7FFDB" w:themeColor="accent5"/>
        </w:tcBorders>
      </w:tcPr>
    </w:tblStylePr>
    <w:tblStylePr w:type="firstCol">
      <w:rPr>
        <w:b/>
        <w:bCs/>
      </w:rPr>
    </w:tblStylePr>
    <w:tblStylePr w:type="lastCol">
      <w:rPr>
        <w:b/>
        <w:bCs/>
      </w:rPr>
    </w:tblStylePr>
    <w:tblStylePr w:type="band1Vert">
      <w:tblPr/>
      <w:tcPr>
        <w:shd w:val="clear" w:color="auto" w:fill="F0FFF7" w:themeFill="accent5" w:themeFillTint="33"/>
      </w:tcPr>
    </w:tblStylePr>
    <w:tblStylePr w:type="band1Horz">
      <w:tblPr/>
      <w:tcPr>
        <w:shd w:val="clear" w:color="auto" w:fill="F0FFF7" w:themeFill="accent5" w:themeFillTint="33"/>
      </w:tcPr>
    </w:tblStylePr>
  </w:style>
  <w:style w:type="table" w:styleId="ListTable3-Accent5">
    <w:name w:val="List Table 3 Accent 5"/>
    <w:basedOn w:val="TableNormal"/>
    <w:uiPriority w:val="48"/>
    <w:rsid w:val="002D4F8E"/>
    <w:tblPr>
      <w:tblStyleRowBandSize w:val="1"/>
      <w:tblStyleColBandSize w:val="1"/>
      <w:tblBorders>
        <w:top w:val="single" w:sz="4" w:space="0" w:color="B7FFDB" w:themeColor="accent5"/>
        <w:left w:val="single" w:sz="4" w:space="0" w:color="B7FFDB" w:themeColor="accent5"/>
        <w:bottom w:val="single" w:sz="4" w:space="0" w:color="B7FFDB" w:themeColor="accent5"/>
        <w:right w:val="single" w:sz="4" w:space="0" w:color="B7FFDB" w:themeColor="accent5"/>
      </w:tblBorders>
    </w:tblPr>
    <w:tblStylePr w:type="firstRow">
      <w:rPr>
        <w:b/>
        <w:bCs/>
        <w:color w:val="FFFFFF" w:themeColor="background1"/>
      </w:rPr>
      <w:tblPr/>
      <w:tcPr>
        <w:shd w:val="clear" w:color="auto" w:fill="B7FFDB" w:themeFill="accent5"/>
      </w:tcPr>
    </w:tblStylePr>
    <w:tblStylePr w:type="lastRow">
      <w:rPr>
        <w:b/>
        <w:bCs/>
      </w:rPr>
      <w:tblPr/>
      <w:tcPr>
        <w:tcBorders>
          <w:top w:val="double" w:sz="4" w:space="0" w:color="B7FFDB"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7FFDB" w:themeColor="accent5"/>
          <w:right w:val="single" w:sz="4" w:space="0" w:color="B7FFDB" w:themeColor="accent5"/>
        </w:tcBorders>
      </w:tcPr>
    </w:tblStylePr>
    <w:tblStylePr w:type="band1Horz">
      <w:tblPr/>
      <w:tcPr>
        <w:tcBorders>
          <w:top w:val="single" w:sz="4" w:space="0" w:color="B7FFDB" w:themeColor="accent5"/>
          <w:bottom w:val="single" w:sz="4" w:space="0" w:color="B7FFDB"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7FFDB" w:themeColor="accent5"/>
          <w:left w:val="nil"/>
        </w:tcBorders>
      </w:tcPr>
    </w:tblStylePr>
    <w:tblStylePr w:type="swCell">
      <w:tblPr/>
      <w:tcPr>
        <w:tcBorders>
          <w:top w:val="double" w:sz="4" w:space="0" w:color="B7FFDB" w:themeColor="accent5"/>
          <w:right w:val="nil"/>
        </w:tcBorders>
      </w:tcPr>
    </w:tblStylePr>
  </w:style>
  <w:style w:type="table" w:styleId="GridTable1Light-Accent5">
    <w:name w:val="Grid Table 1 Light Accent 5"/>
    <w:basedOn w:val="TableNormal"/>
    <w:uiPriority w:val="46"/>
    <w:rsid w:val="009233A0"/>
    <w:tblPr>
      <w:tblStyleRowBandSize w:val="1"/>
      <w:tblStyleColBandSize w:val="1"/>
      <w:tblBorders>
        <w:top w:val="single" w:sz="4" w:space="0" w:color="E2FFF0" w:themeColor="accent5" w:themeTint="66"/>
        <w:left w:val="single" w:sz="4" w:space="0" w:color="E2FFF0" w:themeColor="accent5" w:themeTint="66"/>
        <w:bottom w:val="single" w:sz="4" w:space="0" w:color="E2FFF0" w:themeColor="accent5" w:themeTint="66"/>
        <w:right w:val="single" w:sz="4" w:space="0" w:color="E2FFF0" w:themeColor="accent5" w:themeTint="66"/>
        <w:insideH w:val="single" w:sz="4" w:space="0" w:color="E2FFF0" w:themeColor="accent5" w:themeTint="66"/>
        <w:insideV w:val="single" w:sz="4" w:space="0" w:color="E2FFF0" w:themeColor="accent5" w:themeTint="66"/>
      </w:tblBorders>
    </w:tblPr>
    <w:tblStylePr w:type="firstRow">
      <w:rPr>
        <w:b/>
        <w:bCs/>
      </w:rPr>
      <w:tblPr/>
      <w:tcPr>
        <w:tcBorders>
          <w:bottom w:val="single" w:sz="12" w:space="0" w:color="D3FFE9" w:themeColor="accent5" w:themeTint="99"/>
        </w:tcBorders>
      </w:tcPr>
    </w:tblStylePr>
    <w:tblStylePr w:type="lastRow">
      <w:rPr>
        <w:b/>
        <w:bCs/>
      </w:rPr>
      <w:tblPr/>
      <w:tcPr>
        <w:tcBorders>
          <w:top w:val="double" w:sz="2" w:space="0" w:color="D3FFE9" w:themeColor="accent5" w:themeTint="99"/>
        </w:tcBorders>
      </w:tcPr>
    </w:tblStylePr>
    <w:tblStylePr w:type="firstCol">
      <w:rPr>
        <w:b/>
        <w:bCs/>
      </w:rPr>
    </w:tblStylePr>
    <w:tblStylePr w:type="lastCol">
      <w:rPr>
        <w:b/>
        <w:bCs/>
      </w:rPr>
    </w:tblStylePr>
  </w:style>
  <w:style w:type="character" w:customStyle="1" w:styleId="cf01">
    <w:name w:val="cf01"/>
    <w:basedOn w:val="DefaultParagraphFont"/>
    <w:rsid w:val="00A05F66"/>
    <w:rPr>
      <w:rFonts w:ascii="Segoe UI" w:hAnsi="Segoe UI" w:cs="Segoe UI" w:hint="default"/>
      <w:sz w:val="18"/>
      <w:szCs w:val="18"/>
    </w:rPr>
  </w:style>
  <w:style w:type="character" w:styleId="UnresolvedMention">
    <w:name w:val="Unresolved Mention"/>
    <w:basedOn w:val="DefaultParagraphFont"/>
    <w:uiPriority w:val="99"/>
    <w:semiHidden/>
    <w:unhideWhenUsed/>
    <w:rsid w:val="00A67AF2"/>
    <w:rPr>
      <w:color w:val="605E5C"/>
      <w:shd w:val="clear" w:color="auto" w:fill="E1DFDD"/>
    </w:rPr>
  </w:style>
  <w:style w:type="character" w:customStyle="1" w:styleId="Heading4Char">
    <w:name w:val="Heading 4 Char"/>
    <w:basedOn w:val="DefaultParagraphFont"/>
    <w:link w:val="Heading4"/>
    <w:uiPriority w:val="9"/>
    <w:semiHidden/>
    <w:rsid w:val="00E9438C"/>
    <w:rPr>
      <w:rFonts w:eastAsiaTheme="majorEastAsia" w:cstheme="majorBidi"/>
      <w:i/>
      <w:iCs/>
      <w:color w:val="007B89" w:themeColor="accent1" w:themeShade="BF"/>
      <w:kern w:val="2"/>
      <w:lang w:val="en-GB"/>
      <w14:ligatures w14:val="standardContextual"/>
    </w:rPr>
  </w:style>
  <w:style w:type="character" w:customStyle="1" w:styleId="Heading5Char">
    <w:name w:val="Heading 5 Char"/>
    <w:basedOn w:val="DefaultParagraphFont"/>
    <w:link w:val="Heading5"/>
    <w:uiPriority w:val="9"/>
    <w:semiHidden/>
    <w:rsid w:val="00E9438C"/>
    <w:rPr>
      <w:rFonts w:eastAsiaTheme="majorEastAsia" w:cstheme="majorBidi"/>
      <w:color w:val="007B89" w:themeColor="accent1" w:themeShade="BF"/>
      <w:kern w:val="2"/>
      <w:lang w:val="en-GB"/>
      <w14:ligatures w14:val="standardContextual"/>
    </w:rPr>
  </w:style>
  <w:style w:type="character" w:customStyle="1" w:styleId="Heading6Char">
    <w:name w:val="Heading 6 Char"/>
    <w:basedOn w:val="DefaultParagraphFont"/>
    <w:link w:val="Heading6"/>
    <w:uiPriority w:val="9"/>
    <w:semiHidden/>
    <w:rsid w:val="00E9438C"/>
    <w:rPr>
      <w:rFonts w:eastAsiaTheme="majorEastAsia" w:cstheme="majorBidi"/>
      <w:i/>
      <w:iCs/>
      <w:color w:val="595959" w:themeColor="text1" w:themeTint="A6"/>
      <w:kern w:val="2"/>
      <w:lang w:val="en-GB"/>
      <w14:ligatures w14:val="standardContextual"/>
    </w:rPr>
  </w:style>
  <w:style w:type="character" w:customStyle="1" w:styleId="Heading7Char">
    <w:name w:val="Heading 7 Char"/>
    <w:basedOn w:val="DefaultParagraphFont"/>
    <w:link w:val="Heading7"/>
    <w:uiPriority w:val="9"/>
    <w:semiHidden/>
    <w:rsid w:val="00E9438C"/>
    <w:rPr>
      <w:rFonts w:eastAsiaTheme="majorEastAsia" w:cstheme="majorBidi"/>
      <w:color w:val="595959" w:themeColor="text1" w:themeTint="A6"/>
      <w:kern w:val="2"/>
      <w:lang w:val="en-GB"/>
      <w14:ligatures w14:val="standardContextual"/>
    </w:rPr>
  </w:style>
  <w:style w:type="character" w:customStyle="1" w:styleId="Heading8Char">
    <w:name w:val="Heading 8 Char"/>
    <w:basedOn w:val="DefaultParagraphFont"/>
    <w:link w:val="Heading8"/>
    <w:uiPriority w:val="9"/>
    <w:semiHidden/>
    <w:rsid w:val="00E9438C"/>
    <w:rPr>
      <w:rFonts w:eastAsiaTheme="majorEastAsia" w:cstheme="majorBidi"/>
      <w:i/>
      <w:iCs/>
      <w:color w:val="272727" w:themeColor="text1" w:themeTint="D8"/>
      <w:kern w:val="2"/>
      <w:lang w:val="en-GB"/>
      <w14:ligatures w14:val="standardContextual"/>
    </w:rPr>
  </w:style>
  <w:style w:type="character" w:customStyle="1" w:styleId="Heading9Char">
    <w:name w:val="Heading 9 Char"/>
    <w:basedOn w:val="DefaultParagraphFont"/>
    <w:link w:val="Heading9"/>
    <w:uiPriority w:val="9"/>
    <w:semiHidden/>
    <w:rsid w:val="00E9438C"/>
    <w:rPr>
      <w:rFonts w:eastAsiaTheme="majorEastAsia" w:cstheme="majorBidi"/>
      <w:color w:val="272727" w:themeColor="text1" w:themeTint="D8"/>
      <w:kern w:val="2"/>
      <w:lang w:val="en-GB"/>
      <w14:ligatures w14:val="standardContextual"/>
    </w:rPr>
  </w:style>
  <w:style w:type="character" w:customStyle="1" w:styleId="Heading3Char">
    <w:name w:val="Heading 3 Char"/>
    <w:basedOn w:val="DefaultParagraphFont"/>
    <w:link w:val="Heading3"/>
    <w:uiPriority w:val="9"/>
    <w:rsid w:val="00E9438C"/>
    <w:rPr>
      <w:rFonts w:ascii="Arial" w:eastAsia="Arial" w:hAnsi="Arial" w:cs="Arial"/>
      <w:b/>
      <w:bCs/>
      <w:i/>
      <w:iCs/>
      <w:sz w:val="24"/>
      <w:szCs w:val="24"/>
    </w:rPr>
  </w:style>
  <w:style w:type="paragraph" w:styleId="Subtitle">
    <w:name w:val="Subtitle"/>
    <w:basedOn w:val="Normal"/>
    <w:next w:val="Normal"/>
    <w:link w:val="SubtitleChar"/>
    <w:uiPriority w:val="11"/>
    <w:qFormat/>
    <w:rsid w:val="00E9438C"/>
    <w:pPr>
      <w:widowControl/>
      <w:numPr>
        <w:ilvl w:val="1"/>
      </w:numPr>
      <w:autoSpaceDE/>
      <w:autoSpaceDN/>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9438C"/>
    <w:rPr>
      <w:rFonts w:eastAsiaTheme="majorEastAsia" w:cstheme="majorBidi"/>
      <w:color w:val="595959" w:themeColor="text1" w:themeTint="A6"/>
      <w:spacing w:val="15"/>
      <w:kern w:val="2"/>
      <w:sz w:val="28"/>
      <w:szCs w:val="28"/>
      <w:lang w:val="en-GB"/>
      <w14:ligatures w14:val="standardContextual"/>
    </w:rPr>
  </w:style>
  <w:style w:type="paragraph" w:styleId="Quote">
    <w:name w:val="Quote"/>
    <w:basedOn w:val="Normal"/>
    <w:next w:val="Normal"/>
    <w:link w:val="QuoteChar"/>
    <w:uiPriority w:val="29"/>
    <w:qFormat/>
    <w:rsid w:val="00E9438C"/>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E9438C"/>
    <w:rPr>
      <w:i/>
      <w:iCs/>
      <w:color w:val="404040" w:themeColor="text1" w:themeTint="BF"/>
      <w:kern w:val="2"/>
      <w:lang w:val="en-GB"/>
      <w14:ligatures w14:val="standardContextual"/>
    </w:rPr>
  </w:style>
  <w:style w:type="character" w:styleId="IntenseEmphasis">
    <w:name w:val="Intense Emphasis"/>
    <w:basedOn w:val="DefaultParagraphFont"/>
    <w:uiPriority w:val="21"/>
    <w:qFormat/>
    <w:rsid w:val="00E9438C"/>
    <w:rPr>
      <w:i/>
      <w:iCs/>
      <w:color w:val="007B89" w:themeColor="accent1" w:themeShade="BF"/>
    </w:rPr>
  </w:style>
  <w:style w:type="paragraph" w:styleId="IntenseQuote">
    <w:name w:val="Intense Quote"/>
    <w:basedOn w:val="Normal"/>
    <w:next w:val="Normal"/>
    <w:link w:val="IntenseQuoteChar"/>
    <w:uiPriority w:val="30"/>
    <w:qFormat/>
    <w:rsid w:val="00E9438C"/>
    <w:pPr>
      <w:widowControl/>
      <w:pBdr>
        <w:top w:val="single" w:sz="4" w:space="10" w:color="007B89" w:themeColor="accent1" w:themeShade="BF"/>
        <w:bottom w:val="single" w:sz="4" w:space="10" w:color="007B89"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007B89"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E9438C"/>
    <w:rPr>
      <w:i/>
      <w:iCs/>
      <w:color w:val="007B89" w:themeColor="accent1" w:themeShade="BF"/>
      <w:kern w:val="2"/>
      <w:lang w:val="en-GB"/>
      <w14:ligatures w14:val="standardContextual"/>
    </w:rPr>
  </w:style>
  <w:style w:type="character" w:styleId="IntenseReference">
    <w:name w:val="Intense Reference"/>
    <w:basedOn w:val="DefaultParagraphFont"/>
    <w:uiPriority w:val="32"/>
    <w:qFormat/>
    <w:rsid w:val="00E9438C"/>
    <w:rPr>
      <w:b/>
      <w:bCs/>
      <w:smallCaps/>
      <w:color w:val="007B89"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4162615">
      <w:bodyDiv w:val="1"/>
      <w:marLeft w:val="0"/>
      <w:marRight w:val="0"/>
      <w:marTop w:val="0"/>
      <w:marBottom w:val="0"/>
      <w:divBdr>
        <w:top w:val="none" w:sz="0" w:space="0" w:color="auto"/>
        <w:left w:val="none" w:sz="0" w:space="0" w:color="auto"/>
        <w:bottom w:val="none" w:sz="0" w:space="0" w:color="auto"/>
        <w:right w:val="none" w:sz="0" w:space="0" w:color="auto"/>
      </w:divBdr>
    </w:div>
    <w:div w:id="1286040325">
      <w:bodyDiv w:val="1"/>
      <w:marLeft w:val="0"/>
      <w:marRight w:val="0"/>
      <w:marTop w:val="0"/>
      <w:marBottom w:val="0"/>
      <w:divBdr>
        <w:top w:val="none" w:sz="0" w:space="0" w:color="auto"/>
        <w:left w:val="none" w:sz="0" w:space="0" w:color="auto"/>
        <w:bottom w:val="none" w:sz="0" w:space="0" w:color="auto"/>
        <w:right w:val="none" w:sz="0" w:space="0" w:color="auto"/>
      </w:divBdr>
    </w:div>
    <w:div w:id="13336066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news/national-living-wage-to-increase-to-1221-in-april-2025" TargetMode="External"/><Relationship Id="rId21" Type="http://schemas.openxmlformats.org/officeDocument/2006/relationships/hyperlink" Target="https://www.cipd.org/en/about/public-policy/our-calls-for-action/response-low-pay-commission/" TargetMode="External"/><Relationship Id="rId34" Type="http://schemas.openxmlformats.org/officeDocument/2006/relationships/hyperlink" Target="https://www.researchgate.net/deref/https%3A%2F%2Fdoi.org%2F10.63711%2Fijdr.net20250301?_tp=eyJjb250ZXh0Ijp7ImZpcnN0UGFnZSI6InB1YmxpY2F0aW9uIiwicGFnZSI6InB1YmxpY2F0aW9uIn19" TargetMode="External"/><Relationship Id="rId42" Type="http://schemas.openxmlformats.org/officeDocument/2006/relationships/hyperlink" Target="https://www.walkermorris.co.uk/comment-opinion/positive-action-in-recruitment-what-is-it-and-how-can-it-go-wrong/" TargetMode="External"/><Relationship Id="rId47" Type="http://schemas.openxmlformats.org/officeDocument/2006/relationships/hyperlink" Target="https://democracy.npt.gov.uk/documents/s101408/App+1+-+Revised+Recruitment+and+Selection+Policy.pdf" TargetMode="External"/><Relationship Id="rId50" Type="http://schemas.openxmlformats.org/officeDocument/2006/relationships/hyperlink" Target="https://www.esr.ie/issue/archive" TargetMode="External"/><Relationship Id="rId55" Type="http://schemas.openxmlformats.org/officeDocument/2006/relationships/hyperlink" Target="https://www.acas.org.uk/research-and-commentary/estimating-the-costs-of-workplace-conflict/report" TargetMode="External"/><Relationship Id="rId63"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x.doi.org/10.21474/IJAR01/20411" TargetMode="External"/><Relationship Id="rId29" Type="http://schemas.openxmlformats.org/officeDocument/2006/relationships/hyperlink" Target="https://www.gov.wales/tailored-employment-scheme-blazing-trail-workplace" TargetMode="External"/><Relationship Id="rId11" Type="http://schemas.openxmlformats.org/officeDocument/2006/relationships/hyperlink" Target="https://www.aldirecruitment.co.uk/diversity-inclusion" TargetMode="External"/><Relationship Id="rId24" Type="http://schemas.openxmlformats.org/officeDocument/2006/relationships/hyperlink" Target="https://herald.wales/south-wales/neath/neath-port-talbots-budget-2025-26-protecting-your-services-in-challenging-times/" TargetMode="External"/><Relationship Id="rId32" Type="http://schemas.openxmlformats.org/officeDocument/2006/relationships/hyperlink" Target="https://www.wisbechstandard.co.uk/news/25256344.brooke-weston-trust-ceo-voluntarily-declined-pay-rise/" TargetMode="External"/><Relationship Id="rId37" Type="http://schemas.openxmlformats.org/officeDocument/2006/relationships/hyperlink" Target="https://www.local.gov.uk/sites/default/files/documents/tech-note-15-market-suppl-88b.pdf" TargetMode="External"/><Relationship Id="rId40" Type="http://schemas.openxmlformats.org/officeDocument/2006/relationships/hyperlink" Target="https://www.cipd.org/globalassets/media/comms/about-us/influencing-public-policy/2024-cipd-response-low-pay-commission.pdf" TargetMode="External"/><Relationship Id="rId45" Type="http://schemas.openxmlformats.org/officeDocument/2006/relationships/hyperlink" Target="https://media.npt.gov.uk/media/o43f3taz/nptcbc-strategic-equality-plan-2020-2024-1.pdf" TargetMode="External"/><Relationship Id="rId53" Type="http://schemas.openxmlformats.org/officeDocument/2006/relationships/hyperlink" Target="https://www.tuc.org.uk/sites/default/files/2025-06/equalitybill-mandatoryethnicityanddisabilitypaygapreportingconsulation.pdf" TargetMode="External"/><Relationship Id="rId58" Type="http://schemas.openxmlformats.org/officeDocument/2006/relationships/hyperlink" Target="https://www.gov.uk/government/collections/make-work-pay" TargetMode="External"/><Relationship Id="rId5" Type="http://schemas.openxmlformats.org/officeDocument/2006/relationships/settings" Target="settings.xml"/><Relationship Id="rId61" Type="http://schemas.openxmlformats.org/officeDocument/2006/relationships/hyperlink" Target="http://dx.doi.org/10.5539/ijbm.v7n24p52" TargetMode="External"/><Relationship Id="rId19" Type="http://schemas.openxmlformats.org/officeDocument/2006/relationships/hyperlink" Target="https://www.cipd.org/uk/knowledge/employment-law/proposed-changes-under-labour-government/" TargetMode="External"/><Relationship Id="rId14" Type="http://schemas.openxmlformats.org/officeDocument/2006/relationships/hyperlink" Target="https://www.bbc.co.uk/news/10449934" TargetMode="External"/><Relationship Id="rId22" Type="http://schemas.openxmlformats.org/officeDocument/2006/relationships/hyperlink" Target="https://bills.parliament.uk/bills/3737/publications" TargetMode="External"/><Relationship Id="rId27" Type="http://schemas.openxmlformats.org/officeDocument/2006/relationships/hyperlink" Target="https://www.gov.uk/government/publications/minimum-wage-rates-for-2026/lpc-advice-to-government-on-2026-minimum-wage-rates" TargetMode="External"/><Relationship Id="rId30" Type="http://schemas.openxmlformats.org/officeDocument/2006/relationships/hyperlink" Target="https://herald.wales/senedd/drakeford-warns-of-7bn-cuts-if-welsh-government-budget-not-passed/" TargetMode="External"/><Relationship Id="rId35" Type="http://schemas.openxmlformats.org/officeDocument/2006/relationships/hyperlink" Target="https://hbr.org/2022/08/research-the-unintended-consequences-of-pay-transparency" TargetMode="External"/><Relationship Id="rId43" Type="http://schemas.openxmlformats.org/officeDocument/2006/relationships/hyperlink" Target="https://doi.org/10.52919/arebus.v6i1.85" TargetMode="External"/><Relationship Id="rId48" Type="http://schemas.openxmlformats.org/officeDocument/2006/relationships/hyperlink" Target="https://democracy.npt.gov.uk/documents/s102896/App+1+-+Annual+Equalities+Report+2023+2024.pdf" TargetMode="External"/><Relationship Id="rId56" Type="http://schemas.openxmlformats.org/officeDocument/2006/relationships/hyperlink" Target="https://www.gov.uk/government/collections/make-work-pay"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research.ebsco.com/linkprocessor/plink?id=b1799d83-bfd4-36f9-a687-eed0af2c3ebf" TargetMode="External"/><Relationship Id="rId3" Type="http://schemas.openxmlformats.org/officeDocument/2006/relationships/numbering" Target="numbering.xml"/><Relationship Id="rId12" Type="http://schemas.openxmlformats.org/officeDocument/2006/relationships/hyperlink" Target="https://doi.org/10.2139/ssrn.5266562" TargetMode="External"/><Relationship Id="rId17" Type="http://schemas.openxmlformats.org/officeDocument/2006/relationships/hyperlink" Target="https://www.cipd.org/globalassets/media/knowledge/knowledge-hub/factsheets/pestle-analysis-factsheet_20221230T092611.pdf" TargetMode="External"/><Relationship Id="rId25" Type="http://schemas.openxmlformats.org/officeDocument/2006/relationships/hyperlink" Target="https://doi.org/10.1057/978-1-137-51560-5_4" TargetMode="External"/><Relationship Id="rId33" Type="http://schemas.openxmlformats.org/officeDocument/2006/relationships/hyperlink" Target="https://doi.org/10.3389/frsus.2022.990173" TargetMode="External"/><Relationship Id="rId38" Type="http://schemas.openxmlformats.org/officeDocument/2006/relationships/hyperlink" Target="https://www.local.gov.uk/our-support/workforce-and-hr-support/local-government-services/local-government-services-pay-2" TargetMode="External"/><Relationship Id="rId46" Type="http://schemas.openxmlformats.org/officeDocument/2006/relationships/hyperlink" Target="https://democracy.npt.gov.uk/documents/s68527/93TD%20-%20UA%20Report%20-%20Zero%20Racism%20Wales%20Policy.pdf" TargetMode="External"/><Relationship Id="rId59" Type="http://schemas.openxmlformats.org/officeDocument/2006/relationships/hyperlink" Target="https://www.legislation.gov.uk/anaw/2015/2/contents" TargetMode="External"/><Relationship Id="rId20" Type="http://schemas.openxmlformats.org/officeDocument/2006/relationships/hyperlink" Target="https://www.cipd.org/uk/knowledge/employment-law/proposed-changes-under-labour-government/" TargetMode="External"/><Relationship Id="rId41" Type="http://schemas.openxmlformats.org/officeDocument/2006/relationships/hyperlink" Target="https://www.gov.uk/government/publications/minimum-wage-rates-for-2025/letter-from-baroness-stroud-with-lpc-recommendations-for-2025" TargetMode="External"/><Relationship Id="rId54" Type="http://schemas.openxmlformats.org/officeDocument/2006/relationships/hyperlink" Target="https://www.armstrongwatson.co.uk/news/2024/05/family-business-report-2024-nmw-increase-may-negatively-impact-more-50-businesses"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bc.co.uk/news/uk-66060490"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s://statswales.gov.wales/Catalogue/Business-Economy-and-Labour-Market/People-and-Work/Economic-Inactivity/economicinactivityratesexcludingstudents-by-welshlocalarea-year" TargetMode="External"/><Relationship Id="rId36" Type="http://schemas.openxmlformats.org/officeDocument/2006/relationships/hyperlink" Target="https://planninginspectorate.blog.gov.uk/2021/11/18/why-we-need-to-prioritise-equality-diversity-and-inclusion/" TargetMode="External"/><Relationship Id="rId49" Type="http://schemas.openxmlformats.org/officeDocument/2006/relationships/hyperlink" Target="https://www.ons.gov.uk/employmentandlabourmarket/peopleinwork/earningsandworkinghours/adhocs/010314annualsurveyofhoursandearningsashenonlongitudinalanalysisofjobchangersandstayers" TargetMode="External"/><Relationship Id="rId57" Type="http://schemas.openxmlformats.org/officeDocument/2006/relationships/hyperlink" Target="https://www.unison.org.uk/news/2025/10/equal-pay-victory-for-women-at-birmingham-city-council/" TargetMode="External"/><Relationship Id="rId10" Type="http://schemas.openxmlformats.org/officeDocument/2006/relationships/image" Target="media/image2.png"/><Relationship Id="rId31" Type="http://schemas.openxmlformats.org/officeDocument/2006/relationships/hyperlink" Target="https://research.ebsco.com/linkprocessor/plink?id=76ee3b30-5566-3f27-954e-8854feec4957" TargetMode="External"/><Relationship Id="rId44" Type="http://schemas.openxmlformats.org/officeDocument/2006/relationships/hyperlink" Target="http://dx.doi.org/10.28991/cej-2019-03091260" TargetMode="External"/><Relationship Id="rId52" Type="http://schemas.openxmlformats.org/officeDocument/2006/relationships/hyperlink" Target="https://www.personneltoday.com/hr/neath-port-talbot-claims-to-be-first-welsh-council-to-settle-equal-pay-bill/" TargetMode="External"/><Relationship Id="rId60" Type="http://schemas.openxmlformats.org/officeDocument/2006/relationships/hyperlink" Target="https://www.gov.wales/sites/default/files/publications/2024-02/neath-port-talbot-council-social-partnership-case-study.pdf"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audit.wales/publication/neath-port-talbot-council-annual-audit-summary-2024" TargetMode="External"/><Relationship Id="rId18" Type="http://schemas.openxmlformats.org/officeDocument/2006/relationships/hyperlink" Target="https://www.cipd.org/uk/knowledge/guides/inclusive-employers/" TargetMode="External"/><Relationship Id="rId39" Type="http://schemas.openxmlformats.org/officeDocument/2006/relationships/hyperlink" Target="https://www.local.gov.uk/sites/default/files/documents/LG%20Workforce%20Survey%202022%20-%20Final%20for%20Publication%20-%20Tables%20Hard%20Coded.pdf"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A5B8"/>
      </a:dk2>
      <a:lt2>
        <a:srgbClr val="B7FFDB"/>
      </a:lt2>
      <a:accent1>
        <a:srgbClr val="00A5B8"/>
      </a:accent1>
      <a:accent2>
        <a:srgbClr val="01FF90"/>
      </a:accent2>
      <a:accent3>
        <a:srgbClr val="4AFEAB"/>
      </a:accent3>
      <a:accent4>
        <a:srgbClr val="82FFB7"/>
      </a:accent4>
      <a:accent5>
        <a:srgbClr val="B7FFDB"/>
      </a:accent5>
      <a:accent6>
        <a:srgbClr val="D9D9D9"/>
      </a:accent6>
      <a:hlink>
        <a:srgbClr val="00A5B8"/>
      </a:hlink>
      <a:folHlink>
        <a:srgbClr val="00A5B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3DB9-B38A-4328-A411-DA3F495B5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18</Pages>
  <Words>7272</Words>
  <Characters>41457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sUCCESSION pLANNING tOOLKIT
uSER gUIDE</vt:lpstr>
    </vt:vector>
  </TitlesOfParts>
  <Company>Word Count task 1 – 3820, task 2 - 1081</Company>
  <LinksUpToDate>false</LinksUpToDate>
  <CharactersWithSpaces>48632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business context</dc:title>
  <dc:subject>BMHR7012</dc:subject>
  <dc:creator>cAROLINE aMOTT 2519862</dc:creator>
  <cp:keywords/>
  <dc:description/>
  <cp:lastModifiedBy>Caroline Amott</cp:lastModifiedBy>
  <cp:revision>100</cp:revision>
  <dcterms:created xsi:type="dcterms:W3CDTF">2025-11-29T18:16:00Z</dcterms:created>
  <dcterms:modified xsi:type="dcterms:W3CDTF">2025-12-01T10:47:00Z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2005-11-01T00:00:00Z</vt:filetime>
  </property>
  <property fmtid="{D5CDD505-2E9C-101B-9397-08002B2CF9AE}" pid="3" name="Creator">
    <vt:lpwstr>PScript5.dll Version 5.2</vt:lpwstr>
  </property>
  <property fmtid="{D5CDD505-2E9C-101B-9397-08002B2CF9AE}" pid="4" name="LastSaved">
    <vt:filetime>2023-11-20T00:00:00Z</vt:filetime>
  </property>
  <property fmtid="{D5CDD505-2E9C-101B-9397-08002B2CF9AE}" pid="5" name="Producer">
    <vt:lpwstr>Acrobat Distiller 6.0 (Windows)</vt:lpwstr>
  </property>
</Properties>
</file>