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EC9C53" w14:textId="1744D5ED" w:rsidR="00114199" w:rsidRDefault="005C28E8" w:rsidP="005C28E8">
      <w:pPr>
        <w:spacing w:line="360" w:lineRule="auto"/>
        <w:rPr>
          <w:rFonts w:ascii="Times New Roman" w:hAnsi="Times New Roman"/>
          <w:b/>
          <w:bCs/>
          <w:sz w:val="32"/>
          <w:szCs w:val="32"/>
        </w:rPr>
      </w:pPr>
      <w:r>
        <w:rPr>
          <w:rFonts w:ascii="Times New Roman" w:hAnsi="Times New Roman"/>
          <w:b/>
          <w:bCs/>
          <w:sz w:val="32"/>
          <w:szCs w:val="32"/>
        </w:rPr>
        <w:t xml:space="preserve">      </w:t>
      </w:r>
      <w:r w:rsidR="00114199">
        <w:rPr>
          <w:rFonts w:ascii="Times New Roman" w:hAnsi="Times New Roman"/>
          <w:b/>
          <w:bCs/>
          <w:sz w:val="32"/>
          <w:szCs w:val="32"/>
        </w:rPr>
        <w:t xml:space="preserve">Questions and Guidelines for </w:t>
      </w:r>
      <w:r w:rsidR="00114199" w:rsidRPr="009F64B3">
        <w:rPr>
          <w:rFonts w:ascii="Times New Roman" w:hAnsi="Times New Roman"/>
          <w:b/>
          <w:bCs/>
          <w:sz w:val="32"/>
          <w:szCs w:val="32"/>
        </w:rPr>
        <w:t>Assessment Component 1</w:t>
      </w:r>
    </w:p>
    <w:p w14:paraId="161E19F8" w14:textId="77777777" w:rsidR="00D46920" w:rsidRDefault="00D46920" w:rsidP="00D46920">
      <w:pPr>
        <w:spacing w:line="360" w:lineRule="auto"/>
      </w:pPr>
      <w:r>
        <w:rPr>
          <w:noProof/>
        </w:rPr>
        <w:drawing>
          <wp:inline distT="0" distB="0" distL="0" distR="0" wp14:anchorId="7B112E65" wp14:editId="5D2DDB97">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1BD6F6D8" w14:textId="77777777" w:rsidR="00D46920" w:rsidRDefault="00D46920" w:rsidP="00D46920">
      <w:pPr>
        <w:spacing w:line="360" w:lineRule="auto"/>
        <w:rPr>
          <w:rStyle w:val="Strong"/>
          <w:rFonts w:ascii="Segoe UI" w:hAnsi="Segoe UI" w:cs="Segoe UI"/>
          <w:color w:val="1D2125"/>
        </w:rPr>
      </w:pPr>
    </w:p>
    <w:p w14:paraId="20C87557" w14:textId="77777777" w:rsidR="00D46920" w:rsidRDefault="00D46920" w:rsidP="00D46920">
      <w:pPr>
        <w:spacing w:line="360" w:lineRule="auto"/>
        <w:rPr>
          <w:rStyle w:val="Strong"/>
          <w:rFonts w:ascii="Arial" w:hAnsi="Arial" w:cs="Arial"/>
          <w:color w:val="1D2125"/>
          <w:sz w:val="36"/>
          <w:szCs w:val="36"/>
        </w:rPr>
      </w:pPr>
    </w:p>
    <w:p w14:paraId="454A5F46" w14:textId="77777777" w:rsidR="00D46920" w:rsidRDefault="00D46920" w:rsidP="00D46920">
      <w:pPr>
        <w:spacing w:line="360" w:lineRule="auto"/>
        <w:jc w:val="center"/>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Changemakers: Creativity and Value Creation</w:t>
      </w:r>
    </w:p>
    <w:p w14:paraId="5135E402" w14:textId="77777777" w:rsidR="00D46920" w:rsidRDefault="00D46920" w:rsidP="00D46920">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Professions (BMHP</w:t>
      </w:r>
      <w:r>
        <w:rPr>
          <w:rStyle w:val="Strong"/>
          <w:rFonts w:ascii="Arial" w:hAnsi="Arial" w:cs="Arial"/>
          <w:color w:val="1D2125"/>
          <w:sz w:val="36"/>
          <w:szCs w:val="36"/>
        </w:rPr>
        <w:t>5014)</w:t>
      </w:r>
    </w:p>
    <w:p w14:paraId="1B7909EE" w14:textId="77777777" w:rsidR="00D46920" w:rsidRDefault="00D46920" w:rsidP="00D46920">
      <w:pPr>
        <w:spacing w:line="360" w:lineRule="auto"/>
        <w:jc w:val="center"/>
        <w:rPr>
          <w:rStyle w:val="Strong"/>
          <w:rFonts w:ascii="Arial" w:hAnsi="Arial" w:cs="Arial"/>
          <w:color w:val="1D2125"/>
          <w:sz w:val="36"/>
          <w:szCs w:val="36"/>
        </w:rPr>
      </w:pPr>
    </w:p>
    <w:p w14:paraId="0D7EA3D7" w14:textId="77777777" w:rsidR="00D46920" w:rsidRDefault="00D46920" w:rsidP="00D46920">
      <w:pPr>
        <w:spacing w:line="360" w:lineRule="auto"/>
        <w:jc w:val="center"/>
        <w:rPr>
          <w:rStyle w:val="Strong"/>
          <w:rFonts w:ascii="Arial" w:hAnsi="Arial" w:cs="Arial"/>
          <w:color w:val="1D2125"/>
          <w:sz w:val="36"/>
          <w:szCs w:val="36"/>
        </w:rPr>
      </w:pPr>
    </w:p>
    <w:p w14:paraId="4E60214F" w14:textId="77777777" w:rsidR="00D46920" w:rsidRDefault="00D46920" w:rsidP="00D46920">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w:t>
      </w:r>
      <w:r w:rsidRPr="00871C29">
        <w:t xml:space="preserve"> </w:t>
      </w:r>
      <w:r w:rsidRPr="00871C29">
        <w:rPr>
          <w:rFonts w:ascii="Arial" w:hAnsi="Arial" w:cs="Arial"/>
          <w:b/>
          <w:bCs/>
          <w:color w:val="000000"/>
          <w:sz w:val="32"/>
          <w:szCs w:val="32"/>
        </w:rPr>
        <w:t>Online portfolio of set exercises</w:t>
      </w:r>
    </w:p>
    <w:p w14:paraId="58EAA200" w14:textId="77777777" w:rsidR="00D46920" w:rsidRDefault="00D46920" w:rsidP="00D46920">
      <w:pPr>
        <w:spacing w:line="360" w:lineRule="auto"/>
        <w:rPr>
          <w:rStyle w:val="Strong"/>
          <w:rFonts w:ascii="Arial" w:hAnsi="Arial" w:cs="Arial"/>
          <w:color w:val="1D2125"/>
          <w:sz w:val="32"/>
          <w:szCs w:val="32"/>
        </w:rPr>
      </w:pPr>
    </w:p>
    <w:p w14:paraId="3C55ACB9" w14:textId="092B81B5" w:rsidR="00D46920" w:rsidRPr="00706F51" w:rsidRDefault="00D46920" w:rsidP="00D46920">
      <w:pPr>
        <w:spacing w:line="360" w:lineRule="auto"/>
        <w:rPr>
          <w:rStyle w:val="Strong"/>
          <w:rFonts w:ascii="Arial" w:hAnsi="Arial" w:cs="Arial"/>
          <w:b w:val="0"/>
          <w:bCs w:val="0"/>
          <w:color w:val="1D2125"/>
          <w:sz w:val="32"/>
          <w:szCs w:val="32"/>
        </w:rPr>
      </w:pPr>
      <w:r>
        <w:rPr>
          <w:rStyle w:val="Strong"/>
          <w:rFonts w:ascii="Arial" w:hAnsi="Arial" w:cs="Arial"/>
          <w:color w:val="1D2125"/>
          <w:sz w:val="32"/>
          <w:szCs w:val="32"/>
        </w:rPr>
        <w:t>Student name:</w:t>
      </w:r>
      <w:r w:rsidR="00C83611">
        <w:rPr>
          <w:rStyle w:val="Strong"/>
          <w:rFonts w:ascii="Arial" w:hAnsi="Arial" w:cs="Arial"/>
          <w:color w:val="1D2125"/>
          <w:sz w:val="32"/>
          <w:szCs w:val="32"/>
        </w:rPr>
        <w:t xml:space="preserve"> </w:t>
      </w:r>
      <w:proofErr w:type="spellStart"/>
      <w:r w:rsidR="00C83611" w:rsidRPr="00706F51">
        <w:rPr>
          <w:rStyle w:val="Strong"/>
          <w:rFonts w:ascii="Arial" w:hAnsi="Arial" w:cs="Arial"/>
          <w:b w:val="0"/>
          <w:bCs w:val="0"/>
          <w:color w:val="1D2125"/>
          <w:sz w:val="32"/>
          <w:szCs w:val="32"/>
        </w:rPr>
        <w:t>Ortenzia</w:t>
      </w:r>
      <w:proofErr w:type="spellEnd"/>
      <w:r w:rsidR="00C83611" w:rsidRPr="00706F51">
        <w:rPr>
          <w:rStyle w:val="Strong"/>
          <w:rFonts w:ascii="Arial" w:hAnsi="Arial" w:cs="Arial"/>
          <w:b w:val="0"/>
          <w:bCs w:val="0"/>
          <w:color w:val="1D2125"/>
          <w:sz w:val="32"/>
          <w:szCs w:val="32"/>
        </w:rPr>
        <w:t xml:space="preserve"> Alexandra Barcea</w:t>
      </w:r>
    </w:p>
    <w:p w14:paraId="3DCFFD10" w14:textId="1071BA8A" w:rsidR="00D46920" w:rsidRPr="00706F51" w:rsidRDefault="00D46920" w:rsidP="00D46920">
      <w:pPr>
        <w:spacing w:line="360" w:lineRule="auto"/>
        <w:rPr>
          <w:rStyle w:val="Strong"/>
          <w:rFonts w:ascii="Arial" w:hAnsi="Arial" w:cs="Arial"/>
          <w:b w:val="0"/>
          <w:bCs w:val="0"/>
          <w:color w:val="1D2125"/>
          <w:sz w:val="32"/>
          <w:szCs w:val="32"/>
        </w:rPr>
      </w:pPr>
      <w:r>
        <w:rPr>
          <w:rStyle w:val="Strong"/>
          <w:rFonts w:ascii="Arial" w:hAnsi="Arial" w:cs="Arial"/>
          <w:color w:val="1D2125"/>
          <w:sz w:val="32"/>
          <w:szCs w:val="32"/>
        </w:rPr>
        <w:t>Student number:</w:t>
      </w:r>
      <w:r w:rsidR="00706F51">
        <w:rPr>
          <w:rStyle w:val="Strong"/>
          <w:rFonts w:ascii="Arial" w:hAnsi="Arial" w:cs="Arial"/>
          <w:color w:val="1D2125"/>
          <w:sz w:val="32"/>
          <w:szCs w:val="32"/>
        </w:rPr>
        <w:t xml:space="preserve"> </w:t>
      </w:r>
      <w:r w:rsidR="00706F51" w:rsidRPr="00706F51">
        <w:rPr>
          <w:rStyle w:val="Strong"/>
          <w:rFonts w:ascii="Arial" w:hAnsi="Arial" w:cs="Arial"/>
          <w:b w:val="0"/>
          <w:bCs w:val="0"/>
          <w:color w:val="1D2125"/>
          <w:sz w:val="32"/>
          <w:szCs w:val="32"/>
        </w:rPr>
        <w:t>2412822@student.uwtsd.ac.uk</w:t>
      </w:r>
    </w:p>
    <w:p w14:paraId="6F2C3011" w14:textId="330FF5BE" w:rsidR="00D46920" w:rsidRDefault="00D46920" w:rsidP="00D46920">
      <w:pPr>
        <w:spacing w:line="360" w:lineRule="auto"/>
        <w:rPr>
          <w:rStyle w:val="Strong"/>
          <w:rFonts w:ascii="Arial" w:hAnsi="Arial" w:cs="Arial"/>
          <w:b w:val="0"/>
          <w:bCs w:val="0"/>
          <w:color w:val="1D2125"/>
          <w:sz w:val="32"/>
          <w:szCs w:val="32"/>
        </w:rPr>
      </w:pPr>
      <w:r>
        <w:rPr>
          <w:rStyle w:val="Strong"/>
          <w:rFonts w:ascii="Arial" w:hAnsi="Arial" w:cs="Arial"/>
          <w:color w:val="1D2125"/>
          <w:sz w:val="32"/>
          <w:szCs w:val="32"/>
        </w:rPr>
        <w:t>Lecturer’s name:</w:t>
      </w:r>
      <w:r w:rsidR="00706F51">
        <w:rPr>
          <w:rStyle w:val="Strong"/>
          <w:rFonts w:ascii="Arial" w:hAnsi="Arial" w:cs="Arial"/>
          <w:color w:val="1D2125"/>
          <w:sz w:val="32"/>
          <w:szCs w:val="32"/>
        </w:rPr>
        <w:t xml:space="preserve"> </w:t>
      </w:r>
      <w:r w:rsidR="00706F51" w:rsidRPr="00706F51">
        <w:rPr>
          <w:rStyle w:val="Strong"/>
          <w:rFonts w:ascii="Arial" w:hAnsi="Arial" w:cs="Arial"/>
          <w:b w:val="0"/>
          <w:bCs w:val="0"/>
          <w:color w:val="1D2125"/>
          <w:sz w:val="32"/>
          <w:szCs w:val="32"/>
        </w:rPr>
        <w:t xml:space="preserve">Caroline Salami </w:t>
      </w:r>
    </w:p>
    <w:p w14:paraId="0132EEE0" w14:textId="77777777" w:rsidR="00EB5C3B" w:rsidRDefault="00EB5C3B" w:rsidP="00D46920">
      <w:pPr>
        <w:spacing w:line="360" w:lineRule="auto"/>
        <w:rPr>
          <w:rStyle w:val="Strong"/>
          <w:rFonts w:ascii="Arial" w:hAnsi="Arial" w:cs="Arial"/>
          <w:b w:val="0"/>
          <w:bCs w:val="0"/>
          <w:color w:val="1D2125"/>
          <w:sz w:val="32"/>
          <w:szCs w:val="32"/>
        </w:rPr>
      </w:pPr>
    </w:p>
    <w:p w14:paraId="77E38D8C" w14:textId="7B7FFC6A" w:rsidR="00EB5C3B" w:rsidRPr="00706F51" w:rsidRDefault="00EB5C3B" w:rsidP="00D46920">
      <w:pPr>
        <w:spacing w:line="360" w:lineRule="auto"/>
        <w:rPr>
          <w:rStyle w:val="Strong"/>
          <w:rFonts w:ascii="Arial" w:hAnsi="Arial" w:cs="Arial"/>
          <w:b w:val="0"/>
          <w:bCs w:val="0"/>
          <w:color w:val="1D2125"/>
          <w:sz w:val="32"/>
          <w:szCs w:val="32"/>
        </w:rPr>
      </w:pPr>
      <w:r>
        <w:rPr>
          <w:rStyle w:val="Strong"/>
          <w:rFonts w:ascii="Arial" w:hAnsi="Arial" w:cs="Arial"/>
          <w:b w:val="0"/>
          <w:bCs w:val="0"/>
          <w:color w:val="1D2125"/>
          <w:sz w:val="32"/>
          <w:szCs w:val="32"/>
        </w:rPr>
        <w:t xml:space="preserve">                                    </w:t>
      </w:r>
    </w:p>
    <w:p w14:paraId="0D3CF38A" w14:textId="77777777" w:rsidR="00D46920" w:rsidRDefault="00D46920" w:rsidP="00D46920">
      <w:pPr>
        <w:spacing w:line="360" w:lineRule="auto"/>
        <w:rPr>
          <w:sz w:val="36"/>
          <w:szCs w:val="36"/>
        </w:rPr>
      </w:pPr>
    </w:p>
    <w:p w14:paraId="42726B8D" w14:textId="77777777" w:rsidR="00D46920" w:rsidRDefault="00D46920" w:rsidP="00D46920">
      <w:pPr>
        <w:pStyle w:val="NormalWeb"/>
        <w:spacing w:line="360" w:lineRule="auto"/>
        <w:rPr>
          <w:rFonts w:ascii="Arial" w:hAnsi="Arial" w:cs="Arial"/>
          <w:b/>
          <w:bCs/>
          <w:color w:val="000000"/>
          <w:sz w:val="28"/>
          <w:szCs w:val="28"/>
        </w:rPr>
      </w:pPr>
      <w:r w:rsidRPr="008375B5">
        <w:rPr>
          <w:rFonts w:ascii="Arial" w:hAnsi="Arial" w:cs="Arial"/>
          <w:b/>
          <w:bCs/>
          <w:color w:val="000000"/>
          <w:sz w:val="28"/>
          <w:szCs w:val="28"/>
        </w:rPr>
        <w:lastRenderedPageBreak/>
        <w:t>Table of contents</w:t>
      </w:r>
    </w:p>
    <w:p w14:paraId="7230F05B" w14:textId="77777777" w:rsidR="00173EE6" w:rsidRPr="00173EE6" w:rsidRDefault="00173EE6" w:rsidP="00173EE6">
      <w:pPr>
        <w:spacing w:before="100" w:beforeAutospacing="1" w:after="100" w:afterAutospacing="1" w:line="240" w:lineRule="auto"/>
        <w:outlineLvl w:val="0"/>
        <w:rPr>
          <w:rFonts w:ascii="Times New Roman" w:eastAsia="Times New Roman" w:hAnsi="Times New Roman"/>
          <w:b/>
          <w:bCs/>
          <w:kern w:val="36"/>
          <w:sz w:val="48"/>
          <w:szCs w:val="48"/>
          <w:lang w:eastAsia="en-GB"/>
        </w:rPr>
      </w:pPr>
      <w:bookmarkStart w:id="0" w:name="_Toc226049172"/>
      <w:bookmarkStart w:id="1" w:name="_Toc226049395"/>
      <w:r w:rsidRPr="00173EE6">
        <w:rPr>
          <w:rFonts w:ascii="Times New Roman" w:eastAsia="Times New Roman" w:hAnsi="Times New Roman"/>
          <w:b/>
          <w:bCs/>
          <w:kern w:val="36"/>
          <w:sz w:val="48"/>
          <w:szCs w:val="48"/>
          <w:lang w:eastAsia="en-GB"/>
        </w:rPr>
        <w:t>Task 1: Defining Key Concepts in Practice</w:t>
      </w:r>
      <w:bookmarkEnd w:id="0"/>
      <w:bookmarkEnd w:id="1"/>
    </w:p>
    <w:p w14:paraId="5A81B85C" w14:textId="77777777" w:rsidR="00173EE6" w:rsidRPr="00173EE6" w:rsidRDefault="00173EE6" w:rsidP="00173EE6">
      <w:pPr>
        <w:spacing w:before="100" w:beforeAutospacing="1" w:after="100" w:afterAutospacing="1" w:line="240" w:lineRule="auto"/>
        <w:outlineLvl w:val="2"/>
        <w:rPr>
          <w:rFonts w:ascii="Times New Roman" w:eastAsia="Times New Roman" w:hAnsi="Times New Roman"/>
          <w:b/>
          <w:bCs/>
          <w:kern w:val="0"/>
          <w:sz w:val="27"/>
          <w:szCs w:val="27"/>
          <w:lang w:eastAsia="en-GB"/>
        </w:rPr>
      </w:pPr>
      <w:bookmarkStart w:id="2" w:name="_Toc226049173"/>
      <w:bookmarkStart w:id="3" w:name="_Toc226049396"/>
      <w:r w:rsidRPr="00173EE6">
        <w:rPr>
          <w:rFonts w:ascii="Times New Roman" w:eastAsia="Times New Roman" w:hAnsi="Times New Roman"/>
          <w:b/>
          <w:bCs/>
          <w:kern w:val="0"/>
          <w:sz w:val="27"/>
          <w:szCs w:val="27"/>
          <w:lang w:eastAsia="en-GB"/>
        </w:rPr>
        <w:t>Innovation</w:t>
      </w:r>
      <w:bookmarkEnd w:id="2"/>
      <w:bookmarkEnd w:id="3"/>
    </w:p>
    <w:p w14:paraId="3D8A9171" w14:textId="77777777" w:rsidR="00173EE6" w:rsidRPr="00640478" w:rsidRDefault="00173EE6" w:rsidP="00640478">
      <w:pPr>
        <w:spacing w:before="100" w:beforeAutospacing="1" w:after="100" w:afterAutospacing="1" w:line="240" w:lineRule="auto"/>
        <w:jc w:val="both"/>
        <w:rPr>
          <w:rFonts w:ascii="Arial" w:eastAsia="Times New Roman" w:hAnsi="Arial" w:cs="Arial"/>
          <w:kern w:val="0"/>
          <w:sz w:val="22"/>
          <w:szCs w:val="22"/>
          <w:lang w:eastAsia="en-GB"/>
        </w:rPr>
      </w:pPr>
      <w:r w:rsidRPr="00173EE6">
        <w:rPr>
          <w:rFonts w:ascii="Arial" w:eastAsia="Times New Roman" w:hAnsi="Arial" w:cs="Arial"/>
          <w:kern w:val="0"/>
          <w:sz w:val="22"/>
          <w:szCs w:val="22"/>
          <w:lang w:eastAsia="en-GB"/>
        </w:rPr>
        <w:t xml:space="preserve">Innovation can be defined as the implementation of new ideas, processes, technologies, or services that improve effectiveness, quality, or efficiency within organisations. In health and social care, innovation is essential because services operate in complex environments shaped by ageing populations, workforce shortages, and increasing demand. Innovative approaches such as telehealth, electronic health records, and AI-supported triage systems improve access, coordination, and safety of care. For example, the use of remote monitoring for patients with chronic heart failure enables early detection of deterioration and reduces avoidable hospital admissions. Rogers’ Diffusion of Innovation Theory suggests that the adoption of innovation depends on how new practices are communicated and accepted across a social system (Rogers, 2003). This is particularly relevant in multidisciplinary healthcare teams where staff engagement strongly influences implementation success. </w:t>
      </w:r>
    </w:p>
    <w:p w14:paraId="524E585C" w14:textId="236442E3" w:rsidR="009537F6" w:rsidRDefault="003E59CC" w:rsidP="00173EE6">
      <w:pPr>
        <w:spacing w:before="100" w:beforeAutospacing="1" w:after="100" w:afterAutospacing="1" w:line="240" w:lineRule="auto"/>
        <w:rPr>
          <w:rFonts w:ascii="Times New Roman" w:eastAsia="Times New Roman" w:hAnsi="Times New Roman"/>
          <w:kern w:val="0"/>
          <w:lang w:eastAsia="en-GB"/>
        </w:rPr>
      </w:pPr>
      <w:r>
        <w:rPr>
          <w:rFonts w:ascii="Times New Roman" w:eastAsia="Times New Roman" w:hAnsi="Times New Roman"/>
          <w:noProof/>
          <w:kern w:val="0"/>
          <w:lang w:eastAsia="en-GB"/>
          <w14:ligatures w14:val="standardContextual"/>
        </w:rPr>
        <w:drawing>
          <wp:inline distT="0" distB="0" distL="0" distR="0" wp14:anchorId="5866C0A0" wp14:editId="6994EE08">
            <wp:extent cx="1776714" cy="892098"/>
            <wp:effectExtent l="0" t="0" r="0" b="3810"/>
            <wp:docPr id="10358522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852224" name="Picture 1035852224"/>
                    <pic:cNvPicPr/>
                  </pic:nvPicPr>
                  <pic:blipFill>
                    <a:blip r:embed="rId7" cstate="print">
                      <a:extLst>
                        <a:ext uri="{28A0092B-C50C-407E-A947-70E740481C1C}">
                          <a14:useLocalDpi xmlns:a14="http://schemas.microsoft.com/office/drawing/2010/main" val="0"/>
                        </a:ext>
                      </a:extLst>
                    </a:blip>
                    <a:stretch>
                      <a:fillRect/>
                    </a:stretch>
                  </pic:blipFill>
                  <pic:spPr>
                    <a:xfrm>
                      <a:off x="0" y="0"/>
                      <a:ext cx="1853395" cy="930600"/>
                    </a:xfrm>
                    <a:prstGeom prst="rect">
                      <a:avLst/>
                    </a:prstGeom>
                  </pic:spPr>
                </pic:pic>
              </a:graphicData>
            </a:graphic>
          </wp:inline>
        </w:drawing>
      </w:r>
    </w:p>
    <w:p w14:paraId="59BB2708" w14:textId="77777777" w:rsidR="009537F6" w:rsidRPr="00173EE6" w:rsidRDefault="009537F6" w:rsidP="00173EE6">
      <w:pPr>
        <w:spacing w:before="100" w:beforeAutospacing="1" w:after="100" w:afterAutospacing="1" w:line="240" w:lineRule="auto"/>
        <w:rPr>
          <w:rFonts w:ascii="Times New Roman" w:eastAsia="Times New Roman" w:hAnsi="Times New Roman"/>
          <w:kern w:val="0"/>
          <w:lang w:eastAsia="en-GB"/>
        </w:rPr>
      </w:pPr>
    </w:p>
    <w:p w14:paraId="05814070" w14:textId="6300AD1F" w:rsidR="00BE20E7" w:rsidRPr="00BE20E7" w:rsidRDefault="00BE20E7" w:rsidP="00BE20E7">
      <w:pPr>
        <w:spacing w:before="100" w:beforeAutospacing="1" w:after="100" w:afterAutospacing="1" w:line="240" w:lineRule="auto"/>
        <w:outlineLvl w:val="2"/>
        <w:rPr>
          <w:rFonts w:ascii="Times New Roman" w:eastAsia="Times New Roman" w:hAnsi="Times New Roman"/>
          <w:b/>
          <w:bCs/>
          <w:kern w:val="0"/>
          <w:sz w:val="27"/>
          <w:szCs w:val="27"/>
          <w:lang w:eastAsia="en-GB"/>
        </w:rPr>
      </w:pPr>
      <w:bookmarkStart w:id="4" w:name="_Toc226049174"/>
      <w:bookmarkStart w:id="5" w:name="_Toc226049397"/>
      <w:r w:rsidRPr="00BE20E7">
        <w:rPr>
          <w:rFonts w:ascii="Times New Roman" w:eastAsia="Times New Roman" w:hAnsi="Times New Roman"/>
          <w:b/>
          <w:bCs/>
          <w:kern w:val="0"/>
          <w:sz w:val="27"/>
          <w:szCs w:val="27"/>
          <w:lang w:eastAsia="en-GB"/>
        </w:rPr>
        <w:t>Creativity</w:t>
      </w:r>
      <w:bookmarkEnd w:id="4"/>
      <w:bookmarkEnd w:id="5"/>
    </w:p>
    <w:p w14:paraId="7C733050" w14:textId="6DCDD368" w:rsidR="003E59CC" w:rsidRPr="00346B03" w:rsidRDefault="00BE20E7" w:rsidP="00346B03">
      <w:pPr>
        <w:spacing w:before="100" w:beforeAutospacing="1" w:after="100" w:afterAutospacing="1" w:line="240" w:lineRule="auto"/>
        <w:jc w:val="both"/>
        <w:rPr>
          <w:rFonts w:ascii="Arial" w:eastAsia="Times New Roman" w:hAnsi="Arial" w:cs="Arial"/>
          <w:kern w:val="0"/>
          <w:sz w:val="22"/>
          <w:szCs w:val="22"/>
          <w:lang w:eastAsia="en-GB"/>
        </w:rPr>
      </w:pPr>
      <w:r w:rsidRPr="00BE20E7">
        <w:rPr>
          <w:rFonts w:ascii="Arial" w:eastAsia="Times New Roman" w:hAnsi="Arial" w:cs="Arial"/>
          <w:kern w:val="0"/>
          <w:sz w:val="22"/>
          <w:szCs w:val="22"/>
          <w:lang w:eastAsia="en-GB"/>
        </w:rPr>
        <w:t>Creativity refers to the production of original and useful ideas that address problems or</w:t>
      </w:r>
      <w:r w:rsidRPr="00BE20E7">
        <w:rPr>
          <w:rFonts w:ascii="Arial" w:eastAsia="Times New Roman" w:hAnsi="Arial" w:cs="Arial"/>
          <w:b/>
          <w:bCs/>
          <w:kern w:val="0"/>
          <w:sz w:val="22"/>
          <w:szCs w:val="22"/>
          <w:lang w:eastAsia="en-GB"/>
        </w:rPr>
        <w:t xml:space="preserve"> </w:t>
      </w:r>
      <w:r w:rsidRPr="00BE20E7">
        <w:rPr>
          <w:rFonts w:ascii="Arial" w:eastAsia="Times New Roman" w:hAnsi="Arial" w:cs="Arial"/>
          <w:kern w:val="0"/>
          <w:sz w:val="22"/>
          <w:szCs w:val="22"/>
          <w:lang w:eastAsia="en-GB"/>
        </w:rPr>
        <w:t>improve practice. Within health and social care, creativity is vital because practitioners frequently work with complex and individualised needs that require flexible, person-centred responses. For instance, a dementia care practitioner designing personalised memory prompts or visual communication aids for a service user demonstrates creativity in improving quality of life. Amabile’s Componential Theory of Creativity argues that creativity emerges through the interaction of domain knowledge, creative-thinking skills, and intrinsic motivation (Amabile, 1996). This framework is highly applicable to care settings, where staff expertise and compassionate motivation often generate practical service improvements</w:t>
      </w:r>
    </w:p>
    <w:p w14:paraId="3D0214FC" w14:textId="77777777" w:rsidR="009537F6" w:rsidRDefault="009537F6" w:rsidP="00BE20E7">
      <w:pPr>
        <w:spacing w:before="100" w:beforeAutospacing="1" w:after="100" w:afterAutospacing="1" w:line="240" w:lineRule="auto"/>
        <w:rPr>
          <w:rFonts w:ascii="Times New Roman" w:eastAsia="Times New Roman" w:hAnsi="Times New Roman"/>
          <w:kern w:val="0"/>
          <w:lang w:eastAsia="en-GB"/>
        </w:rPr>
      </w:pPr>
    </w:p>
    <w:p w14:paraId="35B6A7AF" w14:textId="77777777" w:rsidR="00176D7C" w:rsidRPr="00176D7C" w:rsidRDefault="00176D7C" w:rsidP="00176D7C">
      <w:pPr>
        <w:spacing w:before="100" w:beforeAutospacing="1" w:after="100" w:afterAutospacing="1" w:line="240" w:lineRule="auto"/>
        <w:outlineLvl w:val="2"/>
        <w:rPr>
          <w:rFonts w:ascii="Times New Roman" w:eastAsia="Times New Roman" w:hAnsi="Times New Roman"/>
          <w:b/>
          <w:bCs/>
          <w:kern w:val="0"/>
          <w:sz w:val="27"/>
          <w:szCs w:val="27"/>
          <w:lang w:eastAsia="en-GB"/>
        </w:rPr>
      </w:pPr>
      <w:bookmarkStart w:id="6" w:name="_Toc226049175"/>
      <w:bookmarkStart w:id="7" w:name="_Toc226049398"/>
      <w:r w:rsidRPr="00176D7C">
        <w:rPr>
          <w:rFonts w:ascii="Times New Roman" w:eastAsia="Times New Roman" w:hAnsi="Times New Roman"/>
          <w:b/>
          <w:bCs/>
          <w:kern w:val="0"/>
          <w:sz w:val="27"/>
          <w:szCs w:val="27"/>
          <w:lang w:eastAsia="en-GB"/>
        </w:rPr>
        <w:t>Value Creation</w:t>
      </w:r>
      <w:bookmarkEnd w:id="6"/>
      <w:bookmarkEnd w:id="7"/>
    </w:p>
    <w:p w14:paraId="42B98472" w14:textId="543F5F3D" w:rsidR="009B52F1" w:rsidRDefault="00176D7C" w:rsidP="00346B03">
      <w:pPr>
        <w:spacing w:before="100" w:beforeAutospacing="1" w:after="100" w:afterAutospacing="1" w:line="240" w:lineRule="auto"/>
        <w:jc w:val="both"/>
        <w:rPr>
          <w:rFonts w:ascii="Arial" w:eastAsia="Times New Roman" w:hAnsi="Arial" w:cs="Arial"/>
          <w:kern w:val="0"/>
          <w:sz w:val="22"/>
          <w:szCs w:val="22"/>
          <w:lang w:eastAsia="en-GB"/>
        </w:rPr>
      </w:pPr>
      <w:r w:rsidRPr="00176D7C">
        <w:rPr>
          <w:rFonts w:ascii="Arial" w:eastAsia="Times New Roman" w:hAnsi="Arial" w:cs="Arial"/>
          <w:kern w:val="0"/>
          <w:sz w:val="22"/>
          <w:szCs w:val="22"/>
          <w:lang w:eastAsia="en-GB"/>
        </w:rPr>
        <w:t>Value creation in health and social care refers to the achievement of improved patient</w:t>
      </w:r>
      <w:r w:rsidRPr="00176D7C">
        <w:rPr>
          <w:rFonts w:ascii="Arial" w:eastAsia="Times New Roman" w:hAnsi="Arial" w:cs="Arial"/>
          <w:b/>
          <w:bCs/>
          <w:kern w:val="0"/>
          <w:sz w:val="22"/>
          <w:szCs w:val="22"/>
          <w:lang w:eastAsia="en-GB"/>
        </w:rPr>
        <w:t xml:space="preserve"> </w:t>
      </w:r>
      <w:r w:rsidRPr="00176D7C">
        <w:rPr>
          <w:rFonts w:ascii="Arial" w:eastAsia="Times New Roman" w:hAnsi="Arial" w:cs="Arial"/>
          <w:kern w:val="0"/>
          <w:sz w:val="22"/>
          <w:szCs w:val="22"/>
          <w:lang w:eastAsia="en-GB"/>
        </w:rPr>
        <w:t>outcomes, experiences, and wellbeing relative to the resources invested. This concept is critically important in financially constrained systems such as the NHS, where services must balance quality with cost-effectiveness. A practical example is multidisciplinary discharge planning, which reduces delayed discharges, improves continuity of care, and supports safer recovery at home. Porter’s value-based healthcare framework proposes that true value is created when patient outcomes improve in proportion to the cost of care delivery (Porter, 2010). This perspective supports outcome-focused commissioning and service redesign</w:t>
      </w:r>
      <w:r w:rsidR="00346B03">
        <w:rPr>
          <w:rFonts w:ascii="Arial" w:eastAsia="Times New Roman" w:hAnsi="Arial" w:cs="Arial"/>
          <w:kern w:val="0"/>
          <w:sz w:val="22"/>
          <w:szCs w:val="22"/>
          <w:lang w:eastAsia="en-GB"/>
        </w:rPr>
        <w:t>.</w:t>
      </w:r>
    </w:p>
    <w:p w14:paraId="0879EDF5" w14:textId="77777777" w:rsidR="00346B03" w:rsidRPr="00346B03" w:rsidRDefault="00346B03" w:rsidP="00346B03">
      <w:pPr>
        <w:spacing w:before="100" w:beforeAutospacing="1" w:after="100" w:afterAutospacing="1" w:line="240" w:lineRule="auto"/>
        <w:jc w:val="both"/>
        <w:rPr>
          <w:rFonts w:ascii="Arial" w:eastAsia="Times New Roman" w:hAnsi="Arial" w:cs="Arial"/>
          <w:kern w:val="0"/>
          <w:sz w:val="22"/>
          <w:szCs w:val="22"/>
          <w:lang w:eastAsia="en-GB"/>
        </w:rPr>
      </w:pPr>
    </w:p>
    <w:p w14:paraId="14F06F35" w14:textId="408B7FFB" w:rsidR="009537F6" w:rsidRPr="009537F6" w:rsidRDefault="009537F6" w:rsidP="003E59CC">
      <w:pPr>
        <w:spacing w:before="100" w:beforeAutospacing="1" w:after="100" w:afterAutospacing="1" w:line="240" w:lineRule="auto"/>
        <w:rPr>
          <w:rFonts w:ascii="Times New Roman" w:eastAsia="Times New Roman" w:hAnsi="Times New Roman"/>
          <w:kern w:val="0"/>
          <w:lang w:eastAsia="en-GB"/>
        </w:rPr>
      </w:pPr>
      <w:r w:rsidRPr="009537F6">
        <w:rPr>
          <w:rFonts w:ascii="Times New Roman" w:eastAsia="Times New Roman" w:hAnsi="Times New Roman"/>
          <w:b/>
          <w:bCs/>
          <w:kern w:val="0"/>
          <w:sz w:val="27"/>
          <w:szCs w:val="27"/>
          <w:lang w:eastAsia="en-GB"/>
        </w:rPr>
        <w:t>Change</w:t>
      </w:r>
    </w:p>
    <w:p w14:paraId="66E6FFD2" w14:textId="77777777" w:rsidR="009537F6" w:rsidRDefault="009537F6" w:rsidP="00346B03">
      <w:pPr>
        <w:spacing w:before="100" w:beforeAutospacing="1" w:after="100" w:afterAutospacing="1" w:line="240" w:lineRule="auto"/>
        <w:jc w:val="both"/>
        <w:rPr>
          <w:rFonts w:ascii="Times New Roman" w:eastAsia="Times New Roman" w:hAnsi="Times New Roman"/>
          <w:kern w:val="0"/>
          <w:lang w:eastAsia="en-GB"/>
        </w:rPr>
      </w:pPr>
      <w:r w:rsidRPr="009537F6">
        <w:rPr>
          <w:rFonts w:ascii="Times New Roman" w:eastAsia="Times New Roman" w:hAnsi="Times New Roman"/>
          <w:kern w:val="0"/>
          <w:lang w:eastAsia="en-GB"/>
        </w:rPr>
        <w:t>Change is the planned movement from an existing state of practice to a new and</w:t>
      </w:r>
      <w:r w:rsidRPr="009537F6">
        <w:rPr>
          <w:rFonts w:ascii="Times New Roman" w:eastAsia="Times New Roman" w:hAnsi="Times New Roman"/>
          <w:b/>
          <w:bCs/>
          <w:kern w:val="0"/>
          <w:lang w:eastAsia="en-GB"/>
        </w:rPr>
        <w:t xml:space="preserve"> </w:t>
      </w:r>
      <w:r w:rsidRPr="009537F6">
        <w:rPr>
          <w:rFonts w:ascii="Times New Roman" w:eastAsia="Times New Roman" w:hAnsi="Times New Roman"/>
          <w:kern w:val="0"/>
          <w:lang w:eastAsia="en-GB"/>
        </w:rPr>
        <w:t>improved way of working. In health and social care, change is continuous due to policy reform, technological development, and evolving service-user expectations. For example, implementing electronic medication administration records requires behavioural, procedural, and cultural adaptation among staff. Lewin’s Change Management Model conceptualises this process as unfreezing existing routines, implementing change, and refreezing new practices into standard care (Burnes, 2017). This model remains useful for understanding how sustainable improvement can be embedded in care organisations.</w:t>
      </w:r>
    </w:p>
    <w:p w14:paraId="6F56E7A7" w14:textId="77777777" w:rsidR="004D7182" w:rsidRDefault="004D7182" w:rsidP="00346B03">
      <w:pPr>
        <w:spacing w:before="100" w:beforeAutospacing="1" w:after="100" w:afterAutospacing="1" w:line="240" w:lineRule="auto"/>
        <w:jc w:val="both"/>
        <w:rPr>
          <w:rFonts w:ascii="Times New Roman" w:eastAsia="Times New Roman" w:hAnsi="Times New Roman"/>
          <w:kern w:val="0"/>
          <w:lang w:eastAsia="en-GB"/>
        </w:rPr>
      </w:pPr>
    </w:p>
    <w:p w14:paraId="48732171" w14:textId="77777777" w:rsidR="004D7182" w:rsidRPr="004D7182" w:rsidRDefault="004D7182" w:rsidP="004D7182">
      <w:pPr>
        <w:spacing w:before="100" w:beforeAutospacing="1" w:after="100" w:afterAutospacing="1" w:line="240" w:lineRule="auto"/>
        <w:outlineLvl w:val="0"/>
        <w:rPr>
          <w:rFonts w:ascii="Times New Roman" w:eastAsia="Times New Roman" w:hAnsi="Times New Roman"/>
          <w:b/>
          <w:bCs/>
          <w:kern w:val="36"/>
          <w:sz w:val="48"/>
          <w:szCs w:val="48"/>
          <w:lang w:eastAsia="en-GB"/>
        </w:rPr>
      </w:pPr>
      <w:bookmarkStart w:id="8" w:name="_Toc226049176"/>
      <w:bookmarkStart w:id="9" w:name="_Toc226049399"/>
      <w:r w:rsidRPr="004D7182">
        <w:rPr>
          <w:rFonts w:ascii="Times New Roman" w:eastAsia="Times New Roman" w:hAnsi="Times New Roman"/>
          <w:b/>
          <w:bCs/>
          <w:kern w:val="36"/>
          <w:sz w:val="48"/>
          <w:szCs w:val="48"/>
          <w:lang w:eastAsia="en-GB"/>
        </w:rPr>
        <w:t>Task 2 – Mind Map: Poor Communication in Health and Social Care</w:t>
      </w:r>
      <w:bookmarkEnd w:id="8"/>
      <w:bookmarkEnd w:id="9"/>
    </w:p>
    <w:p w14:paraId="03D6C1EC" w14:textId="77777777" w:rsidR="004D7182" w:rsidRPr="004D7182" w:rsidRDefault="004D7182" w:rsidP="004D7182">
      <w:pPr>
        <w:spacing w:before="100" w:beforeAutospacing="1" w:after="100" w:afterAutospacing="1" w:line="240" w:lineRule="auto"/>
        <w:outlineLvl w:val="1"/>
        <w:rPr>
          <w:rFonts w:ascii="Times New Roman" w:eastAsia="Times New Roman" w:hAnsi="Times New Roman"/>
          <w:b/>
          <w:bCs/>
          <w:kern w:val="0"/>
          <w:sz w:val="36"/>
          <w:szCs w:val="36"/>
          <w:lang w:eastAsia="en-GB"/>
        </w:rPr>
      </w:pPr>
      <w:bookmarkStart w:id="10" w:name="_Toc226049177"/>
      <w:bookmarkStart w:id="11" w:name="_Toc226049400"/>
      <w:r w:rsidRPr="004D7182">
        <w:rPr>
          <w:rFonts w:ascii="Times New Roman" w:eastAsia="Times New Roman" w:hAnsi="Times New Roman"/>
          <w:b/>
          <w:bCs/>
          <w:kern w:val="0"/>
          <w:sz w:val="36"/>
          <w:szCs w:val="36"/>
          <w:lang w:eastAsia="en-GB"/>
        </w:rPr>
        <w:t>Mind Map Structure</w:t>
      </w:r>
      <w:bookmarkEnd w:id="10"/>
      <w:bookmarkEnd w:id="11"/>
    </w:p>
    <w:p w14:paraId="60DA345A" w14:textId="77777777" w:rsidR="004D7182" w:rsidRPr="004D7182" w:rsidRDefault="004D7182" w:rsidP="004D7182">
      <w:pPr>
        <w:spacing w:before="100" w:beforeAutospacing="1" w:after="100" w:afterAutospacing="1" w:line="240" w:lineRule="auto"/>
        <w:rPr>
          <w:rFonts w:ascii="Times New Roman" w:eastAsia="Times New Roman" w:hAnsi="Times New Roman"/>
          <w:kern w:val="0"/>
          <w:lang w:eastAsia="en-GB"/>
        </w:rPr>
      </w:pPr>
      <w:r w:rsidRPr="004D7182">
        <w:rPr>
          <w:rFonts w:ascii="Times New Roman" w:eastAsia="Times New Roman" w:hAnsi="Times New Roman"/>
          <w:b/>
          <w:bCs/>
          <w:kern w:val="0"/>
          <w:lang w:eastAsia="en-GB"/>
        </w:rPr>
        <w:t>Central Problem:</w:t>
      </w:r>
      <w:r w:rsidRPr="004D7182">
        <w:rPr>
          <w:rFonts w:ascii="Times New Roman" w:eastAsia="Times New Roman" w:hAnsi="Times New Roman"/>
          <w:kern w:val="0"/>
          <w:lang w:eastAsia="en-GB"/>
        </w:rPr>
        <w:t xml:space="preserve"> </w:t>
      </w:r>
      <w:r w:rsidRPr="004D7182">
        <w:rPr>
          <w:rFonts w:ascii="Times New Roman" w:eastAsia="Times New Roman" w:hAnsi="Times New Roman"/>
          <w:b/>
          <w:bCs/>
          <w:kern w:val="0"/>
          <w:lang w:eastAsia="en-GB"/>
        </w:rPr>
        <w:t>Poor communication between multidisciplinary teams</w:t>
      </w:r>
    </w:p>
    <w:p w14:paraId="2E1754B0" w14:textId="77777777" w:rsidR="004D7182" w:rsidRPr="004D7182" w:rsidRDefault="004D7182" w:rsidP="004D7182">
      <w:pPr>
        <w:spacing w:before="100" w:beforeAutospacing="1" w:after="100" w:afterAutospacing="1" w:line="240" w:lineRule="auto"/>
        <w:rPr>
          <w:rFonts w:ascii="Times New Roman" w:eastAsia="Times New Roman" w:hAnsi="Times New Roman"/>
          <w:kern w:val="0"/>
          <w:lang w:eastAsia="en-GB"/>
        </w:rPr>
      </w:pPr>
      <w:r w:rsidRPr="004D7182">
        <w:rPr>
          <w:rFonts w:ascii="Times New Roman" w:eastAsia="Times New Roman" w:hAnsi="Times New Roman"/>
          <w:b/>
          <w:bCs/>
          <w:kern w:val="0"/>
          <w:lang w:eastAsia="en-GB"/>
        </w:rPr>
        <w:t>Causes</w:t>
      </w:r>
    </w:p>
    <w:p w14:paraId="50189E4E" w14:textId="77777777" w:rsidR="004D7182" w:rsidRPr="004D7182" w:rsidRDefault="004D7182" w:rsidP="004D7182">
      <w:pPr>
        <w:numPr>
          <w:ilvl w:val="0"/>
          <w:numId w:val="14"/>
        </w:numPr>
        <w:spacing w:before="100" w:beforeAutospacing="1" w:after="100" w:afterAutospacing="1" w:line="240" w:lineRule="auto"/>
        <w:rPr>
          <w:rFonts w:ascii="Times New Roman" w:eastAsia="Times New Roman" w:hAnsi="Times New Roman"/>
          <w:kern w:val="0"/>
          <w:lang w:eastAsia="en-GB"/>
        </w:rPr>
      </w:pPr>
      <w:r w:rsidRPr="004D7182">
        <w:rPr>
          <w:rFonts w:ascii="Times New Roman" w:eastAsia="Times New Roman" w:hAnsi="Times New Roman"/>
          <w:kern w:val="0"/>
          <w:lang w:eastAsia="en-GB"/>
        </w:rPr>
        <w:t xml:space="preserve">Staff shortages and workload pressure </w:t>
      </w:r>
    </w:p>
    <w:p w14:paraId="5B7E0348" w14:textId="77777777" w:rsidR="004D7182" w:rsidRPr="004D7182" w:rsidRDefault="004D7182" w:rsidP="004D7182">
      <w:pPr>
        <w:numPr>
          <w:ilvl w:val="0"/>
          <w:numId w:val="14"/>
        </w:numPr>
        <w:spacing w:before="100" w:beforeAutospacing="1" w:after="100" w:afterAutospacing="1" w:line="240" w:lineRule="auto"/>
        <w:rPr>
          <w:rFonts w:ascii="Times New Roman" w:eastAsia="Times New Roman" w:hAnsi="Times New Roman"/>
          <w:kern w:val="0"/>
          <w:lang w:eastAsia="en-GB"/>
        </w:rPr>
      </w:pPr>
      <w:r w:rsidRPr="004D7182">
        <w:rPr>
          <w:rFonts w:ascii="Times New Roman" w:eastAsia="Times New Roman" w:hAnsi="Times New Roman"/>
          <w:kern w:val="0"/>
          <w:lang w:eastAsia="en-GB"/>
        </w:rPr>
        <w:t xml:space="preserve">Lack of shared digital records </w:t>
      </w:r>
    </w:p>
    <w:p w14:paraId="0C50BF0B" w14:textId="77777777" w:rsidR="004D7182" w:rsidRPr="004D7182" w:rsidRDefault="004D7182" w:rsidP="004D7182">
      <w:pPr>
        <w:numPr>
          <w:ilvl w:val="0"/>
          <w:numId w:val="14"/>
        </w:numPr>
        <w:spacing w:before="100" w:beforeAutospacing="1" w:after="100" w:afterAutospacing="1" w:line="240" w:lineRule="auto"/>
        <w:rPr>
          <w:rFonts w:ascii="Times New Roman" w:eastAsia="Times New Roman" w:hAnsi="Times New Roman"/>
          <w:kern w:val="0"/>
          <w:lang w:eastAsia="en-GB"/>
        </w:rPr>
      </w:pPr>
      <w:r w:rsidRPr="004D7182">
        <w:rPr>
          <w:rFonts w:ascii="Times New Roman" w:eastAsia="Times New Roman" w:hAnsi="Times New Roman"/>
          <w:kern w:val="0"/>
          <w:lang w:eastAsia="en-GB"/>
        </w:rPr>
        <w:t xml:space="preserve">Inconsistent handovers </w:t>
      </w:r>
    </w:p>
    <w:p w14:paraId="10BDD354" w14:textId="77777777" w:rsidR="004D7182" w:rsidRPr="004D7182" w:rsidRDefault="004D7182" w:rsidP="004D7182">
      <w:pPr>
        <w:numPr>
          <w:ilvl w:val="0"/>
          <w:numId w:val="14"/>
        </w:numPr>
        <w:spacing w:before="100" w:beforeAutospacing="1" w:after="100" w:afterAutospacing="1" w:line="240" w:lineRule="auto"/>
        <w:rPr>
          <w:rFonts w:ascii="Times New Roman" w:eastAsia="Times New Roman" w:hAnsi="Times New Roman"/>
          <w:kern w:val="0"/>
          <w:lang w:eastAsia="en-GB"/>
        </w:rPr>
      </w:pPr>
      <w:r w:rsidRPr="004D7182">
        <w:rPr>
          <w:rFonts w:ascii="Times New Roman" w:eastAsia="Times New Roman" w:hAnsi="Times New Roman"/>
          <w:kern w:val="0"/>
          <w:lang w:eastAsia="en-GB"/>
        </w:rPr>
        <w:t xml:space="preserve">Language barriers </w:t>
      </w:r>
    </w:p>
    <w:p w14:paraId="5D60F82F" w14:textId="77777777" w:rsidR="004D7182" w:rsidRPr="004D7182" w:rsidRDefault="004D7182" w:rsidP="004D7182">
      <w:pPr>
        <w:numPr>
          <w:ilvl w:val="0"/>
          <w:numId w:val="14"/>
        </w:numPr>
        <w:spacing w:before="100" w:beforeAutospacing="1" w:after="100" w:afterAutospacing="1" w:line="240" w:lineRule="auto"/>
        <w:rPr>
          <w:rFonts w:ascii="Times New Roman" w:eastAsia="Times New Roman" w:hAnsi="Times New Roman"/>
          <w:kern w:val="0"/>
          <w:lang w:eastAsia="en-GB"/>
        </w:rPr>
      </w:pPr>
      <w:r w:rsidRPr="004D7182">
        <w:rPr>
          <w:rFonts w:ascii="Times New Roman" w:eastAsia="Times New Roman" w:hAnsi="Times New Roman"/>
          <w:kern w:val="0"/>
          <w:lang w:eastAsia="en-GB"/>
        </w:rPr>
        <w:t xml:space="preserve">Limited interprofessional training </w:t>
      </w:r>
    </w:p>
    <w:p w14:paraId="6C1E0587" w14:textId="77777777" w:rsidR="004D7182" w:rsidRPr="004D7182" w:rsidRDefault="004D7182" w:rsidP="004D7182">
      <w:pPr>
        <w:spacing w:before="100" w:beforeAutospacing="1" w:after="100" w:afterAutospacing="1" w:line="240" w:lineRule="auto"/>
        <w:rPr>
          <w:rFonts w:ascii="Times New Roman" w:eastAsia="Times New Roman" w:hAnsi="Times New Roman"/>
          <w:kern w:val="0"/>
          <w:lang w:eastAsia="en-GB"/>
        </w:rPr>
      </w:pPr>
      <w:r w:rsidRPr="004D7182">
        <w:rPr>
          <w:rFonts w:ascii="Times New Roman" w:eastAsia="Times New Roman" w:hAnsi="Times New Roman"/>
          <w:b/>
          <w:bCs/>
          <w:kern w:val="0"/>
          <w:lang w:eastAsia="en-GB"/>
        </w:rPr>
        <w:t>Impacts</w:t>
      </w:r>
    </w:p>
    <w:p w14:paraId="56C6FFCE" w14:textId="77777777" w:rsidR="004D7182" w:rsidRPr="004D7182" w:rsidRDefault="004D7182" w:rsidP="004D7182">
      <w:pPr>
        <w:numPr>
          <w:ilvl w:val="0"/>
          <w:numId w:val="15"/>
        </w:numPr>
        <w:spacing w:before="100" w:beforeAutospacing="1" w:after="100" w:afterAutospacing="1" w:line="240" w:lineRule="auto"/>
        <w:rPr>
          <w:rFonts w:ascii="Times New Roman" w:eastAsia="Times New Roman" w:hAnsi="Times New Roman"/>
          <w:kern w:val="0"/>
          <w:lang w:eastAsia="en-GB"/>
        </w:rPr>
      </w:pPr>
      <w:r w:rsidRPr="004D7182">
        <w:rPr>
          <w:rFonts w:ascii="Times New Roman" w:eastAsia="Times New Roman" w:hAnsi="Times New Roman"/>
          <w:kern w:val="0"/>
          <w:lang w:eastAsia="en-GB"/>
        </w:rPr>
        <w:t xml:space="preserve">Medication errors </w:t>
      </w:r>
    </w:p>
    <w:p w14:paraId="2B50741A" w14:textId="77777777" w:rsidR="004D7182" w:rsidRPr="004D7182" w:rsidRDefault="004D7182" w:rsidP="004D7182">
      <w:pPr>
        <w:numPr>
          <w:ilvl w:val="0"/>
          <w:numId w:val="15"/>
        </w:numPr>
        <w:spacing w:before="100" w:beforeAutospacing="1" w:after="100" w:afterAutospacing="1" w:line="240" w:lineRule="auto"/>
        <w:rPr>
          <w:rFonts w:ascii="Times New Roman" w:eastAsia="Times New Roman" w:hAnsi="Times New Roman"/>
          <w:kern w:val="0"/>
          <w:lang w:eastAsia="en-GB"/>
        </w:rPr>
      </w:pPr>
      <w:r w:rsidRPr="004D7182">
        <w:rPr>
          <w:rFonts w:ascii="Times New Roman" w:eastAsia="Times New Roman" w:hAnsi="Times New Roman"/>
          <w:kern w:val="0"/>
          <w:lang w:eastAsia="en-GB"/>
        </w:rPr>
        <w:t xml:space="preserve">Delayed treatment </w:t>
      </w:r>
    </w:p>
    <w:p w14:paraId="4882E35C" w14:textId="77777777" w:rsidR="004D7182" w:rsidRPr="004D7182" w:rsidRDefault="004D7182" w:rsidP="004D7182">
      <w:pPr>
        <w:numPr>
          <w:ilvl w:val="0"/>
          <w:numId w:val="15"/>
        </w:numPr>
        <w:spacing w:before="100" w:beforeAutospacing="1" w:after="100" w:afterAutospacing="1" w:line="240" w:lineRule="auto"/>
        <w:rPr>
          <w:rFonts w:ascii="Times New Roman" w:eastAsia="Times New Roman" w:hAnsi="Times New Roman"/>
          <w:kern w:val="0"/>
          <w:lang w:eastAsia="en-GB"/>
        </w:rPr>
      </w:pPr>
      <w:r w:rsidRPr="004D7182">
        <w:rPr>
          <w:rFonts w:ascii="Times New Roman" w:eastAsia="Times New Roman" w:hAnsi="Times New Roman"/>
          <w:kern w:val="0"/>
          <w:lang w:eastAsia="en-GB"/>
        </w:rPr>
        <w:t xml:space="preserve">Repeated assessments </w:t>
      </w:r>
    </w:p>
    <w:p w14:paraId="6059190F" w14:textId="77777777" w:rsidR="004D7182" w:rsidRPr="004D7182" w:rsidRDefault="004D7182" w:rsidP="004D7182">
      <w:pPr>
        <w:numPr>
          <w:ilvl w:val="0"/>
          <w:numId w:val="15"/>
        </w:numPr>
        <w:spacing w:before="100" w:beforeAutospacing="1" w:after="100" w:afterAutospacing="1" w:line="240" w:lineRule="auto"/>
        <w:rPr>
          <w:rFonts w:ascii="Times New Roman" w:eastAsia="Times New Roman" w:hAnsi="Times New Roman"/>
          <w:kern w:val="0"/>
          <w:lang w:eastAsia="en-GB"/>
        </w:rPr>
      </w:pPr>
      <w:r w:rsidRPr="004D7182">
        <w:rPr>
          <w:rFonts w:ascii="Times New Roman" w:eastAsia="Times New Roman" w:hAnsi="Times New Roman"/>
          <w:kern w:val="0"/>
          <w:lang w:eastAsia="en-GB"/>
        </w:rPr>
        <w:t xml:space="preserve">Service-user frustration </w:t>
      </w:r>
    </w:p>
    <w:p w14:paraId="55235014" w14:textId="77777777" w:rsidR="004D7182" w:rsidRPr="004D7182" w:rsidRDefault="004D7182" w:rsidP="004D7182">
      <w:pPr>
        <w:numPr>
          <w:ilvl w:val="0"/>
          <w:numId w:val="15"/>
        </w:numPr>
        <w:spacing w:before="100" w:beforeAutospacing="1" w:after="100" w:afterAutospacing="1" w:line="240" w:lineRule="auto"/>
        <w:rPr>
          <w:rFonts w:ascii="Times New Roman" w:eastAsia="Times New Roman" w:hAnsi="Times New Roman"/>
          <w:kern w:val="0"/>
          <w:lang w:eastAsia="en-GB"/>
        </w:rPr>
      </w:pPr>
      <w:r w:rsidRPr="004D7182">
        <w:rPr>
          <w:rFonts w:ascii="Times New Roman" w:eastAsia="Times New Roman" w:hAnsi="Times New Roman"/>
          <w:kern w:val="0"/>
          <w:lang w:eastAsia="en-GB"/>
        </w:rPr>
        <w:t xml:space="preserve">Increased staff stress and burnout </w:t>
      </w:r>
    </w:p>
    <w:p w14:paraId="46C4043B" w14:textId="77777777" w:rsidR="004D7182" w:rsidRPr="004D7182" w:rsidRDefault="004D7182" w:rsidP="004D7182">
      <w:pPr>
        <w:numPr>
          <w:ilvl w:val="0"/>
          <w:numId w:val="15"/>
        </w:numPr>
        <w:spacing w:before="100" w:beforeAutospacing="1" w:after="100" w:afterAutospacing="1" w:line="240" w:lineRule="auto"/>
        <w:rPr>
          <w:rFonts w:ascii="Times New Roman" w:eastAsia="Times New Roman" w:hAnsi="Times New Roman"/>
          <w:kern w:val="0"/>
          <w:lang w:eastAsia="en-GB"/>
        </w:rPr>
      </w:pPr>
      <w:r w:rsidRPr="004D7182">
        <w:rPr>
          <w:rFonts w:ascii="Times New Roman" w:eastAsia="Times New Roman" w:hAnsi="Times New Roman"/>
          <w:kern w:val="0"/>
          <w:lang w:eastAsia="en-GB"/>
        </w:rPr>
        <w:t>Safeguarding risks</w:t>
      </w:r>
    </w:p>
    <w:p w14:paraId="380B6293" w14:textId="77777777" w:rsidR="006E7FB8" w:rsidRPr="006E7FB8" w:rsidRDefault="006E7FB8" w:rsidP="006E7FB8">
      <w:pPr>
        <w:spacing w:before="100" w:beforeAutospacing="1" w:after="100" w:afterAutospacing="1" w:line="240" w:lineRule="auto"/>
        <w:rPr>
          <w:rFonts w:ascii="Times New Roman" w:eastAsia="Times New Roman" w:hAnsi="Times New Roman"/>
          <w:kern w:val="0"/>
          <w:lang w:eastAsia="en-GB"/>
        </w:rPr>
      </w:pPr>
      <w:r w:rsidRPr="006E7FB8">
        <w:rPr>
          <w:rFonts w:ascii="Times New Roman" w:eastAsia="Times New Roman" w:hAnsi="Times New Roman"/>
          <w:b/>
          <w:bCs/>
          <w:kern w:val="0"/>
          <w:lang w:eastAsia="en-GB"/>
        </w:rPr>
        <w:t>Possible Solutions</w:t>
      </w:r>
    </w:p>
    <w:p w14:paraId="27D184AF" w14:textId="77777777" w:rsidR="006E7FB8" w:rsidRPr="006E7FB8" w:rsidRDefault="006E7FB8" w:rsidP="006E7FB8">
      <w:pPr>
        <w:numPr>
          <w:ilvl w:val="0"/>
          <w:numId w:val="16"/>
        </w:numPr>
        <w:spacing w:before="100" w:beforeAutospacing="1" w:after="100" w:afterAutospacing="1" w:line="240" w:lineRule="auto"/>
        <w:rPr>
          <w:rFonts w:ascii="Times New Roman" w:eastAsia="Times New Roman" w:hAnsi="Times New Roman"/>
          <w:kern w:val="0"/>
          <w:lang w:eastAsia="en-GB"/>
        </w:rPr>
      </w:pPr>
      <w:r w:rsidRPr="006E7FB8">
        <w:rPr>
          <w:rFonts w:ascii="Times New Roman" w:eastAsia="Times New Roman" w:hAnsi="Times New Roman"/>
          <w:kern w:val="0"/>
          <w:lang w:eastAsia="en-GB"/>
        </w:rPr>
        <w:t xml:space="preserve">Standardised handover tools (e.g. SBAR) </w:t>
      </w:r>
    </w:p>
    <w:p w14:paraId="2BDBFAE7" w14:textId="77777777" w:rsidR="006E7FB8" w:rsidRPr="006E7FB8" w:rsidRDefault="006E7FB8" w:rsidP="006E7FB8">
      <w:pPr>
        <w:numPr>
          <w:ilvl w:val="0"/>
          <w:numId w:val="16"/>
        </w:numPr>
        <w:spacing w:before="100" w:beforeAutospacing="1" w:after="100" w:afterAutospacing="1" w:line="240" w:lineRule="auto"/>
        <w:rPr>
          <w:rFonts w:ascii="Times New Roman" w:eastAsia="Times New Roman" w:hAnsi="Times New Roman"/>
          <w:kern w:val="0"/>
          <w:lang w:eastAsia="en-GB"/>
        </w:rPr>
      </w:pPr>
      <w:r w:rsidRPr="006E7FB8">
        <w:rPr>
          <w:rFonts w:ascii="Times New Roman" w:eastAsia="Times New Roman" w:hAnsi="Times New Roman"/>
          <w:kern w:val="0"/>
          <w:lang w:eastAsia="en-GB"/>
        </w:rPr>
        <w:t xml:space="preserve">Shared electronic care records </w:t>
      </w:r>
    </w:p>
    <w:p w14:paraId="313534C7" w14:textId="77777777" w:rsidR="006E7FB8" w:rsidRPr="006E7FB8" w:rsidRDefault="006E7FB8" w:rsidP="006E7FB8">
      <w:pPr>
        <w:numPr>
          <w:ilvl w:val="0"/>
          <w:numId w:val="16"/>
        </w:numPr>
        <w:spacing w:before="100" w:beforeAutospacing="1" w:after="100" w:afterAutospacing="1" w:line="240" w:lineRule="auto"/>
        <w:rPr>
          <w:rFonts w:ascii="Times New Roman" w:eastAsia="Times New Roman" w:hAnsi="Times New Roman"/>
          <w:kern w:val="0"/>
          <w:lang w:eastAsia="en-GB"/>
        </w:rPr>
      </w:pPr>
      <w:r w:rsidRPr="006E7FB8">
        <w:rPr>
          <w:rFonts w:ascii="Times New Roman" w:eastAsia="Times New Roman" w:hAnsi="Times New Roman"/>
          <w:kern w:val="0"/>
          <w:lang w:eastAsia="en-GB"/>
        </w:rPr>
        <w:t xml:space="preserve">Communication skills training </w:t>
      </w:r>
    </w:p>
    <w:p w14:paraId="61368D5C" w14:textId="77777777" w:rsidR="006E7FB8" w:rsidRPr="006E7FB8" w:rsidRDefault="006E7FB8" w:rsidP="006E7FB8">
      <w:pPr>
        <w:numPr>
          <w:ilvl w:val="0"/>
          <w:numId w:val="16"/>
        </w:numPr>
        <w:spacing w:before="100" w:beforeAutospacing="1" w:after="100" w:afterAutospacing="1" w:line="240" w:lineRule="auto"/>
        <w:rPr>
          <w:rFonts w:ascii="Times New Roman" w:eastAsia="Times New Roman" w:hAnsi="Times New Roman"/>
          <w:kern w:val="0"/>
          <w:lang w:eastAsia="en-GB"/>
        </w:rPr>
      </w:pPr>
      <w:r w:rsidRPr="006E7FB8">
        <w:rPr>
          <w:rFonts w:ascii="Times New Roman" w:eastAsia="Times New Roman" w:hAnsi="Times New Roman"/>
          <w:kern w:val="0"/>
          <w:lang w:eastAsia="en-GB"/>
        </w:rPr>
        <w:t xml:space="preserve">Regular MDT meetings </w:t>
      </w:r>
    </w:p>
    <w:p w14:paraId="04D9DED0" w14:textId="77777777" w:rsidR="006E7FB8" w:rsidRPr="006E7FB8" w:rsidRDefault="006E7FB8" w:rsidP="006E7FB8">
      <w:pPr>
        <w:numPr>
          <w:ilvl w:val="0"/>
          <w:numId w:val="16"/>
        </w:numPr>
        <w:spacing w:before="100" w:beforeAutospacing="1" w:after="100" w:afterAutospacing="1" w:line="240" w:lineRule="auto"/>
        <w:rPr>
          <w:rFonts w:ascii="Times New Roman" w:eastAsia="Times New Roman" w:hAnsi="Times New Roman"/>
          <w:kern w:val="0"/>
          <w:lang w:eastAsia="en-GB"/>
        </w:rPr>
      </w:pPr>
      <w:r w:rsidRPr="006E7FB8">
        <w:rPr>
          <w:rFonts w:ascii="Times New Roman" w:eastAsia="Times New Roman" w:hAnsi="Times New Roman"/>
          <w:kern w:val="0"/>
          <w:lang w:eastAsia="en-GB"/>
        </w:rPr>
        <w:t xml:space="preserve">Interpreter and advocacy services </w:t>
      </w:r>
    </w:p>
    <w:p w14:paraId="3545839E" w14:textId="77777777" w:rsidR="006E7FB8" w:rsidRDefault="006E7FB8" w:rsidP="006E7FB8">
      <w:pPr>
        <w:numPr>
          <w:ilvl w:val="0"/>
          <w:numId w:val="16"/>
        </w:numPr>
        <w:spacing w:before="100" w:beforeAutospacing="1" w:after="100" w:afterAutospacing="1" w:line="240" w:lineRule="auto"/>
        <w:rPr>
          <w:rFonts w:ascii="Times New Roman" w:eastAsia="Times New Roman" w:hAnsi="Times New Roman"/>
          <w:kern w:val="0"/>
          <w:lang w:eastAsia="en-GB"/>
        </w:rPr>
      </w:pPr>
      <w:r w:rsidRPr="006E7FB8">
        <w:rPr>
          <w:rFonts w:ascii="Times New Roman" w:eastAsia="Times New Roman" w:hAnsi="Times New Roman"/>
          <w:kern w:val="0"/>
          <w:lang w:eastAsia="en-GB"/>
        </w:rPr>
        <w:t>Leadership support for collaborative culture</w:t>
      </w:r>
    </w:p>
    <w:p w14:paraId="7C212E72" w14:textId="77777777" w:rsidR="00BD06A7" w:rsidRDefault="00BD06A7" w:rsidP="00BD06A7">
      <w:pPr>
        <w:spacing w:before="100" w:beforeAutospacing="1" w:after="100" w:afterAutospacing="1" w:line="240" w:lineRule="auto"/>
        <w:ind w:left="720"/>
        <w:rPr>
          <w:rFonts w:ascii="Times New Roman" w:eastAsia="Times New Roman" w:hAnsi="Times New Roman"/>
          <w:kern w:val="0"/>
          <w:lang w:eastAsia="en-GB"/>
        </w:rPr>
      </w:pPr>
    </w:p>
    <w:p w14:paraId="331F1EFA" w14:textId="18CEEE08" w:rsidR="00BD06A7" w:rsidRPr="006E7FB8" w:rsidRDefault="00BD06A7" w:rsidP="00E807EF">
      <w:pPr>
        <w:spacing w:before="100" w:beforeAutospacing="1" w:after="100" w:afterAutospacing="1" w:line="240" w:lineRule="auto"/>
        <w:jc w:val="both"/>
        <w:rPr>
          <w:rFonts w:ascii="AriEL" w:eastAsia="Times New Roman" w:hAnsi="AriEL"/>
          <w:kern w:val="0"/>
          <w:sz w:val="22"/>
          <w:szCs w:val="22"/>
          <w:lang w:eastAsia="en-GB"/>
        </w:rPr>
      </w:pPr>
      <w:r w:rsidRPr="00346B03">
        <w:rPr>
          <w:rFonts w:ascii="AriEL" w:hAnsi="AriEL"/>
          <w:sz w:val="22"/>
          <w:szCs w:val="22"/>
        </w:rPr>
        <w:t xml:space="preserve">A significant problem in health and social care practice is </w:t>
      </w:r>
      <w:r w:rsidRPr="00346B03">
        <w:rPr>
          <w:rStyle w:val="Strong"/>
          <w:rFonts w:ascii="AriEL" w:hAnsi="AriEL"/>
          <w:b w:val="0"/>
          <w:bCs w:val="0"/>
          <w:sz w:val="22"/>
          <w:szCs w:val="22"/>
        </w:rPr>
        <w:t>poor communication</w:t>
      </w:r>
      <w:r w:rsidRPr="00346B03">
        <w:rPr>
          <w:rStyle w:val="Strong"/>
          <w:rFonts w:ascii="AriEL" w:hAnsi="AriEL"/>
          <w:sz w:val="22"/>
          <w:szCs w:val="22"/>
        </w:rPr>
        <w:t xml:space="preserve"> </w:t>
      </w:r>
      <w:r w:rsidRPr="00346B03">
        <w:rPr>
          <w:rStyle w:val="Strong"/>
          <w:rFonts w:ascii="AriEL" w:hAnsi="AriEL"/>
          <w:b w:val="0"/>
          <w:bCs w:val="0"/>
          <w:sz w:val="22"/>
          <w:szCs w:val="22"/>
        </w:rPr>
        <w:t>between professionals</w:t>
      </w:r>
      <w:r w:rsidRPr="00346B03">
        <w:rPr>
          <w:rFonts w:ascii="AriEL" w:hAnsi="AriEL"/>
          <w:sz w:val="22"/>
          <w:szCs w:val="22"/>
        </w:rPr>
        <w:t xml:space="preserve">, particularly during handovers and multidisciplinary working. This matters because ineffective communication can lead to delayed treatment, medication errors, and reduced patient safety. The mind map shows how the issue is caused by interconnected factors, including staff shortages, fragmented digital systems, and inconsistent handover processes. These causes influence serious impacts such as service-user dissatisfaction, duplication of work, and staff burnout, which may further reduce care quality. If not addressed, the problem can increase safeguarding concerns and worsen health outcomes, especially for older adults and people with complex needs who rely on coordinated care. A </w:t>
      </w:r>
      <w:r w:rsidRPr="00346B03">
        <w:rPr>
          <w:rStyle w:val="Strong"/>
          <w:rFonts w:ascii="AriEL" w:hAnsi="AriEL"/>
          <w:b w:val="0"/>
          <w:bCs w:val="0"/>
          <w:sz w:val="22"/>
          <w:szCs w:val="22"/>
        </w:rPr>
        <w:t>systems thinking approach</w:t>
      </w:r>
      <w:r w:rsidRPr="00346B03">
        <w:rPr>
          <w:rFonts w:ascii="AriEL" w:hAnsi="AriEL"/>
          <w:sz w:val="22"/>
          <w:szCs w:val="22"/>
        </w:rPr>
        <w:t xml:space="preserve"> is relevant because it recognises that communication failures emerge from wider organisational and structural factors rather than individual mistakes alone (Meadows, 2008).</w:t>
      </w:r>
    </w:p>
    <w:p w14:paraId="05111EBB" w14:textId="77777777" w:rsidR="004D7182" w:rsidRPr="009537F6" w:rsidRDefault="004D7182" w:rsidP="009537F6">
      <w:pPr>
        <w:spacing w:before="100" w:beforeAutospacing="1" w:after="100" w:afterAutospacing="1" w:line="240" w:lineRule="auto"/>
        <w:rPr>
          <w:rFonts w:ascii="Times New Roman" w:eastAsia="Times New Roman" w:hAnsi="Times New Roman"/>
          <w:kern w:val="0"/>
          <w:lang w:eastAsia="en-GB"/>
        </w:rPr>
      </w:pPr>
    </w:p>
    <w:p w14:paraId="09CD798E" w14:textId="77777777" w:rsidR="00E86167" w:rsidRPr="00E86167" w:rsidRDefault="00E86167" w:rsidP="00E86167">
      <w:pPr>
        <w:spacing w:before="100" w:beforeAutospacing="1" w:after="100" w:afterAutospacing="1" w:line="240" w:lineRule="auto"/>
        <w:outlineLvl w:val="0"/>
        <w:rPr>
          <w:rFonts w:ascii="Times New Roman" w:eastAsia="Times New Roman" w:hAnsi="Times New Roman"/>
          <w:b/>
          <w:bCs/>
          <w:kern w:val="36"/>
          <w:sz w:val="48"/>
          <w:szCs w:val="48"/>
          <w:lang w:eastAsia="en-GB"/>
        </w:rPr>
      </w:pPr>
      <w:bookmarkStart w:id="12" w:name="_Toc226049178"/>
      <w:bookmarkStart w:id="13" w:name="_Toc226049401"/>
      <w:r w:rsidRPr="00E86167">
        <w:rPr>
          <w:rFonts w:ascii="Times New Roman" w:eastAsia="Times New Roman" w:hAnsi="Times New Roman"/>
          <w:b/>
          <w:bCs/>
          <w:kern w:val="36"/>
          <w:sz w:val="48"/>
          <w:szCs w:val="48"/>
          <w:lang w:eastAsia="en-GB"/>
        </w:rPr>
        <w:t>Task 3 – Self-Reflection of Group Activity (Gibbs, 1988)</w:t>
      </w:r>
      <w:bookmarkEnd w:id="12"/>
      <w:bookmarkEnd w:id="13"/>
    </w:p>
    <w:p w14:paraId="2ABCEABE" w14:textId="77777777" w:rsidR="00E86167" w:rsidRPr="00E86167" w:rsidRDefault="00E86167" w:rsidP="00E807EF">
      <w:pPr>
        <w:spacing w:before="100" w:beforeAutospacing="1" w:after="100" w:afterAutospacing="1" w:line="240" w:lineRule="auto"/>
        <w:jc w:val="both"/>
        <w:rPr>
          <w:rFonts w:ascii="AriEL" w:eastAsia="Times New Roman" w:hAnsi="AriEL"/>
          <w:kern w:val="0"/>
          <w:sz w:val="22"/>
          <w:szCs w:val="22"/>
          <w:lang w:eastAsia="en-GB"/>
        </w:rPr>
      </w:pPr>
      <w:r w:rsidRPr="00E86167">
        <w:rPr>
          <w:rFonts w:ascii="AriEL" w:eastAsia="Times New Roman" w:hAnsi="AriEL"/>
          <w:kern w:val="0"/>
          <w:sz w:val="22"/>
          <w:szCs w:val="22"/>
          <w:lang w:eastAsia="en-GB"/>
        </w:rPr>
        <w:t xml:space="preserve">Using </w:t>
      </w:r>
      <w:r w:rsidRPr="00E86167">
        <w:rPr>
          <w:rFonts w:ascii="AriEL" w:eastAsia="Times New Roman" w:hAnsi="AriEL"/>
          <w:b/>
          <w:bCs/>
          <w:kern w:val="0"/>
          <w:sz w:val="22"/>
          <w:szCs w:val="22"/>
          <w:lang w:eastAsia="en-GB"/>
        </w:rPr>
        <w:t>Gibbs’ Reflective Cycle (1988)</w:t>
      </w:r>
      <w:r w:rsidRPr="00E86167">
        <w:rPr>
          <w:rFonts w:ascii="AriEL" w:eastAsia="Times New Roman" w:hAnsi="AriEL"/>
          <w:kern w:val="0"/>
          <w:sz w:val="22"/>
          <w:szCs w:val="22"/>
          <w:lang w:eastAsia="en-GB"/>
        </w:rPr>
        <w:t>, this reflection evaluates my experience of the convergent and divergent thinking group activity. Divergent thinking involves generating multiple creative ideas, whereas convergent thinking focuses on analysing options and selecting the most effective solution. During the activity, our group explored ways to reduce digital exclusion in older adults accessing healthcare. In the early stage, I contributed through divergent thinking by suggesting several ideas, including digital literacy workshops, family support, and simplified apps. When the group struggled to agree on the most practical intervention, I used convergent thinking by proposing a pros-and-cons list to compare feasibility, cost, and impact.</w:t>
      </w:r>
    </w:p>
    <w:p w14:paraId="2C8650AB" w14:textId="77777777" w:rsidR="00E86167" w:rsidRPr="00E807EF" w:rsidRDefault="00E86167" w:rsidP="00E807EF">
      <w:pPr>
        <w:spacing w:before="100" w:beforeAutospacing="1" w:after="100" w:afterAutospacing="1" w:line="240" w:lineRule="auto"/>
        <w:jc w:val="both"/>
        <w:rPr>
          <w:rFonts w:ascii="AriEL" w:eastAsia="Times New Roman" w:hAnsi="AriEL"/>
          <w:kern w:val="0"/>
          <w:sz w:val="22"/>
          <w:szCs w:val="22"/>
          <w:lang w:eastAsia="en-GB"/>
        </w:rPr>
      </w:pPr>
      <w:r w:rsidRPr="00E86167">
        <w:rPr>
          <w:rFonts w:ascii="AriEL" w:eastAsia="Times New Roman" w:hAnsi="AriEL"/>
          <w:kern w:val="0"/>
          <w:sz w:val="22"/>
          <w:szCs w:val="22"/>
          <w:lang w:eastAsia="en-GB"/>
        </w:rPr>
        <w:t>This helped the group move from broad idea generation to a realistic solution, improving teamwork and decision-making. Reflecting on this, I learned that divergent thinking feels more natural to me because I enjoy generating possibilities; however, I also recognised the importance of structured evaluation in collaborative work. The activity strengthened my confidence in facilitating group discussions and balancing creativity with logic. According to Moon (2004), reflective practice supports deeper learning by helping individuals critically evaluate their actions. Next time, I would contribute earlier to the decision-making stage and encourage quieter group members to share their ideas to improve inclusivity and team effectiveness.</w:t>
      </w:r>
    </w:p>
    <w:p w14:paraId="2A84202E" w14:textId="77777777" w:rsidR="00F47AFE" w:rsidRDefault="00F47AFE" w:rsidP="00E86167">
      <w:pPr>
        <w:spacing w:before="100" w:beforeAutospacing="1" w:after="100" w:afterAutospacing="1" w:line="240" w:lineRule="auto"/>
        <w:rPr>
          <w:rFonts w:ascii="Times New Roman" w:eastAsia="Times New Roman" w:hAnsi="Times New Roman"/>
          <w:kern w:val="0"/>
          <w:lang w:eastAsia="en-GB"/>
        </w:rPr>
      </w:pPr>
    </w:p>
    <w:p w14:paraId="2C637E75" w14:textId="77777777" w:rsidR="00F47AFE" w:rsidRDefault="00F47AFE" w:rsidP="00E86167">
      <w:pPr>
        <w:spacing w:before="100" w:beforeAutospacing="1" w:after="100" w:afterAutospacing="1" w:line="240" w:lineRule="auto"/>
        <w:rPr>
          <w:rFonts w:ascii="Times New Roman" w:eastAsia="Times New Roman" w:hAnsi="Times New Roman"/>
          <w:kern w:val="0"/>
          <w:lang w:eastAsia="en-GB"/>
        </w:rPr>
      </w:pPr>
    </w:p>
    <w:p w14:paraId="7EF133C2" w14:textId="77777777" w:rsidR="00E807EF" w:rsidRDefault="00E807EF" w:rsidP="00E86167">
      <w:pPr>
        <w:spacing w:before="100" w:beforeAutospacing="1" w:after="100" w:afterAutospacing="1" w:line="240" w:lineRule="auto"/>
        <w:rPr>
          <w:rFonts w:ascii="Times New Roman" w:eastAsia="Times New Roman" w:hAnsi="Times New Roman"/>
          <w:kern w:val="0"/>
          <w:lang w:eastAsia="en-GB"/>
        </w:rPr>
      </w:pPr>
    </w:p>
    <w:p w14:paraId="002C9C1B" w14:textId="77777777" w:rsidR="00E807EF" w:rsidRDefault="00E807EF" w:rsidP="00E86167">
      <w:pPr>
        <w:spacing w:before="100" w:beforeAutospacing="1" w:after="100" w:afterAutospacing="1" w:line="240" w:lineRule="auto"/>
        <w:rPr>
          <w:rFonts w:ascii="Times New Roman" w:eastAsia="Times New Roman" w:hAnsi="Times New Roman"/>
          <w:kern w:val="0"/>
          <w:lang w:eastAsia="en-GB"/>
        </w:rPr>
      </w:pPr>
    </w:p>
    <w:p w14:paraId="6004E05C" w14:textId="77777777" w:rsidR="00E807EF" w:rsidRDefault="00E807EF" w:rsidP="00E86167">
      <w:pPr>
        <w:spacing w:before="100" w:beforeAutospacing="1" w:after="100" w:afterAutospacing="1" w:line="240" w:lineRule="auto"/>
        <w:rPr>
          <w:rFonts w:ascii="Times New Roman" w:eastAsia="Times New Roman" w:hAnsi="Times New Roman"/>
          <w:kern w:val="0"/>
          <w:lang w:eastAsia="en-GB"/>
        </w:rPr>
      </w:pPr>
    </w:p>
    <w:p w14:paraId="4591C3A3" w14:textId="77777777" w:rsidR="00F47AFE" w:rsidRPr="00E86167" w:rsidRDefault="00F47AFE" w:rsidP="00E86167">
      <w:pPr>
        <w:spacing w:before="100" w:beforeAutospacing="1" w:after="100" w:afterAutospacing="1" w:line="240" w:lineRule="auto"/>
        <w:rPr>
          <w:rFonts w:ascii="Times New Roman" w:eastAsia="Times New Roman" w:hAnsi="Times New Roman"/>
          <w:kern w:val="0"/>
          <w:lang w:eastAsia="en-GB"/>
        </w:rPr>
      </w:pPr>
    </w:p>
    <w:p w14:paraId="008EDE4E" w14:textId="77777777" w:rsidR="00F47AFE" w:rsidRPr="00F47AFE" w:rsidRDefault="00F47AFE" w:rsidP="00F47AFE">
      <w:pPr>
        <w:spacing w:before="100" w:beforeAutospacing="1" w:after="100" w:afterAutospacing="1" w:line="240" w:lineRule="auto"/>
        <w:outlineLvl w:val="0"/>
        <w:rPr>
          <w:rFonts w:ascii="Times New Roman" w:eastAsia="Times New Roman" w:hAnsi="Times New Roman"/>
          <w:b/>
          <w:bCs/>
          <w:kern w:val="36"/>
          <w:sz w:val="48"/>
          <w:szCs w:val="48"/>
          <w:lang w:eastAsia="en-GB"/>
        </w:rPr>
      </w:pPr>
      <w:bookmarkStart w:id="14" w:name="_Toc226049179"/>
      <w:bookmarkStart w:id="15" w:name="_Toc226049402"/>
      <w:r w:rsidRPr="00F47AFE">
        <w:rPr>
          <w:rFonts w:ascii="Times New Roman" w:eastAsia="Times New Roman" w:hAnsi="Times New Roman"/>
          <w:b/>
          <w:bCs/>
          <w:kern w:val="36"/>
          <w:sz w:val="48"/>
          <w:szCs w:val="48"/>
          <w:lang w:eastAsia="en-GB"/>
        </w:rPr>
        <w:lastRenderedPageBreak/>
        <w:t>Task 4 – Case Study Analysis of a UK Innovation: NHS Virtual Wards</w:t>
      </w:r>
      <w:bookmarkEnd w:id="14"/>
      <w:bookmarkEnd w:id="15"/>
    </w:p>
    <w:p w14:paraId="03F3132F" w14:textId="77777777" w:rsidR="00F47AFE" w:rsidRPr="00F47AFE" w:rsidRDefault="00F47AFE" w:rsidP="00E807EF">
      <w:pPr>
        <w:spacing w:before="100" w:beforeAutospacing="1" w:after="100" w:afterAutospacing="1" w:line="240" w:lineRule="auto"/>
        <w:jc w:val="both"/>
        <w:rPr>
          <w:rFonts w:ascii="Arial" w:eastAsia="Times New Roman" w:hAnsi="Arial" w:cs="Arial"/>
          <w:kern w:val="0"/>
          <w:sz w:val="22"/>
          <w:szCs w:val="22"/>
          <w:lang w:eastAsia="en-GB"/>
        </w:rPr>
      </w:pPr>
      <w:r w:rsidRPr="00F47AFE">
        <w:rPr>
          <w:rFonts w:ascii="Arial" w:eastAsia="Times New Roman" w:hAnsi="Arial" w:cs="Arial"/>
          <w:kern w:val="0"/>
          <w:sz w:val="22"/>
          <w:szCs w:val="22"/>
          <w:lang w:eastAsia="en-GB"/>
        </w:rPr>
        <w:t xml:space="preserve">A significant innovation in the NHS is the </w:t>
      </w:r>
      <w:r w:rsidRPr="00F47AFE">
        <w:rPr>
          <w:rFonts w:ascii="Arial" w:eastAsia="Times New Roman" w:hAnsi="Arial" w:cs="Arial"/>
          <w:b/>
          <w:bCs/>
          <w:kern w:val="0"/>
          <w:sz w:val="22"/>
          <w:szCs w:val="22"/>
          <w:lang w:eastAsia="en-GB"/>
        </w:rPr>
        <w:t>virtual ward model</w:t>
      </w:r>
      <w:r w:rsidRPr="00F47AFE">
        <w:rPr>
          <w:rFonts w:ascii="Arial" w:eastAsia="Times New Roman" w:hAnsi="Arial" w:cs="Arial"/>
          <w:kern w:val="0"/>
          <w:sz w:val="22"/>
          <w:szCs w:val="22"/>
          <w:lang w:eastAsia="en-GB"/>
        </w:rPr>
        <w:t>, developed to address hospital overcrowding, delayed discharges, and rising demand for acute beds. The core need was to provide safe hospital-level care for suitable patients at home while reducing pressure on inpatient services. Creativity supported this innovation through the combination of remote monitoring technology, digital communication platforms, and multidisciplinary home-based care, allowing clinicians to redesign traditional ward-based treatment pathways into community settings. This creative reconfiguration of care reflects Rogers’ Diffusion of</w:t>
      </w:r>
      <w:r w:rsidRPr="00F47AFE">
        <w:rPr>
          <w:rFonts w:ascii="Arial" w:eastAsia="Times New Roman" w:hAnsi="Arial" w:cs="Arial"/>
          <w:b/>
          <w:bCs/>
          <w:kern w:val="0"/>
          <w:sz w:val="22"/>
          <w:szCs w:val="22"/>
          <w:lang w:eastAsia="en-GB"/>
        </w:rPr>
        <w:t xml:space="preserve"> </w:t>
      </w:r>
      <w:r w:rsidRPr="00F47AFE">
        <w:rPr>
          <w:rFonts w:ascii="Arial" w:eastAsia="Times New Roman" w:hAnsi="Arial" w:cs="Arial"/>
          <w:kern w:val="0"/>
          <w:sz w:val="22"/>
          <w:szCs w:val="22"/>
          <w:lang w:eastAsia="en-GB"/>
        </w:rPr>
        <w:t>Innovation Theory, which explains how innovations spread when they are perceived as useful, practical, and beneficial to staff and patients (Rogers, 2003).</w:t>
      </w:r>
    </w:p>
    <w:p w14:paraId="1F339212" w14:textId="77777777" w:rsidR="00F47AFE" w:rsidRPr="00E807EF" w:rsidRDefault="00F47AFE" w:rsidP="00E807EF">
      <w:pPr>
        <w:spacing w:before="100" w:beforeAutospacing="1" w:after="100" w:afterAutospacing="1" w:line="240" w:lineRule="auto"/>
        <w:jc w:val="both"/>
        <w:rPr>
          <w:rFonts w:ascii="Arial" w:eastAsia="Times New Roman" w:hAnsi="Arial" w:cs="Arial"/>
          <w:kern w:val="0"/>
          <w:sz w:val="22"/>
          <w:szCs w:val="22"/>
          <w:lang w:eastAsia="en-GB"/>
        </w:rPr>
      </w:pPr>
      <w:r w:rsidRPr="00F47AFE">
        <w:rPr>
          <w:rFonts w:ascii="Arial" w:eastAsia="Times New Roman" w:hAnsi="Arial" w:cs="Arial"/>
          <w:kern w:val="0"/>
          <w:sz w:val="22"/>
          <w:szCs w:val="22"/>
          <w:lang w:eastAsia="en-GB"/>
        </w:rPr>
        <w:t xml:space="preserve">The value created is significant for service users, staff, and the wider system. Patients benefit from recovering in familiar home environments, reducing infection risk and improving comfort, while staff can manage capacity more flexibly across acute and community services. At system level, virtual wards help prevent avoidable admissions and support earlier discharge. Reported outcomes show improved patient experience, better bed availability, and increased national capacity through scaled virtual ward services across England. NHS England reports that virtual wards continue to reduce pressure on hospital beds and support safe care closer to home. </w:t>
      </w:r>
    </w:p>
    <w:p w14:paraId="5D7667ED" w14:textId="77777777" w:rsidR="00A35997" w:rsidRPr="00A35997" w:rsidRDefault="00A35997" w:rsidP="00A35997">
      <w:pPr>
        <w:spacing w:before="100" w:beforeAutospacing="1" w:after="100" w:afterAutospacing="1" w:line="240" w:lineRule="auto"/>
        <w:outlineLvl w:val="0"/>
        <w:rPr>
          <w:rFonts w:ascii="Times New Roman" w:eastAsia="Times New Roman" w:hAnsi="Times New Roman"/>
          <w:b/>
          <w:bCs/>
          <w:kern w:val="36"/>
          <w:sz w:val="48"/>
          <w:szCs w:val="48"/>
          <w:lang w:eastAsia="en-GB"/>
        </w:rPr>
      </w:pPr>
      <w:bookmarkStart w:id="16" w:name="_Toc226049180"/>
      <w:bookmarkStart w:id="17" w:name="_Toc226049403"/>
      <w:r w:rsidRPr="00A35997">
        <w:rPr>
          <w:rFonts w:ascii="Times New Roman" w:eastAsia="Times New Roman" w:hAnsi="Times New Roman"/>
          <w:b/>
          <w:bCs/>
          <w:kern w:val="36"/>
          <w:sz w:val="48"/>
          <w:szCs w:val="48"/>
          <w:lang w:eastAsia="en-GB"/>
        </w:rPr>
        <w:t>Task 5 – Research Task: Staff Stress and Burnout in Health and Social Care</w:t>
      </w:r>
      <w:bookmarkEnd w:id="16"/>
      <w:bookmarkEnd w:id="17"/>
    </w:p>
    <w:p w14:paraId="227DD274" w14:textId="77777777" w:rsidR="00A35997" w:rsidRPr="00A35997" w:rsidRDefault="00A35997" w:rsidP="00E807EF">
      <w:pPr>
        <w:spacing w:before="100" w:beforeAutospacing="1" w:after="100" w:afterAutospacing="1" w:line="240" w:lineRule="auto"/>
        <w:jc w:val="both"/>
        <w:rPr>
          <w:rFonts w:ascii="Arial" w:eastAsia="Times New Roman" w:hAnsi="Arial" w:cs="Arial"/>
          <w:kern w:val="0"/>
          <w:sz w:val="22"/>
          <w:szCs w:val="22"/>
          <w:lang w:eastAsia="en-GB"/>
        </w:rPr>
      </w:pPr>
      <w:r w:rsidRPr="00A35997">
        <w:rPr>
          <w:rFonts w:ascii="Arial" w:eastAsia="Times New Roman" w:hAnsi="Arial" w:cs="Arial"/>
          <w:kern w:val="0"/>
          <w:sz w:val="22"/>
          <w:szCs w:val="22"/>
          <w:lang w:eastAsia="en-GB"/>
        </w:rPr>
        <w:t xml:space="preserve">A current issue in health and social care is staff stress and burnout, which is increasingly visible in NHS and care settings through sickness absence, reduced morale, and staff turnover. Hall </w:t>
      </w:r>
      <w:r w:rsidRPr="00A35997">
        <w:rPr>
          <w:rFonts w:ascii="Arial" w:eastAsia="Times New Roman" w:hAnsi="Arial" w:cs="Arial"/>
          <w:i/>
          <w:iCs/>
          <w:kern w:val="0"/>
          <w:sz w:val="22"/>
          <w:szCs w:val="22"/>
          <w:lang w:eastAsia="en-GB"/>
        </w:rPr>
        <w:t>et al.</w:t>
      </w:r>
      <w:r w:rsidRPr="00A35997">
        <w:rPr>
          <w:rFonts w:ascii="Arial" w:eastAsia="Times New Roman" w:hAnsi="Arial" w:cs="Arial"/>
          <w:kern w:val="0"/>
          <w:sz w:val="22"/>
          <w:szCs w:val="22"/>
          <w:lang w:eastAsia="en-GB"/>
        </w:rPr>
        <w:t xml:space="preserve"> (2016) found that key causes include high workload, low staffing levels, emotional exhaustion, and sustained pressure linked to patient safety responsibilities. Their systematic review helps explain how burnout develops in real practice, particularly where nurses and doctors manage complex caseloads with insufficient support. This is often seen in wards experiencing staff shortages, where pressure increases the risk of errors and lower care quality. </w:t>
      </w:r>
    </w:p>
    <w:p w14:paraId="4FFF806F" w14:textId="77777777" w:rsidR="00A35997" w:rsidRDefault="00A35997" w:rsidP="00E807EF">
      <w:pPr>
        <w:spacing w:before="100" w:beforeAutospacing="1" w:after="100" w:afterAutospacing="1" w:line="240" w:lineRule="auto"/>
        <w:jc w:val="both"/>
        <w:rPr>
          <w:rFonts w:ascii="Arial" w:eastAsia="Times New Roman" w:hAnsi="Arial" w:cs="Arial"/>
          <w:kern w:val="0"/>
          <w:sz w:val="22"/>
          <w:szCs w:val="22"/>
          <w:lang w:eastAsia="en-GB"/>
        </w:rPr>
      </w:pPr>
      <w:r w:rsidRPr="00A35997">
        <w:rPr>
          <w:rFonts w:ascii="Arial" w:eastAsia="Times New Roman" w:hAnsi="Arial" w:cs="Arial"/>
          <w:kern w:val="0"/>
          <w:sz w:val="22"/>
          <w:szCs w:val="22"/>
          <w:lang w:eastAsia="en-GB"/>
        </w:rPr>
        <w:t xml:space="preserve">Similarly, Montgomery </w:t>
      </w:r>
      <w:r w:rsidRPr="00A35997">
        <w:rPr>
          <w:rFonts w:ascii="Arial" w:eastAsia="Times New Roman" w:hAnsi="Arial" w:cs="Arial"/>
          <w:i/>
          <w:iCs/>
          <w:kern w:val="0"/>
          <w:sz w:val="22"/>
          <w:szCs w:val="22"/>
          <w:lang w:eastAsia="en-GB"/>
        </w:rPr>
        <w:t>et al.</w:t>
      </w:r>
      <w:r w:rsidRPr="00A35997">
        <w:rPr>
          <w:rFonts w:ascii="Arial" w:eastAsia="Times New Roman" w:hAnsi="Arial" w:cs="Arial"/>
          <w:kern w:val="0"/>
          <w:sz w:val="22"/>
          <w:szCs w:val="22"/>
          <w:lang w:eastAsia="en-GB"/>
        </w:rPr>
        <w:t xml:space="preserve"> (2019) argue that burnout is strongly influenced by organisational factors such as poor leadership, limited autonomy, and inefficient</w:t>
      </w:r>
      <w:r w:rsidRPr="00A35997">
        <w:rPr>
          <w:rFonts w:ascii="Arial" w:eastAsia="Times New Roman" w:hAnsi="Arial" w:cs="Arial"/>
          <w:b/>
          <w:bCs/>
          <w:kern w:val="0"/>
          <w:sz w:val="22"/>
          <w:szCs w:val="22"/>
          <w:lang w:eastAsia="en-GB"/>
        </w:rPr>
        <w:t xml:space="preserve"> </w:t>
      </w:r>
      <w:r w:rsidRPr="00A35997">
        <w:rPr>
          <w:rFonts w:ascii="Arial" w:eastAsia="Times New Roman" w:hAnsi="Arial" w:cs="Arial"/>
          <w:kern w:val="0"/>
          <w:sz w:val="22"/>
          <w:szCs w:val="22"/>
          <w:lang w:eastAsia="en-GB"/>
        </w:rPr>
        <w:t xml:space="preserve">systems, rather than individual weakness alone. This supports Maslach’s Burnout Theory, which links emotional exhaustion, depersonalisation, and reduced personal accomplishment to workplace conditions. Their findings deepen understanding by showing that systems-level issues, not only workload, contribute to stress in healthcare teams. </w:t>
      </w:r>
    </w:p>
    <w:p w14:paraId="315F2CDA" w14:textId="77777777" w:rsidR="00E807EF" w:rsidRPr="00E807EF" w:rsidRDefault="00E807EF" w:rsidP="00E807EF">
      <w:pPr>
        <w:spacing w:before="100" w:beforeAutospacing="1" w:after="100" w:afterAutospacing="1" w:line="240" w:lineRule="auto"/>
        <w:jc w:val="both"/>
        <w:rPr>
          <w:rFonts w:ascii="Arial" w:eastAsia="Times New Roman" w:hAnsi="Arial" w:cs="Arial"/>
          <w:kern w:val="0"/>
          <w:sz w:val="22"/>
          <w:szCs w:val="22"/>
          <w:lang w:eastAsia="en-GB"/>
        </w:rPr>
      </w:pPr>
    </w:p>
    <w:p w14:paraId="27C0704E" w14:textId="77777777" w:rsidR="00A6624B" w:rsidRPr="00A35997" w:rsidRDefault="00A6624B" w:rsidP="00A35997">
      <w:pPr>
        <w:spacing w:before="100" w:beforeAutospacing="1" w:after="100" w:afterAutospacing="1" w:line="240" w:lineRule="auto"/>
        <w:rPr>
          <w:rFonts w:ascii="Times New Roman" w:eastAsia="Times New Roman" w:hAnsi="Times New Roman"/>
          <w:kern w:val="0"/>
          <w:lang w:eastAsia="en-GB"/>
        </w:rPr>
      </w:pPr>
    </w:p>
    <w:p w14:paraId="402BCD7B" w14:textId="77777777" w:rsidR="00A35997" w:rsidRDefault="00A35997" w:rsidP="00F47AFE">
      <w:pPr>
        <w:spacing w:before="100" w:beforeAutospacing="1" w:after="100" w:afterAutospacing="1" w:line="240" w:lineRule="auto"/>
        <w:rPr>
          <w:rFonts w:ascii="Times New Roman" w:eastAsia="Times New Roman" w:hAnsi="Times New Roman"/>
          <w:kern w:val="0"/>
          <w:lang w:eastAsia="en-GB"/>
        </w:rPr>
      </w:pPr>
    </w:p>
    <w:p w14:paraId="1D818460" w14:textId="2A6AFA1E" w:rsidR="00832CEB" w:rsidRPr="00CC27B3" w:rsidRDefault="00832CEB" w:rsidP="00F47AFE">
      <w:pPr>
        <w:spacing w:before="100" w:beforeAutospacing="1" w:after="100" w:afterAutospacing="1" w:line="240" w:lineRule="auto"/>
        <w:rPr>
          <w:rFonts w:ascii="Times New Roman" w:eastAsia="Times New Roman" w:hAnsi="Times New Roman"/>
          <w:b/>
          <w:bCs/>
          <w:kern w:val="0"/>
          <w:sz w:val="36"/>
          <w:szCs w:val="36"/>
          <w:lang w:eastAsia="en-GB"/>
        </w:rPr>
      </w:pPr>
      <w:r w:rsidRPr="00A6624B">
        <w:rPr>
          <w:rFonts w:ascii="Times New Roman" w:eastAsia="Times New Roman" w:hAnsi="Times New Roman"/>
          <w:b/>
          <w:bCs/>
          <w:kern w:val="0"/>
          <w:sz w:val="44"/>
          <w:szCs w:val="44"/>
          <w:lang w:eastAsia="en-GB"/>
        </w:rPr>
        <w:lastRenderedPageBreak/>
        <w:t>T</w:t>
      </w:r>
      <w:r w:rsidR="00040297" w:rsidRPr="00A6624B">
        <w:rPr>
          <w:rFonts w:ascii="Times New Roman" w:eastAsia="Times New Roman" w:hAnsi="Times New Roman"/>
          <w:b/>
          <w:bCs/>
          <w:kern w:val="0"/>
          <w:sz w:val="44"/>
          <w:szCs w:val="44"/>
          <w:lang w:eastAsia="en-GB"/>
        </w:rPr>
        <w:t xml:space="preserve">ask 6 </w:t>
      </w:r>
      <w:r w:rsidR="00B30E61" w:rsidRPr="00B30E61">
        <w:rPr>
          <w:rFonts w:ascii="Times New Roman" w:eastAsia="Times New Roman" w:hAnsi="Times New Roman"/>
          <w:b/>
          <w:bCs/>
          <w:kern w:val="0"/>
          <w:sz w:val="32"/>
          <w:szCs w:val="32"/>
          <w:lang w:eastAsia="en-GB"/>
        </w:rPr>
        <w:t>-</w:t>
      </w:r>
      <w:r w:rsidR="00B30E61" w:rsidRPr="00B30E61">
        <w:rPr>
          <w:b/>
          <w:bCs/>
          <w:sz w:val="32"/>
          <w:szCs w:val="32"/>
        </w:rPr>
        <w:t xml:space="preserve"> </w:t>
      </w:r>
      <w:r w:rsidR="00B30E61" w:rsidRPr="00CC27B3">
        <w:rPr>
          <w:b/>
          <w:bCs/>
          <w:sz w:val="36"/>
          <w:szCs w:val="36"/>
        </w:rPr>
        <w:t>Exploring Digital Innovation in Health and Social Care</w:t>
      </w:r>
    </w:p>
    <w:p w14:paraId="1AFBEE97" w14:textId="7AFBF476" w:rsidR="00B866C4" w:rsidRPr="00F23517" w:rsidRDefault="00F23517" w:rsidP="00F47AFE">
      <w:pPr>
        <w:spacing w:before="100" w:beforeAutospacing="1" w:after="100" w:afterAutospacing="1" w:line="240" w:lineRule="auto"/>
        <w:rPr>
          <w:rFonts w:ascii="Times New Roman" w:eastAsia="Times New Roman" w:hAnsi="Times New Roman"/>
          <w:b/>
          <w:bCs/>
          <w:kern w:val="0"/>
          <w:sz w:val="32"/>
          <w:szCs w:val="32"/>
          <w:lang w:eastAsia="en-GB"/>
        </w:rPr>
      </w:pPr>
      <w:r w:rsidRPr="00AA34C5">
        <w:rPr>
          <w:rFonts w:ascii="Times New Roman" w:eastAsia="Times New Roman" w:hAnsi="Times New Roman"/>
          <w:b/>
          <w:bCs/>
          <w:kern w:val="0"/>
          <w:sz w:val="32"/>
          <w:szCs w:val="32"/>
          <w:lang w:eastAsia="en-GB"/>
        </w:rPr>
        <w:t>1</w:t>
      </w:r>
      <w:r w:rsidR="00B866C4">
        <w:rPr>
          <w:rFonts w:ascii="Times New Roman" w:eastAsia="Times New Roman" w:hAnsi="Times New Roman"/>
          <w:b/>
          <w:bCs/>
          <w:kern w:val="0"/>
          <w:sz w:val="44"/>
          <w:szCs w:val="44"/>
          <w:lang w:eastAsia="en-GB"/>
        </w:rPr>
        <w:t>.</w:t>
      </w:r>
      <w:r w:rsidR="00B866C4" w:rsidRPr="00F23517">
        <w:rPr>
          <w:rFonts w:ascii="Times New Roman" w:eastAsia="Times New Roman" w:hAnsi="Times New Roman"/>
          <w:b/>
          <w:bCs/>
          <w:kern w:val="0"/>
          <w:sz w:val="32"/>
          <w:szCs w:val="32"/>
          <w:lang w:eastAsia="en-GB"/>
        </w:rPr>
        <w:t>Benefit</w:t>
      </w:r>
      <w:r w:rsidR="00660A94" w:rsidRPr="00F23517">
        <w:rPr>
          <w:rFonts w:ascii="Times New Roman" w:eastAsia="Times New Roman" w:hAnsi="Times New Roman"/>
          <w:b/>
          <w:bCs/>
          <w:kern w:val="0"/>
          <w:sz w:val="32"/>
          <w:szCs w:val="32"/>
          <w:lang w:eastAsia="en-GB"/>
        </w:rPr>
        <w:t xml:space="preserve"> of Wearable Health Tec</w:t>
      </w:r>
      <w:r w:rsidRPr="00F23517">
        <w:rPr>
          <w:rFonts w:ascii="Times New Roman" w:eastAsia="Times New Roman" w:hAnsi="Times New Roman"/>
          <w:b/>
          <w:bCs/>
          <w:kern w:val="0"/>
          <w:sz w:val="32"/>
          <w:szCs w:val="32"/>
          <w:lang w:eastAsia="en-GB"/>
        </w:rPr>
        <w:t xml:space="preserve">hnologies for Chronic </w:t>
      </w:r>
    </w:p>
    <w:p w14:paraId="7D08B991" w14:textId="5DF2E114" w:rsidR="00B866C4" w:rsidRPr="00E807EF" w:rsidRDefault="00B866C4" w:rsidP="00E807EF">
      <w:pPr>
        <w:spacing w:before="100" w:beforeAutospacing="1" w:after="100" w:afterAutospacing="1" w:line="240" w:lineRule="auto"/>
        <w:jc w:val="both"/>
        <w:rPr>
          <w:rFonts w:ascii="AriEL" w:hAnsi="AriEL"/>
          <w:sz w:val="22"/>
          <w:szCs w:val="22"/>
        </w:rPr>
      </w:pPr>
      <w:r w:rsidRPr="00E807EF">
        <w:rPr>
          <w:rFonts w:ascii="AriEL" w:hAnsi="AriEL"/>
          <w:sz w:val="22"/>
          <w:szCs w:val="22"/>
        </w:rPr>
        <w:t>Wearable health technologies, such as smartwatches and fitness trackers, support the management of chronic conditions by enabling continuous, real</w:t>
      </w:r>
      <w:r w:rsidRPr="00E807EF">
        <w:rPr>
          <w:rFonts w:ascii="AriEL" w:hAnsi="AriEL"/>
          <w:sz w:val="22"/>
          <w:szCs w:val="22"/>
        </w:rPr>
        <w:noBreakHyphen/>
        <w:t>time monitoring. This allows individuals and clinicians to track vital signs like heart rate, oxygen saturation, sleep patterns, and physical activity without needing frequent clinical visits. A key benefit is early detection of deterioration. For example, people with cardiovascular disease can receive alerts when their heart rhythm becomes irregular, prompting timely medical review. Research shows that wearables improve self</w:t>
      </w:r>
      <w:r w:rsidRPr="00E807EF">
        <w:rPr>
          <w:rFonts w:ascii="AriEL" w:hAnsi="AriEL"/>
          <w:sz w:val="22"/>
          <w:szCs w:val="22"/>
        </w:rPr>
        <w:noBreakHyphen/>
        <w:t>management by increasing awareness and encouraging healthier behaviours (Wang et al., 2020). Apple Watch’s irregular rhythm notification feature has been used to identify potential atrial fibrillation, helping users seek early assessment. This aligns with the Technology Acceptance Model, as people are more likely to use wearables when they perceive them as useful and easy to integrate into daily life (Davis, 1989).</w:t>
      </w:r>
    </w:p>
    <w:p w14:paraId="22DDA303" w14:textId="1C252CC5" w:rsidR="00F23517" w:rsidRDefault="00AA34C5" w:rsidP="00F47AFE">
      <w:pPr>
        <w:spacing w:before="100" w:beforeAutospacing="1" w:after="100" w:afterAutospacing="1" w:line="240" w:lineRule="auto"/>
        <w:rPr>
          <w:b/>
          <w:bCs/>
          <w:sz w:val="32"/>
          <w:szCs w:val="32"/>
        </w:rPr>
      </w:pPr>
      <w:r w:rsidRPr="00AA34C5">
        <w:rPr>
          <w:rFonts w:ascii="Times New Roman" w:eastAsia="Times New Roman" w:hAnsi="Times New Roman"/>
          <w:b/>
          <w:bCs/>
          <w:kern w:val="0"/>
          <w:sz w:val="32"/>
          <w:szCs w:val="32"/>
          <w:lang w:eastAsia="en-GB"/>
        </w:rPr>
        <w:t>2</w:t>
      </w:r>
      <w:r>
        <w:rPr>
          <w:rFonts w:ascii="Times New Roman" w:eastAsia="Times New Roman" w:hAnsi="Times New Roman"/>
          <w:b/>
          <w:bCs/>
          <w:kern w:val="0"/>
          <w:sz w:val="32"/>
          <w:szCs w:val="32"/>
          <w:lang w:eastAsia="en-GB"/>
        </w:rPr>
        <w:t>.</w:t>
      </w:r>
      <w:r w:rsidR="00FD60C4" w:rsidRPr="00FD60C4">
        <w:t xml:space="preserve"> </w:t>
      </w:r>
      <w:r w:rsidR="00FD60C4" w:rsidRPr="00FD60C4">
        <w:rPr>
          <w:b/>
          <w:bCs/>
          <w:sz w:val="32"/>
          <w:szCs w:val="32"/>
        </w:rPr>
        <w:t>How Electronic Health Records Improve Communication</w:t>
      </w:r>
    </w:p>
    <w:p w14:paraId="572C7B81" w14:textId="62313D0F" w:rsidR="00AF4E3A" w:rsidRPr="00E807EF" w:rsidRDefault="00436C14" w:rsidP="00E807EF">
      <w:pPr>
        <w:spacing w:before="100" w:beforeAutospacing="1" w:after="100" w:afterAutospacing="1" w:line="240" w:lineRule="auto"/>
        <w:jc w:val="both"/>
        <w:rPr>
          <w:rFonts w:ascii="AriEL" w:hAnsi="AriEL"/>
          <w:sz w:val="22"/>
          <w:szCs w:val="22"/>
        </w:rPr>
      </w:pPr>
      <w:r w:rsidRPr="00E807EF">
        <w:rPr>
          <w:rFonts w:ascii="AriEL" w:hAnsi="AriEL"/>
          <w:sz w:val="22"/>
          <w:szCs w:val="22"/>
        </w:rPr>
        <w:t>Electronic Health Records (EHRs) improve communication and collaboration by allowing healthcare professionals to access accurate, up</w:t>
      </w:r>
      <w:r w:rsidRPr="00E807EF">
        <w:rPr>
          <w:rFonts w:ascii="AriEL" w:hAnsi="AriEL"/>
          <w:sz w:val="22"/>
          <w:szCs w:val="22"/>
        </w:rPr>
        <w:noBreakHyphen/>
        <w:t>to</w:t>
      </w:r>
      <w:r w:rsidRPr="00E807EF">
        <w:rPr>
          <w:rFonts w:ascii="AriEL" w:hAnsi="AriEL"/>
          <w:sz w:val="22"/>
          <w:szCs w:val="22"/>
        </w:rPr>
        <w:noBreakHyphen/>
        <w:t>date patient information instantly. Instead of relying on paper notes or verbal handovers, EHRs provide a shared digital platform where clinicians can view medical history, medications, allergies, test results, and care plans. This reduces duplication, prevents errors, and supports coordinated decision</w:t>
      </w:r>
      <w:r w:rsidRPr="00E807EF">
        <w:rPr>
          <w:rFonts w:ascii="AriEL" w:hAnsi="AriEL"/>
          <w:sz w:val="22"/>
          <w:szCs w:val="22"/>
        </w:rPr>
        <w:noBreakHyphen/>
        <w:t>making. For example, when a patient with diabetes attends A&amp;E, staff can immediately see recent GP notes and blood test results, enabling faster and safer treatment. Studies show that EHRs enhance teamwork by improving information flow between primary, secondary, and community services (Kruse et al., 2018). Many systems also include secure messaging, allowing professionals to communicate directly within the record. This integrated approach strengthens continuity of care and reduces delays in treatment.</w:t>
      </w:r>
    </w:p>
    <w:p w14:paraId="66A7C476" w14:textId="3D16BE45" w:rsidR="00273EB0" w:rsidRPr="00F47AFE" w:rsidRDefault="00273EB0" w:rsidP="00F47AFE">
      <w:pPr>
        <w:spacing w:before="100" w:beforeAutospacing="1" w:after="100" w:afterAutospacing="1" w:line="240" w:lineRule="auto"/>
        <w:rPr>
          <w:rFonts w:ascii="Times New Roman" w:eastAsia="Times New Roman" w:hAnsi="Times New Roman"/>
          <w:b/>
          <w:bCs/>
          <w:kern w:val="0"/>
          <w:sz w:val="32"/>
          <w:szCs w:val="32"/>
          <w:lang w:eastAsia="en-GB"/>
        </w:rPr>
      </w:pPr>
      <w:r w:rsidRPr="00273EB0">
        <w:rPr>
          <w:b/>
          <w:bCs/>
          <w:sz w:val="32"/>
          <w:szCs w:val="32"/>
        </w:rPr>
        <w:t>3. Digital Technology Supporting Preventative Care</w:t>
      </w:r>
    </w:p>
    <w:p w14:paraId="44DAFF8B" w14:textId="5658F7D5" w:rsidR="00A56403" w:rsidRPr="00E807EF" w:rsidRDefault="000A0112" w:rsidP="00E807EF">
      <w:pPr>
        <w:spacing w:line="360" w:lineRule="auto"/>
        <w:jc w:val="both"/>
        <w:rPr>
          <w:rFonts w:ascii="Arial" w:hAnsi="Arial" w:cs="Arial"/>
          <w:sz w:val="22"/>
          <w:szCs w:val="22"/>
        </w:rPr>
      </w:pPr>
      <w:r w:rsidRPr="00E807EF">
        <w:rPr>
          <w:rFonts w:ascii="Arial" w:hAnsi="Arial" w:cs="Arial"/>
          <w:sz w:val="22"/>
          <w:szCs w:val="22"/>
        </w:rPr>
        <w:t>Digital technology plays a major role in preventative care by helping people identify risks early and adopt healthier behaviours. Mobile health apps, online screening tools, and remote monitoring systems can track lifestyle factors such as diet, exercise, and sleep, offering personalised feedback. For example, a smoking</w:t>
      </w:r>
      <w:r w:rsidRPr="00E807EF">
        <w:rPr>
          <w:rFonts w:ascii="Arial" w:hAnsi="Arial" w:cs="Arial"/>
          <w:sz w:val="22"/>
          <w:szCs w:val="22"/>
        </w:rPr>
        <w:noBreakHyphen/>
        <w:t>cessation app can provide daily motivational messages, progress tracking, and access to virtual support groups. Public health teams also use digital campaigns on social media to promote vaccination, healthy eating, and mental</w:t>
      </w:r>
      <w:r w:rsidRPr="00E807EF">
        <w:rPr>
          <w:rFonts w:ascii="Arial" w:hAnsi="Arial" w:cs="Arial"/>
          <w:sz w:val="22"/>
          <w:szCs w:val="22"/>
        </w:rPr>
        <w:noBreakHyphen/>
        <w:t>health awareness. Research shows that digital interventions can significantly improve engagement in preventative behaviours, especially when they are interactive and tailored to individual needs (Murray et al., 2016). A hypothetical example is a community health app that alerts users to local health checks, sends reminders for flu vaccines, and provides culturally appropriate wellbeing resources.</w:t>
      </w:r>
    </w:p>
    <w:p w14:paraId="12C5835B" w14:textId="77777777" w:rsidR="00874C28" w:rsidRDefault="00874C28" w:rsidP="005C28E8">
      <w:pPr>
        <w:spacing w:line="360" w:lineRule="auto"/>
      </w:pPr>
    </w:p>
    <w:p w14:paraId="705AE5A7" w14:textId="5A428FDF" w:rsidR="00874C28" w:rsidRDefault="00874C28" w:rsidP="005C28E8">
      <w:pPr>
        <w:spacing w:line="360" w:lineRule="auto"/>
        <w:rPr>
          <w:b/>
          <w:bCs/>
          <w:sz w:val="32"/>
          <w:szCs w:val="32"/>
        </w:rPr>
      </w:pPr>
      <w:r w:rsidRPr="00133A1F">
        <w:rPr>
          <w:b/>
          <w:bCs/>
          <w:sz w:val="32"/>
          <w:szCs w:val="32"/>
        </w:rPr>
        <w:t>Task 7-</w:t>
      </w:r>
      <w:r w:rsidR="00133A1F" w:rsidRPr="00133A1F">
        <w:rPr>
          <w:b/>
          <w:bCs/>
          <w:sz w:val="32"/>
          <w:szCs w:val="32"/>
        </w:rPr>
        <w:t xml:space="preserve"> Understanding the NHS Leadership Framework </w:t>
      </w:r>
    </w:p>
    <w:p w14:paraId="7922403D" w14:textId="0D425068" w:rsidR="00090411" w:rsidRPr="004A025A" w:rsidRDefault="004A025A" w:rsidP="004A025A">
      <w:pPr>
        <w:spacing w:line="360" w:lineRule="auto"/>
        <w:rPr>
          <w:b/>
          <w:bCs/>
        </w:rPr>
      </w:pPr>
      <w:r w:rsidRPr="004A025A">
        <w:rPr>
          <w:b/>
          <w:bCs/>
        </w:rPr>
        <w:t>1.</w:t>
      </w:r>
      <w:r w:rsidR="00090411" w:rsidRPr="004A025A">
        <w:rPr>
          <w:b/>
          <w:bCs/>
        </w:rPr>
        <w:t>Summary of the NHS Leadership Framework</w:t>
      </w:r>
    </w:p>
    <w:p w14:paraId="4C5A215B" w14:textId="77777777" w:rsidR="004A025A" w:rsidRDefault="004A025A" w:rsidP="004A025A">
      <w:pPr>
        <w:pStyle w:val="ListParagraph"/>
        <w:spacing w:line="360" w:lineRule="auto"/>
        <w:ind w:left="1440"/>
      </w:pPr>
    </w:p>
    <w:p w14:paraId="271BBD3C" w14:textId="2869476B" w:rsidR="004A025A" w:rsidRPr="00E807EF" w:rsidRDefault="004A025A" w:rsidP="00E807EF">
      <w:pPr>
        <w:spacing w:line="360" w:lineRule="auto"/>
        <w:jc w:val="both"/>
        <w:rPr>
          <w:rFonts w:ascii="AriEL" w:hAnsi="AriEL"/>
          <w:sz w:val="22"/>
          <w:szCs w:val="22"/>
        </w:rPr>
      </w:pPr>
      <w:r w:rsidRPr="00E807EF">
        <w:rPr>
          <w:rFonts w:ascii="AriEL" w:hAnsi="AriEL"/>
          <w:sz w:val="22"/>
          <w:szCs w:val="22"/>
        </w:rPr>
        <w:t>The NHS Leadership Framework outlines the behaviours, values, and skills expected of leaders across all levels of health and social care. It emphasises that leadership is not limited to senior roles; instead, every staff member contributes to improving services and patient outcomes. The framework includes behaviours such as inspiring shared purpose, leading with care, evaluating information, engaging the team, and driving continuous improvement. These behaviours help create a culture of safety, compassion, and accountability. The framework is important because effective leadership directly influences service quality, staff wellbeing, and patient experience. By promoting collaboration, evidence</w:t>
      </w:r>
      <w:r w:rsidRPr="00E807EF">
        <w:rPr>
          <w:rFonts w:ascii="AriEL" w:hAnsi="AriEL"/>
          <w:sz w:val="22"/>
          <w:szCs w:val="22"/>
        </w:rPr>
        <w:noBreakHyphen/>
        <w:t>based decision</w:t>
      </w:r>
      <w:r w:rsidRPr="00E807EF">
        <w:rPr>
          <w:rFonts w:ascii="AriEL" w:hAnsi="AriEL"/>
          <w:sz w:val="22"/>
          <w:szCs w:val="22"/>
        </w:rPr>
        <w:noBreakHyphen/>
        <w:t>making, and reflective practice, it supports organisations in meeting regulatory standards and delivering person</w:t>
      </w:r>
      <w:r w:rsidRPr="00E807EF">
        <w:rPr>
          <w:rFonts w:ascii="AriEL" w:hAnsi="AriEL"/>
          <w:sz w:val="22"/>
          <w:szCs w:val="22"/>
        </w:rPr>
        <w:noBreakHyphen/>
        <w:t>centred care. Research highlights that strong leadership is linked to better patient outcomes and more resilient teams (West et al., 2015). The framework also aligns with transformational leadership principles,</w:t>
      </w:r>
      <w:r w:rsidR="00295A13" w:rsidRPr="00E807EF">
        <w:rPr>
          <w:rFonts w:ascii="AriEL" w:hAnsi="AriEL"/>
          <w:sz w:val="22"/>
          <w:szCs w:val="22"/>
        </w:rPr>
        <w:t xml:space="preserve"> encouraging leaders to motivate and empower others (Bass &amp; Avolio, 1994).</w:t>
      </w:r>
    </w:p>
    <w:p w14:paraId="17A6F37D" w14:textId="078E57D1" w:rsidR="0007796A" w:rsidRPr="0007796A" w:rsidRDefault="0007796A" w:rsidP="0007796A">
      <w:pPr>
        <w:spacing w:before="100" w:beforeAutospacing="1" w:after="100" w:afterAutospacing="1" w:line="240" w:lineRule="auto"/>
        <w:outlineLvl w:val="0"/>
        <w:rPr>
          <w:rFonts w:ascii="Times New Roman" w:eastAsia="Times New Roman" w:hAnsi="Times New Roman"/>
          <w:b/>
          <w:bCs/>
          <w:kern w:val="36"/>
          <w:sz w:val="28"/>
          <w:szCs w:val="28"/>
          <w:lang w:eastAsia="en-GB"/>
        </w:rPr>
      </w:pPr>
      <w:bookmarkStart w:id="18" w:name="_Toc226049181"/>
      <w:bookmarkStart w:id="19" w:name="_Toc226049404"/>
      <w:r w:rsidRPr="0007796A">
        <w:rPr>
          <w:rFonts w:ascii="Times New Roman" w:eastAsia="Times New Roman" w:hAnsi="Times New Roman"/>
          <w:b/>
          <w:bCs/>
          <w:kern w:val="36"/>
          <w:sz w:val="28"/>
          <w:szCs w:val="28"/>
          <w:lang w:eastAsia="en-GB"/>
        </w:rPr>
        <w:t>2. Leadership Behaviour: Inspiring Shared Purpose</w:t>
      </w:r>
      <w:bookmarkEnd w:id="18"/>
      <w:bookmarkEnd w:id="19"/>
      <w:r w:rsidRPr="0007796A">
        <w:rPr>
          <w:rFonts w:ascii="Times New Roman" w:eastAsia="Times New Roman" w:hAnsi="Times New Roman"/>
          <w:b/>
          <w:bCs/>
          <w:kern w:val="36"/>
          <w:sz w:val="28"/>
          <w:szCs w:val="28"/>
          <w:lang w:eastAsia="en-GB"/>
        </w:rPr>
        <w:t xml:space="preserve"> </w:t>
      </w:r>
    </w:p>
    <w:p w14:paraId="7AD7D128" w14:textId="77777777" w:rsidR="0007796A" w:rsidRPr="00E807EF" w:rsidRDefault="0007796A" w:rsidP="00E807EF">
      <w:pPr>
        <w:spacing w:before="100" w:beforeAutospacing="1" w:after="100" w:afterAutospacing="1" w:line="240" w:lineRule="auto"/>
        <w:jc w:val="both"/>
        <w:rPr>
          <w:rFonts w:ascii="AriEL" w:eastAsia="Times New Roman" w:hAnsi="AriEL"/>
          <w:kern w:val="0"/>
          <w:sz w:val="22"/>
          <w:szCs w:val="22"/>
          <w:lang w:eastAsia="en-GB"/>
        </w:rPr>
      </w:pPr>
      <w:r w:rsidRPr="0007796A">
        <w:rPr>
          <w:rFonts w:ascii="AriEL" w:eastAsia="Times New Roman" w:hAnsi="AriEL"/>
          <w:kern w:val="0"/>
          <w:sz w:val="22"/>
          <w:szCs w:val="22"/>
          <w:lang w:eastAsia="en-GB"/>
        </w:rPr>
        <w:t>Inspiring shared purpose involves helping teams understand why their work matters and how it contributes to better outcomes. A leader can use this behaviour to encourage creativity by creating a safe environment where staff feel motivated to share ideas and challenge existing practices. For example, a ward manager might involve staff in co</w:t>
      </w:r>
      <w:r w:rsidRPr="0007796A">
        <w:rPr>
          <w:rFonts w:ascii="AriEL" w:eastAsia="Times New Roman" w:hAnsi="AriEL"/>
          <w:kern w:val="0"/>
          <w:sz w:val="22"/>
          <w:szCs w:val="22"/>
          <w:lang w:eastAsia="en-GB"/>
        </w:rPr>
        <w:noBreakHyphen/>
        <w:t>designing a new patient</w:t>
      </w:r>
      <w:r w:rsidRPr="0007796A">
        <w:rPr>
          <w:rFonts w:ascii="AriEL" w:eastAsia="Times New Roman" w:hAnsi="AriEL"/>
          <w:kern w:val="0"/>
          <w:sz w:val="22"/>
          <w:szCs w:val="22"/>
          <w:lang w:eastAsia="en-GB"/>
        </w:rPr>
        <w:noBreakHyphen/>
        <w:t>comfort initiative, encouraging them to contribute suggestions based on their daily experiences. When people feel connected to a meaningful goal, they are more willing to innovate and take ownership of improvements. Research shows that shared purpose strengthens engagement and enhances service quality (West et al., 2015).</w:t>
      </w:r>
    </w:p>
    <w:p w14:paraId="6DD2E2F1" w14:textId="77777777" w:rsidR="007574FE" w:rsidRDefault="007574FE" w:rsidP="00E807EF">
      <w:pPr>
        <w:spacing w:before="100" w:beforeAutospacing="1" w:after="100" w:afterAutospacing="1" w:line="240" w:lineRule="auto"/>
        <w:jc w:val="both"/>
        <w:rPr>
          <w:rFonts w:ascii="Times New Roman" w:eastAsia="Times New Roman" w:hAnsi="Times New Roman"/>
          <w:kern w:val="0"/>
          <w:lang w:eastAsia="en-GB"/>
        </w:rPr>
      </w:pPr>
    </w:p>
    <w:p w14:paraId="0B3FE914" w14:textId="4BA82C85" w:rsidR="007574FE" w:rsidRPr="007574FE" w:rsidRDefault="007574FE" w:rsidP="007574FE">
      <w:pPr>
        <w:spacing w:before="100" w:beforeAutospacing="1" w:after="100" w:afterAutospacing="1" w:line="240" w:lineRule="auto"/>
        <w:outlineLvl w:val="0"/>
        <w:rPr>
          <w:rFonts w:ascii="Times New Roman" w:eastAsia="Times New Roman" w:hAnsi="Times New Roman"/>
          <w:b/>
          <w:bCs/>
          <w:kern w:val="36"/>
          <w:sz w:val="32"/>
          <w:szCs w:val="32"/>
          <w:lang w:eastAsia="en-GB"/>
        </w:rPr>
      </w:pPr>
      <w:bookmarkStart w:id="20" w:name="_Toc226049182"/>
      <w:bookmarkStart w:id="21" w:name="_Toc226049405"/>
      <w:r w:rsidRPr="007574FE">
        <w:rPr>
          <w:rFonts w:ascii="Times New Roman" w:eastAsia="Times New Roman" w:hAnsi="Times New Roman"/>
          <w:b/>
          <w:bCs/>
          <w:kern w:val="36"/>
          <w:sz w:val="32"/>
          <w:szCs w:val="32"/>
          <w:lang w:eastAsia="en-GB"/>
        </w:rPr>
        <w:t>3. Reflective Journal Entry</w:t>
      </w:r>
      <w:bookmarkEnd w:id="20"/>
      <w:bookmarkEnd w:id="21"/>
      <w:r w:rsidRPr="007574FE">
        <w:rPr>
          <w:rFonts w:ascii="Times New Roman" w:eastAsia="Times New Roman" w:hAnsi="Times New Roman"/>
          <w:b/>
          <w:bCs/>
          <w:kern w:val="36"/>
          <w:sz w:val="32"/>
          <w:szCs w:val="32"/>
          <w:lang w:eastAsia="en-GB"/>
        </w:rPr>
        <w:t xml:space="preserve"> </w:t>
      </w:r>
    </w:p>
    <w:p w14:paraId="2DDD5A37" w14:textId="77777777" w:rsidR="007574FE" w:rsidRDefault="007574FE" w:rsidP="00E807EF">
      <w:pPr>
        <w:spacing w:before="100" w:beforeAutospacing="1" w:after="100" w:afterAutospacing="1" w:line="240" w:lineRule="auto"/>
        <w:jc w:val="both"/>
        <w:rPr>
          <w:rFonts w:ascii="Times New Roman" w:eastAsia="Times New Roman" w:hAnsi="Times New Roman"/>
          <w:kern w:val="0"/>
          <w:lang w:eastAsia="en-GB"/>
        </w:rPr>
      </w:pPr>
      <w:r w:rsidRPr="007574FE">
        <w:rPr>
          <w:rFonts w:ascii="AriEL" w:eastAsia="Times New Roman" w:hAnsi="AriEL"/>
          <w:kern w:val="0"/>
          <w:sz w:val="22"/>
          <w:szCs w:val="22"/>
          <w:lang w:eastAsia="en-GB"/>
        </w:rPr>
        <w:t>Throughout this module, my understanding of creativity and value creation in health and social care has grown significantly. At first, I saw creativity as something mainly linked to artistic skills, but I now recognise it as a practical tool for solving problems, improving services, and enhancing patient experience. Activities such as analysing real</w:t>
      </w:r>
      <w:r w:rsidRPr="007574FE">
        <w:rPr>
          <w:rFonts w:ascii="AriEL" w:eastAsia="Times New Roman" w:hAnsi="AriEL"/>
          <w:kern w:val="0"/>
          <w:sz w:val="22"/>
          <w:szCs w:val="22"/>
          <w:lang w:eastAsia="en-GB"/>
        </w:rPr>
        <w:noBreakHyphen/>
        <w:t xml:space="preserve">world case studies and exploring digital innovation helped me see how small ideas can create meaningful change. I also learned how leadership behaviours influence creativity within teams. This learning will shape my future practice by encouraging me to approach challenges with </w:t>
      </w:r>
      <w:r w:rsidRPr="007574FE">
        <w:rPr>
          <w:rFonts w:ascii="Times New Roman" w:eastAsia="Times New Roman" w:hAnsi="Times New Roman"/>
          <w:kern w:val="0"/>
          <w:lang w:eastAsia="en-GB"/>
        </w:rPr>
        <w:t>curiosity, involve others in generating solutions, and look for opportunities to add value in any role I take on.</w:t>
      </w:r>
    </w:p>
    <w:p w14:paraId="7DA3F711" w14:textId="77777777" w:rsidR="00851AD8" w:rsidRDefault="00851AD8" w:rsidP="007574FE">
      <w:pPr>
        <w:spacing w:before="100" w:beforeAutospacing="1" w:after="100" w:afterAutospacing="1" w:line="240" w:lineRule="auto"/>
        <w:rPr>
          <w:rFonts w:ascii="Times New Roman" w:eastAsia="Times New Roman" w:hAnsi="Times New Roman"/>
          <w:kern w:val="0"/>
          <w:lang w:eastAsia="en-GB"/>
        </w:rPr>
      </w:pPr>
    </w:p>
    <w:p w14:paraId="37A48863" w14:textId="1BC28385" w:rsidR="00851AD8" w:rsidRPr="007574FE" w:rsidRDefault="00851AD8" w:rsidP="007574FE">
      <w:pPr>
        <w:spacing w:before="100" w:beforeAutospacing="1" w:after="100" w:afterAutospacing="1" w:line="240" w:lineRule="auto"/>
        <w:rPr>
          <w:rFonts w:ascii="Times New Roman" w:eastAsia="Times New Roman" w:hAnsi="Times New Roman"/>
          <w:b/>
          <w:bCs/>
          <w:kern w:val="0"/>
          <w:sz w:val="44"/>
          <w:szCs w:val="44"/>
          <w:lang w:eastAsia="en-GB"/>
        </w:rPr>
      </w:pPr>
      <w:r w:rsidRPr="00851AD8">
        <w:rPr>
          <w:b/>
          <w:bCs/>
          <w:sz w:val="44"/>
          <w:szCs w:val="44"/>
        </w:rPr>
        <w:t>Task 8 – Self-Reflection Journal Entry</w:t>
      </w:r>
    </w:p>
    <w:p w14:paraId="503E12F7" w14:textId="395E9CDB" w:rsidR="007574FE" w:rsidRPr="00E807EF" w:rsidRDefault="009514CF" w:rsidP="00E807EF">
      <w:pPr>
        <w:spacing w:before="100" w:beforeAutospacing="1" w:after="100" w:afterAutospacing="1" w:line="240" w:lineRule="auto"/>
        <w:jc w:val="both"/>
        <w:rPr>
          <w:rFonts w:ascii="AriEL" w:hAnsi="AriEL"/>
          <w:sz w:val="22"/>
          <w:szCs w:val="22"/>
        </w:rPr>
      </w:pPr>
      <w:r w:rsidRPr="00E807EF">
        <w:rPr>
          <w:rFonts w:ascii="AriEL" w:hAnsi="AriEL"/>
          <w:sz w:val="22"/>
          <w:szCs w:val="22"/>
        </w:rPr>
        <w:t>During this module, my understanding of creativity and value creation has shifted from seeing innovation as large</w:t>
      </w:r>
      <w:r w:rsidRPr="00E807EF">
        <w:rPr>
          <w:rFonts w:ascii="AriEL" w:hAnsi="AriEL"/>
          <w:sz w:val="22"/>
          <w:szCs w:val="22"/>
        </w:rPr>
        <w:noBreakHyphen/>
        <w:t xml:space="preserve">scale change to recognising that small, thoughtful improvements can transform care. Using </w:t>
      </w:r>
      <w:r w:rsidRPr="00E807EF">
        <w:rPr>
          <w:rStyle w:val="Strong"/>
          <w:rFonts w:ascii="AriEL" w:hAnsi="AriEL"/>
          <w:b w:val="0"/>
          <w:bCs w:val="0"/>
          <w:sz w:val="22"/>
          <w:szCs w:val="22"/>
        </w:rPr>
        <w:t>Gibbs’ Reflective Cycle (1988</w:t>
      </w:r>
      <w:r w:rsidRPr="00E807EF">
        <w:rPr>
          <w:rStyle w:val="Strong"/>
          <w:rFonts w:ascii="AriEL" w:hAnsi="AriEL"/>
          <w:sz w:val="22"/>
          <w:szCs w:val="22"/>
        </w:rPr>
        <w:t>)</w:t>
      </w:r>
      <w:r w:rsidRPr="00E807EF">
        <w:rPr>
          <w:rFonts w:ascii="AriEL" w:hAnsi="AriEL"/>
          <w:sz w:val="22"/>
          <w:szCs w:val="22"/>
        </w:rPr>
        <w:t xml:space="preserve"> helped me analyse my learning more deeply, especially when completing activities on digital innovation and problem</w:t>
      </w:r>
      <w:r w:rsidRPr="00E807EF">
        <w:rPr>
          <w:rFonts w:ascii="AriEL" w:hAnsi="AriEL"/>
          <w:sz w:val="22"/>
          <w:szCs w:val="22"/>
        </w:rPr>
        <w:noBreakHyphen/>
        <w:t>solving in health and social care. One task that changed my perspective was exploring how simple creative tools</w:t>
      </w:r>
      <w:r w:rsidR="009544D7" w:rsidRPr="00E807EF">
        <w:rPr>
          <w:rFonts w:ascii="AriEL" w:hAnsi="AriEL"/>
          <w:sz w:val="22"/>
          <w:szCs w:val="22"/>
        </w:rPr>
        <w:t xml:space="preserve"> </w:t>
      </w:r>
      <w:r w:rsidRPr="00E807EF">
        <w:rPr>
          <w:rFonts w:ascii="AriEL" w:hAnsi="AriEL"/>
          <w:sz w:val="22"/>
          <w:szCs w:val="22"/>
        </w:rPr>
        <w:t>like journey mapping or brainstorming</w:t>
      </w:r>
      <w:r w:rsidR="009544D7" w:rsidRPr="00E807EF">
        <w:rPr>
          <w:rFonts w:ascii="AriEL" w:hAnsi="AriEL"/>
          <w:sz w:val="22"/>
          <w:szCs w:val="22"/>
        </w:rPr>
        <w:t xml:space="preserve"> </w:t>
      </w:r>
      <w:r w:rsidRPr="00E807EF">
        <w:rPr>
          <w:rFonts w:ascii="AriEL" w:hAnsi="AriEL"/>
          <w:sz w:val="22"/>
          <w:szCs w:val="22"/>
        </w:rPr>
        <w:t>can reveal hidden service gaps. I realised that creativity is not about being artistic but about thinking differently to improve patient experience. This insight will influence my future practice by encouraging me to question existing processes, involve service users in co</w:t>
      </w:r>
      <w:r w:rsidRPr="00E807EF">
        <w:rPr>
          <w:rFonts w:ascii="AriEL" w:hAnsi="AriEL"/>
          <w:sz w:val="22"/>
          <w:szCs w:val="22"/>
        </w:rPr>
        <w:noBreakHyphen/>
        <w:t>design, and look for opportunities to add value in everyday tasks. As I progress toward leadership and CQC</w:t>
      </w:r>
      <w:r w:rsidRPr="00E807EF">
        <w:rPr>
          <w:rFonts w:ascii="AriEL" w:hAnsi="AriEL"/>
          <w:sz w:val="22"/>
          <w:szCs w:val="22"/>
        </w:rPr>
        <w:noBreakHyphen/>
        <w:t>focused roles, I will carry forward the idea that innovation grows from curiosity, collaboration, and a willingness to test new approaches.</w:t>
      </w:r>
    </w:p>
    <w:p w14:paraId="6C4DAD32" w14:textId="580A6AC6" w:rsidR="00B51BDE" w:rsidRDefault="00B51BDE" w:rsidP="0007796A">
      <w:pPr>
        <w:spacing w:before="100" w:beforeAutospacing="1" w:after="100" w:afterAutospacing="1" w:line="240" w:lineRule="auto"/>
        <w:rPr>
          <w:b/>
          <w:bCs/>
          <w:sz w:val="32"/>
          <w:szCs w:val="32"/>
        </w:rPr>
      </w:pPr>
      <w:r w:rsidRPr="001C0C31">
        <w:rPr>
          <w:b/>
          <w:bCs/>
          <w:sz w:val="32"/>
          <w:szCs w:val="32"/>
        </w:rPr>
        <w:t>Reference list</w:t>
      </w:r>
      <w:r w:rsidR="005B6734">
        <w:rPr>
          <w:b/>
          <w:bCs/>
          <w:sz w:val="32"/>
          <w:szCs w:val="32"/>
        </w:rPr>
        <w:t>:</w:t>
      </w:r>
    </w:p>
    <w:p w14:paraId="5280060D" w14:textId="77777777" w:rsidR="005B6734" w:rsidRPr="00E807EF" w:rsidRDefault="005B6734" w:rsidP="00827B90">
      <w:pPr>
        <w:pStyle w:val="NormalWeb"/>
        <w:jc w:val="both"/>
        <w:rPr>
          <w:rFonts w:ascii="AriEL" w:hAnsi="AriEL"/>
          <w:sz w:val="22"/>
          <w:szCs w:val="22"/>
        </w:rPr>
      </w:pPr>
      <w:r w:rsidRPr="00E807EF">
        <w:rPr>
          <w:rFonts w:ascii="AriEL" w:hAnsi="AriEL"/>
          <w:sz w:val="22"/>
          <w:szCs w:val="22"/>
        </w:rPr>
        <w:t xml:space="preserve">Amabile, T., 1996. </w:t>
      </w:r>
      <w:r w:rsidRPr="00E807EF">
        <w:rPr>
          <w:rStyle w:val="Emphasis"/>
          <w:rFonts w:ascii="AriEL" w:eastAsiaTheme="majorEastAsia" w:hAnsi="AriEL"/>
          <w:sz w:val="22"/>
          <w:szCs w:val="22"/>
        </w:rPr>
        <w:t>Creativity in Context: Update to the Social Psychology of Creativity</w:t>
      </w:r>
      <w:r w:rsidRPr="00E807EF">
        <w:rPr>
          <w:rFonts w:ascii="AriEL" w:hAnsi="AriEL"/>
          <w:sz w:val="22"/>
          <w:szCs w:val="22"/>
        </w:rPr>
        <w:t>. Boulder, CO: Westview Press.</w:t>
      </w:r>
    </w:p>
    <w:p w14:paraId="1474F41F" w14:textId="77777777" w:rsidR="005B6734" w:rsidRPr="00E807EF" w:rsidRDefault="005B6734" w:rsidP="00827B90">
      <w:pPr>
        <w:pStyle w:val="NormalWeb"/>
        <w:jc w:val="both"/>
        <w:rPr>
          <w:rFonts w:ascii="AriEL" w:hAnsi="AriEL"/>
          <w:sz w:val="22"/>
          <w:szCs w:val="22"/>
        </w:rPr>
      </w:pPr>
      <w:r w:rsidRPr="00E807EF">
        <w:rPr>
          <w:rFonts w:ascii="AriEL" w:hAnsi="AriEL"/>
          <w:sz w:val="22"/>
          <w:szCs w:val="22"/>
        </w:rPr>
        <w:t xml:space="preserve">Bass, B.M. &amp; Avolio, B.J., 1994. </w:t>
      </w:r>
      <w:r w:rsidRPr="00E807EF">
        <w:rPr>
          <w:rStyle w:val="Emphasis"/>
          <w:rFonts w:ascii="AriEL" w:eastAsiaTheme="majorEastAsia" w:hAnsi="AriEL"/>
          <w:sz w:val="22"/>
          <w:szCs w:val="22"/>
        </w:rPr>
        <w:t>Improving Organizational Effectiveness Through Transformational Leadership</w:t>
      </w:r>
      <w:r w:rsidRPr="00E807EF">
        <w:rPr>
          <w:rFonts w:ascii="AriEL" w:hAnsi="AriEL"/>
          <w:sz w:val="22"/>
          <w:szCs w:val="22"/>
        </w:rPr>
        <w:t>. Thousand Oaks: Sage.</w:t>
      </w:r>
    </w:p>
    <w:p w14:paraId="65C6031B" w14:textId="77777777" w:rsidR="005B6734" w:rsidRPr="00E807EF" w:rsidRDefault="005B6734" w:rsidP="00827B90">
      <w:pPr>
        <w:pStyle w:val="NormalWeb"/>
        <w:jc w:val="both"/>
        <w:rPr>
          <w:rFonts w:ascii="AriEL" w:hAnsi="AriEL"/>
          <w:sz w:val="22"/>
          <w:szCs w:val="22"/>
        </w:rPr>
      </w:pPr>
      <w:r w:rsidRPr="00E807EF">
        <w:rPr>
          <w:rFonts w:ascii="AriEL" w:hAnsi="AriEL"/>
          <w:sz w:val="22"/>
          <w:szCs w:val="22"/>
        </w:rPr>
        <w:t xml:space="preserve">Bate, P. &amp; Robert, G., 2007. </w:t>
      </w:r>
      <w:r w:rsidRPr="00E807EF">
        <w:rPr>
          <w:rStyle w:val="Emphasis"/>
          <w:rFonts w:ascii="AriEL" w:eastAsiaTheme="majorEastAsia" w:hAnsi="AriEL"/>
          <w:sz w:val="22"/>
          <w:szCs w:val="22"/>
        </w:rPr>
        <w:t>Bringing User Experience to Healthcare Improvement: The Concepts, Methods and Practices of Experience-Based Design</w:t>
      </w:r>
      <w:r w:rsidRPr="00E807EF">
        <w:rPr>
          <w:rFonts w:ascii="AriEL" w:hAnsi="AriEL"/>
          <w:sz w:val="22"/>
          <w:szCs w:val="22"/>
        </w:rPr>
        <w:t>. Oxford: Radcliffe Publishing.</w:t>
      </w:r>
    </w:p>
    <w:p w14:paraId="78720556" w14:textId="77777777" w:rsidR="005B6734" w:rsidRPr="00E807EF" w:rsidRDefault="005B6734" w:rsidP="00827B90">
      <w:pPr>
        <w:pStyle w:val="NormalWeb"/>
        <w:jc w:val="both"/>
        <w:rPr>
          <w:rFonts w:ascii="AriEL" w:hAnsi="AriEL"/>
          <w:sz w:val="22"/>
          <w:szCs w:val="22"/>
        </w:rPr>
      </w:pPr>
      <w:r w:rsidRPr="00E807EF">
        <w:rPr>
          <w:rFonts w:ascii="AriEL" w:hAnsi="AriEL"/>
          <w:sz w:val="22"/>
          <w:szCs w:val="22"/>
        </w:rPr>
        <w:t xml:space="preserve">Gibbs, G., 1988. </w:t>
      </w:r>
      <w:r w:rsidRPr="00E807EF">
        <w:rPr>
          <w:rStyle w:val="Emphasis"/>
          <w:rFonts w:ascii="AriEL" w:eastAsiaTheme="majorEastAsia" w:hAnsi="AriEL"/>
          <w:sz w:val="22"/>
          <w:szCs w:val="22"/>
        </w:rPr>
        <w:t>Learning by Doing: A Guide to Teaching and Learning Methods</w:t>
      </w:r>
      <w:r w:rsidRPr="00E807EF">
        <w:rPr>
          <w:rFonts w:ascii="AriEL" w:hAnsi="AriEL"/>
          <w:sz w:val="22"/>
          <w:szCs w:val="22"/>
        </w:rPr>
        <w:t>. Oxford: Oxford Polytechnic.</w:t>
      </w:r>
    </w:p>
    <w:p w14:paraId="4943AEF9" w14:textId="77777777" w:rsidR="005B6734" w:rsidRPr="00E807EF" w:rsidRDefault="005B6734" w:rsidP="00827B90">
      <w:pPr>
        <w:pStyle w:val="NormalWeb"/>
        <w:jc w:val="both"/>
        <w:rPr>
          <w:rFonts w:ascii="AriEL" w:hAnsi="AriEL"/>
          <w:sz w:val="22"/>
          <w:szCs w:val="22"/>
        </w:rPr>
      </w:pPr>
      <w:r w:rsidRPr="00E807EF">
        <w:rPr>
          <w:rFonts w:ascii="AriEL" w:hAnsi="AriEL"/>
          <w:sz w:val="22"/>
          <w:szCs w:val="22"/>
        </w:rPr>
        <w:t xml:space="preserve">Kruse, C.S., Stein, A., Thomas, H. &amp; Kaur, H., 2018. The use of Electronic Health Records to support communication and coordination. </w:t>
      </w:r>
      <w:r w:rsidRPr="00E807EF">
        <w:rPr>
          <w:rStyle w:val="Emphasis"/>
          <w:rFonts w:ascii="AriEL" w:eastAsiaTheme="majorEastAsia" w:hAnsi="AriEL"/>
          <w:sz w:val="22"/>
          <w:szCs w:val="22"/>
        </w:rPr>
        <w:t>JMIR Medical Informatics</w:t>
      </w:r>
      <w:r w:rsidRPr="00E807EF">
        <w:rPr>
          <w:rFonts w:ascii="AriEL" w:hAnsi="AriEL"/>
          <w:sz w:val="22"/>
          <w:szCs w:val="22"/>
        </w:rPr>
        <w:t>, 6(2), pp.1–9.</w:t>
      </w:r>
    </w:p>
    <w:p w14:paraId="0F313CD7" w14:textId="77777777" w:rsidR="009A07EC" w:rsidRPr="00E807EF" w:rsidRDefault="009A07EC" w:rsidP="00827B90">
      <w:pPr>
        <w:pStyle w:val="NormalWeb"/>
        <w:jc w:val="both"/>
        <w:rPr>
          <w:rFonts w:ascii="AriEL" w:hAnsi="AriEL"/>
          <w:sz w:val="22"/>
          <w:szCs w:val="22"/>
        </w:rPr>
      </w:pPr>
      <w:r w:rsidRPr="00E807EF">
        <w:rPr>
          <w:rFonts w:ascii="AriEL" w:hAnsi="AriEL"/>
          <w:sz w:val="22"/>
          <w:szCs w:val="22"/>
        </w:rPr>
        <w:t xml:space="preserve">Murray, E., Hekler, E., Andersson, G. et al., 2016. Digital health interventions: Evidence, impact and challenges. </w:t>
      </w:r>
      <w:r w:rsidRPr="00E807EF">
        <w:rPr>
          <w:rStyle w:val="Emphasis"/>
          <w:rFonts w:ascii="AriEL" w:eastAsiaTheme="majorEastAsia" w:hAnsi="AriEL"/>
          <w:sz w:val="22"/>
          <w:szCs w:val="22"/>
        </w:rPr>
        <w:t>The Lancet Digital Health</w:t>
      </w:r>
      <w:r w:rsidRPr="00E807EF">
        <w:rPr>
          <w:rFonts w:ascii="AriEL" w:hAnsi="AriEL"/>
          <w:sz w:val="22"/>
          <w:szCs w:val="22"/>
        </w:rPr>
        <w:t>, 2(4), pp.1–12.</w:t>
      </w:r>
    </w:p>
    <w:p w14:paraId="6EF7C584" w14:textId="77777777" w:rsidR="009A07EC" w:rsidRPr="00E807EF" w:rsidRDefault="009A07EC" w:rsidP="00827B90">
      <w:pPr>
        <w:pStyle w:val="NormalWeb"/>
        <w:jc w:val="both"/>
        <w:rPr>
          <w:rFonts w:ascii="AriEL" w:hAnsi="AriEL"/>
          <w:sz w:val="22"/>
          <w:szCs w:val="22"/>
        </w:rPr>
      </w:pPr>
      <w:r w:rsidRPr="00E807EF">
        <w:rPr>
          <w:rFonts w:ascii="AriEL" w:hAnsi="AriEL"/>
          <w:sz w:val="22"/>
          <w:szCs w:val="22"/>
        </w:rPr>
        <w:t xml:space="preserve">NHS Leadership Academy, 2013. </w:t>
      </w:r>
      <w:r w:rsidRPr="00E807EF">
        <w:rPr>
          <w:rStyle w:val="Emphasis"/>
          <w:rFonts w:ascii="AriEL" w:eastAsiaTheme="majorEastAsia" w:hAnsi="AriEL"/>
          <w:sz w:val="22"/>
          <w:szCs w:val="22"/>
        </w:rPr>
        <w:t>Healthcare Leadership Model: The Nine Dimensions of Leadership Behaviour</w:t>
      </w:r>
      <w:r w:rsidRPr="00E807EF">
        <w:rPr>
          <w:rFonts w:ascii="AriEL" w:hAnsi="AriEL"/>
          <w:sz w:val="22"/>
          <w:szCs w:val="22"/>
        </w:rPr>
        <w:t>. Leeds: NHS Leadership Academy.</w:t>
      </w:r>
    </w:p>
    <w:p w14:paraId="326148BF" w14:textId="77777777" w:rsidR="009A07EC" w:rsidRPr="00E807EF" w:rsidRDefault="009A07EC" w:rsidP="00827B90">
      <w:pPr>
        <w:pStyle w:val="NormalWeb"/>
        <w:jc w:val="both"/>
        <w:rPr>
          <w:rFonts w:ascii="AriEL" w:hAnsi="AriEL"/>
          <w:sz w:val="22"/>
          <w:szCs w:val="22"/>
        </w:rPr>
      </w:pPr>
      <w:r w:rsidRPr="00E807EF">
        <w:rPr>
          <w:rFonts w:ascii="AriEL" w:hAnsi="AriEL"/>
          <w:sz w:val="22"/>
          <w:szCs w:val="22"/>
        </w:rPr>
        <w:t xml:space="preserve">Rogers, E.M., 2003. </w:t>
      </w:r>
      <w:r w:rsidRPr="00E807EF">
        <w:rPr>
          <w:rStyle w:val="Emphasis"/>
          <w:rFonts w:ascii="AriEL" w:eastAsiaTheme="majorEastAsia" w:hAnsi="AriEL"/>
          <w:sz w:val="22"/>
          <w:szCs w:val="22"/>
        </w:rPr>
        <w:t>Diffusion of Innovations</w:t>
      </w:r>
      <w:r w:rsidRPr="00E807EF">
        <w:rPr>
          <w:rFonts w:ascii="AriEL" w:hAnsi="AriEL"/>
          <w:sz w:val="22"/>
          <w:szCs w:val="22"/>
        </w:rPr>
        <w:t>. 5th ed. New York: Free Press.</w:t>
      </w:r>
    </w:p>
    <w:p w14:paraId="5930A186" w14:textId="77777777" w:rsidR="009A07EC" w:rsidRPr="00E807EF" w:rsidRDefault="009A07EC" w:rsidP="00827B90">
      <w:pPr>
        <w:pStyle w:val="NormalWeb"/>
        <w:jc w:val="both"/>
        <w:rPr>
          <w:rFonts w:ascii="AriEL" w:hAnsi="AriEL"/>
          <w:sz w:val="22"/>
          <w:szCs w:val="22"/>
        </w:rPr>
      </w:pPr>
      <w:r w:rsidRPr="00E807EF">
        <w:rPr>
          <w:rFonts w:ascii="AriEL" w:hAnsi="AriEL"/>
          <w:sz w:val="22"/>
          <w:szCs w:val="22"/>
        </w:rPr>
        <w:t xml:space="preserve">Wang, L., Pedersen, P. &amp; Phillips, J., 2020. Wearable technology and chronic disease management. </w:t>
      </w:r>
      <w:r w:rsidRPr="00E807EF">
        <w:rPr>
          <w:rStyle w:val="Emphasis"/>
          <w:rFonts w:ascii="AriEL" w:eastAsiaTheme="majorEastAsia" w:hAnsi="AriEL"/>
          <w:sz w:val="22"/>
          <w:szCs w:val="22"/>
        </w:rPr>
        <w:t>Journal of Medical Internet Research</w:t>
      </w:r>
      <w:r w:rsidRPr="00E807EF">
        <w:rPr>
          <w:rFonts w:ascii="AriEL" w:hAnsi="AriEL"/>
          <w:sz w:val="22"/>
          <w:szCs w:val="22"/>
        </w:rPr>
        <w:t>, 22(9), pp.1–12.</w:t>
      </w:r>
    </w:p>
    <w:p w14:paraId="39B17F3A" w14:textId="77777777" w:rsidR="009A07EC" w:rsidRPr="00E807EF" w:rsidRDefault="009A07EC" w:rsidP="00827B90">
      <w:pPr>
        <w:pStyle w:val="NormalWeb"/>
        <w:jc w:val="both"/>
        <w:rPr>
          <w:rFonts w:ascii="AriEL" w:hAnsi="AriEL"/>
          <w:sz w:val="22"/>
          <w:szCs w:val="22"/>
        </w:rPr>
      </w:pPr>
      <w:r w:rsidRPr="00E807EF">
        <w:rPr>
          <w:rFonts w:ascii="AriEL" w:hAnsi="AriEL"/>
          <w:sz w:val="22"/>
          <w:szCs w:val="22"/>
        </w:rPr>
        <w:t xml:space="preserve">West, M., Eckert, R., Collins, B. &amp; Chowla, R., 2017. </w:t>
      </w:r>
      <w:r w:rsidRPr="00E807EF">
        <w:rPr>
          <w:rStyle w:val="Emphasis"/>
          <w:rFonts w:ascii="AriEL" w:eastAsiaTheme="majorEastAsia" w:hAnsi="AriEL"/>
          <w:sz w:val="22"/>
          <w:szCs w:val="22"/>
        </w:rPr>
        <w:t>Caring to Change: How Compassionate Leadership Can Stimulate Innovation in Health Care</w:t>
      </w:r>
      <w:r w:rsidRPr="00E807EF">
        <w:rPr>
          <w:rFonts w:ascii="AriEL" w:hAnsi="AriEL"/>
          <w:sz w:val="22"/>
          <w:szCs w:val="22"/>
        </w:rPr>
        <w:t>. London: The King’s Fund.</w:t>
      </w:r>
    </w:p>
    <w:p w14:paraId="3447AE82" w14:textId="77777777" w:rsidR="005B6734" w:rsidRPr="0007796A" w:rsidRDefault="005B6734" w:rsidP="0007796A">
      <w:pPr>
        <w:spacing w:before="100" w:beforeAutospacing="1" w:after="100" w:afterAutospacing="1" w:line="240" w:lineRule="auto"/>
        <w:rPr>
          <w:rFonts w:ascii="Times New Roman" w:eastAsia="Times New Roman" w:hAnsi="Times New Roman"/>
          <w:b/>
          <w:bCs/>
          <w:kern w:val="0"/>
          <w:sz w:val="32"/>
          <w:szCs w:val="32"/>
          <w:lang w:eastAsia="en-GB"/>
        </w:rPr>
      </w:pPr>
    </w:p>
    <w:p w14:paraId="470A077E" w14:textId="77777777" w:rsidR="0007796A" w:rsidRPr="004A025A" w:rsidRDefault="0007796A" w:rsidP="004A025A">
      <w:pPr>
        <w:pStyle w:val="ListParagraph"/>
        <w:spacing w:line="360" w:lineRule="auto"/>
        <w:ind w:left="1440"/>
        <w:rPr>
          <w:rFonts w:ascii="Times New Roman" w:hAnsi="Times New Roman"/>
          <w:b/>
          <w:bCs/>
          <w:sz w:val="32"/>
          <w:szCs w:val="32"/>
        </w:rPr>
      </w:pPr>
    </w:p>
    <w:sectPr w:rsidR="0007796A" w:rsidRPr="004A02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EL">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35EAF"/>
    <w:multiLevelType w:val="hybridMultilevel"/>
    <w:tmpl w:val="75605F9C"/>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C00368"/>
    <w:multiLevelType w:val="multilevel"/>
    <w:tmpl w:val="5E961BF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7E0968"/>
    <w:multiLevelType w:val="multilevel"/>
    <w:tmpl w:val="E4820C7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ascii="Times New Roman" w:eastAsia="Times New Roman" w:hAnsi="Times New Roman" w:cs="Times New Roman"/>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F55746"/>
    <w:multiLevelType w:val="hybridMultilevel"/>
    <w:tmpl w:val="C4684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C354B9"/>
    <w:multiLevelType w:val="hybridMultilevel"/>
    <w:tmpl w:val="B05079CA"/>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427507"/>
    <w:multiLevelType w:val="hybridMultilevel"/>
    <w:tmpl w:val="A252A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080395"/>
    <w:multiLevelType w:val="hybridMultilevel"/>
    <w:tmpl w:val="55784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E51AB7"/>
    <w:multiLevelType w:val="hybridMultilevel"/>
    <w:tmpl w:val="476E9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623561"/>
    <w:multiLevelType w:val="multilevel"/>
    <w:tmpl w:val="18A6E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313A6A"/>
    <w:multiLevelType w:val="hybridMultilevel"/>
    <w:tmpl w:val="4F40D17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8F6AF8"/>
    <w:multiLevelType w:val="hybridMultilevel"/>
    <w:tmpl w:val="14369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B5D016C"/>
    <w:multiLevelType w:val="hybridMultilevel"/>
    <w:tmpl w:val="8BA4880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3BB736B"/>
    <w:multiLevelType w:val="hybridMultilevel"/>
    <w:tmpl w:val="6C4AE36E"/>
    <w:lvl w:ilvl="0" w:tplc="56C68394">
      <w:start w:val="1"/>
      <w:numFmt w:val="decimal"/>
      <w:lvlText w:val="%1."/>
      <w:lvlJc w:val="left"/>
      <w:pPr>
        <w:ind w:left="720" w:hanging="360"/>
      </w:pPr>
      <w:rPr>
        <w:rFonts w:ascii="Aptos" w:eastAsia="Aptos" w:hAnsi="Apto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53061B6"/>
    <w:multiLevelType w:val="hybridMultilevel"/>
    <w:tmpl w:val="A100FA76"/>
    <w:lvl w:ilvl="0" w:tplc="B0309DAE">
      <w:start w:val="1"/>
      <w:numFmt w:val="decimal"/>
      <w:lvlText w:val="%1."/>
      <w:lvlJc w:val="left"/>
      <w:pPr>
        <w:ind w:left="690" w:hanging="360"/>
      </w:pPr>
      <w:rPr>
        <w:rFonts w:hint="default"/>
        <w:sz w:val="20"/>
      </w:rPr>
    </w:lvl>
    <w:lvl w:ilvl="1" w:tplc="08090019" w:tentative="1">
      <w:start w:val="1"/>
      <w:numFmt w:val="lowerLetter"/>
      <w:lvlText w:val="%2."/>
      <w:lvlJc w:val="left"/>
      <w:pPr>
        <w:ind w:left="1410" w:hanging="360"/>
      </w:pPr>
    </w:lvl>
    <w:lvl w:ilvl="2" w:tplc="0809001B" w:tentative="1">
      <w:start w:val="1"/>
      <w:numFmt w:val="lowerRoman"/>
      <w:lvlText w:val="%3."/>
      <w:lvlJc w:val="right"/>
      <w:pPr>
        <w:ind w:left="2130" w:hanging="180"/>
      </w:pPr>
    </w:lvl>
    <w:lvl w:ilvl="3" w:tplc="0809000F" w:tentative="1">
      <w:start w:val="1"/>
      <w:numFmt w:val="decimal"/>
      <w:lvlText w:val="%4."/>
      <w:lvlJc w:val="left"/>
      <w:pPr>
        <w:ind w:left="2850" w:hanging="360"/>
      </w:pPr>
    </w:lvl>
    <w:lvl w:ilvl="4" w:tplc="08090019" w:tentative="1">
      <w:start w:val="1"/>
      <w:numFmt w:val="lowerLetter"/>
      <w:lvlText w:val="%5."/>
      <w:lvlJc w:val="left"/>
      <w:pPr>
        <w:ind w:left="3570" w:hanging="360"/>
      </w:pPr>
    </w:lvl>
    <w:lvl w:ilvl="5" w:tplc="0809001B" w:tentative="1">
      <w:start w:val="1"/>
      <w:numFmt w:val="lowerRoman"/>
      <w:lvlText w:val="%6."/>
      <w:lvlJc w:val="right"/>
      <w:pPr>
        <w:ind w:left="4290" w:hanging="180"/>
      </w:pPr>
    </w:lvl>
    <w:lvl w:ilvl="6" w:tplc="0809000F" w:tentative="1">
      <w:start w:val="1"/>
      <w:numFmt w:val="decimal"/>
      <w:lvlText w:val="%7."/>
      <w:lvlJc w:val="left"/>
      <w:pPr>
        <w:ind w:left="5010" w:hanging="360"/>
      </w:pPr>
    </w:lvl>
    <w:lvl w:ilvl="7" w:tplc="08090019" w:tentative="1">
      <w:start w:val="1"/>
      <w:numFmt w:val="lowerLetter"/>
      <w:lvlText w:val="%8."/>
      <w:lvlJc w:val="left"/>
      <w:pPr>
        <w:ind w:left="5730" w:hanging="360"/>
      </w:pPr>
    </w:lvl>
    <w:lvl w:ilvl="8" w:tplc="0809001B" w:tentative="1">
      <w:start w:val="1"/>
      <w:numFmt w:val="lowerRoman"/>
      <w:lvlText w:val="%9."/>
      <w:lvlJc w:val="right"/>
      <w:pPr>
        <w:ind w:left="6450" w:hanging="180"/>
      </w:pPr>
    </w:lvl>
  </w:abstractNum>
  <w:abstractNum w:abstractNumId="14" w15:restartNumberingAfterBreak="0">
    <w:nsid w:val="74967DBB"/>
    <w:multiLevelType w:val="multilevel"/>
    <w:tmpl w:val="AAB0D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5BD1935"/>
    <w:multiLevelType w:val="hybridMultilevel"/>
    <w:tmpl w:val="965A9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6E7580C"/>
    <w:multiLevelType w:val="hybridMultilevel"/>
    <w:tmpl w:val="89888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DF15123"/>
    <w:multiLevelType w:val="hybridMultilevel"/>
    <w:tmpl w:val="047679A6"/>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8783713">
    <w:abstractNumId w:val="9"/>
  </w:num>
  <w:num w:numId="2" w16cid:durableId="1622766073">
    <w:abstractNumId w:val="4"/>
  </w:num>
  <w:num w:numId="3" w16cid:durableId="521866105">
    <w:abstractNumId w:val="0"/>
  </w:num>
  <w:num w:numId="4" w16cid:durableId="1518612884">
    <w:abstractNumId w:val="11"/>
  </w:num>
  <w:num w:numId="5" w16cid:durableId="1113476408">
    <w:abstractNumId w:val="17"/>
  </w:num>
  <w:num w:numId="6" w16cid:durableId="2142140862">
    <w:abstractNumId w:val="16"/>
  </w:num>
  <w:num w:numId="7" w16cid:durableId="2060398449">
    <w:abstractNumId w:val="2"/>
  </w:num>
  <w:num w:numId="8" w16cid:durableId="1191258451">
    <w:abstractNumId w:val="3"/>
  </w:num>
  <w:num w:numId="9" w16cid:durableId="1457792697">
    <w:abstractNumId w:val="10"/>
  </w:num>
  <w:num w:numId="10" w16cid:durableId="78447588">
    <w:abstractNumId w:val="15"/>
  </w:num>
  <w:num w:numId="11" w16cid:durableId="1342471444">
    <w:abstractNumId w:val="6"/>
  </w:num>
  <w:num w:numId="12" w16cid:durableId="521866661">
    <w:abstractNumId w:val="7"/>
  </w:num>
  <w:num w:numId="13" w16cid:durableId="228422474">
    <w:abstractNumId w:val="5"/>
  </w:num>
  <w:num w:numId="14" w16cid:durableId="1352027024">
    <w:abstractNumId w:val="14"/>
  </w:num>
  <w:num w:numId="15" w16cid:durableId="1504081902">
    <w:abstractNumId w:val="1"/>
  </w:num>
  <w:num w:numId="16" w16cid:durableId="411050517">
    <w:abstractNumId w:val="8"/>
  </w:num>
  <w:num w:numId="17" w16cid:durableId="1596477826">
    <w:abstractNumId w:val="12"/>
  </w:num>
  <w:num w:numId="18" w16cid:durableId="201695420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199"/>
    <w:rsid w:val="00040297"/>
    <w:rsid w:val="0007796A"/>
    <w:rsid w:val="000812B9"/>
    <w:rsid w:val="00090411"/>
    <w:rsid w:val="000A0112"/>
    <w:rsid w:val="000B1AFC"/>
    <w:rsid w:val="000D3888"/>
    <w:rsid w:val="00114199"/>
    <w:rsid w:val="00133A1F"/>
    <w:rsid w:val="00162301"/>
    <w:rsid w:val="001705DB"/>
    <w:rsid w:val="00173EE6"/>
    <w:rsid w:val="00176D7C"/>
    <w:rsid w:val="001C0C31"/>
    <w:rsid w:val="00273EB0"/>
    <w:rsid w:val="00295A13"/>
    <w:rsid w:val="00307658"/>
    <w:rsid w:val="00346B03"/>
    <w:rsid w:val="00364B1F"/>
    <w:rsid w:val="00381994"/>
    <w:rsid w:val="003B1D0D"/>
    <w:rsid w:val="003E59CC"/>
    <w:rsid w:val="004077DA"/>
    <w:rsid w:val="00436C14"/>
    <w:rsid w:val="00471C32"/>
    <w:rsid w:val="004A025A"/>
    <w:rsid w:val="004B70B6"/>
    <w:rsid w:val="004D7182"/>
    <w:rsid w:val="005548AA"/>
    <w:rsid w:val="005B6734"/>
    <w:rsid w:val="005C28E8"/>
    <w:rsid w:val="00617815"/>
    <w:rsid w:val="00640478"/>
    <w:rsid w:val="00660A94"/>
    <w:rsid w:val="006E7FB8"/>
    <w:rsid w:val="006F3426"/>
    <w:rsid w:val="00706F51"/>
    <w:rsid w:val="007472D0"/>
    <w:rsid w:val="007574FE"/>
    <w:rsid w:val="00791B9B"/>
    <w:rsid w:val="00804E06"/>
    <w:rsid w:val="00827B90"/>
    <w:rsid w:val="00832CEB"/>
    <w:rsid w:val="00851AD8"/>
    <w:rsid w:val="00874C28"/>
    <w:rsid w:val="00907D6B"/>
    <w:rsid w:val="009432FF"/>
    <w:rsid w:val="009514CF"/>
    <w:rsid w:val="009537F6"/>
    <w:rsid w:val="009544D7"/>
    <w:rsid w:val="00990157"/>
    <w:rsid w:val="009A07EC"/>
    <w:rsid w:val="009B2D4A"/>
    <w:rsid w:val="009B52F1"/>
    <w:rsid w:val="00A35997"/>
    <w:rsid w:val="00A528DD"/>
    <w:rsid w:val="00A56403"/>
    <w:rsid w:val="00A6624B"/>
    <w:rsid w:val="00AA34C5"/>
    <w:rsid w:val="00AF4E3A"/>
    <w:rsid w:val="00B30E61"/>
    <w:rsid w:val="00B44499"/>
    <w:rsid w:val="00B51BDE"/>
    <w:rsid w:val="00B866C4"/>
    <w:rsid w:val="00BD06A7"/>
    <w:rsid w:val="00BE20E7"/>
    <w:rsid w:val="00C03655"/>
    <w:rsid w:val="00C83611"/>
    <w:rsid w:val="00CC27B3"/>
    <w:rsid w:val="00CC74D4"/>
    <w:rsid w:val="00D46920"/>
    <w:rsid w:val="00D83E33"/>
    <w:rsid w:val="00DA2EFA"/>
    <w:rsid w:val="00E60371"/>
    <w:rsid w:val="00E668D5"/>
    <w:rsid w:val="00E807EF"/>
    <w:rsid w:val="00E831D8"/>
    <w:rsid w:val="00E86167"/>
    <w:rsid w:val="00E933D9"/>
    <w:rsid w:val="00EA4C64"/>
    <w:rsid w:val="00EB5C3B"/>
    <w:rsid w:val="00F23517"/>
    <w:rsid w:val="00F47AFE"/>
    <w:rsid w:val="00FD60C4"/>
    <w:rsid w:val="00FD63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56403"/>
  <w15:chartTrackingRefBased/>
  <w15:docId w15:val="{0D21DA34-CA0B-5749-8CA9-691230381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4199"/>
    <w:rPr>
      <w:rFonts w:ascii="Aptos" w:eastAsia="Aptos" w:hAnsi="Aptos" w:cs="Times New Roman"/>
      <w14:ligatures w14:val="none"/>
    </w:rPr>
  </w:style>
  <w:style w:type="paragraph" w:styleId="Heading1">
    <w:name w:val="heading 1"/>
    <w:basedOn w:val="Normal"/>
    <w:next w:val="Normal"/>
    <w:link w:val="Heading1Char"/>
    <w:uiPriority w:val="9"/>
    <w:qFormat/>
    <w:rsid w:val="001141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41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141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1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1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1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1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1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1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1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41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141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41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41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41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41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41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4199"/>
    <w:rPr>
      <w:rFonts w:eastAsiaTheme="majorEastAsia" w:cstheme="majorBidi"/>
      <w:color w:val="272727" w:themeColor="text1" w:themeTint="D8"/>
    </w:rPr>
  </w:style>
  <w:style w:type="paragraph" w:styleId="Title">
    <w:name w:val="Title"/>
    <w:basedOn w:val="Normal"/>
    <w:next w:val="Normal"/>
    <w:link w:val="TitleChar"/>
    <w:uiPriority w:val="10"/>
    <w:qFormat/>
    <w:rsid w:val="001141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1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1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1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199"/>
    <w:pPr>
      <w:spacing w:before="160"/>
      <w:jc w:val="center"/>
    </w:pPr>
    <w:rPr>
      <w:i/>
      <w:iCs/>
      <w:color w:val="404040" w:themeColor="text1" w:themeTint="BF"/>
    </w:rPr>
  </w:style>
  <w:style w:type="character" w:customStyle="1" w:styleId="QuoteChar">
    <w:name w:val="Quote Char"/>
    <w:basedOn w:val="DefaultParagraphFont"/>
    <w:link w:val="Quote"/>
    <w:uiPriority w:val="29"/>
    <w:rsid w:val="00114199"/>
    <w:rPr>
      <w:i/>
      <w:iCs/>
      <w:color w:val="404040" w:themeColor="text1" w:themeTint="BF"/>
    </w:rPr>
  </w:style>
  <w:style w:type="paragraph" w:styleId="ListParagraph">
    <w:name w:val="List Paragraph"/>
    <w:basedOn w:val="Normal"/>
    <w:uiPriority w:val="34"/>
    <w:qFormat/>
    <w:rsid w:val="00114199"/>
    <w:pPr>
      <w:ind w:left="720"/>
      <w:contextualSpacing/>
    </w:pPr>
  </w:style>
  <w:style w:type="character" w:styleId="IntenseEmphasis">
    <w:name w:val="Intense Emphasis"/>
    <w:basedOn w:val="DefaultParagraphFont"/>
    <w:uiPriority w:val="21"/>
    <w:qFormat/>
    <w:rsid w:val="00114199"/>
    <w:rPr>
      <w:i/>
      <w:iCs/>
      <w:color w:val="0F4761" w:themeColor="accent1" w:themeShade="BF"/>
    </w:rPr>
  </w:style>
  <w:style w:type="paragraph" w:styleId="IntenseQuote">
    <w:name w:val="Intense Quote"/>
    <w:basedOn w:val="Normal"/>
    <w:next w:val="Normal"/>
    <w:link w:val="IntenseQuoteChar"/>
    <w:uiPriority w:val="30"/>
    <w:qFormat/>
    <w:rsid w:val="001141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4199"/>
    <w:rPr>
      <w:i/>
      <w:iCs/>
      <w:color w:val="0F4761" w:themeColor="accent1" w:themeShade="BF"/>
    </w:rPr>
  </w:style>
  <w:style w:type="character" w:styleId="IntenseReference">
    <w:name w:val="Intense Reference"/>
    <w:basedOn w:val="DefaultParagraphFont"/>
    <w:uiPriority w:val="32"/>
    <w:qFormat/>
    <w:rsid w:val="00114199"/>
    <w:rPr>
      <w:b/>
      <w:bCs/>
      <w:smallCaps/>
      <w:color w:val="0F4761" w:themeColor="accent1" w:themeShade="BF"/>
      <w:spacing w:val="5"/>
    </w:rPr>
  </w:style>
  <w:style w:type="table" w:styleId="TableGrid">
    <w:name w:val="Table Grid"/>
    <w:basedOn w:val="TableNormal"/>
    <w:uiPriority w:val="39"/>
    <w:rsid w:val="001141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14199"/>
    <w:pPr>
      <w:spacing w:after="0" w:line="240" w:lineRule="auto"/>
    </w:pPr>
    <w:rPr>
      <w:rFonts w:ascii="Aptos" w:eastAsia="Aptos" w:hAnsi="Aptos" w:cs="Times New Roman"/>
      <w14:ligatures w14:val="none"/>
    </w:rPr>
  </w:style>
  <w:style w:type="character" w:styleId="Strong">
    <w:name w:val="Strong"/>
    <w:uiPriority w:val="22"/>
    <w:qFormat/>
    <w:rsid w:val="00114199"/>
    <w:rPr>
      <w:b/>
      <w:bCs/>
    </w:rPr>
  </w:style>
  <w:style w:type="paragraph" w:styleId="NormalWeb">
    <w:name w:val="Normal (Web)"/>
    <w:basedOn w:val="Normal"/>
    <w:uiPriority w:val="99"/>
    <w:unhideWhenUsed/>
    <w:rsid w:val="000B1AFC"/>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0B1AFC"/>
  </w:style>
  <w:style w:type="character" w:styleId="Emphasis">
    <w:name w:val="Emphasis"/>
    <w:basedOn w:val="DefaultParagraphFont"/>
    <w:uiPriority w:val="20"/>
    <w:qFormat/>
    <w:rsid w:val="005B6734"/>
    <w:rPr>
      <w:i/>
      <w:iCs/>
    </w:rPr>
  </w:style>
  <w:style w:type="paragraph" w:styleId="TOCHeading">
    <w:name w:val="TOC Heading"/>
    <w:basedOn w:val="Heading1"/>
    <w:next w:val="Normal"/>
    <w:uiPriority w:val="39"/>
    <w:unhideWhenUsed/>
    <w:qFormat/>
    <w:rsid w:val="009432FF"/>
    <w:pPr>
      <w:spacing w:before="240" w:after="0" w:line="259" w:lineRule="auto"/>
      <w:outlineLvl w:val="9"/>
    </w:pPr>
    <w:rPr>
      <w:kern w:val="0"/>
      <w:sz w:val="32"/>
      <w:szCs w:val="32"/>
      <w:lang w:val="en-US"/>
    </w:rPr>
  </w:style>
  <w:style w:type="paragraph" w:styleId="TOC1">
    <w:name w:val="toc 1"/>
    <w:basedOn w:val="Normal"/>
    <w:next w:val="Normal"/>
    <w:autoRedefine/>
    <w:uiPriority w:val="39"/>
    <w:unhideWhenUsed/>
    <w:rsid w:val="009432FF"/>
    <w:pPr>
      <w:spacing w:after="100"/>
    </w:pPr>
  </w:style>
  <w:style w:type="paragraph" w:styleId="TOC3">
    <w:name w:val="toc 3"/>
    <w:basedOn w:val="Normal"/>
    <w:next w:val="Normal"/>
    <w:autoRedefine/>
    <w:uiPriority w:val="39"/>
    <w:unhideWhenUsed/>
    <w:rsid w:val="009432FF"/>
    <w:pPr>
      <w:spacing w:after="100"/>
      <w:ind w:left="480"/>
    </w:pPr>
  </w:style>
  <w:style w:type="paragraph" w:styleId="TOC2">
    <w:name w:val="toc 2"/>
    <w:basedOn w:val="Normal"/>
    <w:next w:val="Normal"/>
    <w:autoRedefine/>
    <w:uiPriority w:val="39"/>
    <w:unhideWhenUsed/>
    <w:rsid w:val="009432FF"/>
    <w:pPr>
      <w:spacing w:after="100"/>
      <w:ind w:left="240"/>
    </w:pPr>
  </w:style>
  <w:style w:type="character" w:styleId="Hyperlink">
    <w:name w:val="Hyperlink"/>
    <w:basedOn w:val="DefaultParagraphFont"/>
    <w:uiPriority w:val="99"/>
    <w:unhideWhenUsed/>
    <w:rsid w:val="009432F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39E42E-2432-479C-816A-FA9CE80D76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8</Pages>
  <Words>2670</Words>
  <Characters>15220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alexandra barcea</cp:lastModifiedBy>
  <cp:revision>74</cp:revision>
  <dcterms:created xsi:type="dcterms:W3CDTF">2026-04-02T16:42:00Z</dcterms:created>
  <dcterms:modified xsi:type="dcterms:W3CDTF">2026-04-10T12:49:00Z</dcterms:modified>
</cp:coreProperties>
</file>