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5CE2CD" w14:textId="77777777" w:rsidR="009B59B4" w:rsidRDefault="00000000">
      <w:pPr>
        <w:spacing w:after="0"/>
        <w:ind w:left="30"/>
      </w:pPr>
      <w:r>
        <w:rPr>
          <w:noProof/>
        </w:rPr>
        <w:drawing>
          <wp:inline distT="0" distB="0" distL="0" distR="0" wp14:anchorId="47FF34E6" wp14:editId="249D33BF">
            <wp:extent cx="2143125" cy="666750"/>
            <wp:effectExtent l="0" t="0" r="0" b="0"/>
            <wp:docPr id="85" name="Picture 85"/>
            <wp:cNvGraphicFramePr/>
            <a:graphic xmlns:a="http://schemas.openxmlformats.org/drawingml/2006/main">
              <a:graphicData uri="http://schemas.openxmlformats.org/drawingml/2006/picture">
                <pic:pic xmlns:pic="http://schemas.openxmlformats.org/drawingml/2006/picture">
                  <pic:nvPicPr>
                    <pic:cNvPr id="85" name="Picture 85"/>
                    <pic:cNvPicPr/>
                  </pic:nvPicPr>
                  <pic:blipFill>
                    <a:blip r:embed="rId6"/>
                    <a:stretch>
                      <a:fillRect/>
                    </a:stretch>
                  </pic:blipFill>
                  <pic:spPr>
                    <a:xfrm>
                      <a:off x="0" y="0"/>
                      <a:ext cx="2143125" cy="666750"/>
                    </a:xfrm>
                    <a:prstGeom prst="rect">
                      <a:avLst/>
                    </a:prstGeom>
                  </pic:spPr>
                </pic:pic>
              </a:graphicData>
            </a:graphic>
          </wp:inline>
        </w:drawing>
      </w:r>
      <w:r>
        <w:rPr>
          <w:rFonts w:ascii="Trebuchet MS" w:eastAsia="Trebuchet MS" w:hAnsi="Trebuchet MS" w:cs="Trebuchet MS"/>
          <w:sz w:val="74"/>
        </w:rPr>
        <w:t xml:space="preserve">   </w:t>
      </w:r>
    </w:p>
    <w:p w14:paraId="1675B994" w14:textId="77777777" w:rsidR="009B59B4" w:rsidRDefault="00000000">
      <w:pPr>
        <w:spacing w:after="0"/>
      </w:pPr>
      <w:r>
        <w:rPr>
          <w:rFonts w:ascii="Trebuchet MS" w:eastAsia="Trebuchet MS" w:hAnsi="Trebuchet MS" w:cs="Trebuchet MS"/>
          <w:sz w:val="74"/>
        </w:rPr>
        <w:t xml:space="preserve">       </w:t>
      </w:r>
    </w:p>
    <w:p w14:paraId="3D5D13D8" w14:textId="77777777" w:rsidR="009B59B4" w:rsidRDefault="00000000">
      <w:pPr>
        <w:spacing w:after="0"/>
      </w:pPr>
      <w:r>
        <w:rPr>
          <w:rFonts w:ascii="Trebuchet MS" w:eastAsia="Trebuchet MS" w:hAnsi="Trebuchet MS" w:cs="Trebuchet MS"/>
          <w:b/>
          <w:sz w:val="34"/>
        </w:rPr>
        <w:t xml:space="preserve">         </w:t>
      </w:r>
      <w:r>
        <w:rPr>
          <w:rFonts w:ascii="Trebuchet MS" w:eastAsia="Trebuchet MS" w:hAnsi="Trebuchet MS" w:cs="Trebuchet MS"/>
          <w:b/>
          <w:sz w:val="42"/>
        </w:rPr>
        <w:t>Psychology in Health and Social Care</w:t>
      </w:r>
      <w:r>
        <w:rPr>
          <w:rFonts w:ascii="Trebuchet MS" w:eastAsia="Trebuchet MS" w:hAnsi="Trebuchet MS" w:cs="Trebuchet MS"/>
          <w:sz w:val="42"/>
        </w:rPr>
        <w:t xml:space="preserve"> </w:t>
      </w:r>
      <w:r>
        <w:rPr>
          <w:rFonts w:ascii="Trebuchet MS" w:eastAsia="Trebuchet MS" w:hAnsi="Trebuchet MS" w:cs="Trebuchet MS"/>
          <w:sz w:val="36"/>
        </w:rPr>
        <w:t xml:space="preserve"> </w:t>
      </w:r>
    </w:p>
    <w:p w14:paraId="36CF1E56" w14:textId="77777777" w:rsidR="009B59B4" w:rsidRDefault="00000000">
      <w:pPr>
        <w:pStyle w:val="Heading1"/>
      </w:pPr>
      <w:r>
        <w:t xml:space="preserve">                           (LCHS4010)</w:t>
      </w:r>
      <w:r>
        <w:rPr>
          <w:b/>
          <w:color w:val="FFFFFF"/>
        </w:rPr>
        <w:t xml:space="preserve"> </w:t>
      </w:r>
    </w:p>
    <w:p w14:paraId="42CB8D0D" w14:textId="77777777" w:rsidR="009B59B4" w:rsidRDefault="00000000">
      <w:pPr>
        <w:spacing w:after="0"/>
      </w:pPr>
      <w:r>
        <w:rPr>
          <w:rFonts w:ascii="Trebuchet MS" w:eastAsia="Trebuchet MS" w:hAnsi="Trebuchet MS" w:cs="Trebuchet MS"/>
          <w:sz w:val="60"/>
        </w:rPr>
        <w:t xml:space="preserve"> </w:t>
      </w:r>
    </w:p>
    <w:p w14:paraId="15EF1453" w14:textId="77777777" w:rsidR="009B59B4" w:rsidRDefault="00000000">
      <w:pPr>
        <w:spacing w:after="0"/>
      </w:pPr>
      <w:r>
        <w:rPr>
          <w:rFonts w:ascii="Trebuchet MS" w:eastAsia="Trebuchet MS" w:hAnsi="Trebuchet MS" w:cs="Trebuchet MS"/>
          <w:sz w:val="60"/>
        </w:rPr>
        <w:t xml:space="preserve"> </w:t>
      </w:r>
    </w:p>
    <w:p w14:paraId="0FEB7D83" w14:textId="26D55249" w:rsidR="009B59B4" w:rsidRDefault="00000000">
      <w:pPr>
        <w:spacing w:after="0"/>
        <w:ind w:left="-5" w:hanging="10"/>
      </w:pPr>
      <w:r>
        <w:rPr>
          <w:rFonts w:ascii="Trebuchet MS" w:eastAsia="Trebuchet MS" w:hAnsi="Trebuchet MS" w:cs="Trebuchet MS"/>
          <w:b/>
          <w:sz w:val="36"/>
        </w:rPr>
        <w:t xml:space="preserve">Assessment </w:t>
      </w:r>
      <w:r w:rsidR="00AE0E18">
        <w:rPr>
          <w:rFonts w:ascii="Trebuchet MS" w:eastAsia="Trebuchet MS" w:hAnsi="Trebuchet MS" w:cs="Trebuchet MS"/>
          <w:b/>
          <w:sz w:val="36"/>
        </w:rPr>
        <w:t>2:</w:t>
      </w:r>
      <w:r>
        <w:rPr>
          <w:rFonts w:ascii="Trebuchet MS" w:eastAsia="Trebuchet MS" w:hAnsi="Trebuchet MS" w:cs="Trebuchet MS"/>
          <w:sz w:val="36"/>
        </w:rPr>
        <w:t xml:space="preserve"> </w:t>
      </w:r>
      <w:r>
        <w:rPr>
          <w:rFonts w:ascii="Trebuchet MS" w:eastAsia="Trebuchet MS" w:hAnsi="Trebuchet MS" w:cs="Trebuchet MS"/>
          <w:sz w:val="32"/>
        </w:rPr>
        <w:t xml:space="preserve"> </w:t>
      </w:r>
      <w:r w:rsidR="005F412E">
        <w:rPr>
          <w:rFonts w:ascii="Trebuchet MS" w:eastAsia="Trebuchet MS" w:hAnsi="Trebuchet MS" w:cs="Trebuchet MS"/>
          <w:sz w:val="32"/>
        </w:rPr>
        <w:t>Essay</w:t>
      </w:r>
    </w:p>
    <w:p w14:paraId="583AB765" w14:textId="53A4B5F8" w:rsidR="009B59B4" w:rsidRDefault="00AE0E18">
      <w:pPr>
        <w:spacing w:after="0"/>
      </w:pPr>
      <w:r>
        <w:rPr>
          <w:rFonts w:ascii="Trebuchet MS" w:eastAsia="Trebuchet MS" w:hAnsi="Trebuchet MS" w:cs="Trebuchet MS"/>
          <w:b/>
          <w:sz w:val="36"/>
        </w:rPr>
        <w:t>Programme:</w:t>
      </w:r>
      <w:r w:rsidR="00000000">
        <w:rPr>
          <w:rFonts w:ascii="Trebuchet MS" w:eastAsia="Trebuchet MS" w:hAnsi="Trebuchet MS" w:cs="Trebuchet MS"/>
          <w:sz w:val="36"/>
        </w:rPr>
        <w:t xml:space="preserve">  </w:t>
      </w:r>
      <w:r w:rsidR="00000000">
        <w:rPr>
          <w:rFonts w:ascii="Trebuchet MS" w:eastAsia="Trebuchet MS" w:hAnsi="Trebuchet MS" w:cs="Trebuchet MS"/>
          <w:sz w:val="32"/>
        </w:rPr>
        <w:t xml:space="preserve">Certificate of Higher Education in H &amp; C </w:t>
      </w:r>
    </w:p>
    <w:p w14:paraId="5F9A8F5B" w14:textId="77777777" w:rsidR="009B59B4" w:rsidRDefault="00000000">
      <w:pPr>
        <w:spacing w:after="205"/>
      </w:pPr>
      <w:r>
        <w:rPr>
          <w:rFonts w:ascii="Trebuchet MS" w:eastAsia="Trebuchet MS" w:hAnsi="Trebuchet MS" w:cs="Trebuchet MS"/>
          <w:sz w:val="32"/>
        </w:rPr>
        <w:t xml:space="preserve"> </w:t>
      </w:r>
    </w:p>
    <w:p w14:paraId="477A84F4" w14:textId="72972055" w:rsidR="009B59B4" w:rsidRDefault="00000000">
      <w:pPr>
        <w:spacing w:after="163"/>
        <w:ind w:left="-5" w:hanging="10"/>
      </w:pPr>
      <w:r>
        <w:rPr>
          <w:rFonts w:ascii="Trebuchet MS" w:eastAsia="Trebuchet MS" w:hAnsi="Trebuchet MS" w:cs="Trebuchet MS"/>
          <w:b/>
          <w:sz w:val="36"/>
        </w:rPr>
        <w:t>Name</w:t>
      </w:r>
      <w:r w:rsidR="00AE0E18">
        <w:rPr>
          <w:rFonts w:ascii="Trebuchet MS" w:eastAsia="Trebuchet MS" w:hAnsi="Trebuchet MS" w:cs="Trebuchet MS"/>
          <w:b/>
          <w:sz w:val="36"/>
        </w:rPr>
        <w:t xml:space="preserve">: </w:t>
      </w:r>
      <w:r w:rsidR="00A32FD4" w:rsidRPr="005F412E">
        <w:rPr>
          <w:rFonts w:ascii="Trebuchet MS" w:eastAsia="Trebuchet MS" w:hAnsi="Trebuchet MS" w:cs="Trebuchet MS"/>
          <w:bCs/>
          <w:sz w:val="32"/>
          <w:szCs w:val="32"/>
        </w:rPr>
        <w:t>Elizabeth Olutayeshe</w:t>
      </w:r>
    </w:p>
    <w:p w14:paraId="424B57E3" w14:textId="72FF6CA8" w:rsidR="009B59B4" w:rsidRDefault="00000000">
      <w:pPr>
        <w:spacing w:after="276"/>
        <w:ind w:left="-5" w:hanging="10"/>
      </w:pPr>
      <w:r>
        <w:rPr>
          <w:rFonts w:ascii="Trebuchet MS" w:eastAsia="Trebuchet MS" w:hAnsi="Trebuchet MS" w:cs="Trebuchet MS"/>
          <w:b/>
          <w:sz w:val="36"/>
        </w:rPr>
        <w:t xml:space="preserve">Student </w:t>
      </w:r>
      <w:r w:rsidR="00AE0E18">
        <w:rPr>
          <w:rFonts w:ascii="Trebuchet MS" w:eastAsia="Trebuchet MS" w:hAnsi="Trebuchet MS" w:cs="Trebuchet MS"/>
          <w:b/>
          <w:sz w:val="36"/>
        </w:rPr>
        <w:t>Id:</w:t>
      </w:r>
      <w:r w:rsidR="00A32FD4">
        <w:rPr>
          <w:rFonts w:ascii="Trebuchet MS" w:eastAsia="Trebuchet MS" w:hAnsi="Trebuchet MS" w:cs="Trebuchet MS"/>
          <w:b/>
          <w:sz w:val="36"/>
        </w:rPr>
        <w:t xml:space="preserve"> </w:t>
      </w:r>
      <w:r w:rsidR="005F412E">
        <w:rPr>
          <w:rFonts w:ascii="Trebuchet MS" w:eastAsia="Trebuchet MS" w:hAnsi="Trebuchet MS" w:cs="Trebuchet MS"/>
          <w:b/>
          <w:sz w:val="36"/>
        </w:rPr>
        <w:t xml:space="preserve">  </w:t>
      </w:r>
      <w:r w:rsidR="00A32FD4" w:rsidRPr="00A32FD4">
        <w:rPr>
          <w:rFonts w:ascii="Trebuchet MS" w:eastAsia="Trebuchet MS" w:hAnsi="Trebuchet MS" w:cs="Trebuchet MS"/>
          <w:bCs/>
          <w:sz w:val="32"/>
          <w:szCs w:val="32"/>
        </w:rPr>
        <w:t>2513433</w:t>
      </w:r>
      <w:r w:rsidRPr="00A32FD4">
        <w:rPr>
          <w:rFonts w:ascii="Trebuchet MS" w:eastAsia="Trebuchet MS" w:hAnsi="Trebuchet MS" w:cs="Trebuchet MS"/>
          <w:bCs/>
          <w:sz w:val="32"/>
          <w:szCs w:val="32"/>
        </w:rPr>
        <w:t xml:space="preserve"> </w:t>
      </w:r>
    </w:p>
    <w:p w14:paraId="5F7771BC" w14:textId="77777777" w:rsidR="009B59B4" w:rsidRDefault="00000000">
      <w:pPr>
        <w:spacing w:after="180"/>
      </w:pPr>
      <w:r>
        <w:rPr>
          <w:rFonts w:ascii="Trebuchet MS" w:eastAsia="Trebuchet MS" w:hAnsi="Trebuchet MS" w:cs="Trebuchet MS"/>
          <w:sz w:val="48"/>
        </w:rPr>
        <w:t xml:space="preserve"> </w:t>
      </w:r>
    </w:p>
    <w:p w14:paraId="04532413" w14:textId="1C460A0D" w:rsidR="009B59B4" w:rsidRDefault="00AE0E18">
      <w:pPr>
        <w:spacing w:after="0"/>
      </w:pPr>
      <w:r>
        <w:rPr>
          <w:rFonts w:ascii="Trebuchet MS" w:eastAsia="Trebuchet MS" w:hAnsi="Trebuchet MS" w:cs="Trebuchet MS"/>
          <w:b/>
          <w:sz w:val="34"/>
        </w:rPr>
        <w:t>Lecturer:</w:t>
      </w:r>
      <w:r w:rsidR="005F412E">
        <w:rPr>
          <w:rFonts w:ascii="Trebuchet MS" w:eastAsia="Trebuchet MS" w:hAnsi="Trebuchet MS" w:cs="Trebuchet MS"/>
          <w:b/>
          <w:sz w:val="34"/>
        </w:rPr>
        <w:t xml:space="preserve">  </w:t>
      </w:r>
      <w:r w:rsidR="00A32FD4" w:rsidRPr="00A32FD4">
        <w:rPr>
          <w:rFonts w:ascii="Trebuchet MS" w:eastAsia="Trebuchet MS" w:hAnsi="Trebuchet MS" w:cs="Trebuchet MS"/>
          <w:bCs/>
          <w:sz w:val="32"/>
          <w:szCs w:val="32"/>
        </w:rPr>
        <w:t>Dr. Shepherd Ziko</w:t>
      </w:r>
      <w:r w:rsidR="00000000">
        <w:rPr>
          <w:rFonts w:ascii="Trebuchet MS" w:eastAsia="Trebuchet MS" w:hAnsi="Trebuchet MS" w:cs="Trebuchet MS"/>
          <w:sz w:val="34"/>
        </w:rPr>
        <w:t xml:space="preserve"> </w:t>
      </w:r>
      <w:r w:rsidR="00000000">
        <w:rPr>
          <w:rFonts w:ascii="Trebuchet MS" w:eastAsia="Trebuchet MS" w:hAnsi="Trebuchet MS" w:cs="Trebuchet MS"/>
          <w:b/>
          <w:sz w:val="48"/>
        </w:rPr>
        <w:t xml:space="preserve">                           </w:t>
      </w:r>
      <w:r w:rsidR="00000000">
        <w:rPr>
          <w:rFonts w:ascii="Trebuchet MS" w:eastAsia="Trebuchet MS" w:hAnsi="Trebuchet MS" w:cs="Trebuchet MS"/>
          <w:b/>
          <w:sz w:val="36"/>
        </w:rPr>
        <w:t xml:space="preserve"> </w:t>
      </w:r>
      <w:proofErr w:type="gramStart"/>
      <w:r w:rsidR="00000000">
        <w:rPr>
          <w:rFonts w:ascii="Trebuchet MS" w:eastAsia="Trebuchet MS" w:hAnsi="Trebuchet MS" w:cs="Trebuchet MS"/>
          <w:b/>
          <w:sz w:val="36"/>
        </w:rPr>
        <w:t>Date</w:t>
      </w:r>
      <w:r w:rsidR="00A32FD4">
        <w:rPr>
          <w:rFonts w:ascii="Trebuchet MS" w:eastAsia="Trebuchet MS" w:hAnsi="Trebuchet MS" w:cs="Trebuchet MS"/>
          <w:b/>
          <w:sz w:val="36"/>
        </w:rPr>
        <w:t xml:space="preserve"> </w:t>
      </w:r>
      <w:r>
        <w:rPr>
          <w:rFonts w:ascii="Trebuchet MS" w:eastAsia="Trebuchet MS" w:hAnsi="Trebuchet MS" w:cs="Trebuchet MS"/>
          <w:b/>
          <w:sz w:val="36"/>
        </w:rPr>
        <w:t>:</w:t>
      </w:r>
      <w:proofErr w:type="gramEnd"/>
      <w:r w:rsidR="00A32FD4">
        <w:rPr>
          <w:rFonts w:ascii="Trebuchet MS" w:eastAsia="Trebuchet MS" w:hAnsi="Trebuchet MS" w:cs="Trebuchet MS"/>
          <w:b/>
          <w:sz w:val="36"/>
        </w:rPr>
        <w:t xml:space="preserve">     </w:t>
      </w:r>
      <w:r w:rsidR="005F412E">
        <w:rPr>
          <w:rFonts w:ascii="Trebuchet MS" w:eastAsia="Trebuchet MS" w:hAnsi="Trebuchet MS" w:cs="Trebuchet MS"/>
          <w:b/>
          <w:sz w:val="48"/>
        </w:rPr>
        <w:t xml:space="preserve"> </w:t>
      </w:r>
      <w:r w:rsidR="00A32FD4" w:rsidRPr="00A32FD4">
        <w:rPr>
          <w:rFonts w:ascii="Trebuchet MS" w:eastAsia="Trebuchet MS" w:hAnsi="Trebuchet MS" w:cs="Trebuchet MS"/>
          <w:bCs/>
          <w:sz w:val="32"/>
          <w:szCs w:val="32"/>
        </w:rPr>
        <w:t>24/07/2026</w:t>
      </w:r>
      <w:r w:rsidR="00000000" w:rsidRPr="00A32FD4">
        <w:rPr>
          <w:rFonts w:ascii="Trebuchet MS" w:eastAsia="Trebuchet MS" w:hAnsi="Trebuchet MS" w:cs="Trebuchet MS"/>
          <w:bCs/>
          <w:sz w:val="32"/>
          <w:szCs w:val="32"/>
        </w:rPr>
        <w:t xml:space="preserve">                   </w:t>
      </w:r>
    </w:p>
    <w:p w14:paraId="049B9A2A" w14:textId="77777777" w:rsidR="009B59B4" w:rsidRDefault="00000000">
      <w:pPr>
        <w:spacing w:after="5526"/>
        <w:ind w:left="2325"/>
      </w:pPr>
      <w:r>
        <w:rPr>
          <w:rFonts w:ascii="Arial" w:eastAsia="Arial" w:hAnsi="Arial" w:cs="Arial"/>
          <w:b/>
        </w:rPr>
        <w:t xml:space="preserve"> </w:t>
      </w:r>
    </w:p>
    <w:p w14:paraId="6075E5A4" w14:textId="79BBD71C" w:rsidR="009B59B4" w:rsidRDefault="00000000">
      <w:pPr>
        <w:spacing w:after="0"/>
        <w:ind w:left="10" w:right="-15" w:hanging="10"/>
        <w:jc w:val="right"/>
      </w:pPr>
      <w:r>
        <w:rPr>
          <w:rFonts w:ascii="Arial" w:eastAsia="Arial" w:hAnsi="Arial" w:cs="Arial"/>
        </w:rPr>
        <w:t xml:space="preserve"> </w:t>
      </w:r>
    </w:p>
    <w:p w14:paraId="25F7C11C" w14:textId="77777777" w:rsidR="009B59B4" w:rsidRDefault="00000000">
      <w:pPr>
        <w:spacing w:after="0"/>
      </w:pPr>
      <w:r>
        <w:rPr>
          <w:rFonts w:ascii="Arial" w:eastAsia="Arial" w:hAnsi="Arial" w:cs="Arial"/>
        </w:rPr>
        <w:t xml:space="preserve"> </w:t>
      </w:r>
    </w:p>
    <w:p w14:paraId="2CB824AB" w14:textId="77777777" w:rsidR="009B59B4" w:rsidRDefault="00000000">
      <w:pPr>
        <w:spacing w:after="13862"/>
      </w:pPr>
      <w:r>
        <w:rPr>
          <w:rFonts w:ascii="Arial" w:eastAsia="Arial" w:hAnsi="Arial" w:cs="Arial"/>
          <w:b/>
          <w:sz w:val="24"/>
        </w:rPr>
        <w:t xml:space="preserve"> </w:t>
      </w:r>
    </w:p>
    <w:p w14:paraId="24B9A1BE" w14:textId="18B5C008" w:rsidR="00E9081F" w:rsidRPr="00DE2B95" w:rsidRDefault="00E9081F" w:rsidP="00E9081F">
      <w:pPr>
        <w:spacing w:after="0" w:line="360" w:lineRule="auto"/>
        <w:jc w:val="center"/>
        <w:rPr>
          <w:rFonts w:ascii="Arial" w:hAnsi="Arial" w:cs="Arial"/>
          <w:b/>
          <w:bCs/>
          <w:sz w:val="32"/>
          <w:szCs w:val="32"/>
          <w:u w:val="single"/>
        </w:rPr>
      </w:pPr>
      <w:r w:rsidRPr="00DE2B95">
        <w:rPr>
          <w:rFonts w:ascii="Arial" w:hAnsi="Arial" w:cs="Arial"/>
          <w:b/>
          <w:bCs/>
          <w:sz w:val="32"/>
          <w:szCs w:val="32"/>
          <w:u w:val="single"/>
        </w:rPr>
        <w:lastRenderedPageBreak/>
        <w:t>DISCUSS THE IMPACT OF SOCIAL MEDIA ON MENTAL HEALTH IN ADOLESCENCE</w:t>
      </w:r>
    </w:p>
    <w:p w14:paraId="007EBE42" w14:textId="57BD8F9D" w:rsidR="00E9081F" w:rsidRPr="00DE2B95" w:rsidRDefault="00DE2B95" w:rsidP="00E9081F">
      <w:pPr>
        <w:spacing w:after="0" w:line="360" w:lineRule="auto"/>
        <w:rPr>
          <w:rFonts w:ascii="Arial" w:hAnsi="Arial" w:cs="Arial"/>
          <w:b/>
          <w:bCs/>
          <w:sz w:val="32"/>
          <w:szCs w:val="32"/>
        </w:rPr>
      </w:pPr>
      <w:r w:rsidRPr="00DE2B95">
        <w:rPr>
          <w:rFonts w:ascii="Arial" w:hAnsi="Arial" w:cs="Arial"/>
          <w:b/>
          <w:bCs/>
          <w:sz w:val="32"/>
          <w:szCs w:val="32"/>
        </w:rPr>
        <w:t>INTRODUCTION</w:t>
      </w:r>
    </w:p>
    <w:p w14:paraId="227CAE2A" w14:textId="70A5CE04" w:rsid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Social media has become an integral part of everyday life, particularly among adolescents who increasingly use digital platforms to communicate, express themselves, and develop social relationships. </w:t>
      </w:r>
      <w:r w:rsidR="00DE2B95">
        <w:rPr>
          <w:rFonts w:ascii="Arial" w:hAnsi="Arial" w:cs="Arial"/>
          <w:sz w:val="32"/>
          <w:szCs w:val="32"/>
        </w:rPr>
        <w:t xml:space="preserve">The author will be using Erikson and Bowlby Theories in the essay of the impact of social media on Mental Health in Adolescence. </w:t>
      </w:r>
    </w:p>
    <w:p w14:paraId="36A4DBE2" w14:textId="77777777" w:rsidR="00DE2B95" w:rsidRDefault="00DE2B95" w:rsidP="00CD4F78">
      <w:pPr>
        <w:spacing w:after="0" w:line="360" w:lineRule="auto"/>
        <w:rPr>
          <w:rFonts w:ascii="Arial" w:hAnsi="Arial" w:cs="Arial"/>
          <w:sz w:val="32"/>
          <w:szCs w:val="32"/>
        </w:rPr>
      </w:pPr>
    </w:p>
    <w:p w14:paraId="6B123D1A" w14:textId="681BFCD0" w:rsidR="00DE2B95" w:rsidRPr="00DE2B95" w:rsidRDefault="00DE2B95" w:rsidP="00CD4F78">
      <w:pPr>
        <w:spacing w:after="0" w:line="360" w:lineRule="auto"/>
        <w:rPr>
          <w:rFonts w:ascii="Arial" w:hAnsi="Arial" w:cs="Arial"/>
          <w:b/>
          <w:bCs/>
          <w:sz w:val="32"/>
          <w:szCs w:val="32"/>
        </w:rPr>
      </w:pPr>
      <w:r w:rsidRPr="00DE2B95">
        <w:rPr>
          <w:rFonts w:ascii="Arial" w:hAnsi="Arial" w:cs="Arial"/>
          <w:b/>
          <w:bCs/>
          <w:sz w:val="32"/>
          <w:szCs w:val="32"/>
        </w:rPr>
        <w:t>MAIN BODY</w:t>
      </w:r>
    </w:p>
    <w:p w14:paraId="02326B19" w14:textId="6D943DC2"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Over time, social media has evolved from a simple communication tool into a powerful social environment where young people share experiences, explore their identities, access information, and maintain relationships. Platforms such as TikTok, Instagram, Facebook, WeChat, Telegram, Snapchat, Twitter and WhatsApp allow individuals to connect instantly regardless of geographical distance. For adolescents, these platforms provide opportunities to develop friendships, participate in online communities and receive social support (Best, </w:t>
      </w:r>
      <w:proofErr w:type="spellStart"/>
      <w:r w:rsidRPr="00DE2B95">
        <w:rPr>
          <w:rFonts w:ascii="Arial" w:hAnsi="Arial" w:cs="Arial"/>
          <w:sz w:val="32"/>
          <w:szCs w:val="32"/>
        </w:rPr>
        <w:t>Manktelow</w:t>
      </w:r>
      <w:proofErr w:type="spellEnd"/>
      <w:r w:rsidRPr="00DE2B95">
        <w:rPr>
          <w:rFonts w:ascii="Arial" w:hAnsi="Arial" w:cs="Arial"/>
          <w:sz w:val="32"/>
          <w:szCs w:val="32"/>
        </w:rPr>
        <w:t xml:space="preserve"> and Taylor, 2014). However, the widespread use of social media has also raised concerns about its potential effects on young people’s psychological wellbeing.</w:t>
      </w:r>
    </w:p>
    <w:p w14:paraId="6343456B" w14:textId="77777777" w:rsidR="00CD4F78" w:rsidRPr="00DE2B95" w:rsidRDefault="00CD4F78" w:rsidP="00CD4F78">
      <w:pPr>
        <w:spacing w:after="0" w:line="360" w:lineRule="auto"/>
        <w:rPr>
          <w:rFonts w:ascii="Arial" w:hAnsi="Arial" w:cs="Arial"/>
          <w:sz w:val="32"/>
          <w:szCs w:val="32"/>
        </w:rPr>
      </w:pPr>
    </w:p>
    <w:p w14:paraId="26CB0193"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lastRenderedPageBreak/>
        <w:t>Adolescence is commonly defined as the developmental stage between childhood and adulthood, typically ranging from ages 10 to 19, and is characterised by significant physical, emotional and psychological changes (World Health Organization, 2020). This stage is particularly important because individuals begin developing independence, seeking acceptance from peers and forming a clearer understanding of their identity. As highlighted in developmental theory, adolescence represents Erikson’s (1968) stage of identity versus role confusion, where young people attempt to establish a stable sense of self. Social media plays a significant role during this stage because it provides a space for self-expression, interaction and feedback, which can influence identity development in both positive and negative ways.</w:t>
      </w:r>
    </w:p>
    <w:p w14:paraId="55083DDE" w14:textId="77777777" w:rsidR="00CD4F78" w:rsidRPr="00DE2B95" w:rsidRDefault="00CD4F78" w:rsidP="00CD4F78">
      <w:pPr>
        <w:spacing w:after="0" w:line="360" w:lineRule="auto"/>
        <w:rPr>
          <w:rFonts w:ascii="Arial" w:hAnsi="Arial" w:cs="Arial"/>
          <w:sz w:val="32"/>
          <w:szCs w:val="32"/>
        </w:rPr>
      </w:pPr>
    </w:p>
    <w:p w14:paraId="383A42D8" w14:textId="24CD68C0"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Mental health during adolescence is complex and involves various dimensions, including emotional, psychological and social wellbeing. </w:t>
      </w:r>
      <w:r w:rsidR="00DE2B95">
        <w:rPr>
          <w:rFonts w:ascii="Arial" w:hAnsi="Arial" w:cs="Arial"/>
          <w:sz w:val="32"/>
          <w:szCs w:val="32"/>
        </w:rPr>
        <w:t xml:space="preserve">(World Health Organization 2024) </w:t>
      </w:r>
      <w:r w:rsidRPr="00DE2B95">
        <w:rPr>
          <w:rFonts w:ascii="Arial" w:hAnsi="Arial" w:cs="Arial"/>
          <w:sz w:val="32"/>
          <w:szCs w:val="32"/>
        </w:rPr>
        <w:t>Several types of mental health issues are commonly observed among adolescents. Emotional disorders such as anxiety and depression are particularly prevalent</w:t>
      </w:r>
      <w:r w:rsidR="00DE2B95">
        <w:rPr>
          <w:rFonts w:ascii="Arial" w:hAnsi="Arial" w:cs="Arial"/>
          <w:sz w:val="32"/>
          <w:szCs w:val="32"/>
        </w:rPr>
        <w:t xml:space="preserve"> among adolescents (WHO,2024) </w:t>
      </w:r>
      <w:r w:rsidRPr="00DE2B95">
        <w:rPr>
          <w:rFonts w:ascii="Arial" w:hAnsi="Arial" w:cs="Arial"/>
          <w:sz w:val="32"/>
          <w:szCs w:val="32"/>
        </w:rPr>
        <w:t xml:space="preserve">Anxiety may present as excessive </w:t>
      </w:r>
      <w:r w:rsidR="00DE2B95" w:rsidRPr="00DE2B95">
        <w:rPr>
          <w:rFonts w:ascii="Arial" w:hAnsi="Arial" w:cs="Arial"/>
          <w:sz w:val="32"/>
          <w:szCs w:val="32"/>
        </w:rPr>
        <w:t>worry;</w:t>
      </w:r>
      <w:r w:rsidRPr="00DE2B95">
        <w:rPr>
          <w:rFonts w:ascii="Arial" w:hAnsi="Arial" w:cs="Arial"/>
          <w:sz w:val="32"/>
          <w:szCs w:val="32"/>
        </w:rPr>
        <w:t xml:space="preserve"> fear of judgement or pressure related to maintaining an online presence. Depression can manifest through persistent sadness, withdrawal from activities and a loss of motivation. </w:t>
      </w:r>
      <w:r w:rsidR="00DE2B95">
        <w:rPr>
          <w:rFonts w:ascii="Arial" w:hAnsi="Arial" w:cs="Arial"/>
          <w:sz w:val="32"/>
          <w:szCs w:val="32"/>
        </w:rPr>
        <w:lastRenderedPageBreak/>
        <w:t xml:space="preserve">(Orben et al-,2024) </w:t>
      </w:r>
      <w:r w:rsidRPr="00DE2B95">
        <w:rPr>
          <w:rFonts w:ascii="Arial" w:hAnsi="Arial" w:cs="Arial"/>
          <w:sz w:val="32"/>
          <w:szCs w:val="32"/>
        </w:rPr>
        <w:t>In addition, low self-esteem and body image concerns are highly relevant during adolescence, as young people often compare themselves to others</w:t>
      </w:r>
      <w:r w:rsidR="00DE2B95">
        <w:rPr>
          <w:rFonts w:ascii="Arial" w:hAnsi="Arial" w:cs="Arial"/>
          <w:sz w:val="32"/>
          <w:szCs w:val="32"/>
        </w:rPr>
        <w:t xml:space="preserve"> on social media (Cambridge Review, 2025).</w:t>
      </w:r>
      <w:r w:rsidRPr="00DE2B95">
        <w:rPr>
          <w:rFonts w:ascii="Arial" w:hAnsi="Arial" w:cs="Arial"/>
          <w:sz w:val="32"/>
          <w:szCs w:val="32"/>
        </w:rPr>
        <w:t xml:space="preserve"> Behavioural issues, such as conduct problems or difficulties managing emotions, may also arise</w:t>
      </w:r>
      <w:r w:rsidR="00DE2B95">
        <w:rPr>
          <w:rFonts w:ascii="Arial" w:hAnsi="Arial" w:cs="Arial"/>
          <w:sz w:val="32"/>
          <w:szCs w:val="32"/>
        </w:rPr>
        <w:t xml:space="preserve"> during this developmental stage. (WHO,2024)</w:t>
      </w:r>
      <w:r w:rsidRPr="00DE2B95">
        <w:rPr>
          <w:rFonts w:ascii="Arial" w:hAnsi="Arial" w:cs="Arial"/>
          <w:sz w:val="32"/>
          <w:szCs w:val="32"/>
        </w:rPr>
        <w:t xml:space="preserve">. Among these, anxiety, depression and low self-esteem are especially significant in the context of social media use, as they are strongly influenced by online interactions, comparison and </w:t>
      </w:r>
      <w:r w:rsidR="00DE2B95" w:rsidRPr="00DE2B95">
        <w:rPr>
          <w:rFonts w:ascii="Arial" w:hAnsi="Arial" w:cs="Arial"/>
          <w:sz w:val="32"/>
          <w:szCs w:val="32"/>
        </w:rPr>
        <w:t>validation.</w:t>
      </w:r>
      <w:r w:rsidR="00DE2B95">
        <w:rPr>
          <w:rFonts w:ascii="Arial" w:hAnsi="Arial" w:cs="Arial"/>
          <w:sz w:val="32"/>
          <w:szCs w:val="32"/>
        </w:rPr>
        <w:t xml:space="preserve"> (Orben et al.,2024; Piteo,2020)</w:t>
      </w:r>
    </w:p>
    <w:p w14:paraId="2E23201A" w14:textId="77777777" w:rsidR="00CD4F78" w:rsidRPr="00DE2B95" w:rsidRDefault="00CD4F78" w:rsidP="00CD4F78">
      <w:pPr>
        <w:spacing w:after="0" w:line="360" w:lineRule="auto"/>
        <w:rPr>
          <w:rFonts w:ascii="Arial" w:hAnsi="Arial" w:cs="Arial"/>
          <w:sz w:val="32"/>
          <w:szCs w:val="32"/>
        </w:rPr>
      </w:pPr>
    </w:p>
    <w:p w14:paraId="149351CD"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One of the positive effects of social media on adolescent mental health is its ability to support social connection and belonging. Adolescents naturally seek acceptance and meaningful relationships as they develop their identity. Online platforms enable young people to communicate with friends, share interests and join communities based on common experiences. For adolescents who may feel isolated or misunderstood in their offline environments, social media can provide reassurance and a sense of belonging. These online relationships can reduce feelings of loneliness and strengthen social connections, which are important factors in maintaining psychological wellbeing (Best, </w:t>
      </w:r>
      <w:proofErr w:type="spellStart"/>
      <w:r w:rsidRPr="00DE2B95">
        <w:rPr>
          <w:rFonts w:ascii="Arial" w:hAnsi="Arial" w:cs="Arial"/>
          <w:sz w:val="32"/>
          <w:szCs w:val="32"/>
        </w:rPr>
        <w:t>Manktelow</w:t>
      </w:r>
      <w:proofErr w:type="spellEnd"/>
      <w:r w:rsidRPr="00DE2B95">
        <w:rPr>
          <w:rFonts w:ascii="Arial" w:hAnsi="Arial" w:cs="Arial"/>
          <w:sz w:val="32"/>
          <w:szCs w:val="32"/>
        </w:rPr>
        <w:t xml:space="preserve"> and Taylor, 2014).</w:t>
      </w:r>
    </w:p>
    <w:p w14:paraId="72B5DC78" w14:textId="77777777" w:rsidR="00CD4F78" w:rsidRPr="00DE2B95" w:rsidRDefault="00CD4F78" w:rsidP="00CD4F78">
      <w:pPr>
        <w:spacing w:after="0" w:line="360" w:lineRule="auto"/>
        <w:rPr>
          <w:rFonts w:ascii="Arial" w:hAnsi="Arial" w:cs="Arial"/>
          <w:sz w:val="32"/>
          <w:szCs w:val="32"/>
        </w:rPr>
      </w:pPr>
    </w:p>
    <w:p w14:paraId="45D7CDDF"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lastRenderedPageBreak/>
        <w:t>Social media can also support identity development by allowing adolescents to explore different aspects of themselves. Young people may use online spaces to express opinions, discover new interests and receive feedback from their peers. This process can help adolescents develop confidence and gain a better understanding of their values and personality. Valkenburg and Peter (2009) suggest that online communication can strengthen existing friendships and create opportunities for meaningful interactions. Therefore, social media should not be viewed solely as a source of risk, as it can provide valuable emotional and social benefits when used appropriately.</w:t>
      </w:r>
    </w:p>
    <w:p w14:paraId="0301BB9B" w14:textId="77777777" w:rsidR="00CD4F78" w:rsidRPr="00DE2B95" w:rsidRDefault="00CD4F78" w:rsidP="00CD4F78">
      <w:pPr>
        <w:spacing w:after="0" w:line="360" w:lineRule="auto"/>
        <w:rPr>
          <w:rFonts w:ascii="Arial" w:hAnsi="Arial" w:cs="Arial"/>
          <w:sz w:val="32"/>
          <w:szCs w:val="32"/>
        </w:rPr>
      </w:pPr>
    </w:p>
    <w:p w14:paraId="7486E9BE"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However, despite these benefits, social media can negatively influence adolescent mental health through increased social comparison. Adolescents are frequently exposed to carefully edited photographs, achievements and lifestyle content that may represent unrealistic versions of reality. Many users present idealised versions of their lives online while hiding difficulties or personal struggles. As a result, adolescents may compare themselves with these portrayals and develop feelings of inadequacy, dissatisfaction or low self-esteem. This issue is particularly significant during adolescence because young people are still developing their self-image and confidence.</w:t>
      </w:r>
    </w:p>
    <w:p w14:paraId="76C22651" w14:textId="77777777" w:rsidR="00CD4F78" w:rsidRPr="00DE2B95" w:rsidRDefault="00CD4F78" w:rsidP="00CD4F78">
      <w:pPr>
        <w:spacing w:after="0" w:line="360" w:lineRule="auto"/>
        <w:rPr>
          <w:rFonts w:ascii="Arial" w:hAnsi="Arial" w:cs="Arial"/>
          <w:sz w:val="32"/>
          <w:szCs w:val="32"/>
        </w:rPr>
      </w:pPr>
    </w:p>
    <w:p w14:paraId="1144F1C8"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lastRenderedPageBreak/>
        <w:t xml:space="preserve">Erikson’s (1968) theory highlights that successful identity development involves establishing a secure understanding of oneself. However, excessive reliance on online feedback, such as likes, comments and followers, may cause adolescents to measure their self-worth through external approval. This dependence can create uncertainty and make it more difficult for young people to develop an authentic sense of identity. Research supports the connection between social comparison and negative psychological outcomes. </w:t>
      </w:r>
      <w:proofErr w:type="spellStart"/>
      <w:r w:rsidRPr="00DE2B95">
        <w:rPr>
          <w:rFonts w:ascii="Arial" w:hAnsi="Arial" w:cs="Arial"/>
          <w:sz w:val="32"/>
          <w:szCs w:val="32"/>
        </w:rPr>
        <w:t>Fardouly</w:t>
      </w:r>
      <w:proofErr w:type="spellEnd"/>
      <w:r w:rsidRPr="00DE2B95">
        <w:rPr>
          <w:rFonts w:ascii="Arial" w:hAnsi="Arial" w:cs="Arial"/>
          <w:sz w:val="32"/>
          <w:szCs w:val="32"/>
        </w:rPr>
        <w:t xml:space="preserve"> et al. (2015) found that appearance-related comparisons on social media are associated with lower self-esteem and increased concerns about body image.</w:t>
      </w:r>
    </w:p>
    <w:p w14:paraId="1CFC3EFB" w14:textId="77777777" w:rsidR="00CD4F78" w:rsidRPr="00DE2B95" w:rsidRDefault="00CD4F78" w:rsidP="00CD4F78">
      <w:pPr>
        <w:spacing w:after="0" w:line="360" w:lineRule="auto"/>
        <w:rPr>
          <w:rFonts w:ascii="Arial" w:hAnsi="Arial" w:cs="Arial"/>
          <w:sz w:val="32"/>
          <w:szCs w:val="32"/>
        </w:rPr>
      </w:pPr>
    </w:p>
    <w:p w14:paraId="1408D4F0" w14:textId="192AA706"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Another concern is the pressure adolescents may experience to create and maintain an acceptable online identity. Social media platforms often encourage users to present carefully managed versions of themselves </w:t>
      </w:r>
      <w:r w:rsidR="00DE2B95" w:rsidRPr="00DE2B95">
        <w:rPr>
          <w:rFonts w:ascii="Arial" w:hAnsi="Arial" w:cs="Arial"/>
          <w:sz w:val="32"/>
          <w:szCs w:val="32"/>
        </w:rPr>
        <w:t>to</w:t>
      </w:r>
      <w:r w:rsidRPr="00DE2B95">
        <w:rPr>
          <w:rFonts w:ascii="Arial" w:hAnsi="Arial" w:cs="Arial"/>
          <w:sz w:val="32"/>
          <w:szCs w:val="32"/>
        </w:rPr>
        <w:t xml:space="preserve"> gain positive responses from others. Although this can sometimes increase confidence, maintaining an idealised online image may create emotional pressure and anxiety. Adolescents may feel the need to constantly monitor how others perceive them, which can negatively affect their confidence and sense of authenticity.</w:t>
      </w:r>
    </w:p>
    <w:p w14:paraId="31DDC60B" w14:textId="77777777" w:rsidR="00CD4F78" w:rsidRPr="00DE2B95" w:rsidRDefault="00CD4F78" w:rsidP="00CD4F78">
      <w:pPr>
        <w:spacing w:after="0" w:line="360" w:lineRule="auto"/>
        <w:rPr>
          <w:rFonts w:ascii="Arial" w:hAnsi="Arial" w:cs="Arial"/>
          <w:sz w:val="32"/>
          <w:szCs w:val="32"/>
        </w:rPr>
      </w:pPr>
    </w:p>
    <w:p w14:paraId="24035915"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Social media also exposes adolescents to risks such as cyberbullying, online harassment and harmful interactions. </w:t>
      </w:r>
      <w:r w:rsidRPr="00DE2B95">
        <w:rPr>
          <w:rFonts w:ascii="Arial" w:hAnsi="Arial" w:cs="Arial"/>
          <w:sz w:val="32"/>
          <w:szCs w:val="32"/>
        </w:rPr>
        <w:lastRenderedPageBreak/>
        <w:t>Unlike traditional bullying, cyberbullying can occur continuously and reach a wide audience, making it difficult for young people to escape negative experiences. Hurtful comments, online humiliation and harassment can contribute to emotional distress, anxiety and depressive symptoms among adolescents (Kowalski et al., 2014). These experiences can significantly affect mental health, particularly for individuals who already feel vulnerable or lack strong support systems.</w:t>
      </w:r>
    </w:p>
    <w:p w14:paraId="2F7D403D" w14:textId="77777777" w:rsidR="00CD4F78" w:rsidRPr="00DE2B95" w:rsidRDefault="00CD4F78" w:rsidP="00CD4F78">
      <w:pPr>
        <w:spacing w:after="0" w:line="360" w:lineRule="auto"/>
        <w:rPr>
          <w:rFonts w:ascii="Arial" w:hAnsi="Arial" w:cs="Arial"/>
          <w:sz w:val="32"/>
          <w:szCs w:val="32"/>
        </w:rPr>
      </w:pPr>
    </w:p>
    <w:p w14:paraId="7316342E"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Bowlby’s (1969) attachment theory provides further insight into how adolescents respond to negative online experiences. Bowlby proposed that early relationships influence emotional security, trust and the ability to form healthy relationships. Adolescents who have strong, supportive relationships may develop greater resilience when facing online challenges because they have access to reassurance and emotional support. However, those who lack secure relationships may become more dependent on social media for acceptance, increasing their vulnerability to rejection and emotional distress.</w:t>
      </w:r>
    </w:p>
    <w:p w14:paraId="35DCC89D" w14:textId="77777777" w:rsidR="00CD4F78" w:rsidRPr="00DE2B95" w:rsidRDefault="00CD4F78" w:rsidP="00CD4F78">
      <w:pPr>
        <w:spacing w:after="0" w:line="360" w:lineRule="auto"/>
        <w:rPr>
          <w:rFonts w:ascii="Arial" w:hAnsi="Arial" w:cs="Arial"/>
          <w:sz w:val="32"/>
          <w:szCs w:val="32"/>
        </w:rPr>
      </w:pPr>
    </w:p>
    <w:p w14:paraId="72090B45" w14:textId="6A8D420B"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Despite these concerns, social media can also provide important opportunities for mental health support and education. Many adolescents use online platforms to access information about mental wellbeing, share personal experiences and connect with others facing similar challenges. </w:t>
      </w:r>
      <w:r w:rsidR="00DE2B95">
        <w:rPr>
          <w:rFonts w:ascii="Arial" w:hAnsi="Arial" w:cs="Arial"/>
          <w:sz w:val="32"/>
          <w:szCs w:val="32"/>
        </w:rPr>
        <w:lastRenderedPageBreak/>
        <w:t xml:space="preserve">(Khalaf et.,2023) </w:t>
      </w:r>
      <w:r w:rsidRPr="00DE2B95">
        <w:rPr>
          <w:rFonts w:ascii="Arial" w:hAnsi="Arial" w:cs="Arial"/>
          <w:sz w:val="32"/>
          <w:szCs w:val="32"/>
        </w:rPr>
        <w:t xml:space="preserve">For young people who feel isolated, online communities can provide encouragement and a sense of belonging. </w:t>
      </w:r>
      <w:r w:rsidR="00DE2B95">
        <w:rPr>
          <w:rFonts w:ascii="Arial" w:hAnsi="Arial" w:cs="Arial"/>
          <w:sz w:val="32"/>
          <w:szCs w:val="32"/>
        </w:rPr>
        <w:t>(Naslund et.,2020; Khalaf c</w:t>
      </w:r>
      <w:r w:rsidR="00DE2B95" w:rsidRPr="00DE2B95">
        <w:rPr>
          <w:rFonts w:ascii="Arial" w:hAnsi="Arial" w:cs="Arial"/>
          <w:sz w:val="32"/>
          <w:szCs w:val="32"/>
        </w:rPr>
        <w:t xml:space="preserve"> </w:t>
      </w:r>
      <w:r w:rsidR="00DE2B95">
        <w:rPr>
          <w:rFonts w:ascii="Arial" w:hAnsi="Arial" w:cs="Arial"/>
          <w:sz w:val="32"/>
          <w:szCs w:val="32"/>
        </w:rPr>
        <w:t>et.,2023</w:t>
      </w:r>
      <w:r w:rsidR="00DE2B95">
        <w:rPr>
          <w:rFonts w:ascii="Arial" w:hAnsi="Arial" w:cs="Arial"/>
          <w:sz w:val="32"/>
          <w:szCs w:val="32"/>
        </w:rPr>
        <w:t>) Social</w:t>
      </w:r>
      <w:r w:rsidRPr="00DE2B95">
        <w:rPr>
          <w:rFonts w:ascii="Arial" w:hAnsi="Arial" w:cs="Arial"/>
          <w:sz w:val="32"/>
          <w:szCs w:val="32"/>
        </w:rPr>
        <w:t xml:space="preserve"> media has also contributed to reducing stigma surrounding mental health by creating spaces where young people can discuss emotional difficulties more openly.</w:t>
      </w:r>
      <w:r w:rsidR="00DE2B95" w:rsidRPr="00DE2B95">
        <w:rPr>
          <w:rFonts w:ascii="Arial" w:hAnsi="Arial" w:cs="Arial"/>
          <w:sz w:val="32"/>
          <w:szCs w:val="32"/>
        </w:rPr>
        <w:t xml:space="preserve"> </w:t>
      </w:r>
      <w:r w:rsidR="00DE2B95">
        <w:rPr>
          <w:rFonts w:ascii="Arial" w:hAnsi="Arial" w:cs="Arial"/>
          <w:sz w:val="32"/>
          <w:szCs w:val="32"/>
        </w:rPr>
        <w:t xml:space="preserve">(Song </w:t>
      </w:r>
      <w:proofErr w:type="spellStart"/>
      <w:r w:rsidR="00DE2B95">
        <w:rPr>
          <w:rFonts w:ascii="Arial" w:hAnsi="Arial" w:cs="Arial"/>
          <w:sz w:val="32"/>
          <w:szCs w:val="32"/>
        </w:rPr>
        <w:t>et</w:t>
      </w:r>
      <w:proofErr w:type="gramStart"/>
      <w:r w:rsidR="00DE2B95">
        <w:rPr>
          <w:rFonts w:ascii="Arial" w:hAnsi="Arial" w:cs="Arial"/>
          <w:sz w:val="32"/>
          <w:szCs w:val="32"/>
        </w:rPr>
        <w:t>.,al</w:t>
      </w:r>
      <w:proofErr w:type="spellEnd"/>
      <w:proofErr w:type="gramEnd"/>
      <w:r w:rsidR="00DE2B95">
        <w:rPr>
          <w:rFonts w:ascii="Arial" w:hAnsi="Arial" w:cs="Arial"/>
          <w:sz w:val="32"/>
          <w:szCs w:val="32"/>
        </w:rPr>
        <w:t xml:space="preserve"> 2023)</w:t>
      </w:r>
    </w:p>
    <w:p w14:paraId="600246E8" w14:textId="77777777" w:rsidR="00CD4F78" w:rsidRPr="00DE2B95" w:rsidRDefault="00CD4F78" w:rsidP="00CD4F78">
      <w:pPr>
        <w:spacing w:after="0" w:line="360" w:lineRule="auto"/>
        <w:rPr>
          <w:rFonts w:ascii="Arial" w:hAnsi="Arial" w:cs="Arial"/>
          <w:sz w:val="32"/>
          <w:szCs w:val="32"/>
        </w:rPr>
      </w:pPr>
    </w:p>
    <w:p w14:paraId="52672166"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Recent research suggests that the relationship between social media and adolescent mental health is complex and depends on how platforms are used rather than simply the amount of time spent online (Khalaf et al., 2023). Positive engagement, such as meaningful conversations, educational content and supportive communities, may contribute to improved wellbeing, whereas harmful interactions and excessive comparison may increase psychological difficulties. Therefore, the focus should be on promoting healthier digital habits rather than viewing social media as entirely harmful.</w:t>
      </w:r>
    </w:p>
    <w:p w14:paraId="59792E34" w14:textId="77777777" w:rsidR="00CD4F78" w:rsidRPr="00DE2B95" w:rsidRDefault="00CD4F78" w:rsidP="00CD4F78">
      <w:pPr>
        <w:spacing w:after="0" w:line="360" w:lineRule="auto"/>
        <w:rPr>
          <w:rFonts w:ascii="Arial" w:hAnsi="Arial" w:cs="Arial"/>
          <w:sz w:val="32"/>
          <w:szCs w:val="32"/>
        </w:rPr>
      </w:pPr>
    </w:p>
    <w:p w14:paraId="18EE6D2A" w14:textId="1518D6B7" w:rsidR="00CD4F78" w:rsidRPr="00DE2B95" w:rsidRDefault="00CD4F78" w:rsidP="00CD4F78">
      <w:pPr>
        <w:spacing w:after="0" w:line="360" w:lineRule="auto"/>
        <w:rPr>
          <w:rFonts w:ascii="Arial" w:hAnsi="Arial" w:cs="Arial"/>
          <w:sz w:val="32"/>
          <w:szCs w:val="32"/>
        </w:rPr>
      </w:pPr>
      <w:r w:rsidRPr="00DE2B95">
        <w:rPr>
          <w:rFonts w:ascii="Arial" w:hAnsi="Arial" w:cs="Arial"/>
          <w:b/>
          <w:bCs/>
          <w:sz w:val="32"/>
          <w:szCs w:val="32"/>
        </w:rPr>
        <w:t>In conclusion</w:t>
      </w:r>
      <w:r w:rsidRPr="00DE2B95">
        <w:rPr>
          <w:rFonts w:ascii="Arial" w:hAnsi="Arial" w:cs="Arial"/>
          <w:sz w:val="32"/>
          <w:szCs w:val="32"/>
        </w:rPr>
        <w:t xml:space="preserve">, social media has both positive and negative effects on adolescent mental health. </w:t>
      </w:r>
      <w:r w:rsidR="00DE2B95">
        <w:rPr>
          <w:rFonts w:ascii="Arial" w:hAnsi="Arial" w:cs="Arial"/>
          <w:sz w:val="32"/>
          <w:szCs w:val="32"/>
        </w:rPr>
        <w:t xml:space="preserve">(Khalaf et al.,2023; Odgers&amp; Jesen, 2020) </w:t>
      </w:r>
      <w:r w:rsidRPr="00DE2B95">
        <w:rPr>
          <w:rFonts w:ascii="Arial" w:hAnsi="Arial" w:cs="Arial"/>
          <w:sz w:val="32"/>
          <w:szCs w:val="32"/>
        </w:rPr>
        <w:t xml:space="preserve">It provides opportunities for social connection, identity exploration and access to support, while also creating risks associated with social comparison, online pressure, cyberbullying and emotional distress. </w:t>
      </w:r>
      <w:r w:rsidR="00DE2B95">
        <w:rPr>
          <w:rFonts w:ascii="Arial" w:hAnsi="Arial" w:cs="Arial"/>
          <w:sz w:val="32"/>
          <w:szCs w:val="32"/>
        </w:rPr>
        <w:t xml:space="preserve">(Kalaf et al.,2023; Nesi et al., 2020) </w:t>
      </w:r>
      <w:r w:rsidRPr="00DE2B95">
        <w:rPr>
          <w:rFonts w:ascii="Arial" w:hAnsi="Arial" w:cs="Arial"/>
          <w:sz w:val="32"/>
          <w:szCs w:val="32"/>
        </w:rPr>
        <w:t xml:space="preserve">Adolescents are particularly </w:t>
      </w:r>
      <w:r w:rsidRPr="00DE2B95">
        <w:rPr>
          <w:rFonts w:ascii="Arial" w:hAnsi="Arial" w:cs="Arial"/>
          <w:sz w:val="32"/>
          <w:szCs w:val="32"/>
        </w:rPr>
        <w:lastRenderedPageBreak/>
        <w:t xml:space="preserve">vulnerable to mental health challenges such as anxiety, depression and low self-esteem, which can be influenced by their experiences on social media. </w:t>
      </w:r>
      <w:r w:rsidR="00DE2B95">
        <w:rPr>
          <w:rFonts w:ascii="Arial" w:hAnsi="Arial" w:cs="Arial"/>
          <w:sz w:val="32"/>
          <w:szCs w:val="32"/>
        </w:rPr>
        <w:t xml:space="preserve">(Keles et al.,2020) </w:t>
      </w:r>
      <w:r w:rsidRPr="00DE2B95">
        <w:rPr>
          <w:rFonts w:ascii="Arial" w:hAnsi="Arial" w:cs="Arial"/>
          <w:sz w:val="32"/>
          <w:szCs w:val="32"/>
        </w:rPr>
        <w:t xml:space="preserve">Erikson’s theory highlights the importance of identity formation during adolescence, </w:t>
      </w:r>
      <w:r w:rsidR="00DE2B95">
        <w:rPr>
          <w:rFonts w:ascii="Arial" w:hAnsi="Arial" w:cs="Arial"/>
          <w:sz w:val="32"/>
          <w:szCs w:val="32"/>
        </w:rPr>
        <w:t xml:space="preserve">(Erikson 1968) </w:t>
      </w:r>
      <w:r w:rsidRPr="00DE2B95">
        <w:rPr>
          <w:rFonts w:ascii="Arial" w:hAnsi="Arial" w:cs="Arial"/>
          <w:sz w:val="32"/>
          <w:szCs w:val="32"/>
        </w:rPr>
        <w:t xml:space="preserve">while Bowlby’s theory emphasises the role of secure relationships in building resilience. </w:t>
      </w:r>
      <w:r w:rsidR="00DE2B95">
        <w:rPr>
          <w:rFonts w:ascii="Arial" w:hAnsi="Arial" w:cs="Arial"/>
          <w:sz w:val="32"/>
          <w:szCs w:val="32"/>
        </w:rPr>
        <w:t xml:space="preserve">(Bowlby, 1988) </w:t>
      </w:r>
      <w:r w:rsidRPr="00DE2B95">
        <w:rPr>
          <w:rFonts w:ascii="Arial" w:hAnsi="Arial" w:cs="Arial"/>
          <w:sz w:val="32"/>
          <w:szCs w:val="32"/>
        </w:rPr>
        <w:t xml:space="preserve">Social media should not be considered the sole cause of mental health difficulties; rather, its impact depends on how it is used, individual characteristics and the presence of supportive relationships. </w:t>
      </w:r>
      <w:r w:rsidR="00DE2B95">
        <w:rPr>
          <w:rFonts w:ascii="Arial" w:hAnsi="Arial" w:cs="Arial"/>
          <w:sz w:val="32"/>
          <w:szCs w:val="32"/>
        </w:rPr>
        <w:t xml:space="preserve">(Odgers &amp; Jesen, 20200 </w:t>
      </w:r>
      <w:r w:rsidRPr="00DE2B95">
        <w:rPr>
          <w:rFonts w:ascii="Arial" w:hAnsi="Arial" w:cs="Arial"/>
          <w:sz w:val="32"/>
          <w:szCs w:val="32"/>
        </w:rPr>
        <w:t xml:space="preserve">Encouraging responsible use, digital literacy and strong offline support systems can help adolescents benefit from social media while reducing its potential </w:t>
      </w:r>
      <w:r w:rsidR="00DE2B95" w:rsidRPr="00DE2B95">
        <w:rPr>
          <w:rFonts w:ascii="Arial" w:hAnsi="Arial" w:cs="Arial"/>
          <w:sz w:val="32"/>
          <w:szCs w:val="32"/>
        </w:rPr>
        <w:t>risks.</w:t>
      </w:r>
      <w:r w:rsidR="00DE2B95">
        <w:rPr>
          <w:rFonts w:ascii="Arial" w:hAnsi="Arial" w:cs="Arial"/>
          <w:sz w:val="32"/>
          <w:szCs w:val="32"/>
        </w:rPr>
        <w:t xml:space="preserve"> (Khalaf et al.,2023).</w:t>
      </w:r>
    </w:p>
    <w:p w14:paraId="0DDEA9CB" w14:textId="77777777" w:rsidR="00CD4F78" w:rsidRPr="00DE2B95" w:rsidRDefault="00CD4F78" w:rsidP="00CD4F78">
      <w:pPr>
        <w:spacing w:after="0" w:line="360" w:lineRule="auto"/>
        <w:rPr>
          <w:rFonts w:ascii="Arial" w:hAnsi="Arial" w:cs="Arial"/>
          <w:sz w:val="32"/>
          <w:szCs w:val="32"/>
        </w:rPr>
      </w:pPr>
    </w:p>
    <w:p w14:paraId="06E8FCC8" w14:textId="77777777" w:rsidR="00CD4F78" w:rsidRPr="00DE2B95" w:rsidRDefault="00CD4F78" w:rsidP="00CD4F78">
      <w:pPr>
        <w:spacing w:after="0" w:line="360" w:lineRule="auto"/>
        <w:rPr>
          <w:rFonts w:ascii="Arial" w:hAnsi="Arial" w:cs="Arial"/>
          <w:sz w:val="32"/>
          <w:szCs w:val="32"/>
        </w:rPr>
      </w:pPr>
    </w:p>
    <w:p w14:paraId="40D5475F" w14:textId="77777777" w:rsidR="00CD4F78" w:rsidRPr="00DE2B95" w:rsidRDefault="00CD4F78" w:rsidP="00CD4F78">
      <w:pPr>
        <w:spacing w:after="0" w:line="360" w:lineRule="auto"/>
        <w:rPr>
          <w:rFonts w:ascii="Arial" w:hAnsi="Arial" w:cs="Arial"/>
          <w:sz w:val="32"/>
          <w:szCs w:val="32"/>
        </w:rPr>
      </w:pPr>
    </w:p>
    <w:p w14:paraId="50AEA8E6" w14:textId="77777777" w:rsidR="00CD4F78" w:rsidRPr="00DE2B95" w:rsidRDefault="00CD4F78" w:rsidP="00CD4F78">
      <w:pPr>
        <w:spacing w:after="0" w:line="360" w:lineRule="auto"/>
        <w:rPr>
          <w:rFonts w:ascii="Arial" w:hAnsi="Arial" w:cs="Arial"/>
          <w:sz w:val="32"/>
          <w:szCs w:val="32"/>
        </w:rPr>
      </w:pPr>
    </w:p>
    <w:p w14:paraId="27E0624F" w14:textId="77777777" w:rsidR="00CD4F78" w:rsidRPr="00DE2B95" w:rsidRDefault="00CD4F78" w:rsidP="00CD4F78">
      <w:pPr>
        <w:spacing w:after="0" w:line="360" w:lineRule="auto"/>
        <w:rPr>
          <w:rFonts w:ascii="Arial" w:hAnsi="Arial" w:cs="Arial"/>
          <w:sz w:val="32"/>
          <w:szCs w:val="32"/>
        </w:rPr>
      </w:pPr>
    </w:p>
    <w:p w14:paraId="30257FCF" w14:textId="77777777" w:rsidR="00CD4F78" w:rsidRPr="00DE2B95" w:rsidRDefault="00CD4F78" w:rsidP="00CD4F78">
      <w:pPr>
        <w:spacing w:after="0" w:line="360" w:lineRule="auto"/>
        <w:rPr>
          <w:rFonts w:ascii="Arial" w:hAnsi="Arial" w:cs="Arial"/>
          <w:sz w:val="32"/>
          <w:szCs w:val="32"/>
        </w:rPr>
      </w:pPr>
    </w:p>
    <w:p w14:paraId="39C7D141" w14:textId="77777777" w:rsidR="00CD4F78" w:rsidRPr="00DE2B95" w:rsidRDefault="00CD4F78" w:rsidP="00CD4F78">
      <w:pPr>
        <w:spacing w:after="0" w:line="360" w:lineRule="auto"/>
        <w:rPr>
          <w:rFonts w:ascii="Arial" w:hAnsi="Arial" w:cs="Arial"/>
          <w:sz w:val="32"/>
          <w:szCs w:val="32"/>
        </w:rPr>
      </w:pPr>
    </w:p>
    <w:p w14:paraId="1E85AC78" w14:textId="77777777" w:rsidR="00CD4F78" w:rsidRPr="00DE2B95" w:rsidRDefault="00CD4F78" w:rsidP="00CD4F78">
      <w:pPr>
        <w:spacing w:after="0" w:line="360" w:lineRule="auto"/>
        <w:rPr>
          <w:rFonts w:ascii="Arial" w:hAnsi="Arial" w:cs="Arial"/>
          <w:sz w:val="32"/>
          <w:szCs w:val="32"/>
        </w:rPr>
      </w:pPr>
    </w:p>
    <w:p w14:paraId="030A2A92" w14:textId="77777777" w:rsidR="00CD4F78" w:rsidRPr="00DE2B95" w:rsidRDefault="00CD4F78" w:rsidP="00CD4F78">
      <w:pPr>
        <w:spacing w:after="0" w:line="360" w:lineRule="auto"/>
        <w:rPr>
          <w:rFonts w:ascii="Arial" w:hAnsi="Arial" w:cs="Arial"/>
          <w:sz w:val="32"/>
          <w:szCs w:val="32"/>
        </w:rPr>
      </w:pPr>
    </w:p>
    <w:p w14:paraId="52495BC4" w14:textId="77777777" w:rsidR="00CD4F78" w:rsidRPr="00DE2B95" w:rsidRDefault="00CD4F78" w:rsidP="00CD4F78">
      <w:pPr>
        <w:spacing w:after="0" w:line="360" w:lineRule="auto"/>
        <w:rPr>
          <w:rFonts w:ascii="Arial" w:hAnsi="Arial" w:cs="Arial"/>
          <w:sz w:val="32"/>
          <w:szCs w:val="32"/>
        </w:rPr>
      </w:pPr>
    </w:p>
    <w:p w14:paraId="66C7FDFC" w14:textId="77777777" w:rsidR="00CD4F78" w:rsidRPr="00DE2B95" w:rsidRDefault="00CD4F78" w:rsidP="00CD4F78">
      <w:pPr>
        <w:spacing w:after="0" w:line="360" w:lineRule="auto"/>
        <w:rPr>
          <w:rFonts w:ascii="Arial" w:hAnsi="Arial" w:cs="Arial"/>
          <w:sz w:val="32"/>
          <w:szCs w:val="32"/>
        </w:rPr>
      </w:pPr>
    </w:p>
    <w:p w14:paraId="1F024E74" w14:textId="77777777" w:rsidR="00CD4F78" w:rsidRPr="00DE2B95" w:rsidRDefault="00CD4F78" w:rsidP="00CD4F78">
      <w:pPr>
        <w:spacing w:after="0" w:line="360" w:lineRule="auto"/>
        <w:rPr>
          <w:rFonts w:ascii="Arial" w:hAnsi="Arial" w:cs="Arial"/>
          <w:sz w:val="32"/>
          <w:szCs w:val="32"/>
        </w:rPr>
      </w:pPr>
    </w:p>
    <w:p w14:paraId="06B1F0C5" w14:textId="1C21EE57" w:rsidR="00DE2B95" w:rsidRPr="00DE2B95" w:rsidRDefault="00AE0E18" w:rsidP="00DE2B95">
      <w:pPr>
        <w:spacing w:after="0" w:line="360" w:lineRule="auto"/>
        <w:rPr>
          <w:rFonts w:ascii="Arial" w:hAnsi="Arial" w:cs="Arial"/>
          <w:b/>
          <w:bCs/>
          <w:sz w:val="32"/>
          <w:szCs w:val="32"/>
        </w:rPr>
      </w:pPr>
      <w:r>
        <w:rPr>
          <w:rFonts w:ascii="Arial" w:hAnsi="Arial" w:cs="Arial"/>
          <w:sz w:val="32"/>
          <w:szCs w:val="32"/>
        </w:rPr>
        <w:lastRenderedPageBreak/>
        <w:t xml:space="preserve">                                  </w:t>
      </w:r>
      <w:r w:rsidR="00DE2B95" w:rsidRPr="00DE2B95">
        <w:rPr>
          <w:rFonts w:ascii="Arial" w:hAnsi="Arial" w:cs="Arial"/>
          <w:b/>
          <w:bCs/>
          <w:sz w:val="32"/>
          <w:szCs w:val="32"/>
        </w:rPr>
        <w:t>R</w:t>
      </w:r>
      <w:r>
        <w:rPr>
          <w:rFonts w:ascii="Arial" w:hAnsi="Arial" w:cs="Arial"/>
          <w:b/>
          <w:bCs/>
          <w:sz w:val="32"/>
          <w:szCs w:val="32"/>
        </w:rPr>
        <w:t>EFERENCES</w:t>
      </w:r>
    </w:p>
    <w:p w14:paraId="412D2B22" w14:textId="77777777" w:rsidR="00CD4F78" w:rsidRPr="00DE2B95" w:rsidRDefault="00CD4F78" w:rsidP="00CD4F78">
      <w:pPr>
        <w:spacing w:after="0" w:line="360" w:lineRule="auto"/>
        <w:rPr>
          <w:rFonts w:ascii="Arial" w:hAnsi="Arial" w:cs="Arial"/>
          <w:sz w:val="32"/>
          <w:szCs w:val="32"/>
        </w:rPr>
      </w:pPr>
    </w:p>
    <w:p w14:paraId="7CDC9323"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Best, P., </w:t>
      </w:r>
      <w:proofErr w:type="spellStart"/>
      <w:r w:rsidRPr="00DE2B95">
        <w:rPr>
          <w:rFonts w:ascii="Arial" w:hAnsi="Arial" w:cs="Arial"/>
          <w:sz w:val="32"/>
          <w:szCs w:val="32"/>
        </w:rPr>
        <w:t>Manktelow</w:t>
      </w:r>
      <w:proofErr w:type="spellEnd"/>
      <w:r w:rsidRPr="00DE2B95">
        <w:rPr>
          <w:rFonts w:ascii="Arial" w:hAnsi="Arial" w:cs="Arial"/>
          <w:sz w:val="32"/>
          <w:szCs w:val="32"/>
        </w:rPr>
        <w:t>, R. and Taylor, B. (2014) ‘Online communication, social media and adolescent wellbeing: A systematic narrative review’, Children and Youth Services Review, 41, pp. 27–36.</w:t>
      </w:r>
    </w:p>
    <w:p w14:paraId="3505931C" w14:textId="77777777" w:rsidR="00CD4F78" w:rsidRPr="00DE2B95" w:rsidRDefault="00CD4F78" w:rsidP="00CD4F78">
      <w:pPr>
        <w:spacing w:after="0" w:line="360" w:lineRule="auto"/>
        <w:rPr>
          <w:rFonts w:ascii="Arial" w:hAnsi="Arial" w:cs="Arial"/>
          <w:sz w:val="32"/>
          <w:szCs w:val="32"/>
        </w:rPr>
      </w:pPr>
    </w:p>
    <w:p w14:paraId="31E97A81"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Bowlby, J. (1969) Attachment and Loss: Volume I: Attachment. New York: Basic Books.</w:t>
      </w:r>
    </w:p>
    <w:p w14:paraId="650D7ED4" w14:textId="77777777" w:rsidR="00CD4F78" w:rsidRPr="00DE2B95" w:rsidRDefault="00CD4F78" w:rsidP="00CD4F78">
      <w:pPr>
        <w:spacing w:after="0" w:line="360" w:lineRule="auto"/>
        <w:rPr>
          <w:rFonts w:ascii="Arial" w:hAnsi="Arial" w:cs="Arial"/>
          <w:sz w:val="32"/>
          <w:szCs w:val="32"/>
        </w:rPr>
      </w:pPr>
    </w:p>
    <w:p w14:paraId="51C76E4B"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Erikson, E.H. (1968) Identity: Youth and Crisis. New York: W.W. Norton &amp; Company.</w:t>
      </w:r>
    </w:p>
    <w:p w14:paraId="6ADF26EF" w14:textId="77777777" w:rsidR="00CD4F78" w:rsidRPr="00DE2B95" w:rsidRDefault="00CD4F78" w:rsidP="00CD4F78">
      <w:pPr>
        <w:spacing w:after="0" w:line="360" w:lineRule="auto"/>
        <w:rPr>
          <w:rFonts w:ascii="Arial" w:hAnsi="Arial" w:cs="Arial"/>
          <w:sz w:val="32"/>
          <w:szCs w:val="32"/>
        </w:rPr>
      </w:pPr>
    </w:p>
    <w:p w14:paraId="0DE58A0D" w14:textId="77777777" w:rsidR="00CD4F78" w:rsidRPr="00DE2B95" w:rsidRDefault="00CD4F78" w:rsidP="00CD4F78">
      <w:pPr>
        <w:spacing w:after="0" w:line="360" w:lineRule="auto"/>
        <w:rPr>
          <w:rFonts w:ascii="Arial" w:hAnsi="Arial" w:cs="Arial"/>
          <w:sz w:val="32"/>
          <w:szCs w:val="32"/>
        </w:rPr>
      </w:pPr>
      <w:proofErr w:type="spellStart"/>
      <w:r w:rsidRPr="00DE2B95">
        <w:rPr>
          <w:rFonts w:ascii="Arial" w:hAnsi="Arial" w:cs="Arial"/>
          <w:sz w:val="32"/>
          <w:szCs w:val="32"/>
        </w:rPr>
        <w:t>Fardouly</w:t>
      </w:r>
      <w:proofErr w:type="spellEnd"/>
      <w:r w:rsidRPr="00DE2B95">
        <w:rPr>
          <w:rFonts w:ascii="Arial" w:hAnsi="Arial" w:cs="Arial"/>
          <w:sz w:val="32"/>
          <w:szCs w:val="32"/>
        </w:rPr>
        <w:t>, J., Diedrichs, P.C., Vartanian, L.R. and Halliwell, E. (2015) ‘Social comparisons on social media: The impact of Facebook on young women’s body image concerns and mood’, Body Image, 13, pp. 38–45.</w:t>
      </w:r>
    </w:p>
    <w:p w14:paraId="39EDC580" w14:textId="77777777" w:rsidR="00CD4F78" w:rsidRPr="00DE2B95" w:rsidRDefault="00CD4F78" w:rsidP="00CD4F78">
      <w:pPr>
        <w:spacing w:after="0" w:line="360" w:lineRule="auto"/>
        <w:rPr>
          <w:rFonts w:ascii="Arial" w:hAnsi="Arial" w:cs="Arial"/>
          <w:sz w:val="32"/>
          <w:szCs w:val="32"/>
        </w:rPr>
      </w:pPr>
    </w:p>
    <w:p w14:paraId="71BEA2DA"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Khalaf, A.M., </w:t>
      </w:r>
      <w:proofErr w:type="spellStart"/>
      <w:r w:rsidRPr="00DE2B95">
        <w:rPr>
          <w:rFonts w:ascii="Arial" w:hAnsi="Arial" w:cs="Arial"/>
          <w:sz w:val="32"/>
          <w:szCs w:val="32"/>
        </w:rPr>
        <w:t>Alubied</w:t>
      </w:r>
      <w:proofErr w:type="spellEnd"/>
      <w:r w:rsidRPr="00DE2B95">
        <w:rPr>
          <w:rFonts w:ascii="Arial" w:hAnsi="Arial" w:cs="Arial"/>
          <w:sz w:val="32"/>
          <w:szCs w:val="32"/>
        </w:rPr>
        <w:t xml:space="preserve">, A.A., Khalaf, A.M. and </w:t>
      </w:r>
      <w:proofErr w:type="spellStart"/>
      <w:r w:rsidRPr="00DE2B95">
        <w:rPr>
          <w:rFonts w:ascii="Arial" w:hAnsi="Arial" w:cs="Arial"/>
          <w:sz w:val="32"/>
          <w:szCs w:val="32"/>
        </w:rPr>
        <w:t>Rifaey</w:t>
      </w:r>
      <w:proofErr w:type="spellEnd"/>
      <w:r w:rsidRPr="00DE2B95">
        <w:rPr>
          <w:rFonts w:ascii="Arial" w:hAnsi="Arial" w:cs="Arial"/>
          <w:sz w:val="32"/>
          <w:szCs w:val="32"/>
        </w:rPr>
        <w:t xml:space="preserve">, A. (2023) ‘The impact of social media on the mental health of adolescents and young adults: A systematic review’, </w:t>
      </w:r>
      <w:proofErr w:type="spellStart"/>
      <w:r w:rsidRPr="00DE2B95">
        <w:rPr>
          <w:rFonts w:ascii="Arial" w:hAnsi="Arial" w:cs="Arial"/>
          <w:sz w:val="32"/>
          <w:szCs w:val="32"/>
        </w:rPr>
        <w:t>Cureus</w:t>
      </w:r>
      <w:proofErr w:type="spellEnd"/>
      <w:r w:rsidRPr="00DE2B95">
        <w:rPr>
          <w:rFonts w:ascii="Arial" w:hAnsi="Arial" w:cs="Arial"/>
          <w:sz w:val="32"/>
          <w:szCs w:val="32"/>
        </w:rPr>
        <w:t>, 15(8), e42990.</w:t>
      </w:r>
    </w:p>
    <w:p w14:paraId="397A7FDB" w14:textId="77777777" w:rsidR="00CD4F78" w:rsidRPr="00DE2B95" w:rsidRDefault="00CD4F78" w:rsidP="00CD4F78">
      <w:pPr>
        <w:spacing w:after="0" w:line="360" w:lineRule="auto"/>
        <w:rPr>
          <w:rFonts w:ascii="Arial" w:hAnsi="Arial" w:cs="Arial"/>
          <w:sz w:val="32"/>
          <w:szCs w:val="32"/>
        </w:rPr>
      </w:pPr>
    </w:p>
    <w:p w14:paraId="2B87B560"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 xml:space="preserve">Kowalski, R.M., Giumetti, G.W., Schroeder, A.N. and </w:t>
      </w:r>
      <w:proofErr w:type="spellStart"/>
      <w:r w:rsidRPr="00DE2B95">
        <w:rPr>
          <w:rFonts w:ascii="Arial" w:hAnsi="Arial" w:cs="Arial"/>
          <w:sz w:val="32"/>
          <w:szCs w:val="32"/>
        </w:rPr>
        <w:t>Lattanner</w:t>
      </w:r>
      <w:proofErr w:type="spellEnd"/>
      <w:r w:rsidRPr="00DE2B95">
        <w:rPr>
          <w:rFonts w:ascii="Arial" w:hAnsi="Arial" w:cs="Arial"/>
          <w:sz w:val="32"/>
          <w:szCs w:val="32"/>
        </w:rPr>
        <w:t xml:space="preserve">, M.R. (2014) ‘Bullying in the digital age: A critical review and </w:t>
      </w:r>
      <w:r w:rsidRPr="00DE2B95">
        <w:rPr>
          <w:rFonts w:ascii="Arial" w:hAnsi="Arial" w:cs="Arial"/>
          <w:sz w:val="32"/>
          <w:szCs w:val="32"/>
        </w:rPr>
        <w:lastRenderedPageBreak/>
        <w:t>meta-analysis of cyberbullying research among youth’, Psychological Bulletin, 140(4), pp. 1073–1137.</w:t>
      </w:r>
    </w:p>
    <w:p w14:paraId="1045DBED" w14:textId="77777777" w:rsidR="00CD4F78" w:rsidRPr="00DE2B95" w:rsidRDefault="00CD4F78" w:rsidP="00CD4F78">
      <w:pPr>
        <w:spacing w:after="0" w:line="360" w:lineRule="auto"/>
        <w:rPr>
          <w:rFonts w:ascii="Arial" w:hAnsi="Arial" w:cs="Arial"/>
          <w:sz w:val="32"/>
          <w:szCs w:val="32"/>
        </w:rPr>
      </w:pPr>
    </w:p>
    <w:p w14:paraId="6312C17A" w14:textId="77777777" w:rsidR="00CD4F78" w:rsidRPr="00DE2B95" w:rsidRDefault="00CD4F78" w:rsidP="00CD4F78">
      <w:pPr>
        <w:spacing w:after="0" w:line="360" w:lineRule="auto"/>
        <w:rPr>
          <w:rFonts w:ascii="Arial" w:hAnsi="Arial" w:cs="Arial"/>
          <w:sz w:val="32"/>
          <w:szCs w:val="32"/>
        </w:rPr>
      </w:pPr>
      <w:r w:rsidRPr="00DE2B95">
        <w:rPr>
          <w:rFonts w:ascii="Arial" w:hAnsi="Arial" w:cs="Arial"/>
          <w:sz w:val="32"/>
          <w:szCs w:val="32"/>
        </w:rPr>
        <w:t>Valkenburg, P.M. and Peter, J. (2009) ‘Social consequences of the Internet for adolescents: A decade of research’, Current Directions in Psychological Science, 18(1), pp. 1–5.</w:t>
      </w:r>
    </w:p>
    <w:p w14:paraId="61954FDE" w14:textId="77777777" w:rsidR="00CD4F78" w:rsidRPr="00DE2B95" w:rsidRDefault="00CD4F78" w:rsidP="00CD4F78">
      <w:pPr>
        <w:spacing w:after="0" w:line="360" w:lineRule="auto"/>
        <w:rPr>
          <w:rFonts w:ascii="Arial" w:hAnsi="Arial" w:cs="Arial"/>
          <w:sz w:val="32"/>
          <w:szCs w:val="32"/>
        </w:rPr>
      </w:pPr>
    </w:p>
    <w:p w14:paraId="25366B70" w14:textId="28EB2090" w:rsidR="005F412E" w:rsidRPr="00DE2B95" w:rsidRDefault="00CD4F78" w:rsidP="00CD4F78">
      <w:pPr>
        <w:spacing w:after="0" w:line="360" w:lineRule="auto"/>
        <w:rPr>
          <w:rFonts w:ascii="Arial" w:hAnsi="Arial" w:cs="Arial"/>
          <w:sz w:val="32"/>
          <w:szCs w:val="32"/>
        </w:rPr>
      </w:pPr>
      <w:r w:rsidRPr="00DE2B95">
        <w:rPr>
          <w:rFonts w:ascii="Arial" w:hAnsi="Arial" w:cs="Arial"/>
          <w:sz w:val="32"/>
          <w:szCs w:val="32"/>
        </w:rPr>
        <w:t>World Health Organization (2020) Adolescent mental health. Available at: https://www.who.int (Accessed: 2020).</w:t>
      </w:r>
    </w:p>
    <w:sectPr w:rsidR="005F412E" w:rsidRPr="00DE2B95">
      <w:footerReference w:type="default" r:id="rId7"/>
      <w:pgSz w:w="11920" w:h="16840"/>
      <w:pgMar w:top="1470" w:right="1454" w:bottom="715"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ED2A0E1" w14:textId="77777777" w:rsidR="009D6F43" w:rsidRDefault="009D6F43" w:rsidP="005F412E">
      <w:pPr>
        <w:spacing w:after="0" w:line="240" w:lineRule="auto"/>
      </w:pPr>
      <w:r>
        <w:separator/>
      </w:r>
    </w:p>
  </w:endnote>
  <w:endnote w:type="continuationSeparator" w:id="0">
    <w:p w14:paraId="76D71AA9" w14:textId="77777777" w:rsidR="009D6F43" w:rsidRDefault="009D6F43" w:rsidP="005F4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6413200"/>
      <w:docPartObj>
        <w:docPartGallery w:val="Page Numbers (Bottom of Page)"/>
        <w:docPartUnique/>
      </w:docPartObj>
    </w:sdtPr>
    <w:sdtContent>
      <w:p w14:paraId="03777B80" w14:textId="666F459C" w:rsidR="005F412E" w:rsidRDefault="005F412E">
        <w:pPr>
          <w:pStyle w:val="Footer"/>
          <w:jc w:val="center"/>
        </w:pPr>
        <w:r>
          <w:fldChar w:fldCharType="begin"/>
        </w:r>
        <w:r>
          <w:instrText>PAGE   \* MERGEFORMAT</w:instrText>
        </w:r>
        <w:r>
          <w:fldChar w:fldCharType="separate"/>
        </w:r>
        <w:r>
          <w:t>2</w:t>
        </w:r>
        <w:r>
          <w:fldChar w:fldCharType="end"/>
        </w:r>
      </w:p>
    </w:sdtContent>
  </w:sdt>
  <w:p w14:paraId="6F5BFFDD" w14:textId="77777777" w:rsidR="005F412E" w:rsidRDefault="005F4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C5E4533" w14:textId="77777777" w:rsidR="009D6F43" w:rsidRDefault="009D6F43" w:rsidP="005F412E">
      <w:pPr>
        <w:spacing w:after="0" w:line="240" w:lineRule="auto"/>
      </w:pPr>
      <w:r>
        <w:separator/>
      </w:r>
    </w:p>
  </w:footnote>
  <w:footnote w:type="continuationSeparator" w:id="0">
    <w:p w14:paraId="53223E41" w14:textId="77777777" w:rsidR="009D6F43" w:rsidRDefault="009D6F43" w:rsidP="005F412E">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59B4"/>
    <w:rsid w:val="00160E3A"/>
    <w:rsid w:val="005F412E"/>
    <w:rsid w:val="00767402"/>
    <w:rsid w:val="009A54CD"/>
    <w:rsid w:val="009B59B4"/>
    <w:rsid w:val="009D6F43"/>
    <w:rsid w:val="00A32FD4"/>
    <w:rsid w:val="00AE0E18"/>
    <w:rsid w:val="00AE6808"/>
    <w:rsid w:val="00BA3F1B"/>
    <w:rsid w:val="00CD4F78"/>
    <w:rsid w:val="00DE2B95"/>
    <w:rsid w:val="00DF7BA8"/>
    <w:rsid w:val="00E90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60731"/>
  <w15:docId w15:val="{80942483-BD71-4DDE-AD33-E30F3FC93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188" w:line="259" w:lineRule="auto"/>
      <w:outlineLvl w:val="0"/>
    </w:pPr>
    <w:rPr>
      <w:rFonts w:ascii="Trebuchet MS" w:eastAsia="Trebuchet MS" w:hAnsi="Trebuchet MS" w:cs="Trebuchet MS"/>
      <w:color w:val="000000"/>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rebuchet MS" w:eastAsia="Trebuchet MS" w:hAnsi="Trebuchet MS" w:cs="Trebuchet MS"/>
      <w:color w:val="000000"/>
      <w:sz w:val="36"/>
    </w:rPr>
  </w:style>
  <w:style w:type="paragraph" w:styleId="Header">
    <w:name w:val="header"/>
    <w:basedOn w:val="Normal"/>
    <w:link w:val="HeaderChar"/>
    <w:uiPriority w:val="99"/>
    <w:unhideWhenUsed/>
    <w:rsid w:val="005F4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12E"/>
    <w:rPr>
      <w:rFonts w:ascii="Calibri" w:eastAsia="Calibri" w:hAnsi="Calibri" w:cs="Calibri"/>
      <w:color w:val="000000"/>
      <w:sz w:val="22"/>
    </w:rPr>
  </w:style>
  <w:style w:type="paragraph" w:styleId="Footer">
    <w:name w:val="footer"/>
    <w:basedOn w:val="Normal"/>
    <w:link w:val="FooterChar"/>
    <w:uiPriority w:val="99"/>
    <w:unhideWhenUsed/>
    <w:rsid w:val="005F4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12E"/>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1732</Words>
  <Characters>9879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phycology report.docx</vt:lpstr>
    </vt:vector>
  </TitlesOfParts>
  <Company/>
  <LinksUpToDate>false</LinksUpToDate>
  <CharactersWithSpaces>11588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phycology report.docx</dc:title>
  <dc:subject/>
  <dc:creator>Lizzie Olutayese</dc:creator>
  <cp:keywords/>
  <cp:lastModifiedBy>Elizabeth Olutayeshe (2514334)</cp:lastModifiedBy>
  <cp:revision>2</cp:revision>
  <dcterms:created xsi:type="dcterms:W3CDTF">2026-08-12T12:52:00Z</dcterms:created>
  <dcterms:modified xsi:type="dcterms:W3CDTF">2026-08-12T12:52:00Z</dcterms:modified>
</cp:coreProperties>
</file>