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B5B5A2F" w14:paraId="449D3AA3" wp14:textId="7DD7E7FD">
      <w:pPr>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p>
    <w:p xmlns:wp14="http://schemas.microsoft.com/office/word/2010/wordml" w:rsidP="7B5B5A2F" w14:paraId="54E041B9" wp14:textId="33988437">
      <w:pPr>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p>
    <w:p xmlns:wp14="http://schemas.microsoft.com/office/word/2010/wordml" w:rsidP="7B5B5A2F" w14:paraId="38C4F9C9" wp14:textId="151B284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0EC3C717">
        <w:drawing>
          <wp:inline xmlns:wp14="http://schemas.microsoft.com/office/word/2010/wordprocessingDrawing" wp14:editId="757693F7" wp14:anchorId="4D68BCC7">
            <wp:extent cx="2486025" cy="942975"/>
            <wp:effectExtent l="0" t="0" r="0" b="0"/>
            <wp:docPr id="1625475138" name="" title=""/>
            <wp:cNvGraphicFramePr>
              <a:graphicFrameLocks noChangeAspect="1"/>
            </wp:cNvGraphicFramePr>
            <a:graphic>
              <a:graphicData uri="http://schemas.openxmlformats.org/drawingml/2006/picture">
                <pic:pic>
                  <pic:nvPicPr>
                    <pic:cNvPr id="0" name=""/>
                    <pic:cNvPicPr/>
                  </pic:nvPicPr>
                  <pic:blipFill>
                    <a:blip r:embed="Rf8313ddae86e41dd">
                      <a:extLst>
                        <a:ext xmlns:a="http://schemas.openxmlformats.org/drawingml/2006/main" uri="{28A0092B-C50C-407E-A947-70E740481C1C}">
                          <a14:useLocalDpi val="0"/>
                        </a:ext>
                      </a:extLst>
                    </a:blip>
                    <a:stretch>
                      <a:fillRect/>
                    </a:stretch>
                  </pic:blipFill>
                  <pic:spPr>
                    <a:xfrm>
                      <a:off x="0" y="0"/>
                      <a:ext cx="2486025" cy="942975"/>
                    </a:xfrm>
                    <a:prstGeom prst="rect">
                      <a:avLst/>
                    </a:prstGeom>
                  </pic:spPr>
                </pic:pic>
              </a:graphicData>
            </a:graphic>
          </wp:inline>
        </w:drawing>
      </w:r>
      <w:r>
        <w:br/>
      </w:r>
    </w:p>
    <w:p xmlns:wp14="http://schemas.microsoft.com/office/word/2010/wordml" w:rsidP="7B5B5A2F" w14:paraId="4EDE4B7F" wp14:textId="072DF984">
      <w:pPr>
        <w:pStyle w:val="Normal"/>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xmlns:wp14="http://schemas.microsoft.com/office/word/2010/wordml" w:rsidP="7B5B5A2F" w14:paraId="7587941A" wp14:textId="4B990B6B">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xmlns:wp14="http://schemas.microsoft.com/office/word/2010/wordml" w:rsidP="7B5B5A2F" w14:paraId="0EB90511" wp14:textId="3DB4EC92">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7B5B5A2F" w:rsidR="0EC3C717">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UNIVERSITY OF WALES: TRINITY SAINT DAVID</w:t>
      </w:r>
    </w:p>
    <w:p xmlns:wp14="http://schemas.microsoft.com/office/word/2010/wordml" w:rsidP="7B5B5A2F" w14:paraId="3CC40EE9" wp14:textId="703F59CA">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xmlns:wp14="http://schemas.microsoft.com/office/word/2010/wordml" w:rsidP="7B5B5A2F" w14:paraId="764C7A31" wp14:textId="22779C25">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7B5B5A2F" w:rsidR="0EC3C717">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BA Business Management</w:t>
      </w:r>
    </w:p>
    <w:p xmlns:wp14="http://schemas.microsoft.com/office/word/2010/wordml" w:rsidP="7B5B5A2F" w14:paraId="3D254BDD" wp14:textId="11EEE803">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xmlns:wp14="http://schemas.microsoft.com/office/word/2010/wordml" w:rsidP="7B5B5A2F" w14:paraId="43DE288C" wp14:textId="5A450BE3">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7B5B5A2F" w:rsidR="0EC3C717">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Community Engagement</w:t>
      </w:r>
    </w:p>
    <w:p xmlns:wp14="http://schemas.microsoft.com/office/word/2010/wordml" w:rsidP="7B5B5A2F" w14:paraId="7BD027B7" wp14:textId="3E6C8058">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7B5B5A2F" w:rsidR="0EC3C717">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LCBB4002</w:t>
      </w:r>
    </w:p>
    <w:p xmlns:wp14="http://schemas.microsoft.com/office/word/2010/wordml" w:rsidP="7B5B5A2F" w14:paraId="1BFD3BB9" wp14:textId="2061DA9E">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xmlns:wp14="http://schemas.microsoft.com/office/word/2010/wordml" w:rsidP="7B5B5A2F" w14:paraId="16BC10A1" wp14:textId="6DF225F9">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xmlns:wp14="http://schemas.microsoft.com/office/word/2010/wordml" w:rsidP="7B5B5A2F" w14:paraId="35A0DEB7" wp14:textId="05FA69DF">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B5B5A2F" w:rsidR="0EC3C71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Assessment </w:t>
      </w:r>
      <w:r w:rsidRPr="7B5B5A2F" w:rsidR="419A3E7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2</w:t>
      </w:r>
      <w:r w:rsidRPr="7B5B5A2F" w:rsidR="72412749">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 </w:t>
      </w:r>
    </w:p>
    <w:p xmlns:wp14="http://schemas.microsoft.com/office/word/2010/wordml" w:rsidP="7B5B5A2F" w14:paraId="4823E273" wp14:textId="5F454A82">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B5B5A2F" w:rsidR="72412749">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Community Event</w:t>
      </w:r>
    </w:p>
    <w:p xmlns:wp14="http://schemas.microsoft.com/office/word/2010/wordml" w:rsidP="7B5B5A2F" w14:paraId="2E5593E0" wp14:textId="6325EFC6">
      <w:pPr>
        <w:pStyle w:val="Normal"/>
        <w:spacing w:after="160" w:line="259"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xmlns:wp14="http://schemas.microsoft.com/office/word/2010/wordml" w:rsidP="7B5B5A2F" w14:paraId="3039B903" wp14:textId="43C0F5EF">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7B5B5A2F" w:rsidR="0EC3C717">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Macmillan Cancer Support - World's Biggest Coffee Morning</w:t>
      </w:r>
    </w:p>
    <w:p xmlns:wp14="http://schemas.microsoft.com/office/word/2010/wordml" w:rsidP="7B5B5A2F" w14:paraId="2F5EAB9E" wp14:textId="0717682D">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B5B5A2F" w14:paraId="0D4A9845" wp14:textId="0F7B02D9">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B5B5A2F" w14:paraId="7B342BD7" wp14:textId="1F93ECD8">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B5B5A2F" w14:paraId="14439113" wp14:textId="3088C583">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B5B5A2F" w:rsidR="0EC3C7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 xml:space="preserve">Name: </w:t>
      </w:r>
      <w:r w:rsidRPr="7B5B5A2F" w:rsidR="0EC3C7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Anastasia</w:t>
      </w:r>
      <w:r w:rsidRPr="7B5B5A2F" w:rsidR="0EC3C717">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 </w:t>
      </w:r>
      <w:r w:rsidRPr="7B5B5A2F" w:rsidR="0EC3C7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Ursu</w:t>
      </w:r>
    </w:p>
    <w:p xmlns:wp14="http://schemas.microsoft.com/office/word/2010/wordml" w:rsidP="7B5B5A2F" w14:paraId="0D96337A" wp14:textId="266B0D27">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B5B5A2F" w:rsidR="0EC3C7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Student ID</w:t>
      </w:r>
      <w:r w:rsidRPr="7B5B5A2F" w:rsidR="0EC3C7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2024744</w:t>
      </w:r>
    </w:p>
    <w:p xmlns:wp14="http://schemas.microsoft.com/office/word/2010/wordml" w:rsidP="7B5B5A2F" w14:paraId="0899343A" wp14:textId="37534562">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B5B5A2F" w:rsidR="0EC3C7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Lecturer:</w:t>
      </w:r>
      <w:r w:rsidRPr="7B5B5A2F" w:rsidR="0EC3C7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Karen Howells</w:t>
      </w:r>
    </w:p>
    <w:p xmlns:wp14="http://schemas.microsoft.com/office/word/2010/wordml" w:rsidP="7B5B5A2F" w14:paraId="3CD76F52" wp14:textId="7CFE7C02">
      <w:pPr>
        <w:pStyle w:val="Normal"/>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p>
    <w:p xmlns:wp14="http://schemas.microsoft.com/office/word/2010/wordml" w:rsidP="7B5B5A2F" w14:paraId="2E1FF006" wp14:textId="196E352B">
      <w:pPr>
        <w:pStyle w:val="Normal"/>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p>
    <w:p xmlns:wp14="http://schemas.microsoft.com/office/word/2010/wordml" w:rsidP="7B5B5A2F" w14:paraId="0D9B1AF8" wp14:textId="5F92CF25">
      <w:pPr>
        <w:pStyle w:val="Normal"/>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p>
    <w:p xmlns:wp14="http://schemas.microsoft.com/office/word/2010/wordml" w:rsidP="7B5B5A2F" w14:paraId="4ED79CE1" wp14:textId="5A31DE13">
      <w:pPr>
        <w:pStyle w:val="Normal"/>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p>
    <w:p xmlns:wp14="http://schemas.microsoft.com/office/word/2010/wordml" w:rsidP="7B5B5A2F" w14:paraId="4B34EBA5" wp14:textId="579B3B2F">
      <w:pPr>
        <w:jc w:val="center"/>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Table of Contents</w:t>
      </w:r>
    </w:p>
    <w:p xmlns:wp14="http://schemas.microsoft.com/office/word/2010/wordml" w:rsidP="7B5B5A2F" w14:paraId="1700128B" wp14:textId="5333DF1E">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xmlns:wp14="http://schemas.microsoft.com/office/word/2010/wordml" w:rsidP="7B5B5A2F" w14:paraId="68F297E4" wp14:textId="04AF800C">
      <w:pPr>
        <w:jc w:val="both"/>
      </w:pPr>
      <w:hyperlink w:anchor="" r:id="R5a158b1633744078">
        <w:r w:rsidRPr="7B5B5A2F" w:rsidR="6E5AC620">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Introduction</w:t>
        </w:r>
        <w:r>
          <w:tab/>
        </w:r>
        <w:r w:rsidRPr="7B5B5A2F" w:rsidR="6E5AC620">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3</w:t>
        </w:r>
      </w:hyperlink>
    </w:p>
    <w:p xmlns:wp14="http://schemas.microsoft.com/office/word/2010/wordml" w:rsidP="7B5B5A2F" w14:paraId="3F11E415" wp14:textId="6D571CA5">
      <w:pPr>
        <w:jc w:val="both"/>
      </w:pPr>
      <w:hyperlink w:anchor="" r:id="Rd7ac540d3f0a4a46">
        <w:r w:rsidRPr="7B5B5A2F" w:rsidR="6E5AC620">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Discussion</w:t>
        </w:r>
        <w:r>
          <w:tab/>
        </w:r>
        <w:r w:rsidRPr="7B5B5A2F" w:rsidR="6E5AC620">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3</w:t>
        </w:r>
      </w:hyperlink>
    </w:p>
    <w:p xmlns:wp14="http://schemas.microsoft.com/office/word/2010/wordml" w:rsidP="7B5B5A2F" w14:paraId="0DA4CEF4" wp14:textId="0A6B5DCD">
      <w:pPr>
        <w:jc w:val="both"/>
      </w:pPr>
      <w:hyperlink w:anchor="" r:id="Rd5026c18df5946cd">
        <w:r w:rsidRPr="7B5B5A2F" w:rsidR="6E5AC620">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Description of the approaches of both the projects, compare, evaluate and analyse the best practices on the community engagement approaches</w:t>
        </w:r>
        <w:r>
          <w:tab/>
        </w:r>
        <w:r w:rsidRPr="7B5B5A2F" w:rsidR="6E5AC620">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3</w:t>
        </w:r>
      </w:hyperlink>
    </w:p>
    <w:p xmlns:wp14="http://schemas.microsoft.com/office/word/2010/wordml" w:rsidP="7B5B5A2F" w14:paraId="7F941FA3" wp14:textId="489DC6C0">
      <w:pPr>
        <w:jc w:val="both"/>
      </w:pPr>
      <w:hyperlink w:anchor="" r:id="R48dfad02f14247a9">
        <w:r w:rsidRPr="7B5B5A2F" w:rsidR="6E5AC620">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Uses of communication and Participation in Community Engagement</w:t>
        </w:r>
        <w:r>
          <w:tab/>
        </w:r>
        <w:r w:rsidRPr="7B5B5A2F" w:rsidR="6E5AC620">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5</w:t>
        </w:r>
      </w:hyperlink>
    </w:p>
    <w:p xmlns:wp14="http://schemas.microsoft.com/office/word/2010/wordml" w:rsidP="7B5B5A2F" w14:paraId="5E507032" wp14:textId="7F850DEE">
      <w:pPr>
        <w:jc w:val="both"/>
      </w:pPr>
      <w:hyperlink w:anchor="" r:id="R9e00da8e8da14635">
        <w:r w:rsidRPr="7B5B5A2F" w:rsidR="6E5AC620">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Analysis of the modus operandi of the organizations</w:t>
        </w:r>
        <w:r>
          <w:tab/>
        </w:r>
        <w:r w:rsidRPr="7B5B5A2F" w:rsidR="6E5AC620">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6</w:t>
        </w:r>
      </w:hyperlink>
    </w:p>
    <w:p xmlns:wp14="http://schemas.microsoft.com/office/word/2010/wordml" w:rsidP="7B5B5A2F" w14:paraId="3D6E72B1" wp14:textId="08E01508">
      <w:pPr>
        <w:jc w:val="both"/>
      </w:pPr>
      <w:hyperlink w:anchor="" r:id="R52d953cfc8cd4598">
        <w:r w:rsidRPr="7B5B5A2F" w:rsidR="6E5AC620">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Conclusion</w:t>
        </w:r>
        <w:r>
          <w:tab/>
        </w:r>
        <w:r w:rsidRPr="7B5B5A2F" w:rsidR="6E5AC620">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7</w:t>
        </w:r>
      </w:hyperlink>
    </w:p>
    <w:p xmlns:wp14="http://schemas.microsoft.com/office/word/2010/wordml" w:rsidP="7B5B5A2F" w14:paraId="7E77724D" wp14:textId="50C62F1A">
      <w:pPr>
        <w:jc w:val="both"/>
      </w:pPr>
      <w:hyperlink w:anchor="" r:id="R30ecc65d350f4b29">
        <w:r w:rsidRPr="7B5B5A2F" w:rsidR="6E5AC620">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Reference List</w:t>
        </w:r>
        <w:r>
          <w:tab/>
        </w:r>
        <w:r w:rsidRPr="7B5B5A2F" w:rsidR="6E5AC620">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9</w:t>
        </w:r>
      </w:hyperlink>
    </w:p>
    <w:p xmlns:wp14="http://schemas.microsoft.com/office/word/2010/wordml" w:rsidP="7B5B5A2F" w14:paraId="6EF242D6" wp14:textId="681BFB0B">
      <w:pPr>
        <w:jc w:val="both"/>
      </w:pPr>
      <w:r>
        <w:br/>
      </w:r>
    </w:p>
    <w:p xmlns:wp14="http://schemas.microsoft.com/office/word/2010/wordml" w:rsidP="7B5B5A2F" w14:paraId="4E745B3E" wp14:textId="73C42757">
      <w:pPr>
        <w:pStyle w:val="Normal"/>
        <w:jc w:val="both"/>
      </w:pPr>
    </w:p>
    <w:p xmlns:wp14="http://schemas.microsoft.com/office/word/2010/wordml" w:rsidP="7B5B5A2F" w14:paraId="7F73CA19" wp14:textId="0C0734ED">
      <w:pPr>
        <w:pStyle w:val="Normal"/>
        <w:jc w:val="both"/>
      </w:pPr>
    </w:p>
    <w:p xmlns:wp14="http://schemas.microsoft.com/office/word/2010/wordml" w:rsidP="7B5B5A2F" w14:paraId="1F3023D7" wp14:textId="0E5508B0">
      <w:pPr>
        <w:pStyle w:val="Normal"/>
        <w:jc w:val="both"/>
      </w:pPr>
    </w:p>
    <w:p xmlns:wp14="http://schemas.microsoft.com/office/word/2010/wordml" w:rsidP="7B5B5A2F" w14:paraId="51022EEE" wp14:textId="5F396889">
      <w:pPr>
        <w:pStyle w:val="Normal"/>
        <w:jc w:val="both"/>
      </w:pPr>
    </w:p>
    <w:p xmlns:wp14="http://schemas.microsoft.com/office/word/2010/wordml" w:rsidP="7B5B5A2F" w14:paraId="157D7D36" wp14:textId="1F4A23DF">
      <w:pPr>
        <w:pStyle w:val="Normal"/>
        <w:jc w:val="both"/>
      </w:pPr>
    </w:p>
    <w:p xmlns:wp14="http://schemas.microsoft.com/office/word/2010/wordml" w:rsidP="7B5B5A2F" w14:paraId="7A040427" wp14:textId="7C430765">
      <w:pPr>
        <w:pStyle w:val="Normal"/>
        <w:jc w:val="both"/>
      </w:pPr>
    </w:p>
    <w:p xmlns:wp14="http://schemas.microsoft.com/office/word/2010/wordml" w:rsidP="7B5B5A2F" w14:paraId="6B6F6B11" wp14:textId="5B69F26F">
      <w:pPr>
        <w:pStyle w:val="Normal"/>
        <w:jc w:val="both"/>
      </w:pPr>
    </w:p>
    <w:p xmlns:wp14="http://schemas.microsoft.com/office/word/2010/wordml" w:rsidP="7B5B5A2F" w14:paraId="46EFB1C5" wp14:textId="3F06B953">
      <w:pPr>
        <w:pStyle w:val="Normal"/>
        <w:jc w:val="both"/>
      </w:pPr>
    </w:p>
    <w:p xmlns:wp14="http://schemas.microsoft.com/office/word/2010/wordml" w:rsidP="7B5B5A2F" w14:paraId="19946F2F" wp14:textId="3F5B710F">
      <w:pPr>
        <w:pStyle w:val="Normal"/>
        <w:jc w:val="both"/>
      </w:pPr>
    </w:p>
    <w:p xmlns:wp14="http://schemas.microsoft.com/office/word/2010/wordml" w:rsidP="7B5B5A2F" w14:paraId="255F47B8" wp14:textId="5557D9E1">
      <w:pPr>
        <w:pStyle w:val="Normal"/>
        <w:jc w:val="both"/>
      </w:pPr>
    </w:p>
    <w:p xmlns:wp14="http://schemas.microsoft.com/office/word/2010/wordml" w:rsidP="7B5B5A2F" w14:paraId="68E3AD89" wp14:textId="42696920">
      <w:pPr>
        <w:pStyle w:val="Normal"/>
        <w:jc w:val="both"/>
      </w:pPr>
    </w:p>
    <w:p xmlns:wp14="http://schemas.microsoft.com/office/word/2010/wordml" w:rsidP="7B5B5A2F" w14:paraId="477D94F2" wp14:textId="6553CF0D">
      <w:pPr>
        <w:pStyle w:val="Normal"/>
        <w:jc w:val="both"/>
      </w:pPr>
    </w:p>
    <w:p xmlns:wp14="http://schemas.microsoft.com/office/word/2010/wordml" w:rsidP="7B5B5A2F" w14:paraId="69CD30CB" wp14:textId="5A98F1E6">
      <w:pPr>
        <w:jc w:val="right"/>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10</w:t>
      </w:r>
    </w:p>
    <w:p xmlns:wp14="http://schemas.microsoft.com/office/word/2010/wordml" w:rsidP="7B5B5A2F" w14:paraId="13EA4823" wp14:textId="23AF4DE4">
      <w:pPr>
        <w:pStyle w:val="Normal"/>
        <w:jc w:val="righ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xmlns:wp14="http://schemas.microsoft.com/office/word/2010/wordml" w:rsidP="7B5B5A2F" w14:paraId="314E4FB0" wp14:textId="65CC4149">
      <w:pPr>
        <w:jc w:val="both"/>
      </w:pPr>
      <w:r>
        <w:br/>
      </w:r>
    </w:p>
    <w:p xmlns:wp14="http://schemas.microsoft.com/office/word/2010/wordml" w:rsidP="7B5B5A2F" w14:paraId="22B557D4" wp14:textId="2739EC07">
      <w:pPr>
        <w:pStyle w:val="Normal"/>
        <w:jc w:val="both"/>
      </w:pPr>
    </w:p>
    <w:p xmlns:wp14="http://schemas.microsoft.com/office/word/2010/wordml" w:rsidP="7B5B5A2F" w14:paraId="639E41E9" wp14:textId="708B00D3">
      <w:pPr>
        <w:pStyle w:val="Normal"/>
        <w:jc w:val="both"/>
      </w:pPr>
    </w:p>
    <w:p xmlns:wp14="http://schemas.microsoft.com/office/word/2010/wordml" w:rsidP="7B5B5A2F" w14:paraId="322C9622" wp14:textId="1AC1C69D">
      <w:pPr>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US"/>
        </w:rPr>
      </w:pPr>
    </w:p>
    <w:p xmlns:wp14="http://schemas.microsoft.com/office/word/2010/wordml" w:rsidP="7B5B5A2F" w14:paraId="168D972F" wp14:textId="582B52AC">
      <w:pPr>
        <w:spacing w:line="360" w:lineRule="auto"/>
        <w:jc w:val="both"/>
      </w:pP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US"/>
        </w:rPr>
        <w:t xml:space="preserve">Introduction </w:t>
      </w:r>
    </w:p>
    <w:p xmlns:wp14="http://schemas.microsoft.com/office/word/2010/wordml" w:rsidP="7B5B5A2F" w14:paraId="6D8C1E8B" wp14:textId="6D790BED">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US"/>
        </w:rPr>
      </w:pPr>
    </w:p>
    <w:p xmlns:wp14="http://schemas.microsoft.com/office/word/2010/wordml" w:rsidP="7B5B5A2F" w14:paraId="34299F04" wp14:textId="1FD8DE81">
      <w:pPr>
        <w:spacing w:line="360" w:lineRule="auto"/>
        <w:jc w:val="both"/>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community engagement events are referred to as the developments which are brought together in the local community (Kumar and Kumar, 2020). Moreover, community engagement is a clear process of working cooperatively with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also</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through teams or groups of persons by affiliating in the geographic proximity with the special interest and alike circumstances to address the challenges affecting the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well being</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those persons. In other words, the community engagement event is also termed as bringing the bonds closer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also</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encouraging new bonds and therefore also developing a bond of belongings. The community engagement event mainly focuses on the local area and mainly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target</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cultural and social benefits (Reynolds and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Sariola</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2018). This assessment component 2 focuses on the community engagement event. The purpose of the report is to showcase the difference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both the projects and there compare it,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analyse</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also</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evaluate the projects along with the best practices on their community engagement approaches. I addition to this the purpose of the report is also to flaunt the reasons and perfect what they do differently and how they do it. Apart from all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these</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aim of the report is also to discuss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effective</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communication, the active participation of the stakeholders and the inclusion which makes the community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engagement</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addition to this the report also on how they conduct their research and carry pit the community mapping, the social media engagement along with analysis and the evaluation to therefore justify the best practices. All these above purposes are reflected here in this report. </w:t>
      </w:r>
    </w:p>
    <w:p xmlns:wp14="http://schemas.microsoft.com/office/word/2010/wordml" w:rsidP="7B5B5A2F" w14:paraId="43C4E088" wp14:textId="61D8BD34">
      <w:pPr>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US"/>
        </w:rPr>
      </w:pPr>
    </w:p>
    <w:p xmlns:wp14="http://schemas.microsoft.com/office/word/2010/wordml" w:rsidP="7B5B5A2F" w14:paraId="76A64FC3" wp14:textId="53DF34B5">
      <w:pPr>
        <w:spacing w:line="360" w:lineRule="auto"/>
        <w:jc w:val="both"/>
      </w:pP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US"/>
        </w:rPr>
        <w:t xml:space="preserve">Discussion </w:t>
      </w:r>
    </w:p>
    <w:p xmlns:wp14="http://schemas.microsoft.com/office/word/2010/wordml" w:rsidP="7B5B5A2F" w14:paraId="086FF972" wp14:textId="2948872E">
      <w:pPr>
        <w:spacing w:line="360" w:lineRule="auto"/>
        <w:jc w:val="both"/>
      </w:pP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Description of the approaches of both the projects, compare, evaluate and </w:t>
      </w:r>
      <w:proofErr w:type="spellStart"/>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analyse</w:t>
      </w:r>
      <w:proofErr w:type="spellEnd"/>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 the best practices on the community engagement approaches </w:t>
      </w:r>
    </w:p>
    <w:p xmlns:wp14="http://schemas.microsoft.com/office/word/2010/wordml" w:rsidP="7B5B5A2F" w14:paraId="667E53CA" wp14:textId="14E66865">
      <w:pPr>
        <w:spacing w:line="360" w:lineRule="auto"/>
        <w:jc w:val="both"/>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this report, the author is going to explain the approaches of both the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Coffee Morning</w:t>
      </w:r>
      <w:r w:rsidRPr="7B5B5A2F" w:rsidR="6CCD8BB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charitable fundraiser of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Macmillan Cancer Support</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Christmas Jumper Day of Save The Children </w:t>
      </w:r>
      <w:proofErr w:type="spellStart"/>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Organisation</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author will also compare and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analyse</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also</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evaluate the best approaches for community engagement. </w:t>
      </w:r>
    </w:p>
    <w:p xmlns:wp14="http://schemas.microsoft.com/office/word/2010/wordml" w:rsidP="7B5B5A2F" w14:paraId="6DE9F6A7" wp14:textId="5243F927">
      <w:pPr>
        <w:pStyle w:val="Normal"/>
        <w:bidi w:val="0"/>
        <w:spacing w:line="360"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B5B5A2F" w:rsidR="12D570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Page </w:t>
      </w:r>
      <w:r w:rsidRPr="7B5B5A2F" w:rsidR="12D570C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3</w:t>
      </w:r>
      <w:r w:rsidRPr="7B5B5A2F" w:rsidR="12D570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t>
      </w:r>
      <w:r w:rsidRPr="7B5B5A2F" w:rsidR="12D570C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10</w:t>
      </w:r>
    </w:p>
    <w:p xmlns:wp14="http://schemas.microsoft.com/office/word/2010/wordml" w:rsidP="7B5B5A2F" w14:paraId="4A4B179B" wp14:textId="1B70AAB5">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B5B5A2F" w14:paraId="241B79FA" wp14:textId="6BBED140">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B5B5A2F" w14:paraId="4F2EBFE8" wp14:textId="00F8754D">
      <w:pPr>
        <w:spacing w:line="360" w:lineRule="auto"/>
        <w:jc w:val="both"/>
      </w:pP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Macmillan Cancer Support </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launched a charitable fundraiser named,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World's Biggest Coffee Mornings". </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fundraiser aimed to generate funds by hosting coffee mornings with friends, family and even employees. The people who are invited to the gatherings will pay for their cups and in turn, the funds raised will go on to help the ailing cancer patients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Voinov</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et al., 2018). Their approach to fundraising and community engagement was through gatherings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morning coffee party.</w:t>
      </w:r>
    </w:p>
    <w:p xmlns:wp14="http://schemas.microsoft.com/office/word/2010/wordml" w:rsidP="7B5B5A2F" w14:paraId="10CE6009" wp14:textId="5E812969">
      <w:pPr>
        <w:spacing w:line="360" w:lineRule="auto"/>
        <w:jc w:val="both"/>
      </w:pP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Save The Children </w:t>
      </w:r>
      <w:proofErr w:type="spellStart"/>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Organisation</w:t>
      </w:r>
      <w:proofErr w:type="spellEnd"/>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launched a fundraiser named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Christmas Jumper Day. </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game plan of this fundraiser was that everyone, even the </w:t>
      </w:r>
      <w:r w:rsidRPr="7B5B5A2F" w:rsidR="7EE6D7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school-going</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B5B5A2F" w:rsidR="433360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children,</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B5B5A2F" w:rsidR="790472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could</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participate</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it. Everyone will put on a Christmas Jumper and donate 2 Euros and 1 Euro for Nursery Children's, for saving the underprivileged children. </w:t>
      </w:r>
    </w:p>
    <w:p xmlns:wp14="http://schemas.microsoft.com/office/word/2010/wordml" w:rsidP="7B5B5A2F" w14:paraId="2F000DE7" wp14:textId="23ACC375">
      <w:pPr>
        <w:spacing w:line="360" w:lineRule="auto"/>
        <w:jc w:val="both"/>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the above-mentioned approaches, some differences can be seen. The differences are like,</w:t>
      </w:r>
    </w:p>
    <w:p xmlns:wp14="http://schemas.microsoft.com/office/word/2010/wordml" w:rsidP="7B5B5A2F" w14:paraId="016A35FA" wp14:textId="7DAD054E">
      <w:pPr>
        <w:spacing w:line="360" w:lineRule="auto"/>
        <w:jc w:val="both"/>
      </w:pP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Firstly</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Macmillan Cancer Support fundraiser was kind of an indirect fundraiser. Everyone who participated in the coffee mornings may not know the reason for the organization of a morning party. They came, paid for the coffee, had merry and left (Sierra, Yepes and Pellicer, 2018). However, The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Save The Children </w:t>
      </w:r>
      <w:proofErr w:type="spellStart"/>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Organisation</w:t>
      </w:r>
      <w:proofErr w:type="spellEnd"/>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fundraiser of raising funds by wearing jumpers is a direct fundraiser where everyone knows the motive of wearing jumpers in the first place.</w:t>
      </w:r>
    </w:p>
    <w:p xmlns:wp14="http://schemas.microsoft.com/office/word/2010/wordml" w:rsidP="7B5B5A2F" w14:paraId="67215192" wp14:textId="61E12316">
      <w:pPr>
        <w:spacing w:line="360" w:lineRule="auto"/>
        <w:jc w:val="both"/>
      </w:pP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Secondly, </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Community Engagement scope in the Macmillan Cancer Support Fundraiser was much more than The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Save The Children </w:t>
      </w:r>
      <w:proofErr w:type="spellStart"/>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Organisation</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fundraiser. On coffee mornings, mature individuals joined the host to raise </w:t>
      </w:r>
      <w:r w:rsidRPr="7B5B5A2F" w:rsidR="1899A5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money</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Community practitioners can discuss with them, educate </w:t>
      </w:r>
      <w:r w:rsidRPr="7B5B5A2F" w:rsidR="63CEE1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them,</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can even motivate them to work for society. However, </w:t>
      </w:r>
      <w:r w:rsidRPr="7B5B5A2F" w:rsidR="43FD0C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Jumpers Day as even children of preschool </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participated</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community engagement scopes may be less. People may pay online and wear jumpers on that day in their house only. Community participation did not happen on a large scale like the Coffee Mornings.</w:t>
      </w:r>
    </w:p>
    <w:p xmlns:wp14="http://schemas.microsoft.com/office/word/2010/wordml" w:rsidP="7B5B5A2F" w14:paraId="4CD2E45A" wp14:textId="4E43A06B">
      <w:pPr>
        <w:spacing w:line="360" w:lineRule="auto"/>
        <w:jc w:val="both"/>
      </w:pP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Thirdly, </w:t>
      </w:r>
      <w:r w:rsidRPr="7B5B5A2F" w:rsidR="4B8BB7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scope of fundraising in the Christmas Jumper Day by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Save The Children </w:t>
      </w:r>
      <w:proofErr w:type="spellStart"/>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Organisation</w:t>
      </w:r>
      <w:proofErr w:type="spellEnd"/>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was much more than the Coffee Mornings by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Macmillan Cancer Support. </w:t>
      </w:r>
    </w:p>
    <w:p xmlns:wp14="http://schemas.microsoft.com/office/word/2010/wordml" w:rsidP="7B5B5A2F" w14:paraId="3FC8BF56" wp14:textId="38BEF554">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xmlns:wp14="http://schemas.microsoft.com/office/word/2010/wordml" w:rsidP="7B5B5A2F" w14:paraId="085D5888" wp14:textId="15B784F7">
      <w:pPr>
        <w:spacing w:line="360" w:lineRule="auto"/>
        <w:jc w:val="right"/>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4</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10</w:t>
      </w:r>
    </w:p>
    <w:p xmlns:wp14="http://schemas.microsoft.com/office/word/2010/wordml" w:rsidP="7B5B5A2F" w14:paraId="0A26A336" wp14:textId="5CE81EDA">
      <w:pPr>
        <w:spacing w:line="360" w:lineRule="auto"/>
        <w:jc w:val="both"/>
      </w:pPr>
      <w:r>
        <w:br/>
      </w:r>
    </w:p>
    <w:p xmlns:wp14="http://schemas.microsoft.com/office/word/2010/wordml" w:rsidP="7B5B5A2F" w14:paraId="41C8188C" wp14:textId="08A7F07B">
      <w:pPr>
        <w:spacing w:line="360" w:lineRule="auto"/>
        <w:jc w:val="both"/>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Christmas Jumper Day aimed at collecting funds from even the small children, though the amount may be less they covered a large section of </w:t>
      </w:r>
      <w:r w:rsidRPr="7B5B5A2F" w:rsidR="3FC4F0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society</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(Albrecht,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Crootof</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Scott, 2018). As the amount was less, the people with low income also </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participated</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felt the happiness and contentment of donating. However, in the Coffee Mornings, only the people who were invited by the host only had the chance to donate and the company only had a handful of people to generate funds.</w:t>
      </w:r>
    </w:p>
    <w:p xmlns:wp14="http://schemas.microsoft.com/office/word/2010/wordml" w:rsidP="7B5B5A2F" w14:paraId="71B56D00" wp14:textId="14354074">
      <w:pPr>
        <w:spacing w:line="360" w:lineRule="auto"/>
        <w:jc w:val="both"/>
      </w:pP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Lastly,</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B5B5A2F" w:rsidR="2FF156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arena of both the charitable institutions is different.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Macmillan Cancer</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Support</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generates funds for Health Charities. They help people or their </w:t>
      </w:r>
      <w:r w:rsidRPr="7B5B5A2F" w:rsidR="21BAC9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loved</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ones who are suffering from cancer.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Save The Children </w:t>
      </w:r>
      <w:proofErr w:type="spellStart"/>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Organisation</w:t>
      </w:r>
      <w:proofErr w:type="spellEnd"/>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generates funds for Education Charities. They help small children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getting an education and giving them a good life. </w:t>
      </w:r>
    </w:p>
    <w:p xmlns:wp14="http://schemas.microsoft.com/office/word/2010/wordml" w:rsidP="7B5B5A2F" w14:paraId="48E05173" wp14:textId="195E7E82">
      <w:pPr>
        <w:spacing w:line="360" w:lineRule="auto"/>
        <w:jc w:val="both"/>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all the above-mentioned approaches, </w:t>
      </w:r>
    </w:p>
    <w:p xmlns:wp14="http://schemas.microsoft.com/office/word/2010/wordml" w:rsidP="7B5B5A2F" w14:paraId="244757C3" wp14:textId="29EDE388">
      <w:pPr>
        <w:spacing w:line="360" w:lineRule="auto"/>
        <w:jc w:val="both"/>
      </w:pP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Firstly</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can say that every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has tried to garner community engagement in some way or the other. Everyone has their fair share of brownie points, still, they have some problems in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strategising</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fundraising which is mentioned above. Every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should start a project keeping community engagement in mind (Caeiro et al., 2020). Community engagement is of the utmost necessity. When a community engages with each other they build relationships, they share thoughts and with their same passion they enter volunteering and supporting charities. So, a fundraiser which is not based on community engagement may garner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funds</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but they are </w:t>
      </w:r>
      <w:r w:rsidRPr="7B5B5A2F" w:rsidR="2B605D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missing</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further engagements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other fundraisers.</w:t>
      </w:r>
    </w:p>
    <w:p xmlns:wp14="http://schemas.microsoft.com/office/word/2010/wordml" w:rsidP="7B5B5A2F" w14:paraId="0AEE8153" wp14:textId="4E9AE129">
      <w:pPr>
        <w:spacing w:line="360" w:lineRule="auto"/>
        <w:jc w:val="both"/>
      </w:pP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Secondly,</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According</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my</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involving </w:t>
      </w:r>
      <w:r w:rsidRPr="7B5B5A2F" w:rsidR="4809CF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each</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age group in the fundraiser is profitable. Fundraisers should be such where Toddlers from Nursery to Octogenarians can </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participate</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Donating money should be open to everybody. As many people donate, the more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money</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the more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money</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more people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will get </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benefitted</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xmlns:wp14="http://schemas.microsoft.com/office/word/2010/wordml" w:rsidP="7B5B5A2F" w14:paraId="585C1AF3" wp14:textId="768F4DBD">
      <w:pPr>
        <w:spacing w:line="360" w:lineRule="auto"/>
        <w:jc w:val="both"/>
      </w:pP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Thirdly, </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think that fundraising amounts should be kept low. A low amount like 1 and 2 Euros can cater to a large section of people. Not everyone is born rich and people with low incomes also want to be a part of fundraisers. Rich people constitute a very small section of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society</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much less than poor ones (Harrison et al., 2018). Huge fundraising amounts may attract less attention than the low ones.</w:t>
      </w:r>
    </w:p>
    <w:p xmlns:wp14="http://schemas.microsoft.com/office/word/2010/wordml" w:rsidP="7B5B5A2F" w14:paraId="0CB9F612" wp14:textId="20BD76B0">
      <w:pPr>
        <w:pStyle w:val="Normal"/>
        <w:spacing w:line="360" w:lineRule="auto"/>
        <w:jc w:val="both"/>
      </w:pP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Lastly, </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Community engagement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practitioner's</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should be put to work. They must be involved in every fundraiser to convince the people for more active participation in further charitable </w:t>
      </w:r>
      <w:r w:rsidRPr="7B5B5A2F" w:rsidR="6C457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projects. Thus, in this report, the author explained the two approaches of the </w:t>
      </w:r>
      <w:proofErr w:type="spellStart"/>
      <w:r w:rsidRPr="7B5B5A2F" w:rsidR="6C457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w:t>
      </w:r>
      <w:proofErr w:type="spellEnd"/>
      <w:r w:rsidRPr="7B5B5A2F" w:rsidR="6C457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compared and evaluated the best practices for community engagement.</w:t>
      </w:r>
    </w:p>
    <w:p xmlns:wp14="http://schemas.microsoft.com/office/word/2010/wordml" w:rsidP="7B5B5A2F" w14:paraId="776AEEAE" wp14:textId="40D003B6">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B5B5A2F" w14:paraId="4658675A" wp14:textId="7A4A53D3">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B5B5A2F" w14:paraId="4488E6F9" wp14:textId="30F4E04C">
      <w:pPr>
        <w:spacing w:line="360" w:lineRule="auto"/>
        <w:jc w:val="right"/>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5</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10</w:t>
      </w:r>
    </w:p>
    <w:p xmlns:wp14="http://schemas.microsoft.com/office/word/2010/wordml" w:rsidP="7B5B5A2F" w14:paraId="04875ACD" wp14:textId="1CF20209">
      <w:pPr>
        <w:spacing w:line="360" w:lineRule="auto"/>
        <w:jc w:val="both"/>
      </w:pPr>
      <w:r>
        <w:br/>
      </w:r>
    </w:p>
    <w:p xmlns:wp14="http://schemas.microsoft.com/office/word/2010/wordml" w:rsidP="7B5B5A2F" w14:paraId="357D516F" wp14:textId="0B1E4C73">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B5B5A2F" w14:paraId="42D87FDB" wp14:textId="7470C42E">
      <w:pPr>
        <w:spacing w:line="360" w:lineRule="auto"/>
        <w:jc w:val="both"/>
      </w:pP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US"/>
        </w:rPr>
        <w:t xml:space="preserve">Uses of communication and Participation in Community Engagement </w:t>
      </w:r>
    </w:p>
    <w:p xmlns:wp14="http://schemas.microsoft.com/office/word/2010/wordml" w:rsidP="7B5B5A2F" w14:paraId="02178778" wp14:textId="489A1A60">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US"/>
        </w:rPr>
      </w:pPr>
    </w:p>
    <w:p xmlns:wp14="http://schemas.microsoft.com/office/word/2010/wordml" w:rsidP="7B5B5A2F" w14:paraId="5745448A" wp14:textId="00050373">
      <w:pPr>
        <w:spacing w:line="360" w:lineRule="auto"/>
        <w:jc w:val="both"/>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this report, I have acknowledged the uses of communication and participation in the community engagement of both the projects that are on Coffee Morning charitable fundraiser of Macmillan Cancer Support and Christmas Jumper Day of Save The Children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B5B5A2F" w14:paraId="2EE8F00A" wp14:textId="36031D18">
      <w:pPr>
        <w:spacing w:line="360" w:lineRule="auto"/>
        <w:jc w:val="both"/>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use of communication in the Coffee Morning charitable fundraiser of Macmillan Cancer Support is a very simple way to have communication internally with cancer patients. Moreover, the effective communication, active participation of the stakeholders and inclusion in the community engagement make differences as effective communication makes the people more focused and conscious over the target of the people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also</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the concert moreover the engagement is mostly focused on the conversation which is heard (Gies, 2021.). In the Coffee Morning charitable fundraiser of Macmillan Cancer Support, the people are more towards effective communication rather than engagement as the people who are helping the cancer patients simply host their coffee cups to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help out</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cancer patients. The participation of the active stakeholders is very much concerned towards this charitable organization and therefore Coffee Morning charitable fundraiser of Macmillan Cancer Support is very much well participated by taking their sip of coffee in the morning only for the cancer patients.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Therefore</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all these things have been gathered by me from the Coffee Morning charitable fundraiser of the Macmillan Cancer Support article.</w:t>
      </w:r>
    </w:p>
    <w:p xmlns:wp14="http://schemas.microsoft.com/office/word/2010/wordml" w:rsidP="7B5B5A2F" w14:paraId="373028DD" wp14:textId="57FD9CEE">
      <w:pPr>
        <w:spacing w:line="360" w:lineRule="auto"/>
        <w:jc w:val="both"/>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have also gathered and acknowledged the differences ineffective communication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Christmas Jumper Day of Save The Children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Here in this organization,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communication</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 taken</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place on Christmas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eve</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where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normal</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or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general</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people opt to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help out</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children who are not able to eat food and therefore by helping them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buy</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purchasing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jumpers</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Moreover, the active participation of the stakeholders also take place in this </w:t>
      </w:r>
    </w:p>
    <w:p xmlns:wp14="http://schemas.microsoft.com/office/word/2010/wordml" w:rsidP="7B5B5A2F" w14:paraId="3E0D50C6" wp14:textId="511EE29D">
      <w:pPr>
        <w:spacing w:line="360"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B5B5A2F" w14:paraId="74117D72" wp14:textId="6BB82D2E">
      <w:pPr>
        <w:pStyle w:val="Normal"/>
        <w:spacing w:line="360"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B5B5A2F" w14:paraId="73D2E5BA" wp14:textId="7889F2F4">
      <w:pPr>
        <w:spacing w:line="360" w:lineRule="auto"/>
        <w:jc w:val="right"/>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6</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10</w:t>
      </w:r>
    </w:p>
    <w:p xmlns:wp14="http://schemas.microsoft.com/office/word/2010/wordml" w:rsidP="7B5B5A2F" w14:paraId="30F0D8C7" wp14:textId="7F790D4A">
      <w:pPr>
        <w:spacing w:line="360" w:lineRule="auto"/>
        <w:jc w:val="both"/>
      </w:pPr>
      <w:r>
        <w:br/>
      </w:r>
    </w:p>
    <w:p xmlns:wp14="http://schemas.microsoft.com/office/word/2010/wordml" w:rsidP="7B5B5A2F" w14:paraId="70ECD847" wp14:textId="3842A7FB">
      <w:pPr>
        <w:pStyle w:val="Normal"/>
        <w:spacing w:line="360" w:lineRule="auto"/>
        <w:jc w:val="both"/>
      </w:pPr>
    </w:p>
    <w:p xmlns:wp14="http://schemas.microsoft.com/office/word/2010/wordml" w:rsidP="7B5B5A2F" w14:paraId="3D936FB5" wp14:textId="74E8DF04">
      <w:pPr>
        <w:spacing w:line="360" w:lineRule="auto"/>
        <w:jc w:val="both"/>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organization as each of us and the whole world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also</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general public tends to help the children who are in urge to have the food and stuff to eat in a day (Save the children, 2022). In addition to this, the engagement with this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organization</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is Christmas Jumper Day of Save The Children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participation of the active stakeholders pays the money by post through cheque. I have also gathered a deep outlook over the Christmas Jumper Day of Save The Children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the people eventually help the small children in various other ways and even engage with such types of organization. </w:t>
      </w:r>
    </w:p>
    <w:p xmlns:wp14="http://schemas.microsoft.com/office/word/2010/wordml" w:rsidP="7B5B5A2F" w14:paraId="41C76880" wp14:textId="481C22C1">
      <w:pPr>
        <w:spacing w:line="360" w:lineRule="auto"/>
        <w:jc w:val="both"/>
      </w:pP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US"/>
        </w:rPr>
        <w:t xml:space="preserve">Analysis of the modus operandi of the organizations </w:t>
      </w:r>
    </w:p>
    <w:p xmlns:wp14="http://schemas.microsoft.com/office/word/2010/wordml" w:rsidP="7B5B5A2F" w14:paraId="2703FDDF" wp14:textId="70197ED5">
      <w:pPr>
        <w:spacing w:line="360" w:lineRule="auto"/>
        <w:jc w:val="both"/>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Hither, I have gathered information and have also acknowledged the various ways both the charitable organizations conduct their research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also</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carry out the mapping of the community. In the Coffee Morning charitable fundraiser of Macmillan Cancer Support, the organizations conduct their research in many ways. They mainly see the people or the individual who are suffering from such dangerous diseases and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later on</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organization Coffee Morning charitable fundraiser of Macmillan Cancer Support also focus on how they are financially back supported (Lee and Davies, 2021). They go for a primary survey to conduct detailed research on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patients</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cancer. The workers of the organization go in having personal interviews of the patients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also</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family of the patients to know how much they are suffering financially and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urges</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help those people or patients wholeheartedly. Moreover, the Coffee Morning charitable fundraiser of Macmillan Cancer Support organization hold the community mapping very clearly as they primarily focus on the process of mapping that is pre mapping, mapping, thirdly taking concerted actions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also</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sustaining, evaluating and maintaining the efforts of the mapping of the community. In addition to this organization is very much well spread over social media and through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social</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media sites, several other people around the world come forward to help these needy people. Apart from this, the impact analysis is also to find out the relation and the possible consequences of the patients.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Therefore</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out of all these, I have gained knowledge and the idea that the best practice is the social media sites through which these people get a huge amount of charity funds. </w:t>
      </w:r>
    </w:p>
    <w:p xmlns:wp14="http://schemas.microsoft.com/office/word/2010/wordml" w:rsidP="7B5B5A2F" w14:paraId="7EAB8F31" wp14:textId="1173989B">
      <w:pPr>
        <w:spacing w:line="360" w:lineRule="auto"/>
        <w:jc w:val="both"/>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have also studied the Christmas Jumper Day of Save The Children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conducting </w:t>
      </w:r>
    </w:p>
    <w:p xmlns:wp14="http://schemas.microsoft.com/office/word/2010/wordml" w:rsidP="7B5B5A2F" w14:paraId="654C1413" wp14:textId="59C39607">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B5B5A2F" w14:paraId="4693AEBD" wp14:textId="5020C8ED">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B5B5A2F" w14:paraId="4968A917" wp14:textId="346DB297">
      <w:pPr>
        <w:spacing w:line="360" w:lineRule="auto"/>
        <w:jc w:val="right"/>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7</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10</w:t>
      </w:r>
    </w:p>
    <w:p xmlns:wp14="http://schemas.microsoft.com/office/word/2010/wordml" w:rsidP="7B5B5A2F" w14:paraId="79F5C756" wp14:textId="453BA68F">
      <w:pPr>
        <w:spacing w:line="360" w:lineRule="auto"/>
        <w:jc w:val="both"/>
      </w:pPr>
    </w:p>
    <w:p xmlns:wp14="http://schemas.microsoft.com/office/word/2010/wordml" w:rsidP="7B5B5A2F" w14:paraId="50A82A27" wp14:textId="62DA3B1E">
      <w:pPr>
        <w:spacing w:line="360" w:lineRule="auto"/>
        <w:jc w:val="both"/>
      </w:pPr>
      <w:r>
        <w:br/>
      </w:r>
    </w:p>
    <w:p xmlns:wp14="http://schemas.microsoft.com/office/word/2010/wordml" w:rsidP="7B5B5A2F" w14:paraId="02712BDC" wp14:textId="2B1EE3C8">
      <w:pPr>
        <w:spacing w:line="360" w:lineRule="auto"/>
        <w:jc w:val="both"/>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strategy over the research. This organization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conduct</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their research through observations. Moreover, the community mapping is also well done on the Christmas Jumper Day of the Save The Children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(Save the children, 2022). Apart from these, the impact analysis helps the organization to study the positive and the negative angle and social media engagement has now turned to be one of the best ways to flaunt the charitable organization over various modes.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Therefore</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best out of all these practices which I think is a good approach for Christmas Jumper Day of Save The Children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 the social media websites.</w:t>
      </w:r>
    </w:p>
    <w:p xmlns:wp14="http://schemas.microsoft.com/office/word/2010/wordml" w:rsidP="7B5B5A2F" w14:paraId="174EBEC1" wp14:textId="6A1F16B7">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B5B5A2F" w14:paraId="0B9C2D57" wp14:textId="47EE90AE">
      <w:pPr>
        <w:spacing w:line="360" w:lineRule="auto"/>
        <w:jc w:val="both"/>
      </w:pP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US"/>
        </w:rPr>
        <w:t>Conclusion</w:t>
      </w:r>
    </w:p>
    <w:p xmlns:wp14="http://schemas.microsoft.com/office/word/2010/wordml" w:rsidP="7B5B5A2F" w14:paraId="71649134" wp14:textId="034CFA98">
      <w:pPr>
        <w:spacing w:line="360" w:lineRule="auto"/>
        <w:jc w:val="both"/>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Community engagement as a practice is very professional in approach. Every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despite being charitable or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not</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should take some approach towards community engagement. Community engagements help in garnering an audience, gathering support, social interaction and integration and multiculturalism. This report dealt with the community engagement approaches of two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organizations namely,</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Macmillan Cancer Support </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Save The Children </w:t>
      </w:r>
      <w:proofErr w:type="spellStart"/>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Organisation</w:t>
      </w:r>
      <w:proofErr w:type="spellEnd"/>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Macmillan Cancer Support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organised</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fundraiser to raise funds for cancer patients by hosting Coffee Mornings.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Save The Children </w:t>
      </w:r>
      <w:proofErr w:type="spellStart"/>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Organisation</w:t>
      </w:r>
      <w:proofErr w:type="spellEnd"/>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organised</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fundraiser for children from underprivileged sections of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society</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by making people donate 1-2 euros and wear jumpers on Christmas. Both the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organisation's</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fundraiser approaches have some brownie points and some failings which are mentioned above. The differences in their approaches for forming charitable projects are also pointed out in the previous paragraphs. The uses of </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communication</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engagement are also mentioned along with the modus operandi of both the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their work processes are also mentioned. Thus, from the above report, it can be concluded that Community Engagement as a practice is valuable for charitable institutions, every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has their modus operandi to garner funds.</w:t>
      </w:r>
    </w:p>
    <w:p xmlns:wp14="http://schemas.microsoft.com/office/word/2010/wordml" w:rsidP="7B5B5A2F" w14:paraId="0B60665A" wp14:textId="0F1B510A">
      <w:pPr>
        <w:spacing w:line="360" w:lineRule="auto"/>
        <w:jc w:val="both"/>
      </w:pPr>
      <w:r>
        <w:br/>
      </w:r>
    </w:p>
    <w:p xmlns:wp14="http://schemas.microsoft.com/office/word/2010/wordml" w:rsidP="7B5B5A2F" w14:paraId="33EFB165" wp14:textId="592B8AA7">
      <w:pPr>
        <w:spacing w:line="360" w:lineRule="auto"/>
        <w:jc w:val="both"/>
      </w:pPr>
      <w:r>
        <w:br/>
      </w:r>
    </w:p>
    <w:p xmlns:wp14="http://schemas.microsoft.com/office/word/2010/wordml" w:rsidP="7B5B5A2F" w14:paraId="7DB80265" wp14:textId="6A930ECA">
      <w:pPr>
        <w:spacing w:line="360" w:lineRule="auto"/>
        <w:jc w:val="both"/>
      </w:pPr>
      <w:r>
        <w:br/>
      </w:r>
    </w:p>
    <w:p xmlns:wp14="http://schemas.microsoft.com/office/word/2010/wordml" w:rsidP="7B5B5A2F" w14:paraId="6761BDEA" wp14:textId="3FB64022">
      <w:pPr>
        <w:spacing w:line="360" w:lineRule="auto"/>
        <w:jc w:val="right"/>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8</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10</w:t>
      </w:r>
    </w:p>
    <w:p xmlns:wp14="http://schemas.microsoft.com/office/word/2010/wordml" w:rsidP="7B5B5A2F" w14:paraId="270553D4" wp14:textId="138E1BF6">
      <w:pPr>
        <w:spacing w:line="360" w:lineRule="auto"/>
        <w:jc w:val="both"/>
      </w:pPr>
      <w:r>
        <w:br/>
      </w:r>
    </w:p>
    <w:p xmlns:wp14="http://schemas.microsoft.com/office/word/2010/wordml" w:rsidP="7B5B5A2F" w14:paraId="437A3185" wp14:textId="446F2AFA">
      <w:pPr>
        <w:pStyle w:val="Normal"/>
        <w:spacing w:line="360" w:lineRule="auto"/>
        <w:jc w:val="both"/>
      </w:pPr>
    </w:p>
    <w:p xmlns:wp14="http://schemas.microsoft.com/office/word/2010/wordml" w:rsidP="7B5B5A2F" w14:paraId="2E201BED" wp14:textId="047EBFC6">
      <w:pPr>
        <w:pStyle w:val="Normal"/>
        <w:spacing w:line="360" w:lineRule="auto"/>
        <w:jc w:val="both"/>
      </w:pPr>
    </w:p>
    <w:p xmlns:wp14="http://schemas.microsoft.com/office/word/2010/wordml" w:rsidP="7B5B5A2F" w14:paraId="7400A693" wp14:textId="2C8425FD">
      <w:pPr>
        <w:spacing w:line="360" w:lineRule="auto"/>
        <w:jc w:val="both"/>
      </w:pP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US"/>
        </w:rPr>
        <w:t>Reference List</w:t>
      </w:r>
    </w:p>
    <w:p xmlns:wp14="http://schemas.microsoft.com/office/word/2010/wordml" w:rsidP="7B5B5A2F" w14:paraId="2A537E7D" wp14:textId="46C52588">
      <w:pPr>
        <w:spacing w:line="360" w:lineRule="auto"/>
        <w:jc w:val="both"/>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Albrecht, T.R.,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Crootof</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and Scott, C.A., 2018. The Water-Energy-Food Nexus: A systematic review of methods for nexus assessment. </w:t>
      </w:r>
      <w:r w:rsidRPr="7B5B5A2F" w:rsidR="6E5AC6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Environmental Research Letters</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B5B5A2F" w:rsidR="6E5AC6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13</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(4), p.043002. Available at: </w:t>
      </w:r>
      <w:hyperlink r:id="R9edc7f8cfcd94172">
        <w:r w:rsidRPr="7B5B5A2F" w:rsidR="6E5AC620">
          <w:rPr>
            <w:rStyle w:val="Hyperlink"/>
            <w:rFonts w:ascii="Times New Roman" w:hAnsi="Times New Roman" w:eastAsia="Times New Roman" w:cs="Times New Roman"/>
            <w:b w:val="0"/>
            <w:bCs w:val="0"/>
            <w:i w:val="0"/>
            <w:iCs w:val="0"/>
            <w:caps w:val="0"/>
            <w:smallCaps w:val="0"/>
            <w:noProof w:val="0"/>
            <w:sz w:val="24"/>
            <w:szCs w:val="24"/>
            <w:lang w:val="en-US"/>
          </w:rPr>
          <w:t>https://iopscience.iop.org/article/10.1088/1748-9326/aaa9c6/meta</w:t>
        </w:r>
      </w:hyperlink>
    </w:p>
    <w:p xmlns:wp14="http://schemas.microsoft.com/office/word/2010/wordml" w:rsidP="7B5B5A2F" w14:paraId="34D61F30" wp14:textId="7CBBB6FB">
      <w:pPr>
        <w:spacing w:line="360" w:lineRule="auto"/>
        <w:jc w:val="both"/>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Caeiro, S., Sandoval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Hamón</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L.A., Martins, R. and Bayas Aldaz, C.E., 2020. Sustainability assessment and benchmarking in higher education institutions—A critical reflection. </w:t>
      </w:r>
      <w:r w:rsidRPr="7B5B5A2F" w:rsidR="6E5AC6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Sustainability</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B5B5A2F" w:rsidR="6E5AC6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12</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 p.543. Available at: </w:t>
      </w:r>
      <w:hyperlink r:id="Redd1f3fad6bd4181">
        <w:r w:rsidRPr="7B5B5A2F" w:rsidR="6E5AC620">
          <w:rPr>
            <w:rStyle w:val="Hyperlink"/>
            <w:rFonts w:ascii="Times New Roman" w:hAnsi="Times New Roman" w:eastAsia="Times New Roman" w:cs="Times New Roman"/>
            <w:b w:val="0"/>
            <w:bCs w:val="0"/>
            <w:i w:val="0"/>
            <w:iCs w:val="0"/>
            <w:caps w:val="0"/>
            <w:smallCaps w:val="0"/>
            <w:noProof w:val="0"/>
            <w:sz w:val="24"/>
            <w:szCs w:val="24"/>
            <w:lang w:val="en-US"/>
          </w:rPr>
          <w:t>https://doi.org/10.3390/su12020543</w:t>
        </w:r>
      </w:hyperlink>
    </w:p>
    <w:p xmlns:wp14="http://schemas.microsoft.com/office/word/2010/wordml" w:rsidP="7B5B5A2F" w14:paraId="663A8880" wp14:textId="285F4B4B">
      <w:pPr>
        <w:spacing w:line="360" w:lineRule="auto"/>
        <w:jc w:val="both"/>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Gies, L., 2021. Charity Fundraising and the Ethics of Voice: Cancer Survivors’ Perspectives on Macmillan Cancer Support’s “Brave the Shave” campaign. </w:t>
      </w:r>
      <w:r w:rsidRPr="7B5B5A2F" w:rsidR="6E5AC6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Media Ethics</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pp.1-</w:t>
      </w:r>
      <w:proofErr w:type="gram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12.Available</w:t>
      </w:r>
      <w:proofErr w:type="gram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at:</w:t>
      </w:r>
      <w:r w:rsidRPr="7B5B5A2F" w:rsidR="6E5AC6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https</w:t>
      </w:r>
      <w:proofErr w:type="spellEnd"/>
      <w:r w:rsidRPr="7B5B5A2F" w:rsidR="6E5AC6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://www.tandfonline.com/doi/pdf/10.1080/23736992.2021.1898963</w:t>
      </w:r>
    </w:p>
    <w:p xmlns:wp14="http://schemas.microsoft.com/office/word/2010/wordml" w:rsidP="7B5B5A2F" w14:paraId="09FE0500" wp14:textId="3E3F3B4F">
      <w:pPr>
        <w:spacing w:line="360" w:lineRule="auto"/>
        <w:jc w:val="both"/>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Harrison, P.A., Dunford, R., Barton, D.N., Kelemen, E., Martín-López, B., Norton, L., Termansen, M., Saarikoski, H., Hendriks, K., Gómez-</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Baggethun</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 and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Czúcz</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 2018. Selecting methods for ecosystem service assessment: A decision tree approach. </w:t>
      </w:r>
      <w:r w:rsidRPr="7B5B5A2F" w:rsidR="6E5AC6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Ecosystem Services</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B5B5A2F" w:rsidR="6E5AC6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29</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pp.481-498. Available at: </w:t>
      </w:r>
      <w:hyperlink r:id="R536325389a984287">
        <w:r w:rsidRPr="7B5B5A2F" w:rsidR="6E5AC620">
          <w:rPr>
            <w:rStyle w:val="Hyperlink"/>
            <w:rFonts w:ascii="Times New Roman" w:hAnsi="Times New Roman" w:eastAsia="Times New Roman" w:cs="Times New Roman"/>
            <w:b w:val="0"/>
            <w:bCs w:val="0"/>
            <w:i w:val="0"/>
            <w:iCs w:val="0"/>
            <w:caps w:val="0"/>
            <w:smallCaps w:val="0"/>
            <w:noProof w:val="0"/>
            <w:sz w:val="24"/>
            <w:szCs w:val="24"/>
            <w:lang w:val="en-US"/>
          </w:rPr>
          <w:t>https://doi.org/10.1016/j.ecoser.2017.09.016</w:t>
        </w:r>
      </w:hyperlink>
    </w:p>
    <w:p xmlns:wp14="http://schemas.microsoft.com/office/word/2010/wordml" w:rsidP="7B5B5A2F" w14:paraId="42D8BA68" wp14:textId="53C56195">
      <w:pPr>
        <w:spacing w:line="360" w:lineRule="auto"/>
        <w:jc w:val="both"/>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Kumar, J. and Kumar, V., 2020. Drivers of brand community engagement. </w:t>
      </w:r>
      <w:r w:rsidRPr="7B5B5A2F" w:rsidR="6E5AC6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Retailing and Consumer Services</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B5B5A2F" w:rsidR="6E5AC6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54</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p.101949.Available at: </w:t>
      </w:r>
      <w:hyperlink r:id="R702b268393674cf2">
        <w:r w:rsidRPr="7B5B5A2F" w:rsidR="6E5AC620">
          <w:rPr>
            <w:rStyle w:val="Hyperlink"/>
            <w:rFonts w:ascii="Times New Roman" w:hAnsi="Times New Roman" w:eastAsia="Times New Roman" w:cs="Times New Roman"/>
            <w:b w:val="0"/>
            <w:bCs w:val="0"/>
            <w:i w:val="0"/>
            <w:iCs w:val="0"/>
            <w:caps w:val="0"/>
            <w:smallCaps w:val="0"/>
            <w:noProof w:val="0"/>
            <w:sz w:val="24"/>
            <w:szCs w:val="24"/>
            <w:lang w:val="en-US"/>
          </w:rPr>
          <w:t>https://fardapaper.ir/mohavaha/uploads/2020/08/Fardapaper-Drivers-of-brand-community-engagement.pdf</w:t>
        </w:r>
      </w:hyperlink>
    </w:p>
    <w:p xmlns:wp14="http://schemas.microsoft.com/office/word/2010/wordml" w:rsidP="7B5B5A2F" w14:paraId="00AC103F" wp14:textId="1E8EEA14">
      <w:pPr>
        <w:spacing w:line="360" w:lineRule="auto"/>
        <w:jc w:val="both"/>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Lee, Z. and Davies, I., 2021. Navigating relative invariance: Perspectives on corporate heritage identity and organizational heritage identity in an evolving nonprofit institution. </w:t>
      </w:r>
      <w:r w:rsidRPr="7B5B5A2F" w:rsidR="6E5AC6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Business Research</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B5B5A2F" w:rsidR="6E5AC6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129</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pp.813-825.Available at: </w:t>
      </w:r>
      <w:hyperlink r:id="R7f35547c9b934e10">
        <w:r w:rsidRPr="7B5B5A2F" w:rsidR="6E5AC620">
          <w:rPr>
            <w:rStyle w:val="Hyperlink"/>
            <w:rFonts w:ascii="Times New Roman" w:hAnsi="Times New Roman" w:eastAsia="Times New Roman" w:cs="Times New Roman"/>
            <w:b w:val="0"/>
            <w:bCs w:val="0"/>
            <w:i w:val="0"/>
            <w:iCs w:val="0"/>
            <w:caps w:val="0"/>
            <w:smallCaps w:val="0"/>
            <w:noProof w:val="0"/>
            <w:sz w:val="24"/>
            <w:szCs w:val="24"/>
            <w:lang w:val="en-US"/>
          </w:rPr>
          <w:t>https://strathprints.strath.ac.uk/72228/1/Lee_Davies_JBR_2019_Navigating_relative_invariance_perspectives_on_corporate_heritage_identity.pdf</w:t>
        </w:r>
      </w:hyperlink>
    </w:p>
    <w:p xmlns:wp14="http://schemas.microsoft.com/office/word/2010/wordml" w:rsidP="7B5B5A2F" w14:paraId="26ADA632" wp14:textId="652BAD0D">
      <w:pPr>
        <w:spacing w:line="360" w:lineRule="auto"/>
        <w:jc w:val="both"/>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Reynolds, L. and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Sariola</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 2018. The ethics and politics of community engagement in global health research. </w:t>
      </w:r>
      <w:r w:rsidRPr="7B5B5A2F" w:rsidR="6E5AC6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Critical Public Health</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B5B5A2F" w:rsidR="6E5AC6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28</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 pp.257-268.Available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at:</w:t>
      </w:r>
      <w:r w:rsidRPr="7B5B5A2F" w:rsidR="6E5AC6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https</w:t>
      </w:r>
      <w:proofErr w:type="spellEnd"/>
      <w:r w:rsidRPr="7B5B5A2F" w:rsidR="6E5AC6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://www.tandfonline.com/doi/full/10.1080/09581596.2018.1449598</w:t>
      </w:r>
    </w:p>
    <w:p xmlns:wp14="http://schemas.microsoft.com/office/word/2010/wordml" w:rsidP="7B5B5A2F" w14:paraId="7648BD08" wp14:textId="5AB2F13A">
      <w:pPr>
        <w:spacing w:line="360" w:lineRule="auto"/>
        <w:jc w:val="both"/>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Save the children, 2022. </w:t>
      </w:r>
      <w:r w:rsidRPr="7B5B5A2F" w:rsidR="6E5AC6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Christmas Jumper Day 2021 | Save the Children UK</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Savethechildren.org.uk. Available at: &lt;https://www.savethechildren.org.uk/christmas-jumper-</w:t>
      </w:r>
    </w:p>
    <w:p xmlns:wp14="http://schemas.microsoft.com/office/word/2010/wordml" w:rsidP="7B5B5A2F" w14:paraId="5D92C261" wp14:textId="72F523A2">
      <w:pPr>
        <w:spacing w:line="360" w:lineRule="auto"/>
        <w:jc w:val="right"/>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9</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t>
      </w:r>
      <w:r w:rsidRPr="7B5B5A2F" w:rsidR="6E5AC6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10</w:t>
      </w:r>
    </w:p>
    <w:p xmlns:wp14="http://schemas.microsoft.com/office/word/2010/wordml" w:rsidP="7B5B5A2F" w14:paraId="72CCD672" wp14:textId="4EF7A18C">
      <w:pPr>
        <w:spacing w:line="360" w:lineRule="auto"/>
        <w:jc w:val="both"/>
      </w:pPr>
      <w:r>
        <w:br/>
      </w:r>
    </w:p>
    <w:p xmlns:wp14="http://schemas.microsoft.com/office/word/2010/wordml" w:rsidP="7B5B5A2F" w14:paraId="64A02D25" wp14:textId="1775C381">
      <w:pPr>
        <w:spacing w:line="360" w:lineRule="auto"/>
        <w:jc w:val="both"/>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day&gt; [Accessed 8 January 2022].</w:t>
      </w:r>
    </w:p>
    <w:p xmlns:wp14="http://schemas.microsoft.com/office/word/2010/wordml" w:rsidP="7B5B5A2F" w14:paraId="5BE07397" wp14:textId="76C98E70">
      <w:pPr>
        <w:spacing w:line="360" w:lineRule="auto"/>
        <w:jc w:val="both"/>
      </w:pP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Sierra, L.A., Yepes, V. and Pellicer, E., 2018. A review of multi-criteria assessment of the social sustainability of infrastructures. </w:t>
      </w:r>
      <w:r w:rsidRPr="7B5B5A2F" w:rsidR="6E5AC6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Cleaner Production</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B5B5A2F" w:rsidR="6E5AC6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187</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pp.496-513. Available at: </w:t>
      </w:r>
      <w:hyperlink r:id="Rb93decb25dad4df7">
        <w:r w:rsidRPr="7B5B5A2F" w:rsidR="6E5AC620">
          <w:rPr>
            <w:rStyle w:val="Hyperlink"/>
            <w:rFonts w:ascii="Times New Roman" w:hAnsi="Times New Roman" w:eastAsia="Times New Roman" w:cs="Times New Roman"/>
            <w:b w:val="0"/>
            <w:bCs w:val="0"/>
            <w:i w:val="0"/>
            <w:iCs w:val="0"/>
            <w:caps w:val="0"/>
            <w:smallCaps w:val="0"/>
            <w:noProof w:val="0"/>
            <w:sz w:val="24"/>
            <w:szCs w:val="24"/>
            <w:lang w:val="en-US"/>
          </w:rPr>
          <w:t>https://doi.org/10.1016/j.jclepro.2018.03.022</w:t>
        </w:r>
      </w:hyperlink>
    </w:p>
    <w:p xmlns:wp14="http://schemas.microsoft.com/office/word/2010/wordml" w:rsidP="7B5B5A2F" w14:paraId="54BD5E8F" wp14:textId="6D1DE549">
      <w:pPr>
        <w:spacing w:line="360" w:lineRule="auto"/>
        <w:jc w:val="both"/>
      </w:pP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Voinov</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Jenni, K., Gray, S.,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Kolagani</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 Glynn, P.D., Bommel, P., Prell, C., Zellner, M., </w:t>
      </w:r>
      <w:proofErr w:type="spellStart"/>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Paolisso</w:t>
      </w:r>
      <w:proofErr w:type="spellEnd"/>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 Jordan, R. and Sterling, E., 2018. Tools and methods in participatory modeling: Selecting the right tool for the job. </w:t>
      </w:r>
      <w:r w:rsidRPr="7B5B5A2F" w:rsidR="6E5AC6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Environmental Modelling &amp; Software</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B5B5A2F" w:rsidR="6E5AC6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109</w:t>
      </w:r>
      <w:r w:rsidRPr="7B5B5A2F" w:rsidR="6E5A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pp.232-255. Available at: </w:t>
      </w:r>
      <w:hyperlink r:id="Radf76a199c2e4200">
        <w:r w:rsidRPr="7B5B5A2F" w:rsidR="6E5AC620">
          <w:rPr>
            <w:rStyle w:val="Hyperlink"/>
            <w:rFonts w:ascii="Times New Roman" w:hAnsi="Times New Roman" w:eastAsia="Times New Roman" w:cs="Times New Roman"/>
            <w:b w:val="0"/>
            <w:bCs w:val="0"/>
            <w:i w:val="0"/>
            <w:iCs w:val="0"/>
            <w:caps w:val="0"/>
            <w:smallCaps w:val="0"/>
            <w:noProof w:val="0"/>
            <w:sz w:val="24"/>
            <w:szCs w:val="24"/>
            <w:lang w:val="en-US"/>
          </w:rPr>
          <w:t>https://doi.org/10.1016/j.envsoft.2018.08.028</w:t>
        </w:r>
      </w:hyperlink>
    </w:p>
    <w:p xmlns:wp14="http://schemas.microsoft.com/office/word/2010/wordml" w:rsidP="7B5B5A2F" w14:paraId="2C078E63" wp14:textId="1E52D497">
      <w:pPr>
        <w:pStyle w:val="Normal"/>
        <w:spacing w:line="360" w:lineRule="auto"/>
      </w:pPr>
      <w:r>
        <w:br/>
      </w:r>
    </w:p>
    <w:p w:rsidR="7B5B5A2F" w:rsidP="7B5B5A2F" w:rsidRDefault="7B5B5A2F" w14:paraId="13189493" w14:textId="5AACAD48">
      <w:pPr>
        <w:pStyle w:val="Normal"/>
        <w:spacing w:line="360" w:lineRule="auto"/>
      </w:pPr>
    </w:p>
    <w:p w:rsidR="7B5B5A2F" w:rsidP="7B5B5A2F" w:rsidRDefault="7B5B5A2F" w14:paraId="410B4D1A" w14:textId="4A84B8D4">
      <w:pPr>
        <w:pStyle w:val="Normal"/>
        <w:spacing w:line="360" w:lineRule="auto"/>
      </w:pPr>
    </w:p>
    <w:p w:rsidR="7B5B5A2F" w:rsidP="7B5B5A2F" w:rsidRDefault="7B5B5A2F" w14:paraId="027B299C" w14:textId="2660B2BE">
      <w:pPr>
        <w:pStyle w:val="Normal"/>
        <w:spacing w:line="360" w:lineRule="auto"/>
      </w:pPr>
    </w:p>
    <w:p w:rsidR="7B5B5A2F" w:rsidP="7B5B5A2F" w:rsidRDefault="7B5B5A2F" w14:paraId="023FD40E" w14:textId="6C8FFA7D">
      <w:pPr>
        <w:pStyle w:val="Normal"/>
        <w:spacing w:line="360" w:lineRule="auto"/>
      </w:pPr>
    </w:p>
    <w:p w:rsidR="7B5B5A2F" w:rsidP="7B5B5A2F" w:rsidRDefault="7B5B5A2F" w14:paraId="69213079" w14:textId="6697C70E">
      <w:pPr>
        <w:pStyle w:val="Normal"/>
        <w:spacing w:line="360" w:lineRule="auto"/>
      </w:pPr>
    </w:p>
    <w:p w:rsidR="7B5B5A2F" w:rsidP="7B5B5A2F" w:rsidRDefault="7B5B5A2F" w14:paraId="591D9565" w14:textId="6411CFE4">
      <w:pPr>
        <w:pStyle w:val="Normal"/>
        <w:spacing w:line="360" w:lineRule="auto"/>
      </w:pPr>
    </w:p>
    <w:p w:rsidR="7B5B5A2F" w:rsidP="7B5B5A2F" w:rsidRDefault="7B5B5A2F" w14:paraId="6633CA42" w14:textId="0EF7CE9F">
      <w:pPr>
        <w:pStyle w:val="Normal"/>
        <w:spacing w:line="360" w:lineRule="auto"/>
      </w:pPr>
    </w:p>
    <w:p w:rsidR="7B5B5A2F" w:rsidP="7B5B5A2F" w:rsidRDefault="7B5B5A2F" w14:paraId="77E20228" w14:textId="6ACA6BCC">
      <w:pPr>
        <w:pStyle w:val="Normal"/>
        <w:spacing w:line="360" w:lineRule="auto"/>
      </w:pPr>
    </w:p>
    <w:p w:rsidR="7B5B5A2F" w:rsidP="7B5B5A2F" w:rsidRDefault="7B5B5A2F" w14:paraId="53006837" w14:textId="2F391561">
      <w:pPr>
        <w:pStyle w:val="Normal"/>
        <w:spacing w:line="360" w:lineRule="auto"/>
      </w:pPr>
    </w:p>
    <w:p w:rsidR="7B5B5A2F" w:rsidP="7B5B5A2F" w:rsidRDefault="7B5B5A2F" w14:paraId="798B1D1E" w14:textId="3962707D">
      <w:pPr>
        <w:pStyle w:val="Normal"/>
        <w:spacing w:line="360" w:lineRule="auto"/>
      </w:pPr>
    </w:p>
    <w:p w:rsidR="7B5B5A2F" w:rsidP="7B5B5A2F" w:rsidRDefault="7B5B5A2F" w14:paraId="62F587BB" w14:textId="7570E09E">
      <w:pPr>
        <w:spacing w:line="360"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B5B5A2F" w:rsidP="7B5B5A2F" w:rsidRDefault="7B5B5A2F" w14:paraId="23E42116" w14:textId="7C7747B5">
      <w:pPr>
        <w:spacing w:line="360"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27B25B2" w:rsidP="7B5B5A2F" w:rsidRDefault="427B25B2" w14:paraId="79FDF088" w14:textId="27E251A1">
      <w:pPr>
        <w:spacing w:line="360" w:lineRule="auto"/>
        <w:jc w:val="right"/>
      </w:pPr>
      <w:r w:rsidRPr="7B5B5A2F" w:rsidR="427B25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7B5B5A2F" w:rsidR="427B25B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10 </w:t>
      </w:r>
      <w:r w:rsidRPr="7B5B5A2F" w:rsidR="427B25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 </w:t>
      </w:r>
      <w:r w:rsidRPr="7B5B5A2F" w:rsidR="427B25B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10</w:t>
      </w:r>
    </w:p>
    <w:p w:rsidR="7B5B5A2F" w:rsidP="7B5B5A2F" w:rsidRDefault="7B5B5A2F" w14:paraId="16B1D36D" w14:textId="1703CB1B">
      <w:pPr>
        <w:pStyle w:val="Normal"/>
        <w:spacing w:line="360" w:lineRule="auto"/>
      </w:pPr>
    </w:p>
    <w:sectPr>
      <w:pgSz w:w="12240" w:h="15840"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281960457" textId="1257521012" start="281" length="10" invalidationStart="281" invalidationLength="10" id="kjAZH2va"/>
  </int:Manifest>
  <int:Observations>
    <int:Content id="kjAZH2va">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40A087"/>
    <w:rsid w:val="05642500"/>
    <w:rsid w:val="0740A087"/>
    <w:rsid w:val="09879B2F"/>
    <w:rsid w:val="0CAD69A2"/>
    <w:rsid w:val="0D6F36E5"/>
    <w:rsid w:val="0EC3C717"/>
    <w:rsid w:val="0F0B0746"/>
    <w:rsid w:val="0FE50A64"/>
    <w:rsid w:val="12D570C4"/>
    <w:rsid w:val="13DE7869"/>
    <w:rsid w:val="1899A56F"/>
    <w:rsid w:val="1CC424E4"/>
    <w:rsid w:val="21979607"/>
    <w:rsid w:val="21BAC931"/>
    <w:rsid w:val="29CE44A8"/>
    <w:rsid w:val="2B605D54"/>
    <w:rsid w:val="2E76190F"/>
    <w:rsid w:val="2FF156F9"/>
    <w:rsid w:val="3FC4F015"/>
    <w:rsid w:val="419A3E75"/>
    <w:rsid w:val="420943C9"/>
    <w:rsid w:val="427B25B2"/>
    <w:rsid w:val="43336029"/>
    <w:rsid w:val="43FD0C99"/>
    <w:rsid w:val="443A4892"/>
    <w:rsid w:val="45DD6F01"/>
    <w:rsid w:val="4809CFA7"/>
    <w:rsid w:val="4B8BB7B6"/>
    <w:rsid w:val="5482620C"/>
    <w:rsid w:val="56C6D753"/>
    <w:rsid w:val="5896969D"/>
    <w:rsid w:val="5912A2A8"/>
    <w:rsid w:val="5A05CE23"/>
    <w:rsid w:val="5E5002F2"/>
    <w:rsid w:val="605BE74A"/>
    <w:rsid w:val="6393880C"/>
    <w:rsid w:val="63CEE1BE"/>
    <w:rsid w:val="6677F96F"/>
    <w:rsid w:val="6B9E99F1"/>
    <w:rsid w:val="6C457F1A"/>
    <w:rsid w:val="6CCD8BB1"/>
    <w:rsid w:val="6E5AC620"/>
    <w:rsid w:val="7215C8FB"/>
    <w:rsid w:val="72412749"/>
    <w:rsid w:val="754613AF"/>
    <w:rsid w:val="76393F2A"/>
    <w:rsid w:val="790472C8"/>
    <w:rsid w:val="7B5B5A2F"/>
    <w:rsid w:val="7EE6D7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0A087"/>
  <w15:chartTrackingRefBased/>
  <w15:docId w15:val="{BD8AF4D1-479E-4901-8D46-80B83C9420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f8313ddae86e41dd" /><Relationship Type="http://schemas.openxmlformats.org/officeDocument/2006/relationships/hyperlink" Target="chrome-extension://bpmcpldpdmajfigpchkicefoigmkfalc/views/qowt.html" TargetMode="External" Id="R5a158b1633744078" /><Relationship Type="http://schemas.openxmlformats.org/officeDocument/2006/relationships/hyperlink" Target="chrome-extension://bpmcpldpdmajfigpchkicefoigmkfalc/views/qowt.html" TargetMode="External" Id="Rd7ac540d3f0a4a46" /><Relationship Type="http://schemas.openxmlformats.org/officeDocument/2006/relationships/hyperlink" Target="chrome-extension://bpmcpldpdmajfigpchkicefoigmkfalc/views/qowt.html" TargetMode="External" Id="Rd5026c18df5946cd" /><Relationship Type="http://schemas.openxmlformats.org/officeDocument/2006/relationships/hyperlink" Target="chrome-extension://bpmcpldpdmajfigpchkicefoigmkfalc/views/qowt.html" TargetMode="External" Id="R48dfad02f14247a9" /><Relationship Type="http://schemas.openxmlformats.org/officeDocument/2006/relationships/hyperlink" Target="chrome-extension://bpmcpldpdmajfigpchkicefoigmkfalc/views/qowt.html" TargetMode="External" Id="R9e00da8e8da14635" /><Relationship Type="http://schemas.openxmlformats.org/officeDocument/2006/relationships/hyperlink" Target="chrome-extension://bpmcpldpdmajfigpchkicefoigmkfalc/views/qowt.html" TargetMode="External" Id="R52d953cfc8cd4598" /><Relationship Type="http://schemas.openxmlformats.org/officeDocument/2006/relationships/hyperlink" Target="chrome-extension://bpmcpldpdmajfigpchkicefoigmkfalc/views/qowt.html" TargetMode="External" Id="R30ecc65d350f4b29" /><Relationship Type="http://schemas.openxmlformats.org/officeDocument/2006/relationships/hyperlink" Target="https://iopscience.iop.org/article/10.1088/1748-9326/aaa9c6/meta" TargetMode="External" Id="R9edc7f8cfcd94172" /><Relationship Type="http://schemas.openxmlformats.org/officeDocument/2006/relationships/hyperlink" Target="https://doi.org/10.3390/su12020543" TargetMode="External" Id="Redd1f3fad6bd4181" /><Relationship Type="http://schemas.openxmlformats.org/officeDocument/2006/relationships/hyperlink" Target="https://doi.org/10.1016/j.ecoser.2017.09.016" TargetMode="External" Id="R536325389a984287" /><Relationship Type="http://schemas.openxmlformats.org/officeDocument/2006/relationships/hyperlink" Target="https://fardapaper.ir/mohavaha/uploads/2020/08/Fardapaper-Drivers-of-brand-community-engagement.pdf" TargetMode="External" Id="R702b268393674cf2" /><Relationship Type="http://schemas.openxmlformats.org/officeDocument/2006/relationships/hyperlink" Target="https://strathprints.strath.ac.uk/72228/1/Lee_Davies_JBR_2019_Navigating_relative_invariance_perspectives_on_corporate_heritage_identity.pdf" TargetMode="External" Id="R7f35547c9b934e10" /><Relationship Type="http://schemas.openxmlformats.org/officeDocument/2006/relationships/hyperlink" Target="https://doi.org/10.1016/j.jclepro.2018.03.022" TargetMode="External" Id="Rb93decb25dad4df7" /><Relationship Type="http://schemas.openxmlformats.org/officeDocument/2006/relationships/hyperlink" Target="https://doi.org/10.1016/j.envsoft.2018.08.028" TargetMode="External" Id="Radf76a199c2e4200" /><Relationship Type="http://schemas.microsoft.com/office/2019/09/relationships/intelligence" Target="intelligence.xml" Id="R4ca2dfa4c25d49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2022-01-11T23:11:09.1404702Z</dcterms:created>
  <dcterms:modified xsi:type="dcterms:W3CDTF">2022-01-11T23:37:27.2406477Z</dcterms:modified>
  <dc:creator>Anastasia Ursu (2024744)</dc:creator>
  <lastModifiedBy>Anastasia Ursu (2024744)</lastModifiedBy>
</coreProperties>
</file>