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B21F2E" w:rsidRDefault="00B21F2E" w14:paraId="46E560EB" w14:textId="77777777" w:rsidP="00A551C6">
      <w:pPr>
        <w:jc w:val="center"/>
        <w:rPr>
          <w:b/>
          <w:u w:val="single"/>
          <w:rFonts w:ascii="Tahoma" w:cs="Tahoma" w:hAnsi="Tahoma"/>
        </w:rPr>
      </w:pPr>
    </w:p>
    <w:p w:rsidR="001B69C8" w:rsidRDefault="001B69C8" w14:paraId="618BF57D" w14:textId="77777777" w:rsidP="00B945EA">
      <w:pPr>
        <w:jc w:val="both"/>
        <w:rPr>
          <w:b/>
          <w:u w:val="single"/>
          <w:rFonts w:ascii="Tahoma" w:cs="Tahoma" w:hAnsi="Tahoma"/>
        </w:rPr>
      </w:pPr>
    </w:p>
    <w:p w:rsidR="001B69C8" w:rsidRDefault="001B69C8" w14:paraId="5E1B2845" w14:textId="77777777" w:rsidP="00B945EA">
      <w:pPr>
        <w:jc w:val="both"/>
        <w:rPr>
          <w:b/>
          <w:u w:val="single"/>
          <w:rFonts w:ascii="Tahoma" w:cs="Tahoma" w:hAnsi="Tahoma"/>
        </w:rPr>
      </w:pPr>
    </w:p>
    <w:p w:rsidR="00301AD0" w:rsidRDefault="001B6DB4" w14:paraId="3FBC8958" w14:textId="2864CFD5" w:rsidP="00B945EA">
      <w:pPr>
        <w:jc w:val="both"/>
        <w:rPr>
          <w:b/>
          <w:u w:val="single"/>
          <w:rFonts w:ascii="Tahoma" w:cs="Tahoma" w:hAnsi="Tahoma"/>
        </w:rPr>
      </w:pPr>
      <w:r w:rsidR="00643CB9">
        <w:rPr>
          <w:b/>
          <w:u w:val="single"/>
          <w:rFonts w:ascii="Tahoma" w:cs="Tahoma" w:hAnsi="Tahoma"/>
        </w:rPr>
        <w:t>–</w:t>
      </w:r>
      <w:r>
        <w:rPr>
          <w:b/>
          <w:u w:val="single"/>
          <w:rFonts w:ascii="Tahoma" w:cs="Tahoma" w:hAnsi="Tahoma"/>
        </w:rPr>
        <w:t xml:space="preserve"> </w:t>
      </w:r>
      <w:r w:rsidR="00B21F2E">
        <w:rPr>
          <w:b/>
          <w:u w:val="single"/>
          <w:rFonts w:ascii="Tahoma" w:cs="Tahoma" w:hAnsi="Tahoma"/>
        </w:rPr>
        <w:t xml:space="preserve">Student Journal </w:t>
      </w:r>
    </w:p>
    <w:p w:rsidR="00301AD0" w:rsidRDefault="00301AD0" w14:paraId="21B8D9FF" w14:textId="77777777" w:rsidRPr="003C3341">
      <w:pPr>
        <w:rPr>
          <w:rFonts w:ascii="Tahoma" w:cs="Tahoma" w:hAnsi="Tahoma"/>
          <w:sz w:val="20"/>
          <w:szCs w:val="20"/>
        </w:rPr>
      </w:pPr>
    </w:p>
    <w:tbl>
      <w:tblPr>
        <w:tblW w:w="0" w:type="auto"/>
        <w:tblStyle w:val="TableGrid"/>
        <w:tblLook w:val="1E0"/>
      </w:tblPr>
      <w:tblGrid>
        <w:gridCol w:w="3987"/>
        <w:gridCol w:w="7195"/>
      </w:tblGrid>
      <w:tr w14:paraId="0D3FB92D" w14:textId="77777777" w:rsidR="00B21F2E" w:rsidRPr="003C3341" w:rsidTr="00B21F2E">
        <w:tc>
          <w:tcPr>
            <w:shd w:fill="8DB3E2" w:color="auto" w:themeFill="text2" w:themeFillTint="66" w:val="clear"/>
            <w:tcW w:w="3987" w:type="dxa"/>
          </w:tcPr>
          <w:p w:rsidR="00B21F2E" w:rsidRDefault="00B21F2E" w14:paraId="4B8FE21B" w14:textId="7223E311">
            <w:pPr>
              <w:rPr>
                <w:b/>
                <w:rFonts w:ascii="Tahoma" w:cs="Tahoma" w:hAnsi="Tahoma"/>
                <w:sz w:val="20"/>
                <w:szCs w:val="20"/>
              </w:rPr>
            </w:pPr>
            <w:r>
              <w:rPr>
                <w:b/>
                <w:rFonts w:ascii="Tahoma" w:cs="Tahoma" w:hAnsi="Tahoma"/>
                <w:sz w:val="20"/>
                <w:szCs w:val="20"/>
              </w:rPr>
              <w:t xml:space="preserve">Student </w:t>
            </w:r>
            <w:r w:rsidRPr="003C3341">
              <w:rPr>
                <w:b/>
                <w:rFonts w:ascii="Tahoma" w:cs="Tahoma" w:hAnsi="Tahoma"/>
                <w:sz w:val="20"/>
                <w:szCs w:val="20"/>
              </w:rPr>
              <w:t>Name:</w:t>
            </w:r>
            <w:r w:rsidR="003478CE">
              <w:rPr>
                <w:b/>
                <w:rFonts w:ascii="Tahoma" w:cs="Tahoma" w:hAnsi="Tahoma"/>
                <w:sz w:val="20"/>
                <w:szCs w:val="20"/>
              </w:rPr>
              <w:t xml:space="preserve"> Mihaela Denia Paduraru</w:t>
            </w:r>
          </w:p>
          <w:p w:rsidR="001B69C8" w:rsidRDefault="001B69C8" w14:paraId="498F0B10" w14:textId="77777777" w:rsidRPr="003C3341">
            <w:pPr>
              <w:rPr>
                <w:b/>
                <w:rFonts w:ascii="Tahoma" w:cs="Tahoma" w:hAnsi="Tahoma"/>
                <w:sz w:val="20"/>
                <w:szCs w:val="20"/>
              </w:rPr>
            </w:pPr>
          </w:p>
          <w:p w:rsidR="00B21F2E" w:rsidRDefault="001B69C8" w14:paraId="69E1F0CF" w14:textId="65CAEC60" w:rsidRPr="003C3341">
            <w:pPr>
              <w:rPr>
                <w:b/>
                <w:rFonts w:ascii="Tahoma" w:cs="Tahoma" w:hAnsi="Tahoma"/>
                <w:sz w:val="20"/>
                <w:szCs w:val="20"/>
              </w:rPr>
            </w:pPr>
            <w:r>
              <w:rPr>
                <w:b/>
                <w:rFonts w:ascii="Tahoma" w:cs="Tahoma" w:hAnsi="Tahoma"/>
                <w:sz w:val="20"/>
                <w:szCs w:val="20"/>
              </w:rPr>
              <w:t>Student Number:2019726</w:t>
            </w:r>
            <w:r w:rsidR="003478CE">
              <w:rPr>
                <w:b/>
                <w:rFonts w:ascii="Tahoma" w:cs="Tahoma" w:hAnsi="Tahoma"/>
                <w:sz w:val="20"/>
                <w:szCs w:val="20"/>
              </w:rPr>
              <w:t xml:space="preserve"> </w:t>
            </w:r>
          </w:p>
          <w:p w:rsidR="00B21F2E" w:rsidRDefault="00B21F2E" w14:paraId="1BE02E96" w14:textId="77777777" w:rsidRPr="003C3341">
            <w:pPr>
              <w:rPr>
                <w:b/>
                <w:rFonts w:ascii="Tahoma" w:cs="Tahoma" w:hAnsi="Tahoma"/>
                <w:sz w:val="20"/>
                <w:szCs w:val="20"/>
              </w:rPr>
            </w:pPr>
          </w:p>
        </w:tc>
        <w:tc>
          <w:tcPr>
            <w:shd w:fill="8DB3E2" w:color="auto" w:themeFill="text2" w:themeFillTint="66" w:val="clear"/>
            <w:tcW w:w="7195" w:type="dxa"/>
          </w:tcPr>
          <w:p w:rsidR="00B21F2E" w:rsidRDefault="001B69C8" w14:paraId="488BCD26" w14:textId="4FA6D49A">
            <w:pPr>
              <w:rPr>
                <w:b/>
                <w:rFonts w:ascii="Tahoma" w:cs="Tahoma" w:hAnsi="Tahoma"/>
                <w:sz w:val="20"/>
                <w:szCs w:val="20"/>
              </w:rPr>
            </w:pPr>
            <w:r>
              <w:rPr>
                <w:b/>
                <w:rFonts w:ascii="Tahoma" w:cs="Tahoma" w:hAnsi="Tahoma"/>
                <w:sz w:val="20"/>
                <w:szCs w:val="20"/>
              </w:rPr>
              <w:t>Module:</w:t>
            </w:r>
            <w:r w:rsidR="003478CE">
              <w:rPr>
                <w:b/>
                <w:rFonts w:ascii="Tahoma" w:cs="Tahoma" w:hAnsi="Tahoma"/>
                <w:sz w:val="20"/>
                <w:szCs w:val="20"/>
              </w:rPr>
              <w:t xml:space="preserve"> Food&amp;Beverage Operations</w:t>
            </w:r>
          </w:p>
          <w:p w:rsidR="00B21F2E" w:rsidRDefault="00B21F2E" w14:paraId="2019D1B6" w14:textId="77777777" w:rsidP="00B21F2E">
            <w:pPr>
              <w:rPr>
                <w:b/>
                <w:rFonts w:ascii="Tahoma" w:cs="Tahoma" w:hAnsi="Tahoma"/>
                <w:sz w:val="20"/>
                <w:szCs w:val="20"/>
              </w:rPr>
            </w:pPr>
          </w:p>
          <w:p w:rsidR="001B69C8" w:rsidRDefault="001B69C8" w14:paraId="450FE136" w14:textId="34DAF99D" w:rsidP="00B21F2E" w:rsidRPr="003C3341">
            <w:pPr>
              <w:rPr>
                <w:b/>
                <w:rFonts w:ascii="Tahoma" w:cs="Tahoma" w:hAnsi="Tahoma"/>
                <w:sz w:val="20"/>
                <w:szCs w:val="20"/>
              </w:rPr>
            </w:pPr>
            <w:r>
              <w:rPr>
                <w:b/>
                <w:rFonts w:ascii="Tahoma" w:cs="Tahoma" w:hAnsi="Tahoma"/>
                <w:sz w:val="20"/>
                <w:szCs w:val="20"/>
              </w:rPr>
              <w:t>Lecturer:</w:t>
            </w:r>
            <w:r w:rsidR="003478CE">
              <w:rPr>
                <w:b/>
                <w:rFonts w:ascii="Tahoma" w:cs="Tahoma" w:hAnsi="Tahoma"/>
                <w:sz w:val="20"/>
                <w:szCs w:val="20"/>
              </w:rPr>
              <w:t xml:space="preserve"> Lola Villard</w:t>
            </w:r>
          </w:p>
        </w:tc>
      </w:tr>
    </w:tbl>
    <w:p w:rsidR="0062012D" w:rsidRDefault="0062012D" w14:paraId="1F13C318" w14:textId="4D5FFF34" w:rsidRPr="003C3341">
      <w:pPr>
        <w:rPr>
          <w:rFonts w:ascii="Tahoma" w:cs="Tahoma" w:hAnsi="Tahoma"/>
          <w:sz w:val="20"/>
          <w:szCs w:val="20"/>
        </w:rPr>
      </w:pPr>
    </w:p>
    <w:tbl>
      <w:tblPr>
        <w:tblW w:w="0" w:type="auto"/>
        <w:tblStyle w:val="TableGrid"/>
        <w:tblLook w:val="1E0"/>
      </w:tblPr>
      <w:tblGrid>
        <w:gridCol w:w="3983"/>
        <w:gridCol w:w="7199"/>
      </w:tblGrid>
      <w:tr w14:paraId="19DFCE05" w14:textId="77777777" w:rsidR="00B21F2E" w:rsidRPr="003C3341" w:rsidTr="00563973">
        <w:tc>
          <w:tcPr>
            <w:shd w:fill="FBD4B4" w:color="auto" w:themeFill="accent6" w:themeFillTint="66" w:val="clear"/>
            <w:tcW w:w="3983" w:type="dxa"/>
          </w:tcPr>
          <w:p w:rsidR="00B21F2E" w:rsidRDefault="008F0D83" w14:paraId="15299B24" w14:textId="4E36E63F" w:rsidP="00B21F2E" w:rsidRPr="00946B23">
            <w:pPr>
              <w:rPr>
                <w:b/>
                <w:rFonts w:ascii="Tahoma" w:cs="Tahoma" w:hAnsi="Tahoma"/>
                <w:sz w:val="20"/>
                <w:szCs w:val="20"/>
              </w:rPr>
            </w:pPr>
            <w:r>
              <w:rPr>
                <w:b/>
                <w:rFonts w:ascii="Tahoma" w:cs="Tahoma" w:hAnsi="Tahoma"/>
                <w:sz w:val="20"/>
                <w:szCs w:val="20"/>
              </w:rPr>
              <w:t>Topic of choice:</w:t>
            </w:r>
            <w:r w:rsidR="00B60FDF">
              <w:rPr>
                <w:b/>
                <w:rFonts w:ascii="Tahoma" w:cs="Tahoma" w:hAnsi="Tahoma"/>
                <w:sz w:val="20"/>
                <w:szCs w:val="20"/>
              </w:rPr>
              <w:t xml:space="preserve"> </w:t>
            </w:r>
          </w:p>
        </w:tc>
        <w:tc>
          <w:tcPr>
            <w:shd w:fill="FBD4B4" w:color="auto" w:themeFill="accent6" w:themeFillTint="66" w:val="clear"/>
            <w:tcW w:w="7199" w:type="dxa"/>
          </w:tcPr>
          <w:p w:rsidR="00B21F2E" w:rsidRDefault="00B21F2E" w14:paraId="46D7ECC8" w14:textId="62488195" w:rsidP="00B945EA">
            <w:pPr>
              <w:rPr>
                <w:b/>
                <w:rFonts w:ascii="Tahoma" w:cs="Tahoma" w:hAnsi="Tahoma"/>
                <w:sz w:val="20"/>
                <w:szCs w:val="20"/>
              </w:rPr>
            </w:pPr>
            <w:r>
              <w:rPr>
                <w:b/>
                <w:rFonts w:ascii="Tahoma"/>
                <w:sz w:val="20"/>
              </w:rPr>
            </w:r>
          </w:p>
          <w:p>
            <w:pPr>
              <w:rPr>
                <w:b/>
              </w:rPr>
            </w:pPr>
            <w:r>
              <w:rPr>
                <w:b/>
              </w:rPr>
              <w:t xml:space="preserve">Allergies and Intolerances and the importance within the industry </w:t>
            </w:r>
          </w:p>
          <w:p w:rsidR="00B21F2E" w:rsidRDefault="00B21F2E" w14:paraId="5A58C08D" w14:textId="0CB28053" w:rsidP="00B21F2E" w:rsidRPr="003C3341">
            <w:pPr>
              <w:jc w:val="center"/>
              <w:rPr>
                <w:b/>
                <w:rFonts w:ascii="Tahoma" w:cs="Tahoma" w:hAnsi="Tahoma"/>
                <w:sz w:val="20"/>
                <w:szCs w:val="20"/>
              </w:rPr>
            </w:pPr>
          </w:p>
        </w:tc>
      </w:tr>
      <w:tr w14:paraId="60CC0225" w14:textId="77777777" w:rsidR="00B945EA" w:rsidRPr="003C3341" w:rsidTr="00A91FD6">
        <w:trPr>
          <w:trHeight w:val="2494"/>
        </w:trPr>
        <w:tc>
          <w:tcPr>
            <w:gridSpan w:val="2"/>
            <w:tcW w:w="11182" w:type="dxa"/>
          </w:tcPr>
          <w:p w:rsidR="00B945EA" w:rsidRDefault="00B945EA" w14:paraId="0831D54A" w14:textId="77777777" w:rsidP="00A65C1D">
            <w:pPr>
              <w:rPr>
                <w:rFonts w:ascii="Tahoma" w:cs="Tahoma" w:hAnsi="Tahoma"/>
                <w:sz w:val="20"/>
                <w:szCs w:val="20"/>
              </w:rPr>
            </w:pPr>
          </w:p>
          <w:p w:rsidR="004421AE" w:rsidRDefault="002B1C39" w14:paraId="3EEB8DE5" w14:textId="77777777" w:rsidP="002B1C39">
            <w:pPr>
              <w:rPr>
                <w:rFonts w:cs="Arial"/>
              </w:rPr>
            </w:pPr>
            <w:r w:rsidRPr="00AC353F">
              <w:rPr>
                <w:rFonts w:cs="Arial"/>
              </w:rPr>
              <w:t xml:space="preserve">Allergies and intolerances to a variety of popular foods are all too familiar to those in the foodservice sector. Gluten intolerance, allergy to peanuts, and lactose intolerance are just a few examples. Because the symptoms of food intolerance may often match those of food allergy, the two conditions are sometimes misdiagnosed (Turnbull, Adams and Gorard, 2015). </w:t>
            </w:r>
            <w:r w:rsidR="004421AE">
              <w:rPr>
                <w:rFonts w:cs="Arial"/>
              </w:rPr>
              <w:t>Moreover, f</w:t>
            </w:r>
            <w:r w:rsidRPr="00AC353F">
              <w:rPr>
                <w:rFonts w:cs="Arial"/>
              </w:rPr>
              <w:t xml:space="preserve">ood allergies and food intolerances can have similar symptoms, but their causes are quite different. </w:t>
            </w:r>
          </w:p>
          <w:p w:rsidR="004421AE" w:rsidRDefault="004421AE" w14:paraId="7DDF4A17" w14:textId="77777777" w:rsidP="002B1C39">
            <w:pPr>
              <w:rPr>
                <w:rFonts w:cs="Arial"/>
              </w:rPr>
            </w:pPr>
          </w:p>
          <w:p w:rsidR="002B1C39" w:rsidRDefault="004421AE" w14:paraId="133E2520" w14:textId="0442BEBD" w:rsidP="002B1C39">
            <w:pPr>
              <w:rPr>
                <w:rFonts w:cs="Arial"/>
              </w:rPr>
            </w:pPr>
            <w:r>
              <w:rPr>
                <w:rFonts w:cs="Arial"/>
              </w:rPr>
              <w:t>Thus, f</w:t>
            </w:r>
            <w:r w:rsidR="002B1C39" w:rsidRPr="00AC353F">
              <w:rPr>
                <w:rFonts w:cs="Arial"/>
              </w:rPr>
              <w:t>ood intolerance happens when the body is unable to properly digest a meal, while a food allergy develops when the body responds to food with an immunological reaction. Allergy symptoms may be slight, such as itching, or severe, such as breathing difficulties and even death. Everyone has had an allergic response at some point in their life. Treating all food allergies the same is vital since I can't foresee how severe someone's reaction will be. While even the slightest trace of certain foods may be fatal to someone allergic to them, individuals with intolerance are unlikely to be impacted by a minute quantity of the food; the way we deal with these varied responses also has to be different. We need as much information as possible from our customers to take the best possible action.</w:t>
            </w:r>
          </w:p>
          <w:p w:rsidR="002B1C39" w:rsidRDefault="002B1C39" w14:paraId="7B0A709D" w14:textId="5A8F239B" w:rsidP="002B1C39">
            <w:pPr>
              <w:rPr>
                <w:rFonts w:cs="Arial"/>
              </w:rPr>
            </w:pPr>
          </w:p>
          <w:p w:rsidR="002B1C39" w:rsidRDefault="004421AE" w14:paraId="5222EF0D" w14:textId="7FFD800B" w:rsidP="002B1C39">
            <w:pPr>
              <w:rPr>
                <w:rFonts w:cs="Arial"/>
              </w:rPr>
            </w:pPr>
            <w:r>
              <w:rPr>
                <w:rFonts w:cs="Arial"/>
              </w:rPr>
              <w:t>On the other hand, t</w:t>
            </w:r>
            <w:r w:rsidR="002B1C39" w:rsidRPr="00AC353F">
              <w:rPr>
                <w:rFonts w:cs="Arial"/>
              </w:rPr>
              <w:t xml:space="preserve">he immune system does not play a role in food intolerance, which does not induce severe allergic responses (known as anaphylaxis). Anaphylaxis is an allergic response that requires immediate medical intervention. The most prevalent causes of anaphylaxis include foods (like peanuts, seafood, tree nuts, eggs, milk and wheat), insect bites and stings, and certain drugs (Turner </w:t>
            </w:r>
            <w:r w:rsidR="002B1C39" w:rsidRPr="00AC353F">
              <w:rPr>
                <w:i/>
                <w:rFonts w:cs="Arial"/>
              </w:rPr>
              <w:t xml:space="preserve">et al, </w:t>
            </w:r>
            <w:r w:rsidR="002B1C39" w:rsidRPr="00AC353F">
              <w:rPr>
                <w:rFonts w:cs="Arial"/>
              </w:rPr>
              <w:t xml:space="preserve">2017). Also, allergy testing does not reveal food intolerance. Food intolerance might be a hard notion to grasp, and physicians are not often aware of it either. In certain cases, foods include ingredients that might enhance the frequency and severity of migraines, rashes, or stomach trouble caused by irritable bowel syndrome. The immune system overreacts to a protein, </w:t>
            </w:r>
            <w:r w:rsidR="002B1C39" w:rsidRPr="00AC353F">
              <w:rPr>
                <w:rFonts w:cs="Arial"/>
              </w:rPr>
              <w:t xml:space="preserve">causing allergies. Proteins from food, pollens, home dust, animal hair, and moulds may all cause allergic reactions. As per Facioni </w:t>
              <w:lastRenderedPageBreak/>
            </w:r>
            <w:r w:rsidR="002B1C39" w:rsidRPr="00AC353F">
              <w:rPr>
                <w:i/>
                <w:rFonts w:cs="Arial"/>
              </w:rPr>
              <w:t xml:space="preserve">et al </w:t>
            </w:r>
            <w:r w:rsidR="002B1C39" w:rsidRPr="00AC353F">
              <w:rPr>
                <w:rFonts w:cs="Arial"/>
              </w:rPr>
              <w:t>(2020), we term these substances allergies. When we say something has an allergy, we indicate that the immune system has reacted as though it were responding to something harmful. A chemical reaction occurs in certain individuals when they eat or drink certain foods, but it is not an immunological response as some people believe. Asthma, chronic fatigue syndrome, and irritable bowel syndrome have all been linked to food intolerance.</w:t>
            </w:r>
          </w:p>
          <w:p w:rsidR="004421AE" w:rsidRDefault="004421AE" w14:paraId="3B263363" w14:textId="77777777" w:rsidP="002B1C39" w:rsidRPr="00AC353F">
            <w:pPr>
              <w:rPr>
                <w:rFonts w:cs="Arial"/>
              </w:rPr>
            </w:pPr>
          </w:p>
          <w:p w:rsidR="002B1C39" w:rsidRDefault="004421AE" w14:paraId="2139A8EE" w14:textId="1EA40D41" w:rsidP="002B1C39">
            <w:pPr>
              <w:rPr>
                <w:rFonts w:cs="Arial"/>
              </w:rPr>
            </w:pPr>
            <w:r>
              <w:rPr>
                <w:rFonts w:cs="Arial"/>
              </w:rPr>
              <w:t>Hence, g</w:t>
            </w:r>
            <w:r w:rsidR="002B1C39" w:rsidRPr="00AC353F">
              <w:rPr>
                <w:rFonts w:cs="Arial"/>
              </w:rPr>
              <w:t xml:space="preserve">rowing consumer concern about allergens has been brought into sharp focus in the recent two decades by the dramatic rise in reported food allergy occurrences, particularly among children and young adults (Onyimba </w:t>
            </w:r>
            <w:r w:rsidR="002B1C39" w:rsidRPr="00AC353F">
              <w:rPr>
                <w:i/>
                <w:rFonts w:cs="Arial"/>
              </w:rPr>
              <w:t>et al</w:t>
            </w:r>
            <w:r w:rsidR="002B1C39" w:rsidRPr="00AC353F">
              <w:rPr>
                <w:rFonts w:cs="Arial"/>
              </w:rPr>
              <w:t>, 2021. Allergies to certain foods are increasingly considered a threat to food safety. People with food allergies need to exercise caution when deciding what to eat, since being allergic to any food is a medical issue. To prevent food allergies, the food sector has a vital responsibility to play in protecting the health of its customers. Consumers, government organisations, and food producers all have a role to play in the fight against food allergies. The necessity of allergy management is addressed in several national and international legislations, which provide obligations for food producers to meet. Allergic reactions are considered to be food safety threats by ISO 22000:2007, which is an international standard for food management systems (pecb.com, n. d). The law also mandates that businesses take steps to guarantee that the food they produce is free of contaminants and allergies, among other things. Allergy sufferers must avoid foods they are allergic to since there is no remedy for food allergies at this time.</w:t>
            </w:r>
          </w:p>
          <w:p w:rsidR="002B1C39" w:rsidRDefault="002B1C39" w14:paraId="6F944C8E" w14:textId="77777777" w:rsidP="002B1C39" w:rsidRPr="00AC353F">
            <w:pPr>
              <w:rPr>
                <w:rFonts w:cs="Arial"/>
              </w:rPr>
            </w:pPr>
          </w:p>
          <w:p w:rsidR="002B1C39" w:rsidRDefault="002B1C39" w14:paraId="3C1278D2" w14:textId="77777777" w:rsidP="002B1C39" w:rsidRPr="00AC353F">
            <w:pPr>
              <w:rPr>
                <w:rFonts w:cs="Arial"/>
              </w:rPr>
            </w:pPr>
            <w:r w:rsidRPr="00AC353F">
              <w:rPr>
                <w:rFonts w:cs="Arial"/>
              </w:rPr>
              <w:t xml:space="preserve">The prevalence of food allergies necessitates that workers like me in the restaurants, the authority and other foodservice providers pay attention to allergens and the difficulties they might cause. When allergens from two different foods come into touch, this is known as cross-contact. Using the same spoon to combine hamburger and peanut butter, for example, is an example of a direct method (using the same oil to fry French fries that might be used to fry shrimp). As a preconditioning programme required by ISO 22000, food companies that have developed their food safety systems in line with that standard have already taken steps to manage allergies. Creating, executing, and maintaining an allergy management programme is all part of ISO 22002-1:2009's standards. The food sector has stepped up its attempts to keep food allergens under control as public health worries increase. International standards and voluntary recommendations have been created to assist organisations in efficiently preventing food allergy incidents, in addition to national laws that control the labelling of food allergens in many countries. (Onyimba </w:t>
            </w:r>
            <w:r w:rsidRPr="00AC353F">
              <w:rPr>
                <w:i/>
                <w:rFonts w:cs="Arial"/>
              </w:rPr>
              <w:t>et al</w:t>
            </w:r>
            <w:r w:rsidRPr="00AC353F">
              <w:rPr>
                <w:rFonts w:cs="Arial"/>
              </w:rPr>
              <w:t>, 2021)</w:t>
            </w:r>
          </w:p>
          <w:p w:rsidR="002B1C39" w:rsidRDefault="002B1C39" w14:paraId="2BB1D945" w14:textId="77777777" w:rsidP="002B1C39" w:rsidRPr="00AC353F">
            <w:pPr>
              <w:spacing w:after="200"/>
              <w:rPr>
                <w:b/>
                <w:rFonts w:cs="Arial"/>
              </w:rPr>
            </w:pPr>
            <w:r>
              <w:rPr>
                <w:b/>
                <w:rFonts w:cs="Arial"/>
              </w:rPr>
              <w:br w:type="page"/>
            </w:r>
          </w:p>
          <w:p w:rsidR="00F51904" w:rsidRDefault="00F51904" w14:paraId="31742AB4" w14:textId="193FFA64" w:rsidP="00C414B0">
            <w:pPr>
              <w:jc w:val="both"/>
              <w:spacing w:line="360" w:lineRule="auto"/>
              <w:rPr>
                <w:rFonts w:ascii="Arial" w:cs="Arial" w:hAnsi="Arial"/>
              </w:rPr>
            </w:pPr>
          </w:p>
          <w:p w:rsidR="00F51904" w:rsidRDefault="00F51904" w14:paraId="467586AD" w14:textId="77777777" w:rsidP="00C414B0">
            <w:pPr>
              <w:jc w:val="both"/>
              <w:spacing w:line="360" w:lineRule="auto"/>
              <w:rPr>
                <w:rFonts w:ascii="Arial" w:cs="Arial" w:hAnsi="Arial"/>
              </w:rPr>
            </w:pPr>
          </w:p>
          <w:p w:rsidR="00F51904" w:rsidRDefault="00F51904" w14:paraId="4F94C46A" w14:textId="77777777" w:rsidP="00C414B0" w:rsidRPr="0082407E">
            <w:pPr>
              <w:jc w:val="both"/>
              <w:spacing w:line="360" w:lineRule="auto"/>
              <w:rPr>
                <w:rFonts w:ascii="Arial" w:cs="Arial" w:hAnsi="Arial"/>
              </w:rPr>
            </w:pPr>
          </w:p>
          <w:p w:rsidR="00797115" w:rsidRDefault="00797115" w14:paraId="4DC1E882" w14:textId="77777777" w:rsidP="00447AEC">
            <w:pPr>
              <w:jc w:val="both"/>
              <w:rPr>
                <w:rFonts w:ascii="Tahoma" w:cs="Tahoma" w:hAnsi="Tahoma"/>
                <w:sz w:val="20"/>
                <w:szCs w:val="20"/>
              </w:rPr>
            </w:pPr>
          </w:p>
          <w:p w:rsidR="00375882" w:rsidRDefault="00375882" w14:paraId="10B11E51" w14:textId="77777777" w:rsidP="00447AEC">
            <w:pPr>
              <w:jc w:val="both"/>
              <w:rPr>
                <w:rFonts w:ascii="Tahoma" w:cs="Tahoma" w:hAnsi="Tahoma"/>
                <w:sz w:val="20"/>
                <w:szCs w:val="20"/>
              </w:rPr>
            </w:pPr>
          </w:p>
          <w:p w:rsidR="00375882" w:rsidRDefault="00375882" w14:paraId="629A4250" w14:textId="77777777" w:rsidP="00447AEC">
            <w:pPr>
              <w:jc w:val="both"/>
              <w:rPr>
                <w:rFonts w:ascii="Tahoma" w:cs="Tahoma" w:hAnsi="Tahoma"/>
                <w:sz w:val="20"/>
                <w:szCs w:val="20"/>
              </w:rPr>
            </w:pPr>
          </w:p>
          <w:p w:rsidR="00375882" w:rsidRDefault="00375882" w14:paraId="3223D94F" w14:textId="77777777" w:rsidP="00447AEC">
            <w:pPr>
              <w:jc w:val="both"/>
              <w:rPr>
                <w:rFonts w:ascii="Tahoma" w:cs="Tahoma" w:hAnsi="Tahoma"/>
                <w:sz w:val="20"/>
                <w:szCs w:val="20"/>
              </w:rPr>
            </w:pPr>
          </w:p>
          <w:p w:rsidR="00375882" w:rsidRDefault="00375882" w14:paraId="5AAD8421" w14:textId="77777777" w:rsidP="00447AEC">
            <w:pPr>
              <w:jc w:val="both"/>
              <w:rPr>
                <w:rFonts w:ascii="Tahoma" w:cs="Tahoma" w:hAnsi="Tahoma"/>
                <w:sz w:val="20"/>
                <w:szCs w:val="20"/>
              </w:rPr>
            </w:pPr>
          </w:p>
          <w:p w:rsidR="00375882" w:rsidRDefault="00375882" w14:paraId="601C5B2A" w14:textId="77777777" w:rsidP="00447AEC">
            <w:pPr>
              <w:jc w:val="both"/>
              <w:rPr>
                <w:rFonts w:ascii="Tahoma" w:cs="Tahoma" w:hAnsi="Tahoma"/>
                <w:sz w:val="20"/>
                <w:szCs w:val="20"/>
              </w:rPr>
            </w:pPr>
          </w:p>
          <w:p w:rsidR="00375882" w:rsidRDefault="00375882" w14:paraId="169E8A99" w14:textId="77777777" w:rsidP="00447AEC">
            <w:pPr>
              <w:jc w:val="both"/>
              <w:rPr>
                <w:rFonts w:ascii="Tahoma" w:cs="Tahoma" w:hAnsi="Tahoma"/>
                <w:sz w:val="20"/>
                <w:szCs w:val="20"/>
              </w:rPr>
            </w:pPr>
          </w:p>
          <w:p w:rsidR="00375882" w:rsidRDefault="00375882" w14:paraId="0514EA32" w14:textId="77777777" w:rsidP="00447AEC">
            <w:pPr>
              <w:jc w:val="both"/>
              <w:rPr>
                <w:rFonts w:ascii="Tahoma" w:cs="Tahoma" w:hAnsi="Tahoma"/>
                <w:sz w:val="20"/>
                <w:szCs w:val="20"/>
              </w:rPr>
            </w:pPr>
          </w:p>
          <w:p w:rsidR="00375882" w:rsidRDefault="00375882" w14:paraId="733FBFA5" w14:textId="77777777" w:rsidP="00447AEC">
            <w:pPr>
              <w:jc w:val="both"/>
              <w:rPr>
                <w:rFonts w:ascii="Tahoma" w:cs="Tahoma" w:hAnsi="Tahoma"/>
                <w:sz w:val="20"/>
                <w:szCs w:val="20"/>
              </w:rPr>
            </w:pPr>
          </w:p>
          <w:p w:rsidR="00375882" w:rsidRDefault="00375882" w14:paraId="20085F77" w14:textId="77777777" w:rsidP="00447AEC">
            <w:pPr>
              <w:jc w:val="both"/>
              <w:rPr>
                <w:rFonts w:ascii="Tahoma" w:cs="Tahoma" w:hAnsi="Tahoma"/>
                <w:sz w:val="20"/>
                <w:szCs w:val="20"/>
              </w:rPr>
            </w:pPr>
          </w:p>
          <w:p w:rsidR="00375882" w:rsidRDefault="00375882" w14:paraId="368349A1" w14:textId="77777777" w:rsidP="00447AEC">
            <w:pPr>
              <w:jc w:val="both"/>
              <w:rPr>
                <w:rFonts w:ascii="Tahoma" w:cs="Tahoma" w:hAnsi="Tahoma"/>
                <w:sz w:val="20"/>
                <w:szCs w:val="20"/>
              </w:rPr>
            </w:pPr>
          </w:p>
          <w:p w:rsidR="00375882" w:rsidRDefault="00375882" w14:paraId="24449AB5" w14:textId="77777777" w:rsidP="00447AEC">
            <w:pPr>
              <w:jc w:val="both"/>
              <w:rPr>
                <w:rFonts w:ascii="Tahoma" w:cs="Tahoma" w:hAnsi="Tahoma"/>
                <w:sz w:val="20"/>
                <w:szCs w:val="20"/>
              </w:rPr>
            </w:pPr>
          </w:p>
          <w:p w:rsidR="00375882" w:rsidRDefault="00375882" w14:paraId="5B6F190D" w14:textId="77777777" w:rsidP="00447AEC">
            <w:pPr>
              <w:jc w:val="both"/>
              <w:rPr>
                <w:rFonts w:ascii="Tahoma" w:cs="Tahoma" w:hAnsi="Tahoma"/>
                <w:sz w:val="20"/>
                <w:szCs w:val="20"/>
              </w:rPr>
            </w:pPr>
          </w:p>
          <w:p w:rsidR="00375882" w:rsidRDefault="00375882" w14:paraId="1CBB91F9" w14:textId="77777777" w:rsidP="00447AEC">
            <w:pPr>
              <w:jc w:val="both"/>
              <w:rPr>
                <w:rFonts w:ascii="Tahoma" w:cs="Tahoma" w:hAnsi="Tahoma"/>
                <w:sz w:val="20"/>
                <w:szCs w:val="20"/>
              </w:rPr>
            </w:pPr>
          </w:p>
          <w:p w:rsidR="00375882" w:rsidRDefault="00375882" w14:paraId="22B4E043" w14:textId="77777777" w:rsidP="00447AEC">
            <w:pPr>
              <w:jc w:val="both"/>
              <w:rPr>
                <w:rFonts w:ascii="Tahoma" w:cs="Tahoma" w:hAnsi="Tahoma"/>
                <w:sz w:val="20"/>
                <w:szCs w:val="20"/>
              </w:rPr>
            </w:pPr>
          </w:p>
          <w:p w:rsidR="00375882" w:rsidRDefault="00375882" w14:paraId="40B794DC" w14:textId="77777777" w:rsidP="00447AEC">
            <w:pPr>
              <w:jc w:val="both"/>
              <w:rPr>
                <w:rFonts w:ascii="Tahoma" w:cs="Tahoma" w:hAnsi="Tahoma"/>
                <w:sz w:val="20"/>
                <w:szCs w:val="20"/>
              </w:rPr>
            </w:pPr>
          </w:p>
          <w:p w:rsidR="00375882" w:rsidRDefault="00375882" w14:paraId="0A732014" w14:textId="77777777" w:rsidP="00447AEC">
            <w:pPr>
              <w:jc w:val="both"/>
              <w:rPr>
                <w:rFonts w:ascii="Tahoma" w:cs="Tahoma" w:hAnsi="Tahoma"/>
                <w:sz w:val="20"/>
                <w:szCs w:val="20"/>
              </w:rPr>
            </w:pPr>
          </w:p>
          <w:p w:rsidR="00375882" w:rsidRDefault="00375882" w14:paraId="57B1B02B" w14:textId="77777777" w:rsidP="00447AEC">
            <w:pPr>
              <w:jc w:val="both"/>
              <w:rPr>
                <w:rFonts w:ascii="Tahoma" w:cs="Tahoma" w:hAnsi="Tahoma"/>
                <w:sz w:val="20"/>
                <w:szCs w:val="20"/>
              </w:rPr>
            </w:pPr>
          </w:p>
          <w:p w:rsidR="00375882" w:rsidRDefault="00375882" w14:paraId="29092048" w14:textId="77777777" w:rsidP="00447AEC">
            <w:pPr>
              <w:jc w:val="both"/>
              <w:rPr>
                <w:rFonts w:ascii="Tahoma" w:cs="Tahoma" w:hAnsi="Tahoma"/>
                <w:sz w:val="20"/>
                <w:szCs w:val="20"/>
              </w:rPr>
            </w:pPr>
          </w:p>
          <w:p w:rsidR="00375882" w:rsidRDefault="00375882" w14:paraId="45D18CD5" w14:textId="77777777" w:rsidP="00447AEC">
            <w:pPr>
              <w:jc w:val="both"/>
              <w:rPr>
                <w:rFonts w:ascii="Tahoma" w:cs="Tahoma" w:hAnsi="Tahoma"/>
                <w:sz w:val="20"/>
                <w:szCs w:val="20"/>
              </w:rPr>
            </w:pPr>
          </w:p>
          <w:p w:rsidR="00375882" w:rsidRDefault="00375882" w14:paraId="18548036" w14:textId="77777777" w:rsidP="00447AEC">
            <w:pPr>
              <w:jc w:val="both"/>
              <w:rPr>
                <w:rFonts w:ascii="Tahoma" w:cs="Tahoma" w:hAnsi="Tahoma"/>
                <w:sz w:val="20"/>
                <w:szCs w:val="20"/>
              </w:rPr>
            </w:pPr>
          </w:p>
          <w:p w:rsidR="00375882" w:rsidRDefault="00375882" w14:paraId="04482D04" w14:textId="77777777" w:rsidP="00447AEC">
            <w:pPr>
              <w:jc w:val="both"/>
              <w:rPr>
                <w:rFonts w:ascii="Tahoma" w:cs="Tahoma" w:hAnsi="Tahoma"/>
                <w:sz w:val="20"/>
                <w:szCs w:val="20"/>
              </w:rPr>
            </w:pPr>
          </w:p>
          <w:p w:rsidR="00375882" w:rsidRDefault="00375882" w14:paraId="21316D23" w14:textId="77777777" w:rsidP="00447AEC">
            <w:pPr>
              <w:jc w:val="both"/>
              <w:rPr>
                <w:rFonts w:ascii="Tahoma" w:cs="Tahoma" w:hAnsi="Tahoma"/>
                <w:sz w:val="20"/>
                <w:szCs w:val="20"/>
              </w:rPr>
            </w:pPr>
          </w:p>
          <w:p w:rsidR="00375882" w:rsidRDefault="00375882" w14:paraId="7ABB693F" w14:textId="77777777" w:rsidP="00447AEC">
            <w:pPr>
              <w:jc w:val="both"/>
              <w:rPr>
                <w:rFonts w:ascii="Tahoma" w:cs="Tahoma" w:hAnsi="Tahoma"/>
                <w:sz w:val="20"/>
                <w:szCs w:val="20"/>
              </w:rPr>
            </w:pPr>
          </w:p>
          <w:p w:rsidR="00375882" w:rsidRDefault="00375882" w14:paraId="558B68CD" w14:textId="77777777" w:rsidP="00447AEC">
            <w:pPr>
              <w:jc w:val="both"/>
              <w:rPr>
                <w:rFonts w:ascii="Tahoma" w:cs="Tahoma" w:hAnsi="Tahoma"/>
                <w:sz w:val="20"/>
                <w:szCs w:val="20"/>
              </w:rPr>
            </w:pPr>
          </w:p>
          <w:p w:rsidR="00375882" w:rsidRDefault="00375882" w14:paraId="213727D5" w14:textId="77777777" w:rsidP="00447AEC">
            <w:pPr>
              <w:jc w:val="both"/>
              <w:rPr>
                <w:rFonts w:ascii="Tahoma" w:cs="Tahoma" w:hAnsi="Tahoma"/>
                <w:sz w:val="20"/>
                <w:szCs w:val="20"/>
              </w:rPr>
            </w:pPr>
          </w:p>
          <w:p w:rsidR="00375882" w:rsidRDefault="00375882" w14:paraId="0209048A" w14:textId="77777777" w:rsidP="00447AEC">
            <w:pPr>
              <w:jc w:val="both"/>
              <w:rPr>
                <w:rFonts w:ascii="Tahoma" w:cs="Tahoma" w:hAnsi="Tahoma"/>
                <w:sz w:val="20"/>
                <w:szCs w:val="20"/>
              </w:rPr>
            </w:pPr>
          </w:p>
          <w:p w:rsidR="00375882" w:rsidRDefault="00375882" w14:paraId="29A6BCD8" w14:textId="77777777" w:rsidP="00447AEC">
            <w:pPr>
              <w:jc w:val="both"/>
              <w:rPr>
                <w:rFonts w:ascii="Tahoma" w:cs="Tahoma" w:hAnsi="Tahoma"/>
                <w:sz w:val="20"/>
                <w:szCs w:val="20"/>
              </w:rPr>
            </w:pPr>
          </w:p>
          <w:p w:rsidR="00375882" w:rsidRDefault="00375882" w14:paraId="40F3433A" w14:textId="77777777" w:rsidP="00447AEC">
            <w:pPr>
              <w:jc w:val="both"/>
              <w:rPr>
                <w:rFonts w:ascii="Tahoma" w:cs="Tahoma" w:hAnsi="Tahoma"/>
                <w:sz w:val="20"/>
                <w:szCs w:val="20"/>
              </w:rPr>
            </w:pPr>
          </w:p>
          <w:p w:rsidR="00375882" w:rsidRDefault="00375882" w14:paraId="3723CE45" w14:textId="77777777" w:rsidP="00447AEC">
            <w:pPr>
              <w:jc w:val="both"/>
              <w:rPr>
                <w:rFonts w:ascii="Tahoma" w:cs="Tahoma" w:hAnsi="Tahoma"/>
                <w:sz w:val="20"/>
                <w:szCs w:val="20"/>
              </w:rPr>
            </w:pPr>
          </w:p>
          <w:p w:rsidR="00375882" w:rsidRDefault="00375882" w14:paraId="3B344F1E" w14:textId="4F66D5C5" w:rsidP="00447AEC" w:rsidRPr="003C3341">
            <w:pPr>
              <w:jc w:val="both"/>
              <w:rPr>
                <w:rFonts w:ascii="Tahoma" w:cs="Tahoma" w:hAnsi="Tahoma"/>
                <w:sz w:val="20"/>
                <w:szCs w:val="20"/>
              </w:rPr>
            </w:pPr>
          </w:p>
        </w:tc>
      </w:tr>
    </w:tbl>
    <w:p w:rsidR="00B00678" w:rsidRDefault="00B00678" w14:paraId="7D9A52CF" w14:textId="77777777" w:rsidP="00B945EA">
      <w:pPr>
        <w:rPr>
          <w:b/>
          <w:rFonts w:ascii="Tahoma" w:cs="Tahoma" w:hAnsi="Tahoma"/>
        </w:rPr>
      </w:pPr>
    </w:p>
    <w:tbl>
      <w:tblPr>
        <w:tblW w:w="0" w:type="auto"/>
        <w:tblStyle w:val="TableGrid"/>
        <w:tblLook w:val="1E0"/>
      </w:tblPr>
      <w:tblGrid>
        <w:gridCol w:w="10910"/>
        <w:gridCol w:w="272"/>
      </w:tblGrid>
      <w:tr w14:paraId="693FCD7B" w14:textId="77777777" w:rsidR="00375882" w:rsidRPr="003C3341" w:rsidTr="00375882">
        <w:tc>
          <w:tcPr>
            <w:shd w:fill="FBD4B4" w:color="auto" w:themeFill="accent6" w:themeFillTint="66" w:val="clear"/>
            <w:tcW w:w="10910" w:type="dxa"/>
          </w:tcPr>
          <w:p w:rsidR="00375882" w:rsidRDefault="00375882" w14:paraId="0731D9DE" w14:textId="423CB3E9" w:rsidP="007F6692" w:rsidRPr="00946B23">
            <w:pPr>
              <w:rPr>
                <w:b/>
                <w:rFonts w:ascii="Tahoma" w:cs="Tahoma" w:hAnsi="Tahoma"/>
                <w:sz w:val="20"/>
                <w:szCs w:val="20"/>
              </w:rPr>
            </w:pPr>
            <w:r>
              <w:rPr>
                <w:b/>
                <w:rFonts w:ascii="Tahoma" w:cs="Tahoma" w:hAnsi="Tahoma"/>
                <w:sz w:val="20"/>
                <w:szCs w:val="20"/>
              </w:rPr>
              <w:t xml:space="preserve">REFERENCE LIST </w:t>
            </w:r>
            <w:r w:rsidR="00A138AA">
              <w:rPr>
                <w:b/>
                <w:rFonts w:ascii="Tahoma" w:cs="Tahoma" w:hAnsi="Tahoma"/>
                <w:sz w:val="20"/>
                <w:szCs w:val="20"/>
              </w:rPr>
              <w:t>(not included in word count)</w:t>
            </w:r>
          </w:p>
        </w:tc>
        <w:tc>
          <w:tcPr>
            <w:shd w:fill="FBD4B4" w:color="auto" w:themeFill="accent6" w:themeFillTint="66" w:val="clear"/>
            <w:tcW w:w="272" w:type="dxa"/>
          </w:tcPr>
          <w:p w:rsidR="00375882" w:rsidRDefault="00375882" w14:paraId="2A993785" w14:textId="77777777" w:rsidP="007F6692">
            <w:pPr>
              <w:jc w:val="center"/>
              <w:rPr>
                <w:b/>
                <w:rFonts w:ascii="Tahoma" w:cs="Tahoma" w:hAnsi="Tahoma"/>
                <w:sz w:val="20"/>
                <w:szCs w:val="20"/>
              </w:rPr>
            </w:pPr>
          </w:p>
          <w:p w:rsidR="00375882" w:rsidRDefault="00375882" w14:paraId="52F3ACFA" w14:textId="77777777" w:rsidP="007F6692" w:rsidRPr="003C3341">
            <w:pPr>
              <w:jc w:val="center"/>
              <w:rPr>
                <w:b/>
                <w:rFonts w:ascii="Tahoma" w:cs="Tahoma" w:hAnsi="Tahoma"/>
                <w:sz w:val="20"/>
                <w:szCs w:val="20"/>
              </w:rPr>
            </w:pPr>
          </w:p>
        </w:tc>
      </w:tr>
      <w:tr w14:paraId="130E5631" w14:textId="77777777" w:rsidR="00375882" w:rsidRPr="003C3341" w:rsidTr="007F6692">
        <w:trPr>
          <w:trHeight w:val="2494"/>
        </w:trPr>
        <w:tc>
          <w:tcPr>
            <w:gridSpan w:val="2"/>
            <w:tcW w:w="11182" w:type="dxa"/>
          </w:tcPr>
          <w:p w:rsidR="00375882" w:rsidRDefault="00375882" w14:paraId="4FBADFA5" w14:textId="77777777" w:rsidP="007F6692">
            <w:pPr>
              <w:rPr>
                <w:rFonts w:ascii="Tahoma" w:cs="Tahoma" w:hAnsi="Tahoma"/>
                <w:sz w:val="20"/>
                <w:szCs w:val="20"/>
              </w:rPr>
            </w:pPr>
          </w:p>
          <w:p w:rsidR="002B1C39" w:rsidRDefault="002B1C39" w14:paraId="22022A04" w14:textId="22C826F7" w:rsidP="002B1C39">
            <w:pPr>
              <w:rPr>
                <w:rFonts w:cs="Arial"/>
              </w:rPr>
            </w:pPr>
            <w:r w:rsidRPr="00AC353F">
              <w:rPr>
                <w:rFonts w:cs="Arial"/>
              </w:rPr>
              <w:t>Facioni, M.S., Raspini, B., Pivari, F., Dogliotti, E. and Cena, H., 2020. Nutritional management of lactose intolerance: The importance of diet and food labelling. </w:t>
            </w:r>
            <w:r w:rsidRPr="00AC353F">
              <w:rPr>
                <w:iCs/>
                <w:i/>
                <w:rFonts w:cs="Arial"/>
              </w:rPr>
              <w:t>Journal of Translational Medicine</w:t>
            </w:r>
            <w:r w:rsidRPr="00AC353F">
              <w:rPr>
                <w:rFonts w:cs="Arial"/>
              </w:rPr>
              <w:t>, </w:t>
            </w:r>
            <w:r w:rsidRPr="00AC353F">
              <w:rPr>
                <w:iCs/>
                <w:i/>
                <w:rFonts w:cs="Arial"/>
              </w:rPr>
              <w:t>18</w:t>
            </w:r>
            <w:r w:rsidRPr="00AC353F">
              <w:rPr>
                <w:rFonts w:cs="Arial"/>
              </w:rPr>
              <w:t>, pp.1-9.</w:t>
            </w:r>
          </w:p>
          <w:p w:rsidR="004421AE" w:rsidRDefault="004421AE" w14:paraId="5D884465" w14:textId="77777777" w:rsidP="002B1C39" w:rsidRPr="00AC353F">
            <w:pPr>
              <w:rPr>
                <w:rFonts w:cs="Arial"/>
              </w:rPr>
            </w:pPr>
          </w:p>
          <w:p w:rsidR="002B1C39" w:rsidRDefault="002B1C39" w14:paraId="481292AD" w14:textId="1CAB85F1" w:rsidP="002B1C39">
            <w:pPr>
              <w:rPr>
                <w:rFonts w:cs="Arial"/>
              </w:rPr>
            </w:pPr>
            <w:r w:rsidRPr="00AC353F">
              <w:rPr>
                <w:rFonts w:cs="Arial"/>
              </w:rPr>
              <w:t>Onyimba, F., Crowe, S.E., Johnson, S. and Leung, J., 2021. Food allergies and intolerances: A clinical approach to the diagnosis and management of adverse reactions to food. </w:t>
            </w:r>
            <w:r w:rsidRPr="00AC353F">
              <w:rPr>
                <w:iCs/>
                <w:i/>
                <w:rFonts w:cs="Arial"/>
              </w:rPr>
              <w:t>Clinical Gastroenterology and Hepatology</w:t>
            </w:r>
            <w:r w:rsidRPr="00AC353F">
              <w:rPr>
                <w:rFonts w:cs="Arial"/>
              </w:rPr>
              <w:t>.</w:t>
            </w:r>
          </w:p>
          <w:p w:rsidR="004421AE" w:rsidRDefault="004421AE" w14:paraId="7B3E2000" w14:textId="77777777" w:rsidP="002B1C39" w:rsidRPr="00AC353F">
            <w:pPr>
              <w:rPr>
                <w:rFonts w:cs="Arial"/>
              </w:rPr>
            </w:pPr>
          </w:p>
          <w:p w:rsidR="002B1C39" w:rsidRDefault="002B1C39" w14:paraId="0B91D72C" w14:textId="169D33AF" w:rsidP="002B1C39">
            <w:pPr>
              <w:rPr>
                <w:rFonts w:cs="Arial"/>
              </w:rPr>
            </w:pPr>
            <w:r w:rsidRPr="00AC353F">
              <w:rPr>
                <w:rFonts w:cs="Arial"/>
              </w:rPr>
              <w:t xml:space="preserve">pecb.com. n. d. </w:t>
            </w:r>
            <w:r w:rsidRPr="00AC353F">
              <w:rPr>
                <w:i/>
                <w:rFonts w:cs="Arial"/>
              </w:rPr>
              <w:t>THE IMPORTANCE OF ALLERGEN MANAGEMENT IN FOOD INDUSTRY</w:t>
            </w:r>
            <w:r w:rsidRPr="00AC353F">
              <w:rPr>
                <w:rFonts w:cs="Arial"/>
              </w:rPr>
              <w:t xml:space="preserve">. [online] Available at: </w:t>
            </w:r>
            <w:hyperlink w:history="1" r:id="rId7">
              <w:r w:rsidRPr="00AC353F">
                <w:rPr>
                  <w:rStyle w:val="Hyperlink"/>
                  <w:rFonts w:cs="Arial"/>
                </w:rPr>
                <w:t>https://pecb.com/pdf/articles/12-pecb_the-importance-of-allergen-management-in-food-industry.pdf</w:t>
              </w:r>
            </w:hyperlink>
            <w:r w:rsidRPr="00AC353F">
              <w:rPr>
                <w:rFonts w:cs="Arial"/>
              </w:rPr>
              <w:t xml:space="preserve"> [Accessed on: 24th January, 2022]</w:t>
            </w:r>
          </w:p>
          <w:p w:rsidR="004421AE" w:rsidRDefault="004421AE" w14:paraId="27D4757A" w14:textId="77777777" w:rsidP="002B1C39" w:rsidRPr="00AC353F">
            <w:pPr>
              <w:rPr>
                <w:rFonts w:cs="Arial"/>
              </w:rPr>
            </w:pPr>
          </w:p>
          <w:p w:rsidR="002B1C39" w:rsidRDefault="002B1C39" w14:paraId="74F86662" w14:textId="4FB4C822" w:rsidP="002B1C39">
            <w:pPr>
              <w:rPr>
                <w:rFonts w:cs="Arial"/>
              </w:rPr>
            </w:pPr>
            <w:r w:rsidRPr="00AC353F">
              <w:rPr>
                <w:rFonts w:cs="Arial"/>
              </w:rPr>
              <w:t>Turnbull, J.L., Adams, H.N. and Gorard, D.A., 2015. The diagnosis and management of food allergy and food intolerances. </w:t>
            </w:r>
            <w:r w:rsidRPr="00AC353F">
              <w:rPr>
                <w:iCs/>
                <w:i/>
                <w:rFonts w:cs="Arial"/>
              </w:rPr>
              <w:t>Alimentary pharmacology &amp; therapeutics</w:t>
            </w:r>
            <w:r w:rsidRPr="00AC353F">
              <w:rPr>
                <w:rFonts w:cs="Arial"/>
              </w:rPr>
              <w:t>, </w:t>
            </w:r>
            <w:r w:rsidRPr="00AC353F">
              <w:rPr>
                <w:iCs/>
                <w:i/>
                <w:rFonts w:cs="Arial"/>
              </w:rPr>
              <w:t>41</w:t>
            </w:r>
            <w:r w:rsidRPr="00AC353F">
              <w:rPr>
                <w:rFonts w:cs="Arial"/>
              </w:rPr>
              <w:t>(1), pp.3-25.</w:t>
            </w:r>
          </w:p>
          <w:p w:rsidR="004421AE" w:rsidRDefault="004421AE" w14:paraId="656E9A57" w14:textId="77777777" w:rsidP="002B1C39" w:rsidRPr="00AC353F">
            <w:pPr>
              <w:rPr>
                <w:rFonts w:cs="Arial"/>
              </w:rPr>
            </w:pPr>
          </w:p>
          <w:p w:rsidR="002B1C39" w:rsidRDefault="002B1C39" w14:paraId="787CAEAA" w14:textId="77777777" w:rsidP="002B1C39" w:rsidRPr="00AC353F">
            <w:pPr>
              <w:rPr>
                <w:rFonts w:cs="Arial"/>
              </w:rPr>
            </w:pPr>
            <w:r w:rsidRPr="00AC353F">
              <w:rPr>
                <w:rFonts w:cs="Arial"/>
              </w:rPr>
              <w:t>Turner, P.J., Jerschow, E., Umasunthar, T., Lin, R., Campbell, D.E. and Boyle, R.J., 2017. Fatal anaphylaxis: mortality rate and risk factors. </w:t>
            </w:r>
            <w:r w:rsidRPr="00AC353F">
              <w:rPr>
                <w:iCs/>
                <w:i/>
                <w:rFonts w:cs="Arial"/>
              </w:rPr>
              <w:t>The Journal of Allergy and Clinical Immunology: In Practice</w:t>
            </w:r>
            <w:r w:rsidRPr="00AC353F">
              <w:rPr>
                <w:rFonts w:cs="Arial"/>
              </w:rPr>
              <w:t>, </w:t>
            </w:r>
            <w:r w:rsidRPr="00AC353F">
              <w:rPr>
                <w:iCs/>
                <w:i/>
                <w:rFonts w:cs="Arial"/>
              </w:rPr>
              <w:t>5</w:t>
            </w:r>
            <w:r w:rsidRPr="00AC353F">
              <w:rPr>
                <w:rFonts w:cs="Arial"/>
              </w:rPr>
              <w:t>(5), pp.1169-1178.</w:t>
            </w:r>
          </w:p>
          <w:p w:rsidR="002B1C39" w:rsidRDefault="002B1C39" w14:paraId="6245B3B4" w14:textId="77777777" w:rsidP="002B1C39" w:rsidRPr="00AC353F">
            <w:pPr>
              <w:rPr>
                <w:rFonts w:cs="Arial"/>
              </w:rPr>
            </w:pPr>
          </w:p>
          <w:p w:rsidR="00375882" w:rsidRDefault="00375882" w14:paraId="4F228F5D" w14:textId="77777777" w:rsidP="007F6692">
            <w:pPr>
              <w:jc w:val="both"/>
              <w:spacing w:line="360" w:lineRule="auto"/>
              <w:rPr>
                <w:rFonts w:ascii="Arial" w:cs="Arial" w:hAnsi="Arial"/>
              </w:rPr>
            </w:pPr>
          </w:p>
          <w:p w:rsidR="00375882" w:rsidRDefault="00375882" w14:paraId="7BE2B521" w14:textId="73ACEF86" w:rsidP="007F6692">
            <w:pPr>
              <w:jc w:val="both"/>
              <w:spacing w:line="360" w:lineRule="auto"/>
              <w:rPr>
                <w:rFonts w:ascii="Arial" w:cs="Arial" w:hAnsi="Arial"/>
              </w:rPr>
            </w:pPr>
          </w:p>
          <w:p w:rsidR="00375882" w:rsidRDefault="00375882" w14:paraId="4C6DEC4D" w14:textId="300F334B" w:rsidP="007F6692">
            <w:pPr>
              <w:jc w:val="both"/>
              <w:spacing w:line="360" w:lineRule="auto"/>
              <w:rPr>
                <w:rFonts w:ascii="Arial" w:cs="Arial" w:hAnsi="Arial"/>
              </w:rPr>
            </w:pPr>
          </w:p>
          <w:p w:rsidR="00375882" w:rsidRDefault="00375882" w14:paraId="522F9E9C" w14:textId="07E4A2C3" w:rsidP="007F6692">
            <w:pPr>
              <w:jc w:val="both"/>
              <w:spacing w:line="360" w:lineRule="auto"/>
              <w:rPr>
                <w:rFonts w:ascii="Arial" w:cs="Arial" w:hAnsi="Arial"/>
              </w:rPr>
            </w:pPr>
          </w:p>
          <w:p w:rsidR="00375882" w:rsidRDefault="00375882" w14:paraId="6944CF61" w14:textId="0FD4B374" w:rsidP="007F6692">
            <w:pPr>
              <w:jc w:val="both"/>
              <w:spacing w:line="360" w:lineRule="auto"/>
              <w:rPr>
                <w:rFonts w:ascii="Arial" w:cs="Arial" w:hAnsi="Arial"/>
              </w:rPr>
            </w:pPr>
          </w:p>
          <w:p w:rsidR="00375882" w:rsidRDefault="00375882" w14:paraId="6DF51C3D" w14:textId="6F494BB7" w:rsidP="007F6692">
            <w:pPr>
              <w:jc w:val="both"/>
              <w:spacing w:line="360" w:lineRule="auto"/>
              <w:rPr>
                <w:rFonts w:ascii="Arial" w:cs="Arial" w:hAnsi="Arial"/>
              </w:rPr>
            </w:pPr>
          </w:p>
          <w:p w:rsidR="00375882" w:rsidRDefault="00375882" w14:paraId="69EA998C" w14:textId="6811899E" w:rsidP="007F6692">
            <w:pPr>
              <w:jc w:val="both"/>
              <w:spacing w:line="360" w:lineRule="auto"/>
              <w:rPr>
                <w:rFonts w:ascii="Arial" w:cs="Arial" w:hAnsi="Arial"/>
              </w:rPr>
            </w:pPr>
          </w:p>
          <w:p w:rsidR="00375882" w:rsidRDefault="00375882" w14:paraId="03D9529C" w14:textId="4342E6D7" w:rsidP="007F6692">
            <w:pPr>
              <w:jc w:val="both"/>
              <w:spacing w:line="360" w:lineRule="auto"/>
              <w:rPr>
                <w:rFonts w:ascii="Arial" w:cs="Arial" w:hAnsi="Arial"/>
              </w:rPr>
            </w:pPr>
          </w:p>
          <w:p w:rsidR="00375882" w:rsidRDefault="00375882" w14:paraId="789E9A79" w14:textId="77990206" w:rsidP="007F6692">
            <w:pPr>
              <w:jc w:val="both"/>
              <w:spacing w:line="360" w:lineRule="auto"/>
              <w:rPr>
                <w:rFonts w:ascii="Arial" w:cs="Arial" w:hAnsi="Arial"/>
              </w:rPr>
            </w:pPr>
          </w:p>
          <w:p w:rsidR="00375882" w:rsidRDefault="00375882" w14:paraId="43EF99F0" w14:textId="59F16C78" w:rsidP="007F6692">
            <w:pPr>
              <w:jc w:val="both"/>
              <w:spacing w:line="360" w:lineRule="auto"/>
              <w:rPr>
                <w:rFonts w:ascii="Arial" w:cs="Arial" w:hAnsi="Arial"/>
              </w:rPr>
            </w:pPr>
          </w:p>
          <w:p w:rsidR="00375882" w:rsidRDefault="00375882" w14:paraId="1DDB2118" w14:textId="7A9165F7" w:rsidP="007F6692">
            <w:pPr>
              <w:jc w:val="both"/>
              <w:spacing w:line="360" w:lineRule="auto"/>
              <w:rPr>
                <w:rFonts w:ascii="Arial" w:cs="Arial" w:hAnsi="Arial"/>
              </w:rPr>
            </w:pPr>
          </w:p>
          <w:p w:rsidR="00375882" w:rsidRDefault="00375882" w14:paraId="3701A32D" w14:textId="54DDC54C" w:rsidP="007F6692">
            <w:pPr>
              <w:jc w:val="both"/>
              <w:spacing w:line="360" w:lineRule="auto"/>
              <w:rPr>
                <w:rFonts w:ascii="Arial" w:cs="Arial" w:hAnsi="Arial"/>
              </w:rPr>
            </w:pPr>
          </w:p>
          <w:p w:rsidR="00375882" w:rsidRDefault="00375882" w14:paraId="5AE6C72E" w14:textId="62740FFE" w:rsidP="007F6692">
            <w:pPr>
              <w:jc w:val="both"/>
              <w:spacing w:line="360" w:lineRule="auto"/>
              <w:rPr>
                <w:rFonts w:ascii="Arial" w:cs="Arial" w:hAnsi="Arial"/>
              </w:rPr>
            </w:pPr>
          </w:p>
          <w:p w:rsidR="00375882" w:rsidRDefault="00375882" w14:paraId="19966CC6" w14:textId="3AD7B82E" w:rsidP="007F6692">
            <w:pPr>
              <w:jc w:val="both"/>
              <w:spacing w:line="360" w:lineRule="auto"/>
              <w:rPr>
                <w:rFonts w:ascii="Arial" w:cs="Arial" w:hAnsi="Arial"/>
              </w:rPr>
            </w:pPr>
          </w:p>
          <w:p w:rsidR="00375882" w:rsidRDefault="00375882" w14:paraId="00C184CC" w14:textId="1B102F8C" w:rsidP="007F6692">
            <w:pPr>
              <w:jc w:val="both"/>
              <w:spacing w:line="360" w:lineRule="auto"/>
              <w:rPr>
                <w:rFonts w:ascii="Arial" w:cs="Arial" w:hAnsi="Arial"/>
              </w:rPr>
            </w:pPr>
          </w:p>
          <w:p w:rsidR="00375882" w:rsidRDefault="00375882" w14:paraId="56FCD27E" w14:textId="3C241FCD" w:rsidP="007F6692">
            <w:pPr>
              <w:jc w:val="both"/>
              <w:spacing w:line="360" w:lineRule="auto"/>
              <w:rPr>
                <w:rFonts w:ascii="Arial" w:cs="Arial" w:hAnsi="Arial"/>
              </w:rPr>
            </w:pPr>
          </w:p>
          <w:p w:rsidR="00375882" w:rsidRDefault="00375882" w14:paraId="50E4CC8B" w14:textId="7487DEDD" w:rsidP="007F6692">
            <w:pPr>
              <w:jc w:val="both"/>
              <w:spacing w:line="360" w:lineRule="auto"/>
              <w:rPr>
                <w:rFonts w:ascii="Arial" w:cs="Arial" w:hAnsi="Arial"/>
              </w:rPr>
            </w:pPr>
          </w:p>
          <w:p w:rsidR="00375882" w:rsidRDefault="00375882" w14:paraId="2E020AEF" w14:textId="77777777" w:rsidP="007F6692">
            <w:pPr>
              <w:jc w:val="both"/>
              <w:spacing w:line="360" w:lineRule="auto"/>
              <w:rPr>
                <w:rFonts w:ascii="Arial" w:cs="Arial" w:hAnsi="Arial"/>
              </w:rPr>
            </w:pPr>
          </w:p>
          <w:p w:rsidR="00375882" w:rsidRDefault="00375882" w14:paraId="47FB6995" w14:textId="77777777" w:rsidP="007F6692" w:rsidRPr="003C3341">
            <w:pPr>
              <w:jc w:val="both"/>
              <w:rPr>
                <w:rFonts w:ascii="Tahoma" w:cs="Tahoma" w:hAnsi="Tahoma"/>
                <w:sz w:val="20"/>
                <w:szCs w:val="20"/>
              </w:rPr>
            </w:pPr>
          </w:p>
        </w:tc>
      </w:tr>
    </w:tbl>
    <w:p w:rsidR="00B00678" w:rsidRDefault="00B00678" w14:paraId="3A480543" w14:textId="77777777" w:rsidP="00B945EA">
      <w:pPr>
        <w:rPr>
          <w:b/>
          <w:rFonts w:ascii="Tahoma" w:cs="Tahoma" w:hAnsi="Tahoma"/>
        </w:rPr>
      </w:pPr>
    </w:p>
    <w:p w:rsidR="00B00678" w:rsidRDefault="00B00678" w14:paraId="02BE48C6" w14:textId="77777777" w:rsidP="00B945EA">
      <w:pPr>
        <w:rPr>
          <w:b/>
          <w:rFonts w:ascii="Tahoma" w:cs="Tahoma" w:hAnsi="Tahoma"/>
        </w:rPr>
      </w:pPr>
    </w:p>
    <w:p w:rsidR="00B00678" w:rsidRDefault="00B00678" w14:paraId="1D4EFC49" w14:textId="77777777" w:rsidP="00B945EA">
      <w:pPr>
        <w:rPr>
          <w:b/>
          <w:rFonts w:ascii="Tahoma" w:cs="Tahoma" w:hAnsi="Tahoma"/>
        </w:rPr>
      </w:pPr>
    </w:p>
    <w:p w:rsidR="00B00678" w:rsidRDefault="00B00678" w14:paraId="505DC984" w14:textId="77777777" w:rsidP="00B945EA">
      <w:pPr>
        <w:rPr>
          <w:b/>
          <w:rFonts w:ascii="Tahoma" w:cs="Tahoma" w:hAnsi="Tahoma"/>
        </w:rPr>
      </w:pPr>
    </w:p>
    <w:p w:rsidR="00B00678" w:rsidRDefault="00B00678" w14:paraId="1F96E185" w14:textId="77777777" w:rsidP="00B945EA">
      <w:pPr>
        <w:rPr>
          <w:b/>
          <w:rFonts w:ascii="Tahoma" w:cs="Tahoma" w:hAnsi="Tahoma"/>
        </w:rPr>
      </w:pPr>
    </w:p>
    <w:p w:rsidR="00B00678" w:rsidRDefault="00B00678" w14:paraId="5F8D9742" w14:textId="77777777" w:rsidP="00B945EA">
      <w:pPr>
        <w:rPr>
          <w:b/>
          <w:rFonts w:ascii="Tahoma" w:cs="Tahoma" w:hAnsi="Tahoma"/>
        </w:rPr>
      </w:pPr>
    </w:p>
    <w:p w:rsidR="00A45D42" w:rsidRDefault="00A45D42" w14:paraId="25B9E4A6" w14:textId="77777777" w:rsidP="00B945EA">
      <w:pPr>
        <w:rPr>
          <w:b/>
          <w:rFonts w:ascii="Tahoma" w:cs="Tahoma" w:hAnsi="Tahoma"/>
        </w:rPr>
      </w:pPr>
    </w:p>
    <w:sectPr w:rsidR="00A45D42" w:rsidSect="00C21568">
      <w:docGrid w:linePitch="360"/>
      <w:headerReference r:id="rId8" w:type="default"/>
      <w:footerReference r:id="rId9" w:type="default"/>
      <w:pgSz w:w="11906" w:h="16838"/>
      <w:pgMar w:left="357" w:right="357" w:top="360" w:bottom="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E821B" w14:textId="77777777" w:rsidR="00446DA9" w:rsidRDefault="00446DA9">
      <w:r>
        <w:separator/>
      </w:r>
    </w:p>
  </w:endnote>
  <w:endnote w:type="continuationSeparator" w:id="0">
    <w:p w14:paraId="2EDF5A98" w14:textId="77777777" w:rsidR="00446DA9" w:rsidRDefault="00446DA9">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3C0C7" w14:textId="77777777" w:rsidR="00446DA9" w:rsidRDefault="00446DA9">
      <w:r>
        <w:separator/>
      </w:r>
    </w:p>
  </w:footnote>
  <w:footnote w:type="continuationSeparator" w:id="0">
    <w:p w14:paraId="233992C6" w14:textId="77777777" w:rsidR="00446DA9" w:rsidRDefault="00446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9D3865"/>
    <w:tmpl w:val="A5D8C0B4"/>
    <w:lvl w:ilvl="0" w:tplc="04090001">
      <w:numFmt w:val="bullet"/>
      <w:lvlText w:val=""/>
      <w:start w:val="1"/>
      <w:rPr>
        <w:rFonts w:ascii="Symbol" w:hAnsi="Symbol" w:hint="default"/>
      </w:rPr>
      <w:pPr>
        <w:ind w:left="720"/>
        <w:ind w:hanging="360"/>
        <w:tabs>
          <w:tab w:val="num" w:pos="720"/>
        </w:tabs>
      </w:pPr>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1">
    <w:multiLevelType w:val="hybridMultilevel"/>
    <w:nsid w:val="12E04738"/>
    <w:tmpl w:val="79DA058E"/>
    <w:lvl w:ilvl="0" w:tplc="5602F408">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6D76D7E"/>
    <w:tmpl w:val="F7FE88EE"/>
    <w:lvl w:ilvl="0" w:tplc="1E6ECE10">
      <w:numFmt w:val="decimal"/>
      <w:lvlText w:val="%1."/>
      <w:start w:val="1"/>
      <w:rPr>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19B57439"/>
    <w:tmpl w:val="B8BEDD6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1AF1459A"/>
    <w:tmpl w:val="E7D8053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5">
    <w:multiLevelType w:val="hybridMultilevel"/>
    <w:nsid w:val="1B64783E"/>
    <w:tmpl w:val="95101EE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6">
    <w:multiLevelType w:val="hybridMultilevel"/>
    <w:nsid w:val="1E666A2E"/>
    <w:tmpl w:val="20E44B0A"/>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7">
    <w:multiLevelType w:val="hybridMultilevel"/>
    <w:nsid w:val="26541595"/>
    <w:tmpl w:val="50C04A58"/>
    <w:lvl w:ilvl="0" w:tplc="0C090001">
      <w:numFmt w:val="bullet"/>
      <w:lvlText w:val=""/>
      <w:start w:val="1"/>
      <w:rPr>
        <w:rFonts w:ascii="Symbol" w:hAnsi="Symbol" w:hint="default"/>
      </w:rPr>
      <w:pPr>
        <w:ind w:left="720"/>
        <w:ind w:hanging="360"/>
      </w:pPr>
      <w:lvlJc w:val="left"/>
    </w:lvl>
    <w:lvl w:ilvl="1" w:tentative="1" w:tplc="0C090003">
      <w:numFmt w:val="bullet"/>
      <w:lvlText w:val="o"/>
      <w:start w:val="1"/>
      <w:rPr>
        <w:rFonts w:ascii="Courier New" w:cs="Courier New" w:hAnsi="Courier New" w:hint="default"/>
      </w:rPr>
      <w:pPr>
        <w:ind w:left="1440"/>
        <w:ind w:hanging="360"/>
      </w:pPr>
      <w:lvlJc w:val="left"/>
    </w:lvl>
    <w:lvl w:ilvl="2" w:tentative="1" w:tplc="0C090005">
      <w:numFmt w:val="bullet"/>
      <w:lvlText w:val=""/>
      <w:start w:val="1"/>
      <w:rPr>
        <w:rFonts w:ascii="Wingdings" w:hAnsi="Wingdings" w:hint="default"/>
      </w:rPr>
      <w:pPr>
        <w:ind w:left="2160"/>
        <w:ind w:hanging="360"/>
      </w:pPr>
      <w:lvlJc w:val="left"/>
    </w:lvl>
    <w:lvl w:ilvl="3" w:tentative="1" w:tplc="0C090001">
      <w:numFmt w:val="bullet"/>
      <w:lvlText w:val=""/>
      <w:start w:val="1"/>
      <w:rPr>
        <w:rFonts w:ascii="Symbol" w:hAnsi="Symbol" w:hint="default"/>
      </w:rPr>
      <w:pPr>
        <w:ind w:left="2880"/>
        <w:ind w:hanging="360"/>
      </w:pPr>
      <w:lvlJc w:val="left"/>
    </w:lvl>
    <w:lvl w:ilvl="4" w:tentative="1" w:tplc="0C090003">
      <w:numFmt w:val="bullet"/>
      <w:lvlText w:val="o"/>
      <w:start w:val="1"/>
      <w:rPr>
        <w:rFonts w:ascii="Courier New" w:cs="Courier New" w:hAnsi="Courier New" w:hint="default"/>
      </w:rPr>
      <w:pPr>
        <w:ind w:left="3600"/>
        <w:ind w:hanging="360"/>
      </w:pPr>
      <w:lvlJc w:val="left"/>
    </w:lvl>
    <w:lvl w:ilvl="5" w:tentative="1" w:tplc="0C090005">
      <w:numFmt w:val="bullet"/>
      <w:lvlText w:val=""/>
      <w:start w:val="1"/>
      <w:rPr>
        <w:rFonts w:ascii="Wingdings" w:hAnsi="Wingdings" w:hint="default"/>
      </w:rPr>
      <w:pPr>
        <w:ind w:left="4320"/>
        <w:ind w:hanging="360"/>
      </w:pPr>
      <w:lvlJc w:val="left"/>
    </w:lvl>
    <w:lvl w:ilvl="6" w:tentative="1" w:tplc="0C090001">
      <w:numFmt w:val="bullet"/>
      <w:lvlText w:val=""/>
      <w:start w:val="1"/>
      <w:rPr>
        <w:rFonts w:ascii="Symbol" w:hAnsi="Symbol" w:hint="default"/>
      </w:rPr>
      <w:pPr>
        <w:ind w:left="5040"/>
        <w:ind w:hanging="360"/>
      </w:pPr>
      <w:lvlJc w:val="left"/>
    </w:lvl>
    <w:lvl w:ilvl="7" w:tentative="1" w:tplc="0C090003">
      <w:numFmt w:val="bullet"/>
      <w:lvlText w:val="o"/>
      <w:start w:val="1"/>
      <w:rPr>
        <w:rFonts w:ascii="Courier New" w:cs="Courier New" w:hAnsi="Courier New" w:hint="default"/>
      </w:rPr>
      <w:pPr>
        <w:ind w:left="5760"/>
        <w:ind w:hanging="360"/>
      </w:pPr>
      <w:lvlJc w:val="left"/>
    </w:lvl>
    <w:lvl w:ilvl="8" w:tentative="1" w:tplc="0C090005">
      <w:numFmt w:val="bullet"/>
      <w:lvlText w:val=""/>
      <w:start w:val="1"/>
      <w:rPr>
        <w:rFonts w:ascii="Wingdings" w:hAnsi="Wingdings" w:hint="default"/>
      </w:rPr>
      <w:pPr>
        <w:ind w:left="6480"/>
        <w:ind w:hanging="360"/>
      </w:pPr>
      <w:lvlJc w:val="left"/>
    </w:lvl>
  </w:abstractNum>
  <w:abstractNum w:abstractNumId="8">
    <w:multiLevelType w:val="hybridMultilevel"/>
    <w:nsid w:val="2E5E110A"/>
    <w:tmpl w:val="AC0A9AE6"/>
    <w:lvl w:ilvl="0" w:tplc="2A14C4A6">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9">
    <w:multiLevelType w:val="hybridMultilevel"/>
    <w:nsid w:val="392E4A4B"/>
    <w:tmpl w:val="E60C037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39372DBC"/>
    <w:tmpl w:val="8744A45E"/>
    <w:lvl w:ilvl="0" w:tplc="C090DDC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1">
    <w:multiLevelType w:val="hybridMultilevel"/>
    <w:nsid w:val="3B086928"/>
    <w:tmpl w:val="1396C034"/>
    <w:lvl w:ilvl="0" w:tplc="C698318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2">
    <w:multiLevelType w:val="hybridMultilevel"/>
    <w:nsid w:val="3E050072"/>
    <w:tmpl w:val="9A4A78A0"/>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3">
    <w:multiLevelType w:val="hybridMultilevel"/>
    <w:nsid w:val="432C43D1"/>
    <w:tmpl w:val="BB0A115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470C5A98"/>
    <w:tmpl w:val="64E03D5C"/>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5">
    <w:multiLevelType w:val="hybridMultilevel"/>
    <w:nsid w:val="4BF840A0"/>
    <w:tmpl w:val="D8AE333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502C5C15"/>
    <w:tmpl w:val="DE0898C2"/>
    <w:lvl w:ilvl="0" w:tplc="9CBECC7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7">
    <w:multiLevelType w:val="hybridMultilevel"/>
    <w:nsid w:val="575D556C"/>
    <w:tmpl w:val="9880F71A"/>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8">
    <w:multiLevelType w:val="hybridMultilevel"/>
    <w:nsid w:val="57860309"/>
    <w:tmpl w:val="3EA83CD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5CF57BAD"/>
    <w:tmpl w:val="D6260AB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5DED0AC1"/>
    <w:tmpl w:val="C4A8D226"/>
    <w:lvl w:ilvl="0" w:tplc="2460E6D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1">
    <w:multiLevelType w:val="hybridMultilevel"/>
    <w:nsid w:val="5FFA47E2"/>
    <w:tmpl w:val="FD0A223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2">
    <w:multiLevelType w:val="hybridMultilevel"/>
    <w:nsid w:val="62B86C57"/>
    <w:tmpl w:val="072EDFB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64D51D4D"/>
    <w:tmpl w:val="8CE485D2"/>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4">
    <w:multiLevelType w:val="hybridMultilevel"/>
    <w:nsid w:val="65970D0E"/>
    <w:tmpl w:val="E048A560"/>
    <w:lvl w:ilvl="0" w:tplc="722CA0C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5">
    <w:multiLevelType w:val="hybridMultilevel"/>
    <w:nsid w:val="68427F50"/>
    <w:tmpl w:val="2DAA1BB6"/>
    <w:lvl w:ilvl="0" w:tplc="6F466DFE">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6">
    <w:multiLevelType w:val="hybridMultilevel"/>
    <w:nsid w:val="744302F4"/>
    <w:tmpl w:val="D752ED8E"/>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7">
    <w:multiLevelType w:val="hybridMultilevel"/>
    <w:nsid w:val="7B5C4D81"/>
    <w:tmpl w:val="0D3E6ABC"/>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rsids>
    <w:rsidRoot val="00301AD0"/>
    <w:rsid val="000304DF"/>
    <w:rsid val="00040CE8"/>
    <w:rsid val="0004729E"/>
    <w:rsid val="00076F40"/>
    <w:rsid val="00077E55"/>
    <w:rsid val="00085CFD"/>
    <w:rsid val="000A0C53"/>
    <w:rsid val="000B2F4F"/>
    <w:rsid val="000F2E7C"/>
    <w:rsid val="00112CE0"/>
    <w:rsid val="00162FE2"/>
    <w:rsid val="001703BD"/>
    <w:rsid val="00170A87"/>
    <w:rsid val="0018449A"/>
    <w:rsid val="00197F4A"/>
    <w:rsid val="001A59E7"/>
    <w:rsid val="001B69C8"/>
    <w:rsid val="001B6DB4"/>
    <w:rsid val="001C5C4E"/>
    <w:rsid val="001D4719"/>
    <w:rsid val="001E720E"/>
    <w:rsid val="00202878"/>
    <w:rsid val="002314D4"/>
    <w:rsid val="002430D4"/>
    <w:rsid val="00244B89"/>
    <w:rsid val="00244F84"/>
    <w:rsid val="002659F5"/>
    <w:rsid val="00283BE2"/>
    <w:rsid val="00294842"/>
    <w:rsid val="002B1C39"/>
    <w:rsid val="002E127C"/>
    <w:rsid val="002F7DD0"/>
    <w:rsid val="00301AD0"/>
    <w:rsid val="003036C9"/>
    <w:rsid val="0032684A"/>
    <w:rsid val="00332099"/>
    <w:rsid val="00340C62"/>
    <w:rsid val="003478CE"/>
    <w:rsid val="003605B1"/>
    <w:rsid val="003617CF"/>
    <w:rsid val="00364940"/>
    <w:rsid val="00365786"/>
    <w:rsid val="00366D9C"/>
    <w:rsid val="00375882"/>
    <w:rsid val="00382DB9"/>
    <w:rsid val="00396412"/>
    <w:rsid val="003C3341"/>
    <w:rsid val="003C7C45"/>
    <w:rsid val="003E36D1"/>
    <w:rsid val="003E46A6"/>
    <w:rsid val="003F52F1"/>
    <w:rsid val="00414F02"/>
    <w:rsid val="004325B5"/>
    <w:rsid val="00433DBF"/>
    <w:rsid val="004341F2"/>
    <w:rsid val="004421AE"/>
    <w:rsid val="00442F02"/>
    <w:rsid val="0044343A"/>
    <w:rsid val="00444EC9"/>
    <w:rsid val="00445A58"/>
    <w:rsid val="00446DA9"/>
    <w:rsid val="00447AEC"/>
    <w:rsid val="00451947"/>
    <w:rsid val="00456590"/>
    <w:rsid val="004639B7"/>
    <w:rsid val="00474A29"/>
    <w:rsid val="00486E62"/>
    <w:rsid val="004B113B"/>
    <w:rsid val="004C08E2"/>
    <w:rsid val="004C7E23"/>
    <w:rsid val="005036DE"/>
    <w:rsid val="00517154"/>
    <w:rsid val="00522B05"/>
    <w:rsid val="00542C5B"/>
    <w:rsid val="00552EED"/>
    <w:rsid val="00566333"/>
    <w:rsid val="005C6352"/>
    <w:rsid val="005D0DDE"/>
    <w:rsid val="005D5D0B"/>
    <w:rsid val="0062012D"/>
    <w:rsid val="00643CB9"/>
    <w:rsid val="0066732A"/>
    <w:rsid val="00677D1F"/>
    <w:rsid val="00697481"/>
    <w:rsid val="006A4F97"/>
    <w:rsid val="006C4640"/>
    <w:rsid val="006F4FB6"/>
    <w:rsid val="006F501B"/>
    <w:rsid val="00702077"/>
    <w:rsid val="00725F0E"/>
    <w:rsid val="00734189"/>
    <w:rsid val="00735BB1"/>
    <w:rsid val="00744482"/>
    <w:rsid val="007451E8"/>
    <w:rsid val="0078654A"/>
    <w:rsid val="0079230B"/>
    <w:rsid val="00797115"/>
    <w:rsid val="007A5E44"/>
    <w:rsid val="007D18CA"/>
    <w:rsid val="007E500C"/>
    <w:rsid val="007E7BB4"/>
    <w:rsid val="007F055A"/>
    <w:rsid val="007F418B"/>
    <w:rsid val="00814801"/>
    <w:rsid val="0082407E"/>
    <w:rsid val="00826699"/>
    <w:rsid val="00895843"/>
    <w:rsid val="008B4B9C"/>
    <w:rsid val="008B534C"/>
    <w:rsid val="008E2A5A"/>
    <w:rsid val="008F0B0D"/>
    <w:rsid val="008F0D83"/>
    <w:rsid val="009061F1"/>
    <w:rsid val="00911C43"/>
    <w:rsid val="009139BF"/>
    <w:rsid val="00923E76"/>
    <w:rsid val="009448FE"/>
    <w:rsid val="00946B23"/>
    <w:rsid val="00985CF1"/>
    <w:rsid val="009B1D87"/>
    <w:rsid val="009C438C"/>
    <w:rsid val="009C6CAE"/>
    <w:rsid val="009D0DDA"/>
    <w:rsid val="00A02728"/>
    <w:rsid val="00A138AA"/>
    <w:rsid val="00A14DA0"/>
    <w:rsid val="00A43B8E"/>
    <w:rsid val="00A44FA9"/>
    <w:rsid val="00A45D42"/>
    <w:rsid val="00A551C6"/>
    <w:rsid val="00A5520C"/>
    <w:rsid val="00A656E2"/>
    <w:rsid val="00A65C1D"/>
    <w:rsid val="00A77C7A"/>
    <w:rsid val="00A8432F"/>
    <w:rsid val="00A90107"/>
    <w:rsid val="00AA11D8"/>
    <w:rsid val="00AA1309"/>
    <w:rsid val="00AA1380"/>
    <w:rsid val="00AC67EF"/>
    <w:rsid val="00AD310F"/>
    <w:rsid val="00AE467F"/>
    <w:rsid val="00AE799D"/>
    <w:rsid val="00B00678"/>
    <w:rsid val="00B03469"/>
    <w:rsid val="00B10EAB"/>
    <w:rsid val="00B11E4B"/>
    <w:rsid val="00B21F2E"/>
    <w:rsid val="00B266A5"/>
    <w:rsid val="00B44B68"/>
    <w:rsid val="00B60FDF"/>
    <w:rsid val="00B61256"/>
    <w:rsid val="00B73A1C"/>
    <w:rsid val="00B945EA"/>
    <w:rsid val="00B949BC"/>
    <w:rsid val="00BA53CD"/>
    <w:rsid val="00BB5FB3"/>
    <w:rsid val="00BC4D17"/>
    <w:rsid val="00BC7F1B"/>
    <w:rsid val="00BE2584"/>
    <w:rsid val="00C10069"/>
    <w:rsid val="00C21568"/>
    <w:rsid val="00C34D09"/>
    <w:rsid val="00C35AEF"/>
    <w:rsid val="00C414B0"/>
    <w:rsid val="00C421F0"/>
    <w:rsid val="00C44B74"/>
    <w:rsid val="00C50AE7"/>
    <w:rsid val="00C6009E"/>
    <w:rsid val="00C72708"/>
    <w:rsid val="00C76757"/>
    <w:rsid val="00C85B9B"/>
    <w:rsid val="00CA1BF5"/>
    <w:rsid val="00CB67B6"/>
    <w:rsid val="00CC3464"/>
    <w:rsid val="00CC557E"/>
    <w:rsid val="00CC63E6"/>
    <w:rsid val="00CC6DCB"/>
    <w:rsid val="00CD008D"/>
    <w:rsid val="00CD40C2"/>
    <w:rsid val="00CD461B"/>
    <w:rsid val="00D1657F"/>
    <w:rsid val="00D80D6E"/>
    <w:rsid val="00D833FD"/>
    <w:rsid val="00D95816"/>
    <w:rsid val="00DA09FA"/>
    <w:rsid val="00DD00CB"/>
    <w:rsid val="00DE6434"/>
    <w:rsid val="00E00580"/>
    <w:rsid val="00E26639"/>
    <w:rsid val="00E30C3C"/>
    <w:rsid val="00E42568"/>
    <w:rsid val="00E528DA"/>
    <w:rsid val="00E672A4"/>
    <w:rsid val="00EB1AD3"/>
    <w:rsid val="00EB4BAF"/>
    <w:rsid val="00EC294D"/>
    <w:rsid val="00ED52B6"/>
    <w:rsid val="00EF41E3"/>
    <w:rsid val="00F007E2"/>
    <w:rsid val="00F118EC"/>
    <w:rsid val="00F34E01"/>
    <w:rsid val="00F37A71"/>
    <w:rsid val="00F43CED"/>
    <w:rsid val="00F51904"/>
    <w:rsid val="00F537E9"/>
    <w:rsid val="00F720CF"/>
    <w:rsid val="00FB2CA9"/>
    <w:rsid val="00FB3B29"/>
    <w:rsid val="00FC7773"/>
    <w:rsid val="00FD0ECE"/>
    <w:rsid val="00FE2B7D"/>
    <w:rsid val="00FE2C83"/>
    <w:rsid val="00FF2DC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GB" w:bidi="ar-SA"/>
        <w:rFonts w:ascii="Times New Roman" w:cs="Times New Roman" w:eastAsia="Times New Roman" w:hAnsi="Times New Roma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rsid w:val="00301AD0"/>
  </w:style>
  <w:style w:type="paragraph" w:styleId="BalloonText">
    <w:name w:val="Balloon Text"/>
    <w:basedOn w:val="Normal"/>
    <w:semiHidden/>
    <w:rsid w:val="00294842"/>
    <w:rPr>
      <w:rFonts w:ascii="Tahoma" w:cs="Tahoma" w:hAnsi="Tahoma"/>
      <w:sz w:val="16"/>
      <w:szCs w:val="16"/>
    </w:rPr>
  </w:style>
  <w:style w:type="paragraph" w:styleId="ListParagraph">
    <w:name w:val="List Paragraph"/>
    <w:qFormat/>
    <w:basedOn w:val="Normal"/>
    <w:uiPriority w:val="34"/>
    <w:rsid w:val="00162FE2"/>
    <w:pPr>
      <w:ind w:left="720"/>
      <w:contextualSpacing/>
    </w:pPr>
  </w:style>
  <w:style w:type="character"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2B1C39"/>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ecb.com/pdf/articles/12-pecb_the-importance-of-allergen-management-in-food-industr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Hazaparu, Lorena (Student)</cp:lastModifiedBy>
  <cp:revision>4</cp:revision>
  <cp:lastPrinted>2020-09-28T20:53:00Z</cp:lastPrinted>
  <dcterms:created xsi:type="dcterms:W3CDTF">2022-02-09T18:53:00Z</dcterms:created>
  <dcterms:modified xsi:type="dcterms:W3CDTF">2022-02-10T10:37:00Z</dcterms:modified>
</cp:coreProperties>
</file>