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E42C04" w14:textId="77777777" w:rsidR="000673FE" w:rsidRPr="00A43CB2" w:rsidRDefault="000673FE" w:rsidP="00A43CB2">
      <w:pPr>
        <w:jc w:val="center"/>
        <w:rPr>
          <w:rFonts w:ascii="Arial" w:eastAsia="Arial" w:hAnsi="Arial" w:cs="Arial"/>
          <w:b/>
          <w:bCs/>
          <w:sz w:val="32"/>
          <w:szCs w:val="32"/>
        </w:rPr>
      </w:pPr>
      <w:bookmarkStart w:id="0" w:name="_fgy390evhxka" w:colFirst="0" w:colLast="0"/>
      <w:bookmarkEnd w:id="0"/>
      <w:r w:rsidRPr="00A43CB2">
        <w:rPr>
          <w:rFonts w:ascii="Arial" w:eastAsia="Arial" w:hAnsi="Arial" w:cs="Arial"/>
          <w:b/>
          <w:bCs/>
          <w:noProof/>
          <w:sz w:val="32"/>
          <w:szCs w:val="32"/>
        </w:rPr>
        <w:drawing>
          <wp:inline distT="114300" distB="114300" distL="114300" distR="114300" wp14:anchorId="2F7605F3" wp14:editId="5DCEF798">
            <wp:extent cx="3086100" cy="1190625"/>
            <wp:effectExtent l="0" t="0" r="0" b="952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087025" cy="1190982"/>
                    </a:xfrm>
                    <a:prstGeom prst="rect">
                      <a:avLst/>
                    </a:prstGeom>
                    <a:ln/>
                  </pic:spPr>
                </pic:pic>
              </a:graphicData>
            </a:graphic>
          </wp:inline>
        </w:drawing>
      </w:r>
    </w:p>
    <w:p w14:paraId="75795B82" w14:textId="77777777" w:rsidR="000673FE" w:rsidRPr="00A43CB2" w:rsidRDefault="000673FE" w:rsidP="00A43CB2">
      <w:pPr>
        <w:jc w:val="center"/>
        <w:rPr>
          <w:rFonts w:ascii="Arial" w:eastAsia="Arial" w:hAnsi="Arial" w:cs="Arial"/>
          <w:b/>
          <w:bCs/>
          <w:sz w:val="28"/>
          <w:szCs w:val="28"/>
        </w:rPr>
      </w:pPr>
    </w:p>
    <w:p w14:paraId="4BB8840F" w14:textId="77777777" w:rsidR="000673FE" w:rsidRPr="00A43CB2" w:rsidRDefault="000673FE" w:rsidP="00A43CB2">
      <w:pPr>
        <w:jc w:val="center"/>
        <w:rPr>
          <w:rFonts w:ascii="Arial" w:eastAsia="Arial" w:hAnsi="Arial" w:cs="Arial"/>
          <w:b/>
          <w:bCs/>
          <w:sz w:val="28"/>
          <w:szCs w:val="28"/>
        </w:rPr>
      </w:pPr>
      <w:r w:rsidRPr="00A43CB2">
        <w:rPr>
          <w:rFonts w:ascii="Arial" w:eastAsia="Arial" w:hAnsi="Arial" w:cs="Arial"/>
          <w:b/>
          <w:bCs/>
          <w:sz w:val="28"/>
          <w:szCs w:val="28"/>
        </w:rPr>
        <w:t>Student ID: 2542500</w:t>
      </w:r>
    </w:p>
    <w:p w14:paraId="00AF1AC8" w14:textId="77777777" w:rsidR="000673FE" w:rsidRPr="00A43CB2" w:rsidRDefault="000673FE" w:rsidP="00A43CB2">
      <w:pPr>
        <w:jc w:val="center"/>
        <w:rPr>
          <w:rFonts w:ascii="Arial" w:eastAsia="Arial" w:hAnsi="Arial" w:cs="Arial"/>
          <w:b/>
          <w:bCs/>
          <w:sz w:val="28"/>
          <w:szCs w:val="28"/>
        </w:rPr>
      </w:pPr>
      <w:r w:rsidRPr="00A43CB2">
        <w:rPr>
          <w:rFonts w:ascii="Arial" w:eastAsia="Arial" w:hAnsi="Arial" w:cs="Arial"/>
          <w:b/>
          <w:bCs/>
          <w:sz w:val="28"/>
          <w:szCs w:val="28"/>
        </w:rPr>
        <w:t>Student Name: PATEL PRINCEKUMAR HARSHADBHAI</w:t>
      </w:r>
    </w:p>
    <w:p w14:paraId="58A30A46" w14:textId="77777777" w:rsidR="000673FE" w:rsidRPr="00A43CB2" w:rsidRDefault="000673FE" w:rsidP="00A43CB2">
      <w:pPr>
        <w:jc w:val="center"/>
        <w:rPr>
          <w:rFonts w:ascii="Arial" w:eastAsia="Arial" w:hAnsi="Arial" w:cs="Arial"/>
          <w:b/>
          <w:bCs/>
          <w:sz w:val="28"/>
          <w:szCs w:val="28"/>
        </w:rPr>
      </w:pPr>
    </w:p>
    <w:p w14:paraId="01CE124D" w14:textId="549B5061" w:rsidR="000673FE" w:rsidRPr="00A43CB2" w:rsidRDefault="000673FE" w:rsidP="00A43CB2">
      <w:pPr>
        <w:jc w:val="center"/>
        <w:rPr>
          <w:rFonts w:ascii="Arial" w:eastAsia="Arial" w:hAnsi="Arial" w:cs="Arial"/>
          <w:b/>
          <w:bCs/>
          <w:sz w:val="28"/>
          <w:szCs w:val="28"/>
        </w:rPr>
      </w:pPr>
      <w:r w:rsidRPr="00A43CB2">
        <w:rPr>
          <w:rFonts w:ascii="Arial" w:eastAsia="Arial" w:hAnsi="Arial" w:cs="Arial"/>
          <w:b/>
          <w:bCs/>
          <w:sz w:val="28"/>
          <w:szCs w:val="28"/>
        </w:rPr>
        <w:t>Module name: Marketing Management</w:t>
      </w:r>
    </w:p>
    <w:p w14:paraId="59A0BE02" w14:textId="3E1346D3" w:rsidR="000673FE" w:rsidRPr="00A43CB2" w:rsidRDefault="000673FE" w:rsidP="00A43CB2">
      <w:pPr>
        <w:jc w:val="center"/>
        <w:rPr>
          <w:rFonts w:ascii="Arial" w:eastAsia="Arial" w:hAnsi="Arial" w:cs="Arial"/>
          <w:b/>
          <w:bCs/>
          <w:sz w:val="28"/>
          <w:szCs w:val="28"/>
        </w:rPr>
      </w:pPr>
      <w:r w:rsidRPr="00A43CB2">
        <w:rPr>
          <w:rFonts w:ascii="Arial" w:eastAsia="Arial" w:hAnsi="Arial" w:cs="Arial"/>
          <w:b/>
          <w:bCs/>
          <w:sz w:val="28"/>
          <w:szCs w:val="28"/>
        </w:rPr>
        <w:t>Module code: LCMB7024</w:t>
      </w:r>
    </w:p>
    <w:p w14:paraId="1FFBACF2" w14:textId="77777777" w:rsidR="00FE432C" w:rsidRPr="00A43CB2" w:rsidRDefault="00FE432C" w:rsidP="00A43CB2">
      <w:pPr>
        <w:pStyle w:val="Title"/>
        <w:jc w:val="both"/>
        <w:rPr>
          <w:rFonts w:ascii="Arial" w:hAnsi="Arial" w:cs="Arial"/>
          <w:sz w:val="28"/>
          <w:szCs w:val="28"/>
        </w:rPr>
      </w:pPr>
      <w:bookmarkStart w:id="1" w:name="_59n68uw7ir6o" w:colFirst="0" w:colLast="0"/>
      <w:bookmarkEnd w:id="1"/>
    </w:p>
    <w:p w14:paraId="15269496" w14:textId="77777777" w:rsidR="00FE432C" w:rsidRPr="00A43CB2" w:rsidRDefault="0027563E" w:rsidP="00A43CB2">
      <w:pPr>
        <w:pStyle w:val="Title"/>
        <w:rPr>
          <w:rFonts w:ascii="Arial" w:hAnsi="Arial" w:cs="Arial"/>
          <w:sz w:val="28"/>
          <w:szCs w:val="28"/>
        </w:rPr>
      </w:pPr>
      <w:bookmarkStart w:id="2" w:name="_kb5ofb3831gi" w:colFirst="0" w:colLast="0"/>
      <w:bookmarkEnd w:id="2"/>
      <w:r w:rsidRPr="00A43CB2">
        <w:rPr>
          <w:rFonts w:ascii="Arial" w:hAnsi="Arial" w:cs="Arial"/>
          <w:sz w:val="28"/>
          <w:szCs w:val="28"/>
        </w:rPr>
        <w:t>MARKETING ENVIRONMENT ANALYSIS AND STRATEGIC GROWTH RECOMMENDATIONS FOR RIO TINTO PLC: ACHIEVING COMPETITIVE ADVANTAGE THROUGH THE TRANSITION TO LOW-CARBON MINING</w:t>
      </w:r>
    </w:p>
    <w:p w14:paraId="48E8D446" w14:textId="77777777" w:rsidR="00A43CB2" w:rsidRPr="00A43CB2" w:rsidRDefault="00A43CB2" w:rsidP="00A43CB2">
      <w:pPr>
        <w:rPr>
          <w:rFonts w:ascii="Arial" w:hAnsi="Arial" w:cs="Arial"/>
          <w:sz w:val="28"/>
          <w:szCs w:val="28"/>
        </w:rPr>
      </w:pPr>
    </w:p>
    <w:p w14:paraId="27245B32" w14:textId="77777777" w:rsidR="00A43CB2" w:rsidRPr="00A43CB2" w:rsidRDefault="00A43CB2" w:rsidP="00A43CB2">
      <w:pPr>
        <w:jc w:val="center"/>
        <w:rPr>
          <w:rFonts w:ascii="Arial" w:eastAsia="Arial" w:hAnsi="Arial" w:cs="Arial"/>
          <w:b/>
          <w:bCs/>
          <w:sz w:val="28"/>
          <w:szCs w:val="28"/>
        </w:rPr>
      </w:pPr>
    </w:p>
    <w:p w14:paraId="23702333" w14:textId="77777777" w:rsidR="009D121A" w:rsidRDefault="00A43CB2" w:rsidP="00A43CB2">
      <w:pPr>
        <w:jc w:val="center"/>
        <w:rPr>
          <w:rFonts w:ascii="Arial" w:eastAsia="Arial" w:hAnsi="Arial" w:cs="Arial"/>
          <w:b/>
          <w:bCs/>
          <w:sz w:val="28"/>
          <w:szCs w:val="28"/>
        </w:rPr>
      </w:pPr>
      <w:r w:rsidRPr="00A43CB2">
        <w:rPr>
          <w:rFonts w:ascii="Arial" w:eastAsia="Arial" w:hAnsi="Arial" w:cs="Arial"/>
          <w:b/>
          <w:bCs/>
          <w:sz w:val="28"/>
          <w:szCs w:val="28"/>
        </w:rPr>
        <w:t xml:space="preserve">Lecturer name: </w:t>
      </w:r>
      <w:r w:rsidR="00732806" w:rsidRPr="00732806">
        <w:rPr>
          <w:rFonts w:ascii="Arial" w:eastAsia="Arial" w:hAnsi="Arial" w:cs="Arial"/>
          <w:b/>
          <w:bCs/>
          <w:sz w:val="28"/>
          <w:szCs w:val="28"/>
        </w:rPr>
        <w:t xml:space="preserve">Laila Maazouz </w:t>
      </w:r>
    </w:p>
    <w:p w14:paraId="38CB57DE" w14:textId="13E1A520" w:rsidR="00A43CB2" w:rsidRDefault="00732806" w:rsidP="00A43CB2">
      <w:pPr>
        <w:jc w:val="center"/>
        <w:rPr>
          <w:rFonts w:ascii="Arial" w:eastAsia="Arial" w:hAnsi="Arial" w:cs="Arial"/>
          <w:b/>
          <w:bCs/>
          <w:sz w:val="28"/>
          <w:szCs w:val="28"/>
        </w:rPr>
      </w:pPr>
      <w:r w:rsidRPr="00732806">
        <w:rPr>
          <w:rFonts w:ascii="Arial" w:eastAsia="Arial" w:hAnsi="Arial" w:cs="Arial"/>
          <w:b/>
          <w:bCs/>
          <w:sz w:val="28"/>
          <w:szCs w:val="28"/>
        </w:rPr>
        <w:t>Taonga Kaonga SobereSnither</w:t>
      </w:r>
      <w:r w:rsidR="00770191">
        <w:rPr>
          <w:rFonts w:ascii="Arial" w:eastAsia="Arial" w:hAnsi="Arial" w:cs="Arial"/>
          <w:b/>
          <w:bCs/>
          <w:sz w:val="28"/>
          <w:szCs w:val="28"/>
        </w:rPr>
        <w:t>s</w:t>
      </w:r>
    </w:p>
    <w:p w14:paraId="5E734D8B" w14:textId="77777777" w:rsidR="00A43CB2" w:rsidRPr="00A43CB2" w:rsidRDefault="00A43CB2" w:rsidP="00A43CB2">
      <w:pPr>
        <w:jc w:val="center"/>
        <w:rPr>
          <w:rFonts w:ascii="Arial" w:eastAsia="Arial" w:hAnsi="Arial" w:cs="Arial"/>
          <w:b/>
          <w:bCs/>
          <w:sz w:val="28"/>
          <w:szCs w:val="28"/>
        </w:rPr>
      </w:pPr>
    </w:p>
    <w:p w14:paraId="6BF6BD28" w14:textId="0BB5E4AA" w:rsidR="00A43CB2" w:rsidRDefault="00A43CB2" w:rsidP="00A43CB2">
      <w:pPr>
        <w:jc w:val="center"/>
        <w:rPr>
          <w:rFonts w:ascii="Arial" w:eastAsia="Arial" w:hAnsi="Arial" w:cs="Arial"/>
          <w:b/>
          <w:bCs/>
          <w:color w:val="000000"/>
          <w:sz w:val="28"/>
          <w:szCs w:val="28"/>
        </w:rPr>
      </w:pPr>
      <w:r w:rsidRPr="00A43CB2">
        <w:rPr>
          <w:rFonts w:ascii="Arial" w:eastAsia="Arial" w:hAnsi="Arial" w:cs="Arial"/>
          <w:b/>
          <w:bCs/>
          <w:color w:val="000000"/>
          <w:sz w:val="28"/>
          <w:szCs w:val="28"/>
        </w:rPr>
        <w:t xml:space="preserve">Submission date: </w:t>
      </w:r>
      <w:r w:rsidR="00770191">
        <w:rPr>
          <w:rFonts w:ascii="Arial" w:eastAsia="Arial" w:hAnsi="Arial" w:cs="Arial"/>
          <w:b/>
          <w:bCs/>
          <w:color w:val="000000"/>
          <w:sz w:val="28"/>
          <w:szCs w:val="28"/>
        </w:rPr>
        <w:t>24/07/2026</w:t>
      </w:r>
    </w:p>
    <w:p w14:paraId="33C6662E" w14:textId="77777777" w:rsidR="00A43CB2" w:rsidRPr="00A43CB2" w:rsidRDefault="00A43CB2" w:rsidP="00A43CB2">
      <w:pPr>
        <w:jc w:val="center"/>
        <w:rPr>
          <w:rFonts w:ascii="Arial" w:eastAsia="Arial" w:hAnsi="Arial" w:cs="Arial"/>
          <w:b/>
          <w:bCs/>
          <w:color w:val="000000"/>
          <w:sz w:val="28"/>
          <w:szCs w:val="28"/>
        </w:rPr>
      </w:pPr>
    </w:p>
    <w:p w14:paraId="041EFBB6" w14:textId="5A5DAF6D" w:rsidR="00FE432C" w:rsidRPr="00A43CB2" w:rsidRDefault="00A43CB2" w:rsidP="00A43CB2">
      <w:pPr>
        <w:jc w:val="center"/>
        <w:rPr>
          <w:rFonts w:ascii="Arial" w:hAnsi="Arial" w:cs="Arial"/>
          <w:sz w:val="28"/>
          <w:szCs w:val="28"/>
        </w:rPr>
      </w:pPr>
      <w:r w:rsidRPr="00A43CB2">
        <w:rPr>
          <w:rFonts w:ascii="Arial" w:eastAsia="Arial" w:hAnsi="Arial" w:cs="Arial"/>
          <w:b/>
          <w:bCs/>
          <w:color w:val="000000"/>
          <w:sz w:val="28"/>
          <w:szCs w:val="28"/>
        </w:rPr>
        <w:t>Word count: 2</w:t>
      </w:r>
      <w:r w:rsidR="004453B4">
        <w:rPr>
          <w:rFonts w:ascii="Arial" w:eastAsia="Arial" w:hAnsi="Arial" w:cs="Arial"/>
          <w:b/>
          <w:bCs/>
          <w:color w:val="000000"/>
          <w:sz w:val="28"/>
          <w:szCs w:val="28"/>
        </w:rPr>
        <w:t>517</w:t>
      </w:r>
      <w:r w:rsidR="0027563E" w:rsidRPr="00A43CB2">
        <w:rPr>
          <w:rFonts w:ascii="Arial" w:hAnsi="Arial" w:cs="Arial"/>
          <w:sz w:val="28"/>
          <w:szCs w:val="28"/>
        </w:rPr>
        <w:br w:type="page"/>
      </w:r>
    </w:p>
    <w:p w14:paraId="33AB37F4" w14:textId="57785EA9" w:rsidR="00FE432C" w:rsidRDefault="0027563E" w:rsidP="00A43CB2">
      <w:pPr>
        <w:jc w:val="center"/>
        <w:rPr>
          <w:rFonts w:ascii="Arial" w:hAnsi="Arial" w:cs="Arial"/>
          <w:b/>
          <w:bCs/>
        </w:rPr>
      </w:pPr>
      <w:r w:rsidRPr="00A43CB2">
        <w:rPr>
          <w:rFonts w:ascii="Arial" w:hAnsi="Arial" w:cs="Arial"/>
          <w:b/>
          <w:bCs/>
        </w:rPr>
        <w:t>Executive Summary</w:t>
      </w:r>
    </w:p>
    <w:p w14:paraId="3FD46511" w14:textId="77777777" w:rsidR="001120FA" w:rsidRPr="00A43CB2" w:rsidRDefault="001120FA" w:rsidP="00A43CB2">
      <w:pPr>
        <w:jc w:val="center"/>
        <w:rPr>
          <w:rFonts w:ascii="Arial" w:hAnsi="Arial" w:cs="Arial"/>
          <w:b/>
          <w:bCs/>
        </w:rPr>
      </w:pPr>
    </w:p>
    <w:p w14:paraId="4A8E6661" w14:textId="71F26F90" w:rsidR="00FE432C" w:rsidRPr="00A43CB2" w:rsidRDefault="005D6C3D" w:rsidP="00A43CB2">
      <w:pPr>
        <w:rPr>
          <w:rFonts w:ascii="Arial" w:hAnsi="Arial" w:cs="Arial"/>
        </w:rPr>
      </w:pPr>
      <w:r w:rsidRPr="00A43CB2">
        <w:rPr>
          <w:rFonts w:ascii="Arial" w:hAnsi="Arial" w:cs="Arial"/>
        </w:rPr>
        <w:t>The aim of this report is to assess the external marketing environment within which Rio Tinto plc is operating in its attempt to find transition alternatives to lower carbon products</w:t>
      </w:r>
      <w:r w:rsidR="001120FA">
        <w:rPr>
          <w:rFonts w:ascii="Arial" w:hAnsi="Arial" w:cs="Arial"/>
        </w:rPr>
        <w:t xml:space="preserve">. This report </w:t>
      </w:r>
      <w:r w:rsidRPr="00A43CB2">
        <w:rPr>
          <w:rFonts w:ascii="Arial" w:hAnsi="Arial" w:cs="Arial"/>
        </w:rPr>
        <w:t>propose</w:t>
      </w:r>
      <w:r w:rsidR="001120FA">
        <w:rPr>
          <w:rFonts w:ascii="Arial" w:hAnsi="Arial" w:cs="Arial"/>
        </w:rPr>
        <w:t>s</w:t>
      </w:r>
      <w:r w:rsidRPr="00A43CB2">
        <w:rPr>
          <w:rFonts w:ascii="Arial" w:hAnsi="Arial" w:cs="Arial"/>
        </w:rPr>
        <w:t xml:space="preserve"> some suitable growth strategy for Rio Tinto plc to sustain its competitive advantage. The analysis shows that among the external elements that influence the company's strategic decisions, the natural environment and political-legal environment are the most important. Opportunities and challenges await Rio Tinto as it faces surges in demand for critical minerals, environmental regulations, and ESG demands, along with rising climate concerns. The report discusses the different strategic growth alternatives using the Ansoff Matrix and determine the suitable alternative which is product development. Business as usual production of low carbon aluminium and sustainable copper and other mineral products are in accordance with the changing market demand and the global decarbonisation goals. Overall, the report shows that this innovation in products represents a pathway to improve Rio Tinto's competitive advantage, to provide value to stakeholders and to remain competitive in the low carbon economy in the longer term.</w:t>
      </w:r>
    </w:p>
    <w:p w14:paraId="13D7FE27" w14:textId="603DE1D4" w:rsidR="00FC7C44" w:rsidRPr="00A43CB2" w:rsidRDefault="00FC7C44" w:rsidP="00A43CB2">
      <w:pPr>
        <w:rPr>
          <w:rFonts w:ascii="Arial" w:hAnsi="Arial" w:cs="Arial"/>
        </w:rPr>
      </w:pPr>
      <w:r w:rsidRPr="00A43CB2">
        <w:rPr>
          <w:rFonts w:ascii="Arial" w:hAnsi="Arial" w:cs="Arial"/>
        </w:rPr>
        <w:br w:type="page"/>
      </w:r>
    </w:p>
    <w:sdt>
      <w:sdtPr>
        <w:rPr>
          <w:rFonts w:ascii="Arial" w:eastAsia="Times New Roman" w:hAnsi="Arial" w:cs="Arial"/>
          <w:color w:val="auto"/>
          <w:sz w:val="24"/>
          <w:szCs w:val="24"/>
          <w:lang w:val="en-GB" w:eastAsia="en-IN"/>
        </w:rPr>
        <w:id w:val="-595869558"/>
        <w:docPartObj>
          <w:docPartGallery w:val="Table of Contents"/>
          <w:docPartUnique/>
        </w:docPartObj>
      </w:sdtPr>
      <w:sdtEndPr>
        <w:rPr>
          <w:b/>
          <w:bCs/>
          <w:noProof/>
        </w:rPr>
      </w:sdtEndPr>
      <w:sdtContent>
        <w:p w14:paraId="1B4A79B1" w14:textId="3744DF45" w:rsidR="00FC7C44" w:rsidRDefault="00FC7C44" w:rsidP="00A43CB2">
          <w:pPr>
            <w:pStyle w:val="TOCHeading"/>
            <w:spacing w:line="360" w:lineRule="auto"/>
            <w:jc w:val="center"/>
            <w:rPr>
              <w:rFonts w:ascii="Arial" w:hAnsi="Arial" w:cs="Arial"/>
              <w:b/>
              <w:bCs/>
              <w:color w:val="000000" w:themeColor="text1"/>
              <w:sz w:val="24"/>
              <w:szCs w:val="24"/>
            </w:rPr>
          </w:pPr>
          <w:r w:rsidRPr="00A43CB2">
            <w:rPr>
              <w:rFonts w:ascii="Arial" w:hAnsi="Arial" w:cs="Arial"/>
              <w:b/>
              <w:bCs/>
              <w:color w:val="000000" w:themeColor="text1"/>
              <w:sz w:val="24"/>
              <w:szCs w:val="24"/>
            </w:rPr>
            <w:t>Table of Contents</w:t>
          </w:r>
        </w:p>
        <w:p w14:paraId="68362F42" w14:textId="77777777" w:rsidR="004453B4" w:rsidRPr="004453B4" w:rsidRDefault="004453B4" w:rsidP="004453B4">
          <w:pPr>
            <w:rPr>
              <w:lang w:val="en-US" w:eastAsia="en-US"/>
            </w:rPr>
          </w:pPr>
        </w:p>
        <w:p w14:paraId="01410870" w14:textId="0615DB39" w:rsidR="004453B4" w:rsidRPr="004453B4" w:rsidRDefault="00FC7C44" w:rsidP="004453B4">
          <w:pPr>
            <w:pStyle w:val="TOC1"/>
            <w:tabs>
              <w:tab w:val="right" w:leader="dot" w:pos="9016"/>
            </w:tabs>
            <w:rPr>
              <w:rFonts w:ascii="Arial" w:eastAsiaTheme="minorEastAsia" w:hAnsi="Arial" w:cs="Arial"/>
              <w:noProof/>
              <w:sz w:val="22"/>
              <w:szCs w:val="22"/>
              <w:lang w:val="en-IN"/>
            </w:rPr>
          </w:pPr>
          <w:r w:rsidRPr="00A43CB2">
            <w:rPr>
              <w:rFonts w:ascii="Arial" w:hAnsi="Arial" w:cs="Arial"/>
            </w:rPr>
            <w:fldChar w:fldCharType="begin"/>
          </w:r>
          <w:r w:rsidRPr="00A43CB2">
            <w:rPr>
              <w:rFonts w:ascii="Arial" w:hAnsi="Arial" w:cs="Arial"/>
            </w:rPr>
            <w:instrText xml:space="preserve"> TOC \o "1-3" \h \z \u </w:instrText>
          </w:r>
          <w:r w:rsidRPr="00A43CB2">
            <w:rPr>
              <w:rFonts w:ascii="Arial" w:hAnsi="Arial" w:cs="Arial"/>
            </w:rPr>
            <w:fldChar w:fldCharType="separate"/>
          </w:r>
          <w:hyperlink w:anchor="_Toc234622502" w:history="1">
            <w:r w:rsidR="004453B4" w:rsidRPr="004453B4">
              <w:rPr>
                <w:rStyle w:val="Hyperlink"/>
                <w:rFonts w:ascii="Arial" w:hAnsi="Arial" w:cs="Arial"/>
                <w:noProof/>
              </w:rPr>
              <w:t>1. Introduction</w:t>
            </w:r>
            <w:r w:rsidR="004453B4" w:rsidRPr="004453B4">
              <w:rPr>
                <w:rFonts w:ascii="Arial" w:hAnsi="Arial" w:cs="Arial"/>
                <w:noProof/>
                <w:webHidden/>
              </w:rPr>
              <w:tab/>
            </w:r>
            <w:r w:rsidR="004453B4" w:rsidRPr="004453B4">
              <w:rPr>
                <w:rFonts w:ascii="Arial" w:hAnsi="Arial" w:cs="Arial"/>
                <w:noProof/>
                <w:webHidden/>
              </w:rPr>
              <w:fldChar w:fldCharType="begin"/>
            </w:r>
            <w:r w:rsidR="004453B4" w:rsidRPr="004453B4">
              <w:rPr>
                <w:rFonts w:ascii="Arial" w:hAnsi="Arial" w:cs="Arial"/>
                <w:noProof/>
                <w:webHidden/>
              </w:rPr>
              <w:instrText xml:space="preserve"> PAGEREF _Toc234622502 \h </w:instrText>
            </w:r>
            <w:r w:rsidR="004453B4" w:rsidRPr="004453B4">
              <w:rPr>
                <w:rFonts w:ascii="Arial" w:hAnsi="Arial" w:cs="Arial"/>
                <w:noProof/>
                <w:webHidden/>
              </w:rPr>
            </w:r>
            <w:r w:rsidR="004453B4" w:rsidRPr="004453B4">
              <w:rPr>
                <w:rFonts w:ascii="Arial" w:hAnsi="Arial" w:cs="Arial"/>
                <w:noProof/>
                <w:webHidden/>
              </w:rPr>
              <w:fldChar w:fldCharType="separate"/>
            </w:r>
            <w:r w:rsidR="004453B4" w:rsidRPr="004453B4">
              <w:rPr>
                <w:rFonts w:ascii="Arial" w:hAnsi="Arial" w:cs="Arial"/>
                <w:noProof/>
                <w:webHidden/>
              </w:rPr>
              <w:t>4</w:t>
            </w:r>
            <w:r w:rsidR="004453B4" w:rsidRPr="004453B4">
              <w:rPr>
                <w:rFonts w:ascii="Arial" w:hAnsi="Arial" w:cs="Arial"/>
                <w:noProof/>
                <w:webHidden/>
              </w:rPr>
              <w:fldChar w:fldCharType="end"/>
            </w:r>
          </w:hyperlink>
        </w:p>
        <w:p w14:paraId="36ED5C5F" w14:textId="5B085D6B" w:rsidR="004453B4" w:rsidRPr="004453B4" w:rsidRDefault="004453B4" w:rsidP="004453B4">
          <w:pPr>
            <w:pStyle w:val="TOC2"/>
            <w:tabs>
              <w:tab w:val="right" w:leader="dot" w:pos="9016"/>
            </w:tabs>
            <w:rPr>
              <w:rFonts w:ascii="Arial" w:eastAsiaTheme="minorEastAsia" w:hAnsi="Arial" w:cs="Arial"/>
              <w:noProof/>
              <w:sz w:val="22"/>
              <w:szCs w:val="22"/>
              <w:lang w:val="en-IN"/>
            </w:rPr>
          </w:pPr>
          <w:hyperlink w:anchor="_Toc234622503" w:history="1">
            <w:r w:rsidRPr="004453B4">
              <w:rPr>
                <w:rStyle w:val="Hyperlink"/>
                <w:rFonts w:ascii="Arial" w:hAnsi="Arial" w:cs="Arial"/>
                <w:noProof/>
              </w:rPr>
              <w:t>1.1 Company Overview</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_Toc234622503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4</w:t>
            </w:r>
            <w:r w:rsidRPr="004453B4">
              <w:rPr>
                <w:rFonts w:ascii="Arial" w:hAnsi="Arial" w:cs="Arial"/>
                <w:noProof/>
                <w:webHidden/>
              </w:rPr>
              <w:fldChar w:fldCharType="end"/>
            </w:r>
          </w:hyperlink>
        </w:p>
        <w:p w14:paraId="4AFD7E61" w14:textId="64AC9591" w:rsidR="004453B4" w:rsidRPr="004453B4" w:rsidRDefault="004453B4" w:rsidP="004453B4">
          <w:pPr>
            <w:pStyle w:val="TOC2"/>
            <w:tabs>
              <w:tab w:val="right" w:leader="dot" w:pos="9016"/>
            </w:tabs>
            <w:rPr>
              <w:rFonts w:ascii="Arial" w:eastAsiaTheme="minorEastAsia" w:hAnsi="Arial" w:cs="Arial"/>
              <w:noProof/>
              <w:sz w:val="22"/>
              <w:szCs w:val="22"/>
              <w:lang w:val="en-IN"/>
            </w:rPr>
          </w:pPr>
          <w:hyperlink w:anchor="_Toc234622504" w:history="1">
            <w:r w:rsidRPr="004453B4">
              <w:rPr>
                <w:rStyle w:val="Hyperlink"/>
                <w:rFonts w:ascii="Arial" w:hAnsi="Arial" w:cs="Arial"/>
                <w:noProof/>
              </w:rPr>
              <w:t>1.2 Sustainability Context</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_Toc234622504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4</w:t>
            </w:r>
            <w:r w:rsidRPr="004453B4">
              <w:rPr>
                <w:rFonts w:ascii="Arial" w:hAnsi="Arial" w:cs="Arial"/>
                <w:noProof/>
                <w:webHidden/>
              </w:rPr>
              <w:fldChar w:fldCharType="end"/>
            </w:r>
          </w:hyperlink>
        </w:p>
        <w:p w14:paraId="79E63AAF" w14:textId="0825A155" w:rsidR="004453B4" w:rsidRPr="004453B4" w:rsidRDefault="004453B4" w:rsidP="004453B4">
          <w:pPr>
            <w:pStyle w:val="TOC1"/>
            <w:tabs>
              <w:tab w:val="right" w:leader="dot" w:pos="9016"/>
            </w:tabs>
            <w:rPr>
              <w:rFonts w:ascii="Arial" w:eastAsiaTheme="minorEastAsia" w:hAnsi="Arial" w:cs="Arial"/>
              <w:noProof/>
              <w:sz w:val="22"/>
              <w:szCs w:val="22"/>
              <w:lang w:val="en-IN"/>
            </w:rPr>
          </w:pPr>
          <w:hyperlink w:anchor="_Toc234622505" w:history="1">
            <w:r w:rsidRPr="004453B4">
              <w:rPr>
                <w:rStyle w:val="Hyperlink"/>
                <w:rFonts w:ascii="Arial" w:hAnsi="Arial" w:cs="Arial"/>
                <w:noProof/>
              </w:rPr>
              <w:t>2. Task 1: Marketing Environment Analysis</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_Toc234622505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4</w:t>
            </w:r>
            <w:r w:rsidRPr="004453B4">
              <w:rPr>
                <w:rFonts w:ascii="Arial" w:hAnsi="Arial" w:cs="Arial"/>
                <w:noProof/>
                <w:webHidden/>
              </w:rPr>
              <w:fldChar w:fldCharType="end"/>
            </w:r>
          </w:hyperlink>
        </w:p>
        <w:p w14:paraId="1066378D" w14:textId="6032EC90" w:rsidR="004453B4" w:rsidRPr="004453B4" w:rsidRDefault="004453B4" w:rsidP="004453B4">
          <w:pPr>
            <w:pStyle w:val="TOC2"/>
            <w:tabs>
              <w:tab w:val="right" w:leader="dot" w:pos="9016"/>
            </w:tabs>
            <w:rPr>
              <w:rFonts w:ascii="Arial" w:eastAsiaTheme="minorEastAsia" w:hAnsi="Arial" w:cs="Arial"/>
              <w:noProof/>
              <w:sz w:val="22"/>
              <w:szCs w:val="22"/>
              <w:lang w:val="en-IN"/>
            </w:rPr>
          </w:pPr>
          <w:hyperlink w:anchor="_Toc234622506" w:history="1">
            <w:r w:rsidRPr="004453B4">
              <w:rPr>
                <w:rStyle w:val="Hyperlink"/>
                <w:rFonts w:ascii="Arial" w:hAnsi="Arial" w:cs="Arial"/>
                <w:noProof/>
              </w:rPr>
              <w:t>2.1 External Marketing Environment Analysis</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_Toc234622506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4</w:t>
            </w:r>
            <w:r w:rsidRPr="004453B4">
              <w:rPr>
                <w:rFonts w:ascii="Arial" w:hAnsi="Arial" w:cs="Arial"/>
                <w:noProof/>
                <w:webHidden/>
              </w:rPr>
              <w:fldChar w:fldCharType="end"/>
            </w:r>
          </w:hyperlink>
        </w:p>
        <w:p w14:paraId="3C6DC5F5" w14:textId="09EC094F" w:rsidR="004453B4" w:rsidRPr="004453B4" w:rsidRDefault="004453B4" w:rsidP="004453B4">
          <w:pPr>
            <w:pStyle w:val="TOC3"/>
            <w:tabs>
              <w:tab w:val="right" w:leader="dot" w:pos="9016"/>
            </w:tabs>
            <w:rPr>
              <w:rFonts w:ascii="Arial" w:eastAsiaTheme="minorEastAsia" w:hAnsi="Arial" w:cs="Arial"/>
              <w:noProof/>
              <w:sz w:val="22"/>
              <w:szCs w:val="22"/>
              <w:lang w:val="en-IN"/>
            </w:rPr>
          </w:pPr>
          <w:hyperlink w:anchor="_Toc234622507" w:history="1">
            <w:r w:rsidRPr="004453B4">
              <w:rPr>
                <w:rStyle w:val="Hyperlink"/>
                <w:rFonts w:ascii="Arial" w:hAnsi="Arial" w:cs="Arial"/>
                <w:noProof/>
              </w:rPr>
              <w:t>2.1.1 Natural Environment Analysis</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_Toc234622507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5</w:t>
            </w:r>
            <w:r w:rsidRPr="004453B4">
              <w:rPr>
                <w:rFonts w:ascii="Arial" w:hAnsi="Arial" w:cs="Arial"/>
                <w:noProof/>
                <w:webHidden/>
              </w:rPr>
              <w:fldChar w:fldCharType="end"/>
            </w:r>
          </w:hyperlink>
        </w:p>
        <w:p w14:paraId="5A502883" w14:textId="0B7EA69C" w:rsidR="004453B4" w:rsidRPr="004453B4" w:rsidRDefault="004453B4" w:rsidP="004453B4">
          <w:pPr>
            <w:pStyle w:val="TOC3"/>
            <w:tabs>
              <w:tab w:val="right" w:leader="dot" w:pos="9016"/>
            </w:tabs>
            <w:rPr>
              <w:rFonts w:ascii="Arial" w:eastAsiaTheme="minorEastAsia" w:hAnsi="Arial" w:cs="Arial"/>
              <w:noProof/>
              <w:sz w:val="22"/>
              <w:szCs w:val="22"/>
              <w:lang w:val="en-IN"/>
            </w:rPr>
          </w:pPr>
          <w:hyperlink w:anchor="_Toc234622508" w:history="1">
            <w:r w:rsidRPr="004453B4">
              <w:rPr>
                <w:rStyle w:val="Hyperlink"/>
                <w:rFonts w:ascii="Arial" w:hAnsi="Arial" w:cs="Arial"/>
                <w:noProof/>
              </w:rPr>
              <w:t>2.1.2 Political-Legal Environment Analysis</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_Toc234622508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7</w:t>
            </w:r>
            <w:r w:rsidRPr="004453B4">
              <w:rPr>
                <w:rFonts w:ascii="Arial" w:hAnsi="Arial" w:cs="Arial"/>
                <w:noProof/>
                <w:webHidden/>
              </w:rPr>
              <w:fldChar w:fldCharType="end"/>
            </w:r>
          </w:hyperlink>
        </w:p>
        <w:p w14:paraId="502F01A1" w14:textId="2FC1C135" w:rsidR="004453B4" w:rsidRPr="004453B4" w:rsidRDefault="004453B4" w:rsidP="004453B4">
          <w:pPr>
            <w:pStyle w:val="TOC1"/>
            <w:tabs>
              <w:tab w:val="right" w:leader="dot" w:pos="9016"/>
            </w:tabs>
            <w:rPr>
              <w:rFonts w:ascii="Arial" w:eastAsiaTheme="minorEastAsia" w:hAnsi="Arial" w:cs="Arial"/>
              <w:noProof/>
              <w:sz w:val="22"/>
              <w:szCs w:val="22"/>
              <w:lang w:val="en-IN"/>
            </w:rPr>
          </w:pPr>
          <w:hyperlink w:anchor="_Toc234622509" w:history="1">
            <w:r w:rsidRPr="004453B4">
              <w:rPr>
                <w:rStyle w:val="Hyperlink"/>
                <w:rFonts w:ascii="Arial" w:hAnsi="Arial" w:cs="Arial"/>
                <w:noProof/>
              </w:rPr>
              <w:t>3. Task 2: Strategic Growth and Competitive Positioning</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_Toc234622509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8</w:t>
            </w:r>
            <w:r w:rsidRPr="004453B4">
              <w:rPr>
                <w:rFonts w:ascii="Arial" w:hAnsi="Arial" w:cs="Arial"/>
                <w:noProof/>
                <w:webHidden/>
              </w:rPr>
              <w:fldChar w:fldCharType="end"/>
            </w:r>
          </w:hyperlink>
        </w:p>
        <w:p w14:paraId="365E67BD" w14:textId="572AAAA2" w:rsidR="004453B4" w:rsidRPr="004453B4" w:rsidRDefault="004453B4" w:rsidP="004453B4">
          <w:pPr>
            <w:pStyle w:val="TOC2"/>
            <w:tabs>
              <w:tab w:val="right" w:leader="dot" w:pos="9016"/>
            </w:tabs>
            <w:rPr>
              <w:rFonts w:ascii="Arial" w:eastAsiaTheme="minorEastAsia" w:hAnsi="Arial" w:cs="Arial"/>
              <w:noProof/>
              <w:sz w:val="22"/>
              <w:szCs w:val="22"/>
              <w:lang w:val="en-IN"/>
            </w:rPr>
          </w:pPr>
          <w:hyperlink w:anchor="_Toc234622510" w:history="1">
            <w:r w:rsidRPr="004453B4">
              <w:rPr>
                <w:rStyle w:val="Hyperlink"/>
                <w:rFonts w:ascii="Arial" w:hAnsi="Arial" w:cs="Arial"/>
                <w:noProof/>
              </w:rPr>
              <w:t>3.1 Strategic Growth Recommendation Using Ansoff Matrix</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_Toc234622510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8</w:t>
            </w:r>
            <w:r w:rsidRPr="004453B4">
              <w:rPr>
                <w:rFonts w:ascii="Arial" w:hAnsi="Arial" w:cs="Arial"/>
                <w:noProof/>
                <w:webHidden/>
              </w:rPr>
              <w:fldChar w:fldCharType="end"/>
            </w:r>
          </w:hyperlink>
        </w:p>
        <w:p w14:paraId="5EBE86DD" w14:textId="205B15EA" w:rsidR="004453B4" w:rsidRPr="004453B4" w:rsidRDefault="004453B4" w:rsidP="004453B4">
          <w:pPr>
            <w:pStyle w:val="TOC3"/>
            <w:tabs>
              <w:tab w:val="right" w:leader="dot" w:pos="9016"/>
            </w:tabs>
            <w:rPr>
              <w:rFonts w:ascii="Arial" w:eastAsiaTheme="minorEastAsia" w:hAnsi="Arial" w:cs="Arial"/>
              <w:noProof/>
              <w:sz w:val="22"/>
              <w:szCs w:val="22"/>
              <w:lang w:val="en-IN"/>
            </w:rPr>
          </w:pPr>
          <w:hyperlink w:anchor="_Toc234622511" w:history="1">
            <w:r w:rsidRPr="004453B4">
              <w:rPr>
                <w:rStyle w:val="Hyperlink"/>
                <w:rFonts w:ascii="Arial" w:hAnsi="Arial" w:cs="Arial"/>
                <w:noProof/>
              </w:rPr>
              <w:t>3.1.1 Ansoff Matrix Evaluation</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_Toc234622511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9</w:t>
            </w:r>
            <w:r w:rsidRPr="004453B4">
              <w:rPr>
                <w:rFonts w:ascii="Arial" w:hAnsi="Arial" w:cs="Arial"/>
                <w:noProof/>
                <w:webHidden/>
              </w:rPr>
              <w:fldChar w:fldCharType="end"/>
            </w:r>
          </w:hyperlink>
        </w:p>
        <w:p w14:paraId="4E48B7E2" w14:textId="604C7B99" w:rsidR="004453B4" w:rsidRPr="004453B4" w:rsidRDefault="004453B4" w:rsidP="004453B4">
          <w:pPr>
            <w:pStyle w:val="TOC3"/>
            <w:tabs>
              <w:tab w:val="right" w:leader="dot" w:pos="9016"/>
            </w:tabs>
            <w:rPr>
              <w:rFonts w:ascii="Arial" w:eastAsiaTheme="minorEastAsia" w:hAnsi="Arial" w:cs="Arial"/>
              <w:noProof/>
              <w:sz w:val="22"/>
              <w:szCs w:val="22"/>
              <w:lang w:val="en-IN"/>
            </w:rPr>
          </w:pPr>
          <w:hyperlink w:anchor="_Toc234622512" w:history="1">
            <w:r w:rsidRPr="004453B4">
              <w:rPr>
                <w:rStyle w:val="Hyperlink"/>
                <w:rFonts w:ascii="Arial" w:hAnsi="Arial" w:cs="Arial"/>
                <w:noProof/>
              </w:rPr>
              <w:t>3.1.2 Recommended Strategy: Product Development</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_Toc234622512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10</w:t>
            </w:r>
            <w:r w:rsidRPr="004453B4">
              <w:rPr>
                <w:rFonts w:ascii="Arial" w:hAnsi="Arial" w:cs="Arial"/>
                <w:noProof/>
                <w:webHidden/>
              </w:rPr>
              <w:fldChar w:fldCharType="end"/>
            </w:r>
          </w:hyperlink>
        </w:p>
        <w:p w14:paraId="56C32CA5" w14:textId="775C99BF" w:rsidR="004453B4" w:rsidRPr="004453B4" w:rsidRDefault="004453B4" w:rsidP="004453B4">
          <w:pPr>
            <w:pStyle w:val="TOC3"/>
            <w:tabs>
              <w:tab w:val="right" w:leader="dot" w:pos="9016"/>
            </w:tabs>
            <w:rPr>
              <w:rFonts w:ascii="Arial" w:eastAsiaTheme="minorEastAsia" w:hAnsi="Arial" w:cs="Arial"/>
              <w:noProof/>
              <w:sz w:val="22"/>
              <w:szCs w:val="22"/>
              <w:lang w:val="en-IN"/>
            </w:rPr>
          </w:pPr>
          <w:hyperlink w:anchor="_Toc234622513" w:history="1">
            <w:r w:rsidRPr="004453B4">
              <w:rPr>
                <w:rStyle w:val="Hyperlink"/>
                <w:rFonts w:ascii="Arial" w:hAnsi="Arial" w:cs="Arial"/>
                <w:noProof/>
              </w:rPr>
              <w:t>3.1.3 Achieving Competitive Advantage</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_Toc234622513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10</w:t>
            </w:r>
            <w:r w:rsidRPr="004453B4">
              <w:rPr>
                <w:rFonts w:ascii="Arial" w:hAnsi="Arial" w:cs="Arial"/>
                <w:noProof/>
                <w:webHidden/>
              </w:rPr>
              <w:fldChar w:fldCharType="end"/>
            </w:r>
          </w:hyperlink>
        </w:p>
        <w:p w14:paraId="1894A417" w14:textId="2AFDCCE3" w:rsidR="004453B4" w:rsidRPr="004453B4" w:rsidRDefault="004453B4" w:rsidP="004453B4">
          <w:pPr>
            <w:pStyle w:val="TOC1"/>
            <w:tabs>
              <w:tab w:val="right" w:leader="dot" w:pos="9016"/>
            </w:tabs>
            <w:rPr>
              <w:rFonts w:ascii="Arial" w:eastAsiaTheme="minorEastAsia" w:hAnsi="Arial" w:cs="Arial"/>
              <w:noProof/>
              <w:sz w:val="22"/>
              <w:szCs w:val="22"/>
              <w:lang w:val="en-IN"/>
            </w:rPr>
          </w:pPr>
          <w:hyperlink w:anchor="_Toc234622514" w:history="1">
            <w:r w:rsidRPr="004453B4">
              <w:rPr>
                <w:rStyle w:val="Hyperlink"/>
                <w:rFonts w:ascii="Arial" w:hAnsi="Arial" w:cs="Arial"/>
                <w:noProof/>
              </w:rPr>
              <w:t>4. Task 3: Critical Reflection on AI Usage</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_Toc234622514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11</w:t>
            </w:r>
            <w:r w:rsidRPr="004453B4">
              <w:rPr>
                <w:rFonts w:ascii="Arial" w:hAnsi="Arial" w:cs="Arial"/>
                <w:noProof/>
                <w:webHidden/>
              </w:rPr>
              <w:fldChar w:fldCharType="end"/>
            </w:r>
          </w:hyperlink>
        </w:p>
        <w:p w14:paraId="1967BA49" w14:textId="0A15E53F" w:rsidR="004453B4" w:rsidRPr="004453B4" w:rsidRDefault="004453B4" w:rsidP="004453B4">
          <w:pPr>
            <w:pStyle w:val="TOC2"/>
            <w:tabs>
              <w:tab w:val="right" w:leader="dot" w:pos="9016"/>
            </w:tabs>
            <w:rPr>
              <w:rFonts w:ascii="Arial" w:eastAsiaTheme="minorEastAsia" w:hAnsi="Arial" w:cs="Arial"/>
              <w:noProof/>
              <w:sz w:val="22"/>
              <w:szCs w:val="22"/>
              <w:lang w:val="en-IN"/>
            </w:rPr>
          </w:pPr>
          <w:hyperlink w:anchor="_Toc234622515" w:history="1">
            <w:r w:rsidRPr="004453B4">
              <w:rPr>
                <w:rStyle w:val="Hyperlink"/>
                <w:rFonts w:ascii="Arial" w:hAnsi="Arial" w:cs="Arial"/>
                <w:noProof/>
              </w:rPr>
              <w:t>4.1 Critical Reflection on Artificial Intelligence Usage</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_Toc234622515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11</w:t>
            </w:r>
            <w:r w:rsidRPr="004453B4">
              <w:rPr>
                <w:rFonts w:ascii="Arial" w:hAnsi="Arial" w:cs="Arial"/>
                <w:noProof/>
                <w:webHidden/>
              </w:rPr>
              <w:fldChar w:fldCharType="end"/>
            </w:r>
          </w:hyperlink>
        </w:p>
        <w:p w14:paraId="3B623147" w14:textId="6CF2D84D" w:rsidR="004453B4" w:rsidRPr="004453B4" w:rsidRDefault="004453B4" w:rsidP="004453B4">
          <w:pPr>
            <w:pStyle w:val="TOC3"/>
            <w:tabs>
              <w:tab w:val="right" w:leader="dot" w:pos="9016"/>
            </w:tabs>
            <w:rPr>
              <w:rFonts w:ascii="Arial" w:eastAsiaTheme="minorEastAsia" w:hAnsi="Arial" w:cs="Arial"/>
              <w:noProof/>
              <w:sz w:val="22"/>
              <w:szCs w:val="22"/>
              <w:lang w:val="en-IN"/>
            </w:rPr>
          </w:pPr>
          <w:hyperlink w:anchor="_Toc234622516" w:history="1">
            <w:r w:rsidRPr="004453B4">
              <w:rPr>
                <w:rStyle w:val="Hyperlink"/>
                <w:rFonts w:ascii="Arial" w:hAnsi="Arial" w:cs="Arial"/>
                <w:noProof/>
              </w:rPr>
              <w:t>4.1.1 Tool Disclosure</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_Toc234622516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11</w:t>
            </w:r>
            <w:r w:rsidRPr="004453B4">
              <w:rPr>
                <w:rFonts w:ascii="Arial" w:hAnsi="Arial" w:cs="Arial"/>
                <w:noProof/>
                <w:webHidden/>
              </w:rPr>
              <w:fldChar w:fldCharType="end"/>
            </w:r>
          </w:hyperlink>
        </w:p>
        <w:p w14:paraId="41093175" w14:textId="3C305B03" w:rsidR="004453B4" w:rsidRPr="004453B4" w:rsidRDefault="004453B4" w:rsidP="004453B4">
          <w:pPr>
            <w:pStyle w:val="TOC3"/>
            <w:tabs>
              <w:tab w:val="right" w:leader="dot" w:pos="9016"/>
            </w:tabs>
            <w:rPr>
              <w:rFonts w:ascii="Arial" w:eastAsiaTheme="minorEastAsia" w:hAnsi="Arial" w:cs="Arial"/>
              <w:noProof/>
              <w:sz w:val="22"/>
              <w:szCs w:val="22"/>
              <w:lang w:val="en-IN"/>
            </w:rPr>
          </w:pPr>
          <w:hyperlink w:anchor="_Toc234622517" w:history="1">
            <w:r w:rsidRPr="004453B4">
              <w:rPr>
                <w:rStyle w:val="Hyperlink"/>
                <w:rFonts w:ascii="Arial" w:hAnsi="Arial" w:cs="Arial"/>
                <w:noProof/>
              </w:rPr>
              <w:t>4.1.2 Critical Evaluation of AI Outputs</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_Toc234622517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11</w:t>
            </w:r>
            <w:r w:rsidRPr="004453B4">
              <w:rPr>
                <w:rFonts w:ascii="Arial" w:hAnsi="Arial" w:cs="Arial"/>
                <w:noProof/>
                <w:webHidden/>
              </w:rPr>
              <w:fldChar w:fldCharType="end"/>
            </w:r>
          </w:hyperlink>
        </w:p>
        <w:p w14:paraId="18BB25FB" w14:textId="4B015A16" w:rsidR="004453B4" w:rsidRPr="004453B4" w:rsidRDefault="004453B4" w:rsidP="004453B4">
          <w:pPr>
            <w:pStyle w:val="TOC3"/>
            <w:tabs>
              <w:tab w:val="right" w:leader="dot" w:pos="9016"/>
            </w:tabs>
            <w:rPr>
              <w:rFonts w:ascii="Arial" w:eastAsiaTheme="minorEastAsia" w:hAnsi="Arial" w:cs="Arial"/>
              <w:noProof/>
              <w:sz w:val="22"/>
              <w:szCs w:val="22"/>
              <w:lang w:val="en-IN"/>
            </w:rPr>
          </w:pPr>
          <w:hyperlink w:anchor="_Toc234622518" w:history="1">
            <w:r w:rsidRPr="004453B4">
              <w:rPr>
                <w:rStyle w:val="Hyperlink"/>
                <w:rFonts w:ascii="Arial" w:hAnsi="Arial" w:cs="Arial"/>
                <w:noProof/>
              </w:rPr>
              <w:t>4.1.3 Contribution Analysis</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_Toc234622518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12</w:t>
            </w:r>
            <w:r w:rsidRPr="004453B4">
              <w:rPr>
                <w:rFonts w:ascii="Arial" w:hAnsi="Arial" w:cs="Arial"/>
                <w:noProof/>
                <w:webHidden/>
              </w:rPr>
              <w:fldChar w:fldCharType="end"/>
            </w:r>
          </w:hyperlink>
        </w:p>
        <w:p w14:paraId="5EACC4CE" w14:textId="54400DB7" w:rsidR="004453B4" w:rsidRPr="004453B4" w:rsidRDefault="004453B4" w:rsidP="004453B4">
          <w:pPr>
            <w:pStyle w:val="TOC3"/>
            <w:tabs>
              <w:tab w:val="right" w:leader="dot" w:pos="9016"/>
            </w:tabs>
            <w:rPr>
              <w:rFonts w:ascii="Arial" w:eastAsiaTheme="minorEastAsia" w:hAnsi="Arial" w:cs="Arial"/>
              <w:noProof/>
              <w:sz w:val="22"/>
              <w:szCs w:val="22"/>
              <w:lang w:val="en-IN"/>
            </w:rPr>
          </w:pPr>
          <w:hyperlink w:anchor="_Toc234622519" w:history="1">
            <w:r w:rsidRPr="004453B4">
              <w:rPr>
                <w:rStyle w:val="Hyperlink"/>
                <w:rFonts w:ascii="Arial" w:hAnsi="Arial" w:cs="Arial"/>
                <w:noProof/>
              </w:rPr>
              <w:t>4.1.4 Ethical and Professional Reflection</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_Toc234622519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12</w:t>
            </w:r>
            <w:r w:rsidRPr="004453B4">
              <w:rPr>
                <w:rFonts w:ascii="Arial" w:hAnsi="Arial" w:cs="Arial"/>
                <w:noProof/>
                <w:webHidden/>
              </w:rPr>
              <w:fldChar w:fldCharType="end"/>
            </w:r>
          </w:hyperlink>
        </w:p>
        <w:p w14:paraId="2506FCA3" w14:textId="351EAA35" w:rsidR="004453B4" w:rsidRPr="004453B4" w:rsidRDefault="004453B4" w:rsidP="004453B4">
          <w:pPr>
            <w:pStyle w:val="TOC1"/>
            <w:tabs>
              <w:tab w:val="right" w:leader="dot" w:pos="9016"/>
            </w:tabs>
            <w:rPr>
              <w:rFonts w:ascii="Arial" w:eastAsiaTheme="minorEastAsia" w:hAnsi="Arial" w:cs="Arial"/>
              <w:noProof/>
              <w:sz w:val="22"/>
              <w:szCs w:val="22"/>
              <w:lang w:val="en-IN"/>
            </w:rPr>
          </w:pPr>
          <w:hyperlink w:anchor="_Toc234622520" w:history="1">
            <w:r w:rsidRPr="004453B4">
              <w:rPr>
                <w:rStyle w:val="Hyperlink"/>
                <w:rFonts w:ascii="Arial" w:hAnsi="Arial" w:cs="Arial"/>
                <w:noProof/>
              </w:rPr>
              <w:t>5. Conclusion</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_Toc234622520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13</w:t>
            </w:r>
            <w:r w:rsidRPr="004453B4">
              <w:rPr>
                <w:rFonts w:ascii="Arial" w:hAnsi="Arial" w:cs="Arial"/>
                <w:noProof/>
                <w:webHidden/>
              </w:rPr>
              <w:fldChar w:fldCharType="end"/>
            </w:r>
          </w:hyperlink>
        </w:p>
        <w:p w14:paraId="1816BEFA" w14:textId="7EF50E52" w:rsidR="004453B4" w:rsidRPr="004453B4" w:rsidRDefault="004453B4" w:rsidP="004453B4">
          <w:pPr>
            <w:pStyle w:val="TOC1"/>
            <w:tabs>
              <w:tab w:val="right" w:leader="dot" w:pos="9016"/>
            </w:tabs>
            <w:rPr>
              <w:rFonts w:ascii="Arial" w:eastAsiaTheme="minorEastAsia" w:hAnsi="Arial" w:cs="Arial"/>
              <w:noProof/>
              <w:sz w:val="22"/>
              <w:szCs w:val="22"/>
              <w:lang w:val="en-IN"/>
            </w:rPr>
          </w:pPr>
          <w:hyperlink w:anchor="_Toc234622521" w:history="1">
            <w:r w:rsidRPr="004453B4">
              <w:rPr>
                <w:rStyle w:val="Hyperlink"/>
                <w:rFonts w:ascii="Arial" w:hAnsi="Arial" w:cs="Arial"/>
                <w:noProof/>
              </w:rPr>
              <w:t>References</w:t>
            </w:r>
            <w:r w:rsidRPr="004453B4">
              <w:rPr>
                <w:rFonts w:ascii="Arial" w:hAnsi="Arial" w:cs="Arial"/>
                <w:noProof/>
                <w:webHidden/>
              </w:rPr>
              <w:tab/>
            </w:r>
            <w:r w:rsidRPr="004453B4">
              <w:rPr>
                <w:rFonts w:ascii="Arial" w:hAnsi="Arial" w:cs="Arial"/>
                <w:noProof/>
                <w:webHidden/>
              </w:rPr>
              <w:fldChar w:fldCharType="begin"/>
            </w:r>
            <w:r w:rsidRPr="004453B4">
              <w:rPr>
                <w:rFonts w:ascii="Arial" w:hAnsi="Arial" w:cs="Arial"/>
                <w:noProof/>
                <w:webHidden/>
              </w:rPr>
              <w:instrText xml:space="preserve"> PAGEREF _Toc234622521 \h </w:instrText>
            </w:r>
            <w:r w:rsidRPr="004453B4">
              <w:rPr>
                <w:rFonts w:ascii="Arial" w:hAnsi="Arial" w:cs="Arial"/>
                <w:noProof/>
                <w:webHidden/>
              </w:rPr>
            </w:r>
            <w:r w:rsidRPr="004453B4">
              <w:rPr>
                <w:rFonts w:ascii="Arial" w:hAnsi="Arial" w:cs="Arial"/>
                <w:noProof/>
                <w:webHidden/>
              </w:rPr>
              <w:fldChar w:fldCharType="separate"/>
            </w:r>
            <w:r w:rsidRPr="004453B4">
              <w:rPr>
                <w:rFonts w:ascii="Arial" w:hAnsi="Arial" w:cs="Arial"/>
                <w:noProof/>
                <w:webHidden/>
              </w:rPr>
              <w:t>14</w:t>
            </w:r>
            <w:r w:rsidRPr="004453B4">
              <w:rPr>
                <w:rFonts w:ascii="Arial" w:hAnsi="Arial" w:cs="Arial"/>
                <w:noProof/>
                <w:webHidden/>
              </w:rPr>
              <w:fldChar w:fldCharType="end"/>
            </w:r>
          </w:hyperlink>
        </w:p>
        <w:p w14:paraId="132B4901" w14:textId="3BA9346B" w:rsidR="00FC7C44" w:rsidRPr="00A43CB2" w:rsidRDefault="00FC7C44" w:rsidP="00A43CB2">
          <w:pPr>
            <w:rPr>
              <w:rFonts w:ascii="Arial" w:hAnsi="Arial" w:cs="Arial"/>
            </w:rPr>
          </w:pPr>
          <w:r w:rsidRPr="00A43CB2">
            <w:rPr>
              <w:rFonts w:ascii="Arial" w:hAnsi="Arial" w:cs="Arial"/>
              <w:b/>
              <w:bCs/>
              <w:noProof/>
            </w:rPr>
            <w:fldChar w:fldCharType="end"/>
          </w:r>
        </w:p>
      </w:sdtContent>
    </w:sdt>
    <w:p w14:paraId="410D5CAE" w14:textId="77777777" w:rsidR="00FC7C44" w:rsidRPr="00A43CB2" w:rsidRDefault="00FC7C44" w:rsidP="00A43CB2">
      <w:pPr>
        <w:rPr>
          <w:rFonts w:ascii="Arial" w:hAnsi="Arial" w:cs="Arial"/>
        </w:rPr>
      </w:pPr>
    </w:p>
    <w:p w14:paraId="53FA6FCD" w14:textId="77777777" w:rsidR="00FE432C" w:rsidRPr="00A43CB2" w:rsidRDefault="0027563E" w:rsidP="00A43CB2">
      <w:pPr>
        <w:rPr>
          <w:rFonts w:ascii="Arial" w:hAnsi="Arial" w:cs="Arial"/>
        </w:rPr>
      </w:pPr>
      <w:r w:rsidRPr="00A43CB2">
        <w:rPr>
          <w:rFonts w:ascii="Arial" w:hAnsi="Arial" w:cs="Arial"/>
        </w:rPr>
        <w:br w:type="page"/>
      </w:r>
    </w:p>
    <w:p w14:paraId="49A00023" w14:textId="77777777" w:rsidR="00FE432C" w:rsidRPr="004453B4" w:rsidRDefault="0027563E" w:rsidP="004453B4">
      <w:pPr>
        <w:pStyle w:val="Heading1"/>
        <w:rPr>
          <w:rFonts w:ascii="Arial" w:hAnsi="Arial" w:cs="Arial"/>
        </w:rPr>
      </w:pPr>
      <w:bookmarkStart w:id="3" w:name="_uk1bg8cah2k" w:colFirst="0" w:colLast="0"/>
      <w:bookmarkStart w:id="4" w:name="_Toc234622502"/>
      <w:bookmarkEnd w:id="3"/>
      <w:r w:rsidRPr="004453B4">
        <w:rPr>
          <w:rFonts w:ascii="Arial" w:hAnsi="Arial" w:cs="Arial"/>
        </w:rPr>
        <w:t>1. Introduction</w:t>
      </w:r>
      <w:bookmarkEnd w:id="4"/>
    </w:p>
    <w:p w14:paraId="1A321170" w14:textId="77777777" w:rsidR="00FE432C" w:rsidRPr="004453B4" w:rsidRDefault="0027563E" w:rsidP="004453B4">
      <w:pPr>
        <w:pStyle w:val="Heading2"/>
        <w:rPr>
          <w:rFonts w:ascii="Arial" w:hAnsi="Arial" w:cs="Arial"/>
        </w:rPr>
      </w:pPr>
      <w:bookmarkStart w:id="5" w:name="_s0shgyz2phgb" w:colFirst="0" w:colLast="0"/>
      <w:bookmarkStart w:id="6" w:name="_Toc234622503"/>
      <w:bookmarkEnd w:id="5"/>
      <w:r w:rsidRPr="004453B4">
        <w:rPr>
          <w:rFonts w:ascii="Arial" w:hAnsi="Arial" w:cs="Arial"/>
        </w:rPr>
        <w:t>1.1 Company Overview</w:t>
      </w:r>
      <w:bookmarkEnd w:id="6"/>
    </w:p>
    <w:p w14:paraId="0DD3BD8C" w14:textId="79AD7241" w:rsidR="00FE432C" w:rsidRPr="004453B4" w:rsidRDefault="0027563E" w:rsidP="004453B4">
      <w:pPr>
        <w:rPr>
          <w:rFonts w:ascii="Arial" w:hAnsi="Arial" w:cs="Arial"/>
        </w:rPr>
      </w:pPr>
      <w:r w:rsidRPr="004453B4">
        <w:rPr>
          <w:rFonts w:ascii="Arial" w:hAnsi="Arial" w:cs="Arial"/>
        </w:rPr>
        <w:t xml:space="preserve">Rio Tinto plc is one of the world's leading mining and metals companies </w:t>
      </w:r>
      <w:r w:rsidR="00A2626A">
        <w:rPr>
          <w:rFonts w:ascii="Arial" w:hAnsi="Arial" w:cs="Arial"/>
        </w:rPr>
        <w:t>that is</w:t>
      </w:r>
      <w:r w:rsidRPr="004453B4">
        <w:rPr>
          <w:rFonts w:ascii="Arial" w:hAnsi="Arial" w:cs="Arial"/>
        </w:rPr>
        <w:t xml:space="preserve"> </w:t>
      </w:r>
      <w:r w:rsidR="00A2626A">
        <w:rPr>
          <w:rFonts w:ascii="Arial" w:hAnsi="Arial" w:cs="Arial"/>
        </w:rPr>
        <w:t>into</w:t>
      </w:r>
      <w:r w:rsidRPr="004453B4">
        <w:rPr>
          <w:rFonts w:ascii="Arial" w:hAnsi="Arial" w:cs="Arial"/>
        </w:rPr>
        <w:t xml:space="preserve"> mining and producing essential metals like iron ore, aluminium, copper, lithium and titanium. </w:t>
      </w:r>
      <w:r w:rsidR="00A2626A">
        <w:rPr>
          <w:rFonts w:ascii="Arial" w:hAnsi="Arial" w:cs="Arial"/>
        </w:rPr>
        <w:t xml:space="preserve">It </w:t>
      </w:r>
      <w:r w:rsidR="00A2626A" w:rsidRPr="00A2626A">
        <w:rPr>
          <w:rFonts w:ascii="Arial" w:hAnsi="Arial" w:cs="Arial"/>
        </w:rPr>
        <w:t>operate</w:t>
      </w:r>
      <w:r w:rsidR="00A2626A">
        <w:rPr>
          <w:rFonts w:ascii="Arial" w:hAnsi="Arial" w:cs="Arial"/>
        </w:rPr>
        <w:t>s</w:t>
      </w:r>
      <w:r w:rsidR="00A2626A" w:rsidRPr="00A2626A">
        <w:rPr>
          <w:rFonts w:ascii="Arial" w:hAnsi="Arial" w:cs="Arial"/>
        </w:rPr>
        <w:t xml:space="preserve"> across 34 countries and 6 continents, where 61,000+ employees are working to find better ways to provide the materials the world needs</w:t>
      </w:r>
      <w:r w:rsidR="00A2626A">
        <w:rPr>
          <w:rFonts w:ascii="Arial" w:hAnsi="Arial" w:cs="Arial"/>
        </w:rPr>
        <w:t xml:space="preserve"> </w:t>
      </w:r>
      <w:r w:rsidR="00A2626A" w:rsidRPr="004453B4">
        <w:rPr>
          <w:rFonts w:ascii="Arial" w:hAnsi="Arial" w:cs="Arial"/>
        </w:rPr>
        <w:t>(Rio Tinto, 2026)</w:t>
      </w:r>
      <w:r w:rsidR="00A2626A" w:rsidRPr="00A2626A">
        <w:rPr>
          <w:rFonts w:ascii="Arial" w:hAnsi="Arial" w:cs="Arial"/>
        </w:rPr>
        <w:t xml:space="preserve">. </w:t>
      </w:r>
      <w:r w:rsidRPr="004453B4">
        <w:rPr>
          <w:rFonts w:ascii="Arial" w:hAnsi="Arial" w:cs="Arial"/>
        </w:rPr>
        <w:t xml:space="preserve">It has shifted its strategy to increasingly become part of the global energy transition with the minerals they deal: Copper and lithium for electric vehicles and renewable energy systems. Rio Tinto's technological innovation, operational efficiency and its position as a globally strong company actively contribute to economic development and the challenges associated with environmental and sustainability issues (Rio Tinto, 2026). </w:t>
      </w:r>
    </w:p>
    <w:p w14:paraId="0F1B5EC2" w14:textId="77777777" w:rsidR="00FE432C" w:rsidRPr="004453B4" w:rsidRDefault="0027563E" w:rsidP="004453B4">
      <w:pPr>
        <w:pStyle w:val="Heading2"/>
        <w:rPr>
          <w:rFonts w:ascii="Arial" w:hAnsi="Arial" w:cs="Arial"/>
        </w:rPr>
      </w:pPr>
      <w:bookmarkStart w:id="7" w:name="_q0jdos3dwrwx" w:colFirst="0" w:colLast="0"/>
      <w:bookmarkStart w:id="8" w:name="_Toc234622504"/>
      <w:bookmarkEnd w:id="7"/>
      <w:r w:rsidRPr="004453B4">
        <w:rPr>
          <w:rFonts w:ascii="Arial" w:hAnsi="Arial" w:cs="Arial"/>
        </w:rPr>
        <w:t>1.2 Sustainability Context</w:t>
      </w:r>
      <w:bookmarkEnd w:id="8"/>
    </w:p>
    <w:p w14:paraId="280EE31D" w14:textId="1EB216D4" w:rsidR="00FE432C" w:rsidRPr="004453B4" w:rsidRDefault="0027563E" w:rsidP="004453B4">
      <w:pPr>
        <w:rPr>
          <w:rFonts w:ascii="Arial" w:hAnsi="Arial" w:cs="Arial"/>
        </w:rPr>
      </w:pPr>
      <w:r w:rsidRPr="004453B4">
        <w:rPr>
          <w:rFonts w:ascii="Arial" w:hAnsi="Arial" w:cs="Arial"/>
        </w:rPr>
        <w:t xml:space="preserve">The growing demand for more carbon-friendly products and more responsive mining operations has placed sustainability as a strategic focus for the sector. Regulatory, investor and stakeholder expectations have increased as a positive development that saw mining companies re-recognising the value of incorporating ESG principles into their long-term strategies. Firms in the energy sector are increasingly framing the extraction of resources </w:t>
      </w:r>
      <w:r w:rsidR="00A2626A">
        <w:rPr>
          <w:rFonts w:ascii="Arial" w:hAnsi="Arial" w:cs="Arial"/>
        </w:rPr>
        <w:t>for</w:t>
      </w:r>
      <w:r w:rsidRPr="004453B4">
        <w:rPr>
          <w:rFonts w:ascii="Arial" w:hAnsi="Arial" w:cs="Arial"/>
        </w:rPr>
        <w:t xml:space="preserve"> contribut</w:t>
      </w:r>
      <w:r w:rsidR="00A2626A">
        <w:rPr>
          <w:rFonts w:ascii="Arial" w:hAnsi="Arial" w:cs="Arial"/>
        </w:rPr>
        <w:t>ing</w:t>
      </w:r>
      <w:r w:rsidRPr="004453B4">
        <w:rPr>
          <w:rFonts w:ascii="Arial" w:hAnsi="Arial" w:cs="Arial"/>
        </w:rPr>
        <w:t xml:space="preserve"> to energy transition and the achievement of sustainable development objectives (Dunlap et al. 2025). As a result, Rio has been wagering on low-carbon aluminium manufacturing, renewable energy and vast supplies of minerals vital to electrification. The company's opportunity is represented by these developments, but these also need to be compatible with environmental responsibility, which also has to be balanced with commercial goals.</w:t>
      </w:r>
      <w:r w:rsidR="00A2626A">
        <w:rPr>
          <w:rFonts w:ascii="Arial" w:hAnsi="Arial" w:cs="Arial"/>
        </w:rPr>
        <w:t xml:space="preserve"> </w:t>
      </w:r>
      <w:r w:rsidR="00A2626A" w:rsidRPr="004453B4">
        <w:rPr>
          <w:rFonts w:ascii="Arial" w:hAnsi="Arial" w:cs="Arial"/>
        </w:rPr>
        <w:t>Rio Tinto</w:t>
      </w:r>
      <w:r w:rsidR="00A2626A" w:rsidRPr="00A2626A">
        <w:rPr>
          <w:rFonts w:ascii="Arial" w:hAnsi="Arial" w:cs="Arial"/>
        </w:rPr>
        <w:t xml:space="preserve"> </w:t>
      </w:r>
      <w:r w:rsidR="00A2626A">
        <w:rPr>
          <w:rFonts w:ascii="Arial" w:hAnsi="Arial" w:cs="Arial"/>
        </w:rPr>
        <w:t xml:space="preserve">is </w:t>
      </w:r>
      <w:r w:rsidR="00A2626A" w:rsidRPr="00A2626A">
        <w:rPr>
          <w:rFonts w:ascii="Arial" w:hAnsi="Arial" w:cs="Arial"/>
        </w:rPr>
        <w:t xml:space="preserve">focused on keeping </w:t>
      </w:r>
      <w:r w:rsidR="00A2626A">
        <w:rPr>
          <w:rFonts w:ascii="Arial" w:hAnsi="Arial" w:cs="Arial"/>
        </w:rPr>
        <w:t>its</w:t>
      </w:r>
      <w:r w:rsidR="00A2626A" w:rsidRPr="00A2626A">
        <w:rPr>
          <w:rFonts w:ascii="Arial" w:hAnsi="Arial" w:cs="Arial"/>
        </w:rPr>
        <w:t xml:space="preserve"> people safe, while running and delivering world</w:t>
      </w:r>
      <w:r w:rsidR="00A2626A" w:rsidRPr="00A2626A">
        <w:rPr>
          <w:rFonts w:ascii="Cambria Math" w:hAnsi="Cambria Math" w:cs="Cambria Math"/>
        </w:rPr>
        <w:t>‑</w:t>
      </w:r>
      <w:r w:rsidR="00A2626A" w:rsidRPr="00A2626A">
        <w:rPr>
          <w:rFonts w:ascii="Arial" w:hAnsi="Arial" w:cs="Arial"/>
        </w:rPr>
        <w:t xml:space="preserve">class operations and projects </w:t>
      </w:r>
      <w:r w:rsidR="00A2626A" w:rsidRPr="004453B4">
        <w:rPr>
          <w:rFonts w:ascii="Arial" w:hAnsi="Arial" w:cs="Arial"/>
        </w:rPr>
        <w:t>(Rio Tinto, 2026)</w:t>
      </w:r>
      <w:r w:rsidR="00A2626A" w:rsidRPr="00A2626A">
        <w:rPr>
          <w:rFonts w:ascii="Arial" w:hAnsi="Arial" w:cs="Arial"/>
        </w:rPr>
        <w:t>.</w:t>
      </w:r>
    </w:p>
    <w:p w14:paraId="254542BE" w14:textId="77777777" w:rsidR="00292C6D" w:rsidRPr="004453B4" w:rsidRDefault="00292C6D" w:rsidP="004453B4">
      <w:pPr>
        <w:rPr>
          <w:rFonts w:ascii="Arial" w:hAnsi="Arial" w:cs="Arial"/>
        </w:rPr>
      </w:pPr>
    </w:p>
    <w:p w14:paraId="5E2B9092" w14:textId="77777777" w:rsidR="00FE432C" w:rsidRPr="004453B4" w:rsidRDefault="0027563E" w:rsidP="004453B4">
      <w:pPr>
        <w:pStyle w:val="Heading1"/>
        <w:rPr>
          <w:rFonts w:ascii="Arial" w:hAnsi="Arial" w:cs="Arial"/>
        </w:rPr>
      </w:pPr>
      <w:bookmarkStart w:id="9" w:name="_upggoykygon6" w:colFirst="0" w:colLast="0"/>
      <w:bookmarkStart w:id="10" w:name="_Toc234622505"/>
      <w:bookmarkEnd w:id="9"/>
      <w:r w:rsidRPr="004453B4">
        <w:rPr>
          <w:rFonts w:ascii="Arial" w:hAnsi="Arial" w:cs="Arial"/>
        </w:rPr>
        <w:t>2. Task 1: Marketing Environment Analysis</w:t>
      </w:r>
      <w:bookmarkEnd w:id="10"/>
    </w:p>
    <w:p w14:paraId="4856245B" w14:textId="77777777" w:rsidR="00FE432C" w:rsidRPr="004453B4" w:rsidRDefault="0027563E" w:rsidP="004453B4">
      <w:pPr>
        <w:pStyle w:val="Heading2"/>
        <w:rPr>
          <w:rFonts w:ascii="Arial" w:hAnsi="Arial" w:cs="Arial"/>
        </w:rPr>
      </w:pPr>
      <w:bookmarkStart w:id="11" w:name="_jmt5qt39jq1" w:colFirst="0" w:colLast="0"/>
      <w:bookmarkStart w:id="12" w:name="_Toc234622506"/>
      <w:bookmarkEnd w:id="11"/>
      <w:r w:rsidRPr="004453B4">
        <w:rPr>
          <w:rFonts w:ascii="Arial" w:hAnsi="Arial" w:cs="Arial"/>
        </w:rPr>
        <w:t>2.1 External Marketing Environment Analysis</w:t>
      </w:r>
      <w:bookmarkEnd w:id="12"/>
    </w:p>
    <w:tbl>
      <w:tblPr>
        <w:tblStyle w:val="a"/>
        <w:tblW w:w="936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805"/>
        <w:gridCol w:w="2945"/>
        <w:gridCol w:w="4610"/>
      </w:tblGrid>
      <w:tr w:rsidR="00FE432C" w:rsidRPr="004453B4" w14:paraId="7F31C0D8" w14:textId="77777777" w:rsidTr="00C05C35">
        <w:trPr>
          <w:trHeight w:val="500"/>
          <w:jc w:val="center"/>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BD7F71" w14:textId="77777777" w:rsidR="00FE432C" w:rsidRPr="004453B4" w:rsidRDefault="0027563E" w:rsidP="004453B4">
            <w:pPr>
              <w:jc w:val="center"/>
              <w:rPr>
                <w:rFonts w:ascii="Arial" w:hAnsi="Arial" w:cs="Arial"/>
              </w:rPr>
            </w:pPr>
            <w:r w:rsidRPr="004453B4">
              <w:rPr>
                <w:rFonts w:ascii="Arial" w:hAnsi="Arial" w:cs="Arial"/>
                <w:b/>
                <w:bCs/>
              </w:rPr>
              <w:t>Indicator</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ED75D" w14:textId="77777777" w:rsidR="00FE432C" w:rsidRPr="004453B4" w:rsidRDefault="0027563E" w:rsidP="004453B4">
            <w:pPr>
              <w:jc w:val="center"/>
              <w:rPr>
                <w:rFonts w:ascii="Arial" w:hAnsi="Arial" w:cs="Arial"/>
              </w:rPr>
            </w:pPr>
            <w:r w:rsidRPr="004453B4">
              <w:rPr>
                <w:rFonts w:ascii="Arial" w:hAnsi="Arial" w:cs="Arial"/>
                <w:b/>
                <w:bCs/>
              </w:rPr>
              <w:t>Value</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28BEEF" w14:textId="77777777" w:rsidR="00FE432C" w:rsidRPr="004453B4" w:rsidRDefault="0027563E" w:rsidP="004453B4">
            <w:pPr>
              <w:jc w:val="center"/>
              <w:rPr>
                <w:rFonts w:ascii="Arial" w:hAnsi="Arial" w:cs="Arial"/>
              </w:rPr>
            </w:pPr>
            <w:r w:rsidRPr="004453B4">
              <w:rPr>
                <w:rFonts w:ascii="Arial" w:hAnsi="Arial" w:cs="Arial"/>
                <w:b/>
                <w:bCs/>
              </w:rPr>
              <w:t>Strategic Relevance</w:t>
            </w:r>
          </w:p>
        </w:tc>
      </w:tr>
      <w:tr w:rsidR="00FE432C" w:rsidRPr="004453B4" w14:paraId="447C7AF9" w14:textId="77777777" w:rsidTr="00C05C35">
        <w:trPr>
          <w:trHeight w:val="1040"/>
          <w:jc w:val="center"/>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C01F7F" w14:textId="77777777" w:rsidR="00FE432C" w:rsidRPr="004453B4" w:rsidRDefault="0027563E" w:rsidP="004453B4">
            <w:pPr>
              <w:rPr>
                <w:rFonts w:ascii="Arial" w:hAnsi="Arial" w:cs="Arial"/>
              </w:rPr>
            </w:pPr>
            <w:r w:rsidRPr="004453B4">
              <w:rPr>
                <w:rFonts w:ascii="Arial" w:hAnsi="Arial" w:cs="Arial"/>
              </w:rPr>
              <w:t>Market Capitalisation</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851CE3" w14:textId="77777777" w:rsidR="00FE432C" w:rsidRPr="004453B4" w:rsidRDefault="0027563E" w:rsidP="004453B4">
            <w:pPr>
              <w:rPr>
                <w:rFonts w:ascii="Arial" w:hAnsi="Arial" w:cs="Arial"/>
              </w:rPr>
            </w:pPr>
            <w:r w:rsidRPr="004453B4">
              <w:rPr>
                <w:rFonts w:ascii="Arial" w:hAnsi="Arial" w:cs="Arial"/>
              </w:rPr>
              <w:t>US$101.5 Billion (YF, 2026)</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B1EA77" w14:textId="77777777" w:rsidR="00FE432C" w:rsidRPr="004453B4" w:rsidRDefault="0027563E" w:rsidP="004453B4">
            <w:pPr>
              <w:rPr>
                <w:rFonts w:ascii="Arial" w:hAnsi="Arial" w:cs="Arial"/>
              </w:rPr>
            </w:pPr>
            <w:r w:rsidRPr="004453B4">
              <w:rPr>
                <w:rFonts w:ascii="Arial" w:hAnsi="Arial" w:cs="Arial"/>
              </w:rPr>
              <w:t>Demonstrates Rio Tinto's strong global market position and capacity to invest in low-carbon technologies.</w:t>
            </w:r>
          </w:p>
        </w:tc>
      </w:tr>
      <w:tr w:rsidR="00FE432C" w:rsidRPr="004453B4" w14:paraId="4714FD40" w14:textId="77777777" w:rsidTr="00C05C35">
        <w:trPr>
          <w:trHeight w:val="770"/>
          <w:jc w:val="center"/>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866E95" w14:textId="77777777" w:rsidR="00FE432C" w:rsidRPr="004453B4" w:rsidRDefault="0027563E" w:rsidP="004453B4">
            <w:pPr>
              <w:rPr>
                <w:rFonts w:ascii="Arial" w:hAnsi="Arial" w:cs="Arial"/>
              </w:rPr>
            </w:pPr>
            <w:r w:rsidRPr="004453B4">
              <w:rPr>
                <w:rFonts w:ascii="Arial" w:hAnsi="Arial" w:cs="Arial"/>
              </w:rPr>
              <w:t>Annual Revenue</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4D446A" w14:textId="77777777" w:rsidR="00FE432C" w:rsidRPr="004453B4" w:rsidRDefault="0027563E" w:rsidP="004453B4">
            <w:pPr>
              <w:rPr>
                <w:rFonts w:ascii="Arial" w:hAnsi="Arial" w:cs="Arial"/>
              </w:rPr>
            </w:pPr>
            <w:r w:rsidRPr="004453B4">
              <w:rPr>
                <w:rFonts w:ascii="Arial" w:hAnsi="Arial" w:cs="Arial"/>
              </w:rPr>
              <w:t>US$53.7 Billion (GD, 2025)</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465AC5" w14:textId="77777777" w:rsidR="00FE432C" w:rsidRPr="004453B4" w:rsidRDefault="0027563E" w:rsidP="004453B4">
            <w:pPr>
              <w:rPr>
                <w:rFonts w:ascii="Arial" w:hAnsi="Arial" w:cs="Arial"/>
              </w:rPr>
            </w:pPr>
            <w:r w:rsidRPr="004453B4">
              <w:rPr>
                <w:rFonts w:ascii="Arial" w:hAnsi="Arial" w:cs="Arial"/>
              </w:rPr>
              <w:t>Provides financial resources for renewable energy and decarbonisation initiatives.</w:t>
            </w:r>
          </w:p>
        </w:tc>
      </w:tr>
      <w:tr w:rsidR="00FE432C" w:rsidRPr="004453B4" w14:paraId="4C860E58" w14:textId="77777777" w:rsidTr="00C05C35">
        <w:trPr>
          <w:trHeight w:val="770"/>
          <w:jc w:val="center"/>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44573F" w14:textId="77777777" w:rsidR="00FE432C" w:rsidRPr="004453B4" w:rsidRDefault="0027563E" w:rsidP="004453B4">
            <w:pPr>
              <w:rPr>
                <w:rFonts w:ascii="Arial" w:hAnsi="Arial" w:cs="Arial"/>
              </w:rPr>
            </w:pPr>
            <w:r w:rsidRPr="004453B4">
              <w:rPr>
                <w:rFonts w:ascii="Arial" w:hAnsi="Arial" w:cs="Arial"/>
              </w:rPr>
              <w:t>Employees</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D3BAF1" w14:textId="77777777" w:rsidR="00FE432C" w:rsidRPr="004453B4" w:rsidRDefault="0027563E" w:rsidP="004453B4">
            <w:pPr>
              <w:rPr>
                <w:rFonts w:ascii="Arial" w:hAnsi="Arial" w:cs="Arial"/>
              </w:rPr>
            </w:pPr>
            <w:r w:rsidRPr="004453B4">
              <w:rPr>
                <w:rFonts w:ascii="Arial" w:hAnsi="Arial" w:cs="Arial"/>
              </w:rPr>
              <w:t>Approximately 60,000 (Rio Tinto, 2026)</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B78C16" w14:textId="77777777" w:rsidR="00FE432C" w:rsidRPr="004453B4" w:rsidRDefault="0027563E" w:rsidP="004453B4">
            <w:pPr>
              <w:rPr>
                <w:rFonts w:ascii="Arial" w:hAnsi="Arial" w:cs="Arial"/>
              </w:rPr>
            </w:pPr>
            <w:r w:rsidRPr="004453B4">
              <w:rPr>
                <w:rFonts w:ascii="Arial" w:hAnsi="Arial" w:cs="Arial"/>
              </w:rPr>
              <w:t>Large workforce influences sustainability implementation across global operations.</w:t>
            </w:r>
          </w:p>
        </w:tc>
      </w:tr>
      <w:tr w:rsidR="00FE432C" w:rsidRPr="004453B4" w14:paraId="7B1D9F9E" w14:textId="77777777" w:rsidTr="00C05C35">
        <w:trPr>
          <w:trHeight w:val="770"/>
          <w:jc w:val="center"/>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E1249A" w14:textId="77777777" w:rsidR="00FE432C" w:rsidRPr="004453B4" w:rsidRDefault="0027563E" w:rsidP="004453B4">
            <w:pPr>
              <w:rPr>
                <w:rFonts w:ascii="Arial" w:hAnsi="Arial" w:cs="Arial"/>
              </w:rPr>
            </w:pPr>
            <w:r w:rsidRPr="004453B4">
              <w:rPr>
                <w:rFonts w:ascii="Arial" w:hAnsi="Arial" w:cs="Arial"/>
              </w:rPr>
              <w:t>Operating Countries</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461198" w14:textId="77777777" w:rsidR="00FE432C" w:rsidRPr="004453B4" w:rsidRDefault="0027563E" w:rsidP="004453B4">
            <w:pPr>
              <w:rPr>
                <w:rFonts w:ascii="Arial" w:hAnsi="Arial" w:cs="Arial"/>
              </w:rPr>
            </w:pPr>
            <w:r w:rsidRPr="004453B4">
              <w:rPr>
                <w:rFonts w:ascii="Arial" w:hAnsi="Arial" w:cs="Arial"/>
              </w:rPr>
              <w:t>More than 35 countries (GD, 2025)</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1DD268" w14:textId="77777777" w:rsidR="00FE432C" w:rsidRPr="004453B4" w:rsidRDefault="0027563E" w:rsidP="004453B4">
            <w:pPr>
              <w:rPr>
                <w:rFonts w:ascii="Arial" w:hAnsi="Arial" w:cs="Arial"/>
              </w:rPr>
            </w:pPr>
            <w:r w:rsidRPr="004453B4">
              <w:rPr>
                <w:rFonts w:ascii="Arial" w:hAnsi="Arial" w:cs="Arial"/>
              </w:rPr>
              <w:t>Exposure to diverse environmental regulations and stakeholder expectations.</w:t>
            </w:r>
          </w:p>
        </w:tc>
      </w:tr>
      <w:tr w:rsidR="00FE432C" w:rsidRPr="004453B4" w14:paraId="76EA4F5A" w14:textId="77777777" w:rsidTr="00C05C35">
        <w:trPr>
          <w:trHeight w:val="1040"/>
          <w:jc w:val="center"/>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81674F" w14:textId="77777777" w:rsidR="00FE432C" w:rsidRPr="004453B4" w:rsidRDefault="0027563E" w:rsidP="004453B4">
            <w:pPr>
              <w:rPr>
                <w:rFonts w:ascii="Arial" w:hAnsi="Arial" w:cs="Arial"/>
              </w:rPr>
            </w:pPr>
            <w:r w:rsidRPr="004453B4">
              <w:rPr>
                <w:rFonts w:ascii="Arial" w:hAnsi="Arial" w:cs="Arial"/>
              </w:rPr>
              <w:t>Core Commodities</w:t>
            </w:r>
          </w:p>
        </w:tc>
        <w:tc>
          <w:tcPr>
            <w:tcW w:w="2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6525BB" w14:textId="77777777" w:rsidR="00FE432C" w:rsidRPr="004453B4" w:rsidRDefault="0027563E" w:rsidP="004453B4">
            <w:pPr>
              <w:rPr>
                <w:rFonts w:ascii="Arial" w:hAnsi="Arial" w:cs="Arial"/>
              </w:rPr>
            </w:pPr>
            <w:r w:rsidRPr="004453B4">
              <w:rPr>
                <w:rFonts w:ascii="Arial" w:hAnsi="Arial" w:cs="Arial"/>
              </w:rPr>
              <w:t>Iron Ore, Aluminium, Copper and Lithium.</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653D37" w14:textId="77777777" w:rsidR="00FE432C" w:rsidRPr="004453B4" w:rsidRDefault="0027563E" w:rsidP="004453B4">
            <w:pPr>
              <w:rPr>
                <w:rFonts w:ascii="Arial" w:hAnsi="Arial" w:cs="Arial"/>
              </w:rPr>
            </w:pPr>
            <w:r w:rsidRPr="004453B4">
              <w:rPr>
                <w:rFonts w:ascii="Arial" w:hAnsi="Arial" w:cs="Arial"/>
              </w:rPr>
              <w:t>Critical minerals supporting global energy transition and electrification.</w:t>
            </w:r>
          </w:p>
        </w:tc>
      </w:tr>
    </w:tbl>
    <w:p w14:paraId="15F330F3" w14:textId="77777777" w:rsidR="00FE432C" w:rsidRPr="004453B4" w:rsidRDefault="0027563E" w:rsidP="004453B4">
      <w:pPr>
        <w:jc w:val="center"/>
        <w:rPr>
          <w:rFonts w:ascii="Arial" w:hAnsi="Arial" w:cs="Arial"/>
          <w:b/>
          <w:bCs/>
        </w:rPr>
      </w:pPr>
      <w:r w:rsidRPr="004453B4">
        <w:rPr>
          <w:rFonts w:ascii="Arial" w:hAnsi="Arial" w:cs="Arial"/>
          <w:b/>
          <w:bCs/>
        </w:rPr>
        <w:t>Table 1: Rio Tinto plc Corporate Profile and Sustainability Context</w:t>
      </w:r>
    </w:p>
    <w:p w14:paraId="2DA99A7E" w14:textId="5AA03715" w:rsidR="00FE432C" w:rsidRPr="004453B4" w:rsidRDefault="00545892" w:rsidP="004453B4">
      <w:pPr>
        <w:rPr>
          <w:rFonts w:ascii="Arial" w:hAnsi="Arial" w:cs="Arial"/>
        </w:rPr>
      </w:pPr>
      <w:r w:rsidRPr="004453B4">
        <w:rPr>
          <w:rFonts w:ascii="Arial" w:hAnsi="Arial" w:cs="Arial"/>
          <w:color w:val="000000" w:themeColor="text1"/>
        </w:rPr>
        <w:t xml:space="preserve">The external environment is highly dynamic, characterized by robust customers' demand for critical minerals and sustainability considerations. The organisation also has a high presence on the world </w:t>
      </w:r>
      <w:r w:rsidR="005D6C3D" w:rsidRPr="004453B4">
        <w:rPr>
          <w:rFonts w:ascii="Arial" w:hAnsi="Arial" w:cs="Arial"/>
          <w:color w:val="000000" w:themeColor="text1"/>
        </w:rPr>
        <w:t>market</w:t>
      </w:r>
      <w:r w:rsidRPr="004453B4">
        <w:rPr>
          <w:rFonts w:ascii="Arial" w:hAnsi="Arial" w:cs="Arial"/>
          <w:color w:val="000000" w:themeColor="text1"/>
        </w:rPr>
        <w:t xml:space="preserve"> which means the company is exposed to different laws and environmental </w:t>
      </w:r>
      <w:r w:rsidR="005D6C3D" w:rsidRPr="004453B4">
        <w:rPr>
          <w:rFonts w:ascii="Arial" w:hAnsi="Arial" w:cs="Arial"/>
          <w:color w:val="000000" w:themeColor="text1"/>
        </w:rPr>
        <w:t>requirements</w:t>
      </w:r>
      <w:r w:rsidRPr="004453B4">
        <w:rPr>
          <w:rFonts w:ascii="Arial" w:hAnsi="Arial" w:cs="Arial"/>
          <w:color w:val="000000" w:themeColor="text1"/>
        </w:rPr>
        <w:t xml:space="preserve"> and that external environmental analysis can be used as a tool in strategic decision-making. The old business models of mining companies, the inclusion of sustainability-related goals and diversification strategies, and the necessity for relevance in the context of a global energy transition (Kustra et al. 2025). Its large-scale operations and business model geared towards critical minerals put the Company in a favourable position for the development of low-carbon </w:t>
      </w:r>
      <w:r w:rsidRPr="004453B4">
        <w:rPr>
          <w:rFonts w:ascii="Arial" w:hAnsi="Arial" w:cs="Arial"/>
        </w:rPr>
        <w:t>value chains and make it more vulnerable to environmental and regulatory scrutiny.</w:t>
      </w:r>
    </w:p>
    <w:p w14:paraId="5E98A0CC" w14:textId="48427531" w:rsidR="00FE432C" w:rsidRPr="004453B4" w:rsidRDefault="005D6C3D" w:rsidP="004453B4">
      <w:pPr>
        <w:pStyle w:val="Heading3"/>
        <w:rPr>
          <w:rFonts w:ascii="Arial" w:hAnsi="Arial" w:cs="Arial"/>
        </w:rPr>
      </w:pPr>
      <w:bookmarkStart w:id="13" w:name="_y8y59gurwmx7" w:colFirst="0" w:colLast="0"/>
      <w:bookmarkStart w:id="14" w:name="_Toc234622507"/>
      <w:bookmarkEnd w:id="13"/>
      <w:r w:rsidRPr="004453B4">
        <w:rPr>
          <w:rFonts w:ascii="Arial" w:hAnsi="Arial" w:cs="Arial"/>
        </w:rPr>
        <w:t>2.1.1 Natural Environment Analysis</w:t>
      </w:r>
      <w:bookmarkEnd w:id="14"/>
    </w:p>
    <w:tbl>
      <w:tblPr>
        <w:tblStyle w:val="a0"/>
        <w:tblW w:w="9359"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833"/>
        <w:gridCol w:w="3260"/>
        <w:gridCol w:w="4266"/>
      </w:tblGrid>
      <w:tr w:rsidR="00FE432C" w:rsidRPr="004453B4" w14:paraId="15845AC7" w14:textId="77777777" w:rsidTr="00292C6D">
        <w:trPr>
          <w:trHeight w:val="770"/>
          <w:jc w:val="center"/>
        </w:trPr>
        <w:tc>
          <w:tcPr>
            <w:tcW w:w="1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5DA7D3" w14:textId="77777777" w:rsidR="00FE432C" w:rsidRPr="004453B4" w:rsidRDefault="0027563E" w:rsidP="004453B4">
            <w:pPr>
              <w:jc w:val="center"/>
              <w:rPr>
                <w:rFonts w:ascii="Arial" w:hAnsi="Arial" w:cs="Arial"/>
              </w:rPr>
            </w:pPr>
            <w:r w:rsidRPr="004453B4">
              <w:rPr>
                <w:rFonts w:ascii="Arial" w:hAnsi="Arial" w:cs="Arial"/>
                <w:b/>
                <w:bCs/>
              </w:rPr>
              <w:t>Environmental Indicator</w:t>
            </w:r>
          </w:p>
        </w:tc>
        <w:tc>
          <w:tcPr>
            <w:tcW w:w="3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FC0AD7" w14:textId="77777777" w:rsidR="00FE432C" w:rsidRPr="004453B4" w:rsidRDefault="0027563E" w:rsidP="004453B4">
            <w:pPr>
              <w:jc w:val="center"/>
              <w:rPr>
                <w:rFonts w:ascii="Arial" w:hAnsi="Arial" w:cs="Arial"/>
              </w:rPr>
            </w:pPr>
            <w:r w:rsidRPr="004453B4">
              <w:rPr>
                <w:rFonts w:ascii="Arial" w:hAnsi="Arial" w:cs="Arial"/>
                <w:b/>
                <w:bCs/>
              </w:rPr>
              <w:t>Numerical Data</w:t>
            </w:r>
          </w:p>
        </w:tc>
        <w:tc>
          <w:tcPr>
            <w:tcW w:w="4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38B4FF" w14:textId="77777777" w:rsidR="00FE432C" w:rsidRPr="004453B4" w:rsidRDefault="0027563E" w:rsidP="004453B4">
            <w:pPr>
              <w:jc w:val="center"/>
              <w:rPr>
                <w:rFonts w:ascii="Arial" w:hAnsi="Arial" w:cs="Arial"/>
              </w:rPr>
            </w:pPr>
            <w:r w:rsidRPr="004453B4">
              <w:rPr>
                <w:rFonts w:ascii="Arial" w:hAnsi="Arial" w:cs="Arial"/>
                <w:b/>
                <w:bCs/>
              </w:rPr>
              <w:t>Implications for Rio Tinto</w:t>
            </w:r>
          </w:p>
        </w:tc>
      </w:tr>
      <w:tr w:rsidR="00FE432C" w:rsidRPr="004453B4" w14:paraId="5713ECBC" w14:textId="77777777" w:rsidTr="00292C6D">
        <w:trPr>
          <w:trHeight w:val="1325"/>
          <w:jc w:val="center"/>
        </w:trPr>
        <w:tc>
          <w:tcPr>
            <w:tcW w:w="1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9B4A5B" w14:textId="77777777" w:rsidR="00FE432C" w:rsidRPr="004453B4" w:rsidRDefault="0027563E" w:rsidP="004453B4">
            <w:pPr>
              <w:rPr>
                <w:rFonts w:ascii="Arial" w:hAnsi="Arial" w:cs="Arial"/>
              </w:rPr>
            </w:pPr>
            <w:r w:rsidRPr="004453B4">
              <w:rPr>
                <w:rFonts w:ascii="Arial" w:hAnsi="Arial" w:cs="Arial"/>
              </w:rPr>
              <w:t>Net Income (2024)</w:t>
            </w:r>
          </w:p>
        </w:tc>
        <w:tc>
          <w:tcPr>
            <w:tcW w:w="3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80322B" w14:textId="45B6C0DD" w:rsidR="00FE432C" w:rsidRPr="004453B4" w:rsidRDefault="0027563E" w:rsidP="004453B4">
            <w:pPr>
              <w:rPr>
                <w:rFonts w:ascii="Arial" w:hAnsi="Arial" w:cs="Arial"/>
              </w:rPr>
            </w:pPr>
            <w:r w:rsidRPr="004453B4">
              <w:rPr>
                <w:rFonts w:ascii="Arial" w:hAnsi="Arial" w:cs="Arial"/>
              </w:rPr>
              <w:t xml:space="preserve">US$11.55 </w:t>
            </w:r>
            <w:r w:rsidR="00A2626A">
              <w:rPr>
                <w:rFonts w:ascii="Arial" w:hAnsi="Arial" w:cs="Arial"/>
              </w:rPr>
              <w:t>b</w:t>
            </w:r>
            <w:r w:rsidR="00A2626A" w:rsidRPr="004453B4">
              <w:rPr>
                <w:rFonts w:ascii="Arial" w:hAnsi="Arial" w:cs="Arial"/>
              </w:rPr>
              <w:t xml:space="preserve">illion </w:t>
            </w:r>
            <w:r w:rsidRPr="004453B4">
              <w:rPr>
                <w:rFonts w:ascii="Arial" w:hAnsi="Arial" w:cs="Arial"/>
              </w:rPr>
              <w:t>(Statista, 2026)</w:t>
            </w:r>
          </w:p>
        </w:tc>
        <w:tc>
          <w:tcPr>
            <w:tcW w:w="4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115C70" w14:textId="1A7DA47C" w:rsidR="00FE432C" w:rsidRPr="004453B4" w:rsidRDefault="0027563E" w:rsidP="004453B4">
            <w:pPr>
              <w:rPr>
                <w:rFonts w:ascii="Arial" w:hAnsi="Arial" w:cs="Arial"/>
              </w:rPr>
            </w:pPr>
            <w:r w:rsidRPr="004453B4">
              <w:rPr>
                <w:rFonts w:ascii="Arial" w:hAnsi="Arial" w:cs="Arial"/>
              </w:rPr>
              <w:t>Strong profitability enables investment in renewable energy projects, decarbonisation technologies, and sustainable mining operations</w:t>
            </w:r>
          </w:p>
        </w:tc>
      </w:tr>
      <w:tr w:rsidR="00FE432C" w:rsidRPr="004453B4" w14:paraId="5891107F" w14:textId="77777777" w:rsidTr="00292C6D">
        <w:trPr>
          <w:trHeight w:val="1040"/>
          <w:jc w:val="center"/>
        </w:trPr>
        <w:tc>
          <w:tcPr>
            <w:tcW w:w="1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DBD0B" w14:textId="77777777" w:rsidR="00FE432C" w:rsidRPr="004453B4" w:rsidRDefault="0027563E" w:rsidP="004453B4">
            <w:pPr>
              <w:rPr>
                <w:rFonts w:ascii="Arial" w:hAnsi="Arial" w:cs="Arial"/>
              </w:rPr>
            </w:pPr>
            <w:r w:rsidRPr="004453B4">
              <w:rPr>
                <w:rFonts w:ascii="Arial" w:hAnsi="Arial" w:cs="Arial"/>
              </w:rPr>
              <w:t>Market Capitalisation</w:t>
            </w:r>
          </w:p>
        </w:tc>
        <w:tc>
          <w:tcPr>
            <w:tcW w:w="3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FA132F" w14:textId="5EBC434E" w:rsidR="00FE432C" w:rsidRPr="004453B4" w:rsidRDefault="0027563E" w:rsidP="004453B4">
            <w:pPr>
              <w:rPr>
                <w:rFonts w:ascii="Arial" w:hAnsi="Arial" w:cs="Arial"/>
              </w:rPr>
            </w:pPr>
            <w:r w:rsidRPr="004453B4">
              <w:rPr>
                <w:rFonts w:ascii="Arial" w:hAnsi="Arial" w:cs="Arial"/>
              </w:rPr>
              <w:t xml:space="preserve">US$96.73 </w:t>
            </w:r>
            <w:r w:rsidR="00A2626A">
              <w:rPr>
                <w:rFonts w:ascii="Arial" w:hAnsi="Arial" w:cs="Arial"/>
              </w:rPr>
              <w:t>b</w:t>
            </w:r>
            <w:r w:rsidR="00A2626A" w:rsidRPr="004453B4">
              <w:rPr>
                <w:rFonts w:ascii="Arial" w:hAnsi="Arial" w:cs="Arial"/>
              </w:rPr>
              <w:t xml:space="preserve">illion </w:t>
            </w:r>
            <w:r w:rsidRPr="004453B4">
              <w:rPr>
                <w:rFonts w:ascii="Arial" w:hAnsi="Arial" w:cs="Arial"/>
              </w:rPr>
              <w:t>(Reuters, 2025)</w:t>
            </w:r>
          </w:p>
        </w:tc>
        <w:tc>
          <w:tcPr>
            <w:tcW w:w="4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BEB0CA" w14:textId="24639804" w:rsidR="00FE432C" w:rsidRPr="004453B4" w:rsidRDefault="0027563E" w:rsidP="004453B4">
            <w:pPr>
              <w:rPr>
                <w:rFonts w:ascii="Arial" w:hAnsi="Arial" w:cs="Arial"/>
              </w:rPr>
            </w:pPr>
            <w:r w:rsidRPr="004453B4">
              <w:rPr>
                <w:rFonts w:ascii="Arial" w:hAnsi="Arial" w:cs="Arial"/>
              </w:rPr>
              <w:t>Reflects investor confidence and increasing expectations regarding ESG and environmental performance</w:t>
            </w:r>
          </w:p>
        </w:tc>
      </w:tr>
      <w:tr w:rsidR="00FE432C" w:rsidRPr="004453B4" w14:paraId="182FF882" w14:textId="77777777" w:rsidTr="00292C6D">
        <w:trPr>
          <w:trHeight w:val="1040"/>
          <w:jc w:val="center"/>
        </w:trPr>
        <w:tc>
          <w:tcPr>
            <w:tcW w:w="1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32AD2E" w14:textId="77777777" w:rsidR="00FE432C" w:rsidRPr="004453B4" w:rsidRDefault="0027563E" w:rsidP="004453B4">
            <w:pPr>
              <w:rPr>
                <w:rFonts w:ascii="Arial" w:hAnsi="Arial" w:cs="Arial"/>
              </w:rPr>
            </w:pPr>
            <w:r w:rsidRPr="004453B4">
              <w:rPr>
                <w:rFonts w:ascii="Arial" w:hAnsi="Arial" w:cs="Arial"/>
              </w:rPr>
              <w:t>Total Assets</w:t>
            </w:r>
          </w:p>
        </w:tc>
        <w:tc>
          <w:tcPr>
            <w:tcW w:w="3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2A9DC5" w14:textId="33A98E21" w:rsidR="00A2626A" w:rsidRPr="004453B4" w:rsidRDefault="0027563E" w:rsidP="00A2626A">
            <w:pPr>
              <w:rPr>
                <w:rFonts w:ascii="Arial" w:hAnsi="Arial" w:cs="Arial"/>
              </w:rPr>
            </w:pPr>
            <w:r w:rsidRPr="004453B4">
              <w:rPr>
                <w:rFonts w:ascii="Arial" w:hAnsi="Arial" w:cs="Arial"/>
              </w:rPr>
              <w:t xml:space="preserve">US$103.6 </w:t>
            </w:r>
            <w:r w:rsidR="00A2626A">
              <w:rPr>
                <w:rFonts w:ascii="Arial" w:hAnsi="Arial" w:cs="Arial"/>
              </w:rPr>
              <w:t>b</w:t>
            </w:r>
            <w:r w:rsidRPr="004453B4">
              <w:rPr>
                <w:rFonts w:ascii="Arial" w:hAnsi="Arial" w:cs="Arial"/>
              </w:rPr>
              <w:t>illion</w:t>
            </w:r>
            <w:r w:rsidR="00A2626A">
              <w:rPr>
                <w:rFonts w:ascii="Arial" w:hAnsi="Arial" w:cs="Arial"/>
              </w:rPr>
              <w:t>, along with a r</w:t>
            </w:r>
            <w:r w:rsidR="00A2626A" w:rsidRPr="00A2626A">
              <w:rPr>
                <w:rFonts w:ascii="Arial" w:hAnsi="Arial" w:cs="Arial"/>
              </w:rPr>
              <w:t>evenue</w:t>
            </w:r>
            <w:r w:rsidR="00A2626A">
              <w:rPr>
                <w:rFonts w:ascii="Arial" w:hAnsi="Arial" w:cs="Arial"/>
              </w:rPr>
              <w:t xml:space="preserve"> of </w:t>
            </w:r>
            <w:r w:rsidR="00A2626A" w:rsidRPr="004453B4">
              <w:rPr>
                <w:rFonts w:ascii="Arial" w:hAnsi="Arial" w:cs="Arial"/>
              </w:rPr>
              <w:t>US$</w:t>
            </w:r>
            <w:r w:rsidR="00A2626A" w:rsidRPr="00A2626A">
              <w:rPr>
                <w:rFonts w:ascii="Arial" w:hAnsi="Arial" w:cs="Arial"/>
              </w:rPr>
              <w:t>57</w:t>
            </w:r>
            <w:r w:rsidR="00A2626A">
              <w:rPr>
                <w:rFonts w:ascii="Arial" w:hAnsi="Arial" w:cs="Arial"/>
              </w:rPr>
              <w:t>.</w:t>
            </w:r>
            <w:r w:rsidR="00A2626A" w:rsidRPr="00A2626A">
              <w:rPr>
                <w:rFonts w:ascii="Arial" w:hAnsi="Arial" w:cs="Arial"/>
              </w:rPr>
              <w:t>638</w:t>
            </w:r>
            <w:r w:rsidR="00A2626A">
              <w:rPr>
                <w:rFonts w:ascii="Arial" w:hAnsi="Arial" w:cs="Arial"/>
              </w:rPr>
              <w:t xml:space="preserve"> b</w:t>
            </w:r>
            <w:r w:rsidR="00A2626A" w:rsidRPr="004453B4">
              <w:rPr>
                <w:rFonts w:ascii="Arial" w:hAnsi="Arial" w:cs="Arial"/>
              </w:rPr>
              <w:t>illion</w:t>
            </w:r>
            <w:r w:rsidR="00A2626A">
              <w:rPr>
                <w:rFonts w:ascii="Arial" w:hAnsi="Arial" w:cs="Arial"/>
              </w:rPr>
              <w:t xml:space="preserve"> in 2025 </w:t>
            </w:r>
            <w:r w:rsidR="00A2626A" w:rsidRPr="004453B4">
              <w:rPr>
                <w:rFonts w:ascii="Arial" w:hAnsi="Arial" w:cs="Arial"/>
              </w:rPr>
              <w:t>(Reuters, 2025)</w:t>
            </w:r>
          </w:p>
        </w:tc>
        <w:tc>
          <w:tcPr>
            <w:tcW w:w="4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F36329" w14:textId="6E8FF980" w:rsidR="00FE432C" w:rsidRPr="004453B4" w:rsidRDefault="0027563E" w:rsidP="004453B4">
            <w:pPr>
              <w:rPr>
                <w:rFonts w:ascii="Arial" w:hAnsi="Arial" w:cs="Arial"/>
              </w:rPr>
            </w:pPr>
            <w:r w:rsidRPr="004453B4">
              <w:rPr>
                <w:rFonts w:ascii="Arial" w:hAnsi="Arial" w:cs="Arial"/>
              </w:rPr>
              <w:t>Provides substantial capacity for large-scale environmental and low-carbon infrastructure investments</w:t>
            </w:r>
          </w:p>
        </w:tc>
      </w:tr>
      <w:tr w:rsidR="00FE432C" w:rsidRPr="004453B4" w14:paraId="5619B1D6" w14:textId="77777777" w:rsidTr="00292C6D">
        <w:trPr>
          <w:trHeight w:val="1040"/>
          <w:jc w:val="center"/>
        </w:trPr>
        <w:tc>
          <w:tcPr>
            <w:tcW w:w="1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5D5A30" w14:textId="77777777" w:rsidR="00FE432C" w:rsidRPr="004453B4" w:rsidRDefault="0027563E" w:rsidP="004453B4">
            <w:pPr>
              <w:rPr>
                <w:rFonts w:ascii="Arial" w:hAnsi="Arial" w:cs="Arial"/>
              </w:rPr>
            </w:pPr>
            <w:r w:rsidRPr="004453B4">
              <w:rPr>
                <w:rFonts w:ascii="Arial" w:hAnsi="Arial" w:cs="Arial"/>
              </w:rPr>
              <w:t>Carbon Transition Exposure</w:t>
            </w:r>
          </w:p>
        </w:tc>
        <w:tc>
          <w:tcPr>
            <w:tcW w:w="3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99770" w14:textId="774DA92C" w:rsidR="00FE432C" w:rsidRPr="004453B4" w:rsidRDefault="0027563E" w:rsidP="004453B4">
            <w:pPr>
              <w:rPr>
                <w:rFonts w:ascii="Arial" w:hAnsi="Arial" w:cs="Arial"/>
              </w:rPr>
            </w:pPr>
            <w:r w:rsidRPr="004453B4">
              <w:rPr>
                <w:rFonts w:ascii="Arial" w:hAnsi="Arial" w:cs="Arial"/>
              </w:rPr>
              <w:t>Major producer of iron ore, aluminium, copper, and lithium</w:t>
            </w:r>
          </w:p>
        </w:tc>
        <w:tc>
          <w:tcPr>
            <w:tcW w:w="4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137FC7" w14:textId="795FE2E2" w:rsidR="00FE432C" w:rsidRPr="004453B4" w:rsidRDefault="0027563E" w:rsidP="004453B4">
            <w:pPr>
              <w:rPr>
                <w:rFonts w:ascii="Arial" w:hAnsi="Arial" w:cs="Arial"/>
              </w:rPr>
            </w:pPr>
            <w:r w:rsidRPr="004453B4">
              <w:rPr>
                <w:rFonts w:ascii="Arial" w:hAnsi="Arial" w:cs="Arial"/>
              </w:rPr>
              <w:t>These minerals are critical inputs for renewable energy systems, electric vehicles, and green infrastructure</w:t>
            </w:r>
          </w:p>
        </w:tc>
      </w:tr>
      <w:tr w:rsidR="00FE432C" w:rsidRPr="004453B4" w14:paraId="5354262D" w14:textId="77777777" w:rsidTr="00292C6D">
        <w:trPr>
          <w:trHeight w:val="1325"/>
          <w:jc w:val="center"/>
        </w:trPr>
        <w:tc>
          <w:tcPr>
            <w:tcW w:w="18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C82F97" w14:textId="77777777" w:rsidR="00FE432C" w:rsidRPr="004453B4" w:rsidRDefault="0027563E" w:rsidP="004453B4">
            <w:pPr>
              <w:rPr>
                <w:rFonts w:ascii="Arial" w:hAnsi="Arial" w:cs="Arial"/>
              </w:rPr>
            </w:pPr>
            <w:r w:rsidRPr="004453B4">
              <w:rPr>
                <w:rFonts w:ascii="Arial" w:hAnsi="Arial" w:cs="Arial"/>
              </w:rPr>
              <w:t>Sustainability Investment Capacity</w:t>
            </w:r>
          </w:p>
        </w:tc>
        <w:tc>
          <w:tcPr>
            <w:tcW w:w="3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D68D52" w14:textId="1BF3E966" w:rsidR="00FE432C" w:rsidRPr="004453B4" w:rsidRDefault="0027563E" w:rsidP="004453B4">
            <w:pPr>
              <w:rPr>
                <w:rFonts w:ascii="Arial" w:hAnsi="Arial" w:cs="Arial"/>
              </w:rPr>
            </w:pPr>
            <w:r w:rsidRPr="004453B4">
              <w:rPr>
                <w:rFonts w:ascii="Arial" w:hAnsi="Arial" w:cs="Arial"/>
              </w:rPr>
              <w:t>Annual Capital Expenditure: Approximately US$9.5 billion invested in operations, growth projects, and sustainability initiatives. (Statista, 2026)</w:t>
            </w:r>
          </w:p>
        </w:tc>
        <w:tc>
          <w:tcPr>
            <w:tcW w:w="42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F857FB" w14:textId="06EF0DDF" w:rsidR="00FE432C" w:rsidRPr="004453B4" w:rsidRDefault="0027563E" w:rsidP="004453B4">
            <w:pPr>
              <w:rPr>
                <w:rFonts w:ascii="Arial" w:hAnsi="Arial" w:cs="Arial"/>
              </w:rPr>
            </w:pPr>
            <w:r w:rsidRPr="004453B4">
              <w:rPr>
                <w:rFonts w:ascii="Arial" w:hAnsi="Arial" w:cs="Arial"/>
              </w:rPr>
              <w:t>Supports Rio Tinto's ability to accelerate emissions reduction initiatives and green product development</w:t>
            </w:r>
          </w:p>
        </w:tc>
      </w:tr>
    </w:tbl>
    <w:p w14:paraId="5E497F10" w14:textId="77777777" w:rsidR="00FE432C" w:rsidRPr="004453B4" w:rsidRDefault="0027563E" w:rsidP="004453B4">
      <w:pPr>
        <w:jc w:val="center"/>
        <w:rPr>
          <w:rFonts w:ascii="Arial" w:hAnsi="Arial" w:cs="Arial"/>
          <w:b/>
          <w:bCs/>
        </w:rPr>
      </w:pPr>
      <w:r w:rsidRPr="004453B4">
        <w:rPr>
          <w:rFonts w:ascii="Arial" w:hAnsi="Arial" w:cs="Arial"/>
          <w:b/>
          <w:bCs/>
        </w:rPr>
        <w:t>Table 2: Natural Environment Indicators Influencing Rio Tinto’s Low-Carbon Transition</w:t>
      </w:r>
    </w:p>
    <w:p w14:paraId="1B06F7E9" w14:textId="122BD3FA" w:rsidR="00C05C35" w:rsidRPr="004453B4" w:rsidRDefault="00C05C35" w:rsidP="004453B4">
      <w:pPr>
        <w:jc w:val="center"/>
        <w:rPr>
          <w:rFonts w:ascii="Arial" w:hAnsi="Arial" w:cs="Arial"/>
        </w:rPr>
      </w:pPr>
      <w:r w:rsidRPr="004453B4">
        <w:rPr>
          <w:rFonts w:ascii="Arial" w:hAnsi="Arial" w:cs="Arial"/>
          <w:noProof/>
        </w:rPr>
        <w:drawing>
          <wp:inline distT="0" distB="0" distL="0" distR="0" wp14:anchorId="0F4771AF" wp14:editId="49F62AA5">
            <wp:extent cx="5657850" cy="3404235"/>
            <wp:effectExtent l="19050" t="19050" r="19050" b="24765"/>
            <wp:docPr id="15837278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4419" cy="3414204"/>
                    </a:xfrm>
                    <a:prstGeom prst="rect">
                      <a:avLst/>
                    </a:prstGeom>
                    <a:noFill/>
                    <a:ln>
                      <a:solidFill>
                        <a:schemeClr val="tx1"/>
                      </a:solidFill>
                    </a:ln>
                  </pic:spPr>
                </pic:pic>
              </a:graphicData>
            </a:graphic>
          </wp:inline>
        </w:drawing>
      </w:r>
    </w:p>
    <w:p w14:paraId="284D7583" w14:textId="3C41A488" w:rsidR="00C05C35" w:rsidRPr="004453B4" w:rsidRDefault="00C05C35" w:rsidP="004453B4">
      <w:pPr>
        <w:jc w:val="center"/>
        <w:rPr>
          <w:rFonts w:ascii="Arial" w:hAnsi="Arial" w:cs="Arial"/>
          <w:b/>
          <w:bCs/>
        </w:rPr>
      </w:pPr>
      <w:r w:rsidRPr="004453B4">
        <w:rPr>
          <w:rFonts w:ascii="Arial" w:hAnsi="Arial" w:cs="Arial"/>
          <w:b/>
          <w:bCs/>
        </w:rPr>
        <w:t>Figure 1: Net Income Performance of Rio Tinto plc</w:t>
      </w:r>
    </w:p>
    <w:p w14:paraId="0709CFBE" w14:textId="1BE00B81" w:rsidR="00C05C35" w:rsidRPr="004453B4" w:rsidRDefault="00C05C35" w:rsidP="004453B4">
      <w:pPr>
        <w:jc w:val="center"/>
        <w:rPr>
          <w:rFonts w:ascii="Arial" w:hAnsi="Arial" w:cs="Arial"/>
        </w:rPr>
      </w:pPr>
      <w:r w:rsidRPr="004453B4">
        <w:rPr>
          <w:rFonts w:ascii="Arial" w:hAnsi="Arial" w:cs="Arial"/>
        </w:rPr>
        <w:t>(Source: Statista, 2026)</w:t>
      </w:r>
    </w:p>
    <w:p w14:paraId="449C662C" w14:textId="5010F1A7" w:rsidR="00FE432C" w:rsidRPr="004453B4" w:rsidRDefault="00326DFE" w:rsidP="004453B4">
      <w:pPr>
        <w:rPr>
          <w:rFonts w:ascii="Arial" w:hAnsi="Arial" w:cs="Arial"/>
        </w:rPr>
      </w:pPr>
      <w:r w:rsidRPr="004453B4">
        <w:rPr>
          <w:rFonts w:ascii="Arial" w:hAnsi="Arial" w:cs="Arial"/>
        </w:rPr>
        <w:t xml:space="preserve">The Rio Tinto's net income </w:t>
      </w:r>
      <w:r w:rsidR="00A2626A" w:rsidRPr="00A2626A">
        <w:rPr>
          <w:rFonts w:ascii="Arial" w:hAnsi="Arial" w:cs="Arial"/>
        </w:rPr>
        <w:t>amounted to some 11.5 billion U.S. dollars</w:t>
      </w:r>
      <w:r w:rsidR="00A2626A">
        <w:rPr>
          <w:rFonts w:ascii="Arial" w:hAnsi="Arial" w:cs="Arial"/>
        </w:rPr>
        <w:t xml:space="preserve"> </w:t>
      </w:r>
      <w:r w:rsidRPr="004453B4">
        <w:rPr>
          <w:rFonts w:ascii="Arial" w:hAnsi="Arial" w:cs="Arial"/>
        </w:rPr>
        <w:t>reflects financial sustainability, enabling ongoing investments in sustainability and low-carbon strategies (Statista, 2026).</w:t>
      </w:r>
      <w:r w:rsidR="00A2626A" w:rsidRPr="00A2626A">
        <w:rPr>
          <w:rFonts w:ascii="Arial" w:hAnsi="Arial" w:cs="Arial"/>
        </w:rPr>
        <w:t xml:space="preserve"> The Rio Tinto Group is a multinational exploration, development, production, and processing corporation headquartered in London</w:t>
      </w:r>
      <w:r w:rsidR="00A2626A">
        <w:rPr>
          <w:rFonts w:ascii="Arial" w:hAnsi="Arial" w:cs="Arial"/>
        </w:rPr>
        <w:t>.</w:t>
      </w:r>
      <w:r w:rsidRPr="004453B4">
        <w:rPr>
          <w:rFonts w:ascii="Arial" w:hAnsi="Arial" w:cs="Arial"/>
        </w:rPr>
        <w:t xml:space="preserve"> The natural environment is an important external factor impacting the transition to lower-carbon Rio Tinto products. The pressure for mining companies to adopt sustainable practices to meet rising stakeholder expectations, the changing climate and resource depletion is growing. Ekins et al. (2026) highlight the critical need for responsible provision of energy-</w:t>
      </w:r>
      <w:r w:rsidR="005D6C3D" w:rsidRPr="004453B4">
        <w:rPr>
          <w:rFonts w:ascii="Arial" w:hAnsi="Arial" w:cs="Arial"/>
        </w:rPr>
        <w:t>transition minerals</w:t>
      </w:r>
      <w:r w:rsidRPr="004453B4">
        <w:rPr>
          <w:rFonts w:ascii="Arial" w:hAnsi="Arial" w:cs="Arial"/>
        </w:rPr>
        <w:t xml:space="preserve"> to help develop solutions to achieve global decarbonisation objectives. I think that there is a huge opportunity for Rio Tinto because of the growing demand for copper, lithium and aluminium. Fathollahzadeh et al. (2026) further argue</w:t>
      </w:r>
      <w:r w:rsidR="00292C6D" w:rsidRPr="004453B4">
        <w:rPr>
          <w:rFonts w:ascii="Arial" w:hAnsi="Arial" w:cs="Arial"/>
        </w:rPr>
        <w:t>d</w:t>
      </w:r>
      <w:r w:rsidRPr="004453B4">
        <w:rPr>
          <w:rFonts w:ascii="Arial" w:hAnsi="Arial" w:cs="Arial"/>
        </w:rPr>
        <w:t xml:space="preserve"> that sustainable critical mineral supply chains are essential for a low-carbon future. Sustainability investments are needed to tackle environmental issues such as diversity and emissions pressures, which are essential for effective risk management.</w:t>
      </w:r>
    </w:p>
    <w:p w14:paraId="3F088C43" w14:textId="77777777" w:rsidR="00FE432C" w:rsidRPr="004453B4" w:rsidRDefault="0027563E" w:rsidP="004453B4">
      <w:pPr>
        <w:pStyle w:val="Heading3"/>
        <w:rPr>
          <w:rFonts w:ascii="Arial" w:hAnsi="Arial" w:cs="Arial"/>
        </w:rPr>
      </w:pPr>
      <w:bookmarkStart w:id="15" w:name="_dydkwldmyput" w:colFirst="0" w:colLast="0"/>
      <w:bookmarkStart w:id="16" w:name="_Toc234622508"/>
      <w:bookmarkEnd w:id="15"/>
      <w:r w:rsidRPr="004453B4">
        <w:rPr>
          <w:rFonts w:ascii="Arial" w:hAnsi="Arial" w:cs="Arial"/>
        </w:rPr>
        <w:t>2.1.2 Political-Legal Environment Analysis</w:t>
      </w:r>
      <w:bookmarkEnd w:id="16"/>
    </w:p>
    <w:tbl>
      <w:tblPr>
        <w:tblStyle w:val="a1"/>
        <w:tblW w:w="9488"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030"/>
        <w:gridCol w:w="2355"/>
        <w:gridCol w:w="5103"/>
      </w:tblGrid>
      <w:tr w:rsidR="00FE432C" w:rsidRPr="004453B4" w14:paraId="79DE3636" w14:textId="77777777" w:rsidTr="00292C6D">
        <w:trPr>
          <w:trHeight w:val="770"/>
          <w:jc w:val="center"/>
        </w:trPr>
        <w:tc>
          <w:tcPr>
            <w:tcW w:w="2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F9BDDB" w14:textId="77777777" w:rsidR="00FE432C" w:rsidRPr="004453B4" w:rsidRDefault="0027563E" w:rsidP="004453B4">
            <w:pPr>
              <w:jc w:val="center"/>
              <w:rPr>
                <w:rFonts w:ascii="Arial" w:hAnsi="Arial" w:cs="Arial"/>
              </w:rPr>
            </w:pPr>
            <w:r w:rsidRPr="004453B4">
              <w:rPr>
                <w:rFonts w:ascii="Arial" w:hAnsi="Arial" w:cs="Arial"/>
                <w:b/>
                <w:bCs/>
              </w:rPr>
              <w:t>Political-Legal Indicator</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F55A65" w14:textId="77777777" w:rsidR="00FE432C" w:rsidRPr="004453B4" w:rsidRDefault="0027563E" w:rsidP="004453B4">
            <w:pPr>
              <w:jc w:val="center"/>
              <w:rPr>
                <w:rFonts w:ascii="Arial" w:hAnsi="Arial" w:cs="Arial"/>
              </w:rPr>
            </w:pPr>
            <w:r w:rsidRPr="004453B4">
              <w:rPr>
                <w:rFonts w:ascii="Arial" w:hAnsi="Arial" w:cs="Arial"/>
                <w:b/>
                <w:bCs/>
              </w:rPr>
              <w:t>Numerical Data</w:t>
            </w:r>
          </w:p>
        </w:tc>
        <w:tc>
          <w:tcPr>
            <w:tcW w:w="5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999462" w14:textId="77777777" w:rsidR="00FE432C" w:rsidRPr="004453B4" w:rsidRDefault="0027563E" w:rsidP="004453B4">
            <w:pPr>
              <w:jc w:val="center"/>
              <w:rPr>
                <w:rFonts w:ascii="Arial" w:hAnsi="Arial" w:cs="Arial"/>
              </w:rPr>
            </w:pPr>
            <w:r w:rsidRPr="004453B4">
              <w:rPr>
                <w:rFonts w:ascii="Arial" w:hAnsi="Arial" w:cs="Arial"/>
                <w:b/>
                <w:bCs/>
              </w:rPr>
              <w:t>Strategic Implications</w:t>
            </w:r>
          </w:p>
        </w:tc>
      </w:tr>
      <w:tr w:rsidR="00FE432C" w:rsidRPr="004453B4" w14:paraId="07D53291" w14:textId="77777777" w:rsidTr="00292C6D">
        <w:trPr>
          <w:trHeight w:val="1040"/>
          <w:jc w:val="center"/>
        </w:trPr>
        <w:tc>
          <w:tcPr>
            <w:tcW w:w="2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D2A1D0" w14:textId="77777777" w:rsidR="00FE432C" w:rsidRPr="004453B4" w:rsidRDefault="0027563E" w:rsidP="004453B4">
            <w:pPr>
              <w:rPr>
                <w:rFonts w:ascii="Arial" w:hAnsi="Arial" w:cs="Arial"/>
              </w:rPr>
            </w:pPr>
            <w:r w:rsidRPr="004453B4">
              <w:rPr>
                <w:rFonts w:ascii="Arial" w:hAnsi="Arial" w:cs="Arial"/>
              </w:rPr>
              <w:t>Current Share Price</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968D7E" w14:textId="77777777" w:rsidR="00FE432C" w:rsidRPr="004453B4" w:rsidRDefault="0027563E" w:rsidP="004453B4">
            <w:pPr>
              <w:rPr>
                <w:rFonts w:ascii="Arial" w:hAnsi="Arial" w:cs="Arial"/>
              </w:rPr>
            </w:pPr>
            <w:r w:rsidRPr="004453B4">
              <w:rPr>
                <w:rFonts w:ascii="Arial" w:hAnsi="Arial" w:cs="Arial"/>
              </w:rPr>
              <w:t>US$58.36 per share (Macrotrends, 2026)</w:t>
            </w:r>
          </w:p>
        </w:tc>
        <w:tc>
          <w:tcPr>
            <w:tcW w:w="5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EE7F4" w14:textId="694D3C50" w:rsidR="00FE432C" w:rsidRPr="004453B4" w:rsidRDefault="0027563E" w:rsidP="004453B4">
            <w:pPr>
              <w:rPr>
                <w:rFonts w:ascii="Arial" w:hAnsi="Arial" w:cs="Arial"/>
              </w:rPr>
            </w:pPr>
            <w:r w:rsidRPr="004453B4">
              <w:rPr>
                <w:rFonts w:ascii="Arial" w:hAnsi="Arial" w:cs="Arial"/>
              </w:rPr>
              <w:t>Reflects investor confidence in Rio Tinto's compliance with evolving environmental and governance regulations</w:t>
            </w:r>
          </w:p>
        </w:tc>
      </w:tr>
      <w:tr w:rsidR="00FE432C" w:rsidRPr="004453B4" w14:paraId="3EFB8B50" w14:textId="77777777" w:rsidTr="00292C6D">
        <w:trPr>
          <w:trHeight w:val="1040"/>
          <w:jc w:val="center"/>
        </w:trPr>
        <w:tc>
          <w:tcPr>
            <w:tcW w:w="2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019DA0" w14:textId="77777777" w:rsidR="00FE432C" w:rsidRPr="004453B4" w:rsidRDefault="0027563E" w:rsidP="004453B4">
            <w:pPr>
              <w:rPr>
                <w:rFonts w:ascii="Arial" w:hAnsi="Arial" w:cs="Arial"/>
              </w:rPr>
            </w:pPr>
            <w:r w:rsidRPr="004453B4">
              <w:rPr>
                <w:rFonts w:ascii="Arial" w:hAnsi="Arial" w:cs="Arial"/>
              </w:rPr>
              <w:t>Price-to-Earnings (P/E) Ratio</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08B866" w14:textId="77777777" w:rsidR="00FE432C" w:rsidRPr="004453B4" w:rsidRDefault="0027563E" w:rsidP="004453B4">
            <w:pPr>
              <w:rPr>
                <w:rFonts w:ascii="Arial" w:hAnsi="Arial" w:cs="Arial"/>
              </w:rPr>
            </w:pPr>
            <w:r w:rsidRPr="004453B4">
              <w:rPr>
                <w:rFonts w:ascii="Arial" w:hAnsi="Arial" w:cs="Arial"/>
              </w:rPr>
              <w:t>9.72 (SA, 2026)</w:t>
            </w:r>
          </w:p>
        </w:tc>
        <w:tc>
          <w:tcPr>
            <w:tcW w:w="5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970083" w14:textId="1C2C4484" w:rsidR="00FE432C" w:rsidRPr="004453B4" w:rsidRDefault="0027563E" w:rsidP="004453B4">
            <w:pPr>
              <w:rPr>
                <w:rFonts w:ascii="Arial" w:hAnsi="Arial" w:cs="Arial"/>
              </w:rPr>
            </w:pPr>
            <w:r w:rsidRPr="004453B4">
              <w:rPr>
                <w:rFonts w:ascii="Arial" w:hAnsi="Arial" w:cs="Arial"/>
              </w:rPr>
              <w:t>Indicates market expectations regarding future profitability amid increasing regulatory pressures</w:t>
            </w:r>
          </w:p>
        </w:tc>
      </w:tr>
      <w:tr w:rsidR="00FE432C" w:rsidRPr="004453B4" w14:paraId="2C3FAFBC" w14:textId="77777777" w:rsidTr="00292C6D">
        <w:trPr>
          <w:trHeight w:val="1040"/>
          <w:jc w:val="center"/>
        </w:trPr>
        <w:tc>
          <w:tcPr>
            <w:tcW w:w="2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1C6137" w14:textId="77777777" w:rsidR="00FE432C" w:rsidRPr="004453B4" w:rsidRDefault="0027563E" w:rsidP="004453B4">
            <w:pPr>
              <w:rPr>
                <w:rFonts w:ascii="Arial" w:hAnsi="Arial" w:cs="Arial"/>
              </w:rPr>
            </w:pPr>
            <w:r w:rsidRPr="004453B4">
              <w:rPr>
                <w:rFonts w:ascii="Arial" w:hAnsi="Arial" w:cs="Arial"/>
              </w:rPr>
              <w:t>Dividend Yield</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CA5D11" w14:textId="77777777" w:rsidR="00FE432C" w:rsidRPr="004453B4" w:rsidRDefault="0027563E" w:rsidP="004453B4">
            <w:pPr>
              <w:rPr>
                <w:rFonts w:ascii="Arial" w:hAnsi="Arial" w:cs="Arial"/>
              </w:rPr>
            </w:pPr>
            <w:r w:rsidRPr="004453B4">
              <w:rPr>
                <w:rFonts w:ascii="Arial" w:hAnsi="Arial" w:cs="Arial"/>
              </w:rPr>
              <w:t>6.92% (SA, 2026)</w:t>
            </w:r>
          </w:p>
        </w:tc>
        <w:tc>
          <w:tcPr>
            <w:tcW w:w="5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60FFBD" w14:textId="505D08ED" w:rsidR="00FE432C" w:rsidRPr="004453B4" w:rsidRDefault="0027563E" w:rsidP="004453B4">
            <w:pPr>
              <w:rPr>
                <w:rFonts w:ascii="Arial" w:hAnsi="Arial" w:cs="Arial"/>
              </w:rPr>
            </w:pPr>
            <w:r w:rsidRPr="004453B4">
              <w:rPr>
                <w:rFonts w:ascii="Arial" w:hAnsi="Arial" w:cs="Arial"/>
              </w:rPr>
              <w:t>Demonstrates the company's ability to maintain shareholder returns while funding sustainability compliance initiatives</w:t>
            </w:r>
          </w:p>
        </w:tc>
      </w:tr>
      <w:tr w:rsidR="00FE432C" w:rsidRPr="004453B4" w14:paraId="1708AFFF" w14:textId="77777777" w:rsidTr="00292C6D">
        <w:trPr>
          <w:trHeight w:val="1040"/>
          <w:jc w:val="center"/>
        </w:trPr>
        <w:tc>
          <w:tcPr>
            <w:tcW w:w="2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458103" w14:textId="77777777" w:rsidR="00FE432C" w:rsidRPr="004453B4" w:rsidRDefault="0027563E" w:rsidP="004453B4">
            <w:pPr>
              <w:rPr>
                <w:rFonts w:ascii="Arial" w:hAnsi="Arial" w:cs="Arial"/>
              </w:rPr>
            </w:pPr>
            <w:r w:rsidRPr="004453B4">
              <w:rPr>
                <w:rFonts w:ascii="Arial" w:hAnsi="Arial" w:cs="Arial"/>
              </w:rPr>
              <w:t>Market Capitalisation</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730F07" w14:textId="77777777" w:rsidR="00FE432C" w:rsidRPr="004453B4" w:rsidRDefault="0027563E" w:rsidP="004453B4">
            <w:pPr>
              <w:rPr>
                <w:rFonts w:ascii="Arial" w:hAnsi="Arial" w:cs="Arial"/>
              </w:rPr>
            </w:pPr>
            <w:r w:rsidRPr="004453B4">
              <w:rPr>
                <w:rFonts w:ascii="Arial" w:hAnsi="Arial" w:cs="Arial"/>
              </w:rPr>
              <w:t>US$94.9 Billion (SA, 2026)</w:t>
            </w:r>
          </w:p>
        </w:tc>
        <w:tc>
          <w:tcPr>
            <w:tcW w:w="5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146F8F" w14:textId="1F77C213" w:rsidR="00FE432C" w:rsidRPr="004453B4" w:rsidRDefault="0027563E" w:rsidP="004453B4">
            <w:pPr>
              <w:rPr>
                <w:rFonts w:ascii="Arial" w:hAnsi="Arial" w:cs="Arial"/>
              </w:rPr>
            </w:pPr>
            <w:r w:rsidRPr="004453B4">
              <w:rPr>
                <w:rFonts w:ascii="Arial" w:hAnsi="Arial" w:cs="Arial"/>
              </w:rPr>
              <w:t>Provides financial strength to meet environmental regulations and invest in low-carbon technologies</w:t>
            </w:r>
          </w:p>
        </w:tc>
      </w:tr>
      <w:tr w:rsidR="00FE432C" w:rsidRPr="004453B4" w14:paraId="66B00909" w14:textId="77777777" w:rsidTr="00292C6D">
        <w:trPr>
          <w:trHeight w:val="1040"/>
          <w:jc w:val="center"/>
        </w:trPr>
        <w:tc>
          <w:tcPr>
            <w:tcW w:w="20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548475" w14:textId="77777777" w:rsidR="00FE432C" w:rsidRPr="004453B4" w:rsidRDefault="0027563E" w:rsidP="004453B4">
            <w:pPr>
              <w:rPr>
                <w:rFonts w:ascii="Arial" w:hAnsi="Arial" w:cs="Arial"/>
              </w:rPr>
            </w:pPr>
            <w:r w:rsidRPr="004453B4">
              <w:rPr>
                <w:rFonts w:ascii="Arial" w:hAnsi="Arial" w:cs="Arial"/>
              </w:rPr>
              <w:t>52-Week Trading Range</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6A4689" w14:textId="77777777" w:rsidR="00FE432C" w:rsidRPr="004453B4" w:rsidRDefault="0027563E" w:rsidP="004453B4">
            <w:pPr>
              <w:rPr>
                <w:rFonts w:ascii="Arial" w:hAnsi="Arial" w:cs="Arial"/>
              </w:rPr>
            </w:pPr>
            <w:r w:rsidRPr="004453B4">
              <w:rPr>
                <w:rFonts w:ascii="Arial" w:hAnsi="Arial" w:cs="Arial"/>
              </w:rPr>
              <w:t>US$51.67–US$72.08 (Macrotrends, 2026)</w:t>
            </w:r>
          </w:p>
        </w:tc>
        <w:tc>
          <w:tcPr>
            <w:tcW w:w="51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20BAEE" w14:textId="530FCA63" w:rsidR="00FE432C" w:rsidRPr="004453B4" w:rsidRDefault="0027563E" w:rsidP="004453B4">
            <w:pPr>
              <w:rPr>
                <w:rFonts w:ascii="Arial" w:hAnsi="Arial" w:cs="Arial"/>
              </w:rPr>
            </w:pPr>
            <w:r w:rsidRPr="004453B4">
              <w:rPr>
                <w:rFonts w:ascii="Arial" w:hAnsi="Arial" w:cs="Arial"/>
              </w:rPr>
              <w:t>Highlights how policy uncertainty, commodity regulations, and ESG requirements influence investor sentiment</w:t>
            </w:r>
          </w:p>
        </w:tc>
      </w:tr>
    </w:tbl>
    <w:p w14:paraId="0A57908A" w14:textId="77777777" w:rsidR="00FE432C" w:rsidRPr="004453B4" w:rsidRDefault="0027563E" w:rsidP="004453B4">
      <w:pPr>
        <w:jc w:val="center"/>
        <w:rPr>
          <w:rFonts w:ascii="Arial" w:hAnsi="Arial" w:cs="Arial"/>
          <w:b/>
          <w:bCs/>
        </w:rPr>
      </w:pPr>
      <w:r w:rsidRPr="004453B4">
        <w:rPr>
          <w:rFonts w:ascii="Arial" w:hAnsi="Arial" w:cs="Arial"/>
          <w:b/>
          <w:bCs/>
        </w:rPr>
        <w:t>Table 3: Political-Legal Environment Indicators Affecting Rio Tinto plc</w:t>
      </w:r>
    </w:p>
    <w:p w14:paraId="5C50B1AF" w14:textId="0D4FCF71" w:rsidR="00FE432C" w:rsidRPr="004453B4" w:rsidRDefault="0027563E" w:rsidP="004453B4">
      <w:pPr>
        <w:rPr>
          <w:rFonts w:ascii="Arial" w:hAnsi="Arial" w:cs="Arial"/>
        </w:rPr>
      </w:pPr>
      <w:r w:rsidRPr="004453B4">
        <w:rPr>
          <w:rFonts w:ascii="Arial" w:hAnsi="Arial" w:cs="Arial"/>
        </w:rPr>
        <w:t>Environmental regulations, carbon reduction policies, as well as environmental, social and governance (ESG) disclosure are some of the political-legal frameworks that have an important impact on Rio Tinto. Governments are increasingly introducing even tougher legislation in support of climate aims, providing opportunities and compliance challenges for mining companies. Hulwani et al. (2025) point</w:t>
      </w:r>
      <w:r w:rsidR="00292C6D" w:rsidRPr="004453B4">
        <w:rPr>
          <w:rFonts w:ascii="Arial" w:hAnsi="Arial" w:cs="Arial"/>
        </w:rPr>
        <w:t>ed</w:t>
      </w:r>
      <w:r w:rsidRPr="004453B4">
        <w:rPr>
          <w:rFonts w:ascii="Arial" w:hAnsi="Arial" w:cs="Arial"/>
        </w:rPr>
        <w:t xml:space="preserve"> out that mining companies are shifting their strategies to fit the idea of a transition towards energy and sustainability. But regulations add to the expense of running the business and the information to be reported. Successful navigation of regulatory complexity is a key component of competitiveness in the 21st century (Kustra et al. 2025). Therefore, proactive compliance and sustainability integration are key to the long-term growth and confidence of Rio Tinto as a company.</w:t>
      </w:r>
    </w:p>
    <w:p w14:paraId="33141280" w14:textId="77777777" w:rsidR="00292C6D" w:rsidRPr="004453B4" w:rsidRDefault="00292C6D" w:rsidP="004453B4">
      <w:pPr>
        <w:rPr>
          <w:rFonts w:ascii="Arial" w:hAnsi="Arial" w:cs="Arial"/>
        </w:rPr>
      </w:pPr>
    </w:p>
    <w:p w14:paraId="1EBD5F37" w14:textId="77777777" w:rsidR="00FE432C" w:rsidRPr="004453B4" w:rsidRDefault="0027563E" w:rsidP="004453B4">
      <w:pPr>
        <w:pStyle w:val="Heading1"/>
        <w:rPr>
          <w:rFonts w:ascii="Arial" w:hAnsi="Arial" w:cs="Arial"/>
        </w:rPr>
      </w:pPr>
      <w:bookmarkStart w:id="17" w:name="_8nduw5fqk33q" w:colFirst="0" w:colLast="0"/>
      <w:bookmarkStart w:id="18" w:name="_Toc234622509"/>
      <w:bookmarkEnd w:id="17"/>
      <w:r w:rsidRPr="004453B4">
        <w:rPr>
          <w:rFonts w:ascii="Arial" w:hAnsi="Arial" w:cs="Arial"/>
        </w:rPr>
        <w:t>3. Task 2: Strategic Growth and Competitive Positioning</w:t>
      </w:r>
      <w:bookmarkEnd w:id="18"/>
    </w:p>
    <w:p w14:paraId="61FA963F" w14:textId="77777777" w:rsidR="00FE432C" w:rsidRPr="004453B4" w:rsidRDefault="0027563E" w:rsidP="004453B4">
      <w:pPr>
        <w:pStyle w:val="Heading2"/>
        <w:rPr>
          <w:rFonts w:ascii="Arial" w:hAnsi="Arial" w:cs="Arial"/>
        </w:rPr>
      </w:pPr>
      <w:bookmarkStart w:id="19" w:name="_veytu4xfas9d" w:colFirst="0" w:colLast="0"/>
      <w:bookmarkStart w:id="20" w:name="_Toc234622510"/>
      <w:bookmarkEnd w:id="19"/>
      <w:r w:rsidRPr="004453B4">
        <w:rPr>
          <w:rFonts w:ascii="Arial" w:hAnsi="Arial" w:cs="Arial"/>
        </w:rPr>
        <w:t>3.1 Strategic Growth Recommendation Using Ansoff Matrix</w:t>
      </w:r>
      <w:bookmarkEnd w:id="20"/>
    </w:p>
    <w:p w14:paraId="6562E3D9" w14:textId="6365FA82" w:rsidR="00FE432C" w:rsidRPr="004453B4" w:rsidRDefault="0027563E" w:rsidP="004453B4">
      <w:pPr>
        <w:rPr>
          <w:rFonts w:ascii="Arial" w:hAnsi="Arial" w:cs="Arial"/>
        </w:rPr>
      </w:pPr>
      <w:r w:rsidRPr="004453B4">
        <w:rPr>
          <w:rFonts w:ascii="Arial" w:hAnsi="Arial" w:cs="Arial"/>
        </w:rPr>
        <w:t xml:space="preserve">The Ansoff Matrix is a constructive tool to categorise areas of growth of the business that would support Rio Tinto's path towards a lower carbon business model. </w:t>
      </w:r>
      <w:r w:rsidR="004453B4" w:rsidRPr="004453B4">
        <w:rPr>
          <w:rFonts w:ascii="Arial" w:hAnsi="Arial" w:cs="Arial"/>
        </w:rPr>
        <w:t>As per Liu et al. (2024), p</w:t>
      </w:r>
      <w:r w:rsidRPr="004453B4">
        <w:rPr>
          <w:rFonts w:ascii="Arial" w:hAnsi="Arial" w:cs="Arial"/>
        </w:rPr>
        <w:t>roduct development is the most favourable strategic choice</w:t>
      </w:r>
      <w:r w:rsidR="00292C6D" w:rsidRPr="004453B4">
        <w:rPr>
          <w:rFonts w:ascii="Arial" w:hAnsi="Arial" w:cs="Arial"/>
        </w:rPr>
        <w:t>,</w:t>
      </w:r>
      <w:r w:rsidRPr="004453B4">
        <w:rPr>
          <w:rFonts w:ascii="Arial" w:hAnsi="Arial" w:cs="Arial"/>
        </w:rPr>
        <w:t xml:space="preserve"> as it allows the company to extend existing operational capabilities in a direction towards sustainable minerals for the production of low-carbon products and to meet the rising demand. The organisation's diversified portfolio of copper, lithium, aluminium and iron ore opens excellent opportunities to develop environmentally responsible products for renewable energy, battery production and for the green infrastructure markets. Rio Tinto has plenty of capital available to invest to grow the company. In addition, the company has an earnings per share (EPS) of around US$7.54 (Reuters, 2025). </w:t>
      </w:r>
      <w:r w:rsidR="00292C6D" w:rsidRPr="004453B4">
        <w:rPr>
          <w:rFonts w:ascii="Arial" w:hAnsi="Arial" w:cs="Arial"/>
        </w:rPr>
        <w:t xml:space="preserve">This indicates that Rio Tinto has long-term profitability to cover long-term growth programs. </w:t>
      </w:r>
      <w:r w:rsidRPr="004453B4">
        <w:rPr>
          <w:rFonts w:ascii="Arial" w:hAnsi="Arial" w:cs="Arial"/>
        </w:rPr>
        <w:t xml:space="preserve">This financial strength enables the organisation to take advantage of growth opportunities in the global energy transition. The adoption of green aluminium, sustainable copper, and low-carbon iron ore in product development can enhance market differentiation and satisfy the growing demand for eco-friendly materials among consumers. </w:t>
      </w:r>
    </w:p>
    <w:p w14:paraId="1DCBEA6E" w14:textId="77777777" w:rsidR="00FE432C" w:rsidRPr="004453B4" w:rsidRDefault="0027563E" w:rsidP="004453B4">
      <w:pPr>
        <w:pStyle w:val="Heading3"/>
        <w:rPr>
          <w:rFonts w:ascii="Arial" w:hAnsi="Arial" w:cs="Arial"/>
        </w:rPr>
      </w:pPr>
      <w:bookmarkStart w:id="21" w:name="_c2gho85kwhey" w:colFirst="0" w:colLast="0"/>
      <w:bookmarkStart w:id="22" w:name="_Toc234622511"/>
      <w:bookmarkEnd w:id="21"/>
      <w:r w:rsidRPr="004453B4">
        <w:rPr>
          <w:rFonts w:ascii="Arial" w:hAnsi="Arial" w:cs="Arial"/>
        </w:rPr>
        <w:t>3.1.1 Ansoff Matrix Evaluation</w:t>
      </w:r>
      <w:bookmarkEnd w:id="22"/>
    </w:p>
    <w:tbl>
      <w:tblPr>
        <w:tblStyle w:val="a2"/>
        <w:tblW w:w="9488"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803"/>
        <w:gridCol w:w="4018"/>
        <w:gridCol w:w="3667"/>
      </w:tblGrid>
      <w:tr w:rsidR="00FE432C" w:rsidRPr="004453B4" w14:paraId="4E3EFD55" w14:textId="77777777" w:rsidTr="004453B4">
        <w:trPr>
          <w:trHeight w:val="770"/>
          <w:jc w:val="center"/>
        </w:trPr>
        <w:tc>
          <w:tcPr>
            <w:tcW w:w="18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ED3556" w14:textId="77777777" w:rsidR="00FE432C" w:rsidRPr="004453B4" w:rsidRDefault="0027563E" w:rsidP="004453B4">
            <w:pPr>
              <w:jc w:val="center"/>
              <w:rPr>
                <w:rFonts w:ascii="Arial" w:hAnsi="Arial" w:cs="Arial"/>
              </w:rPr>
            </w:pPr>
            <w:r w:rsidRPr="004453B4">
              <w:rPr>
                <w:rFonts w:ascii="Arial" w:hAnsi="Arial" w:cs="Arial"/>
                <w:b/>
                <w:bCs/>
              </w:rPr>
              <w:t>Ansoff Strategy</w:t>
            </w:r>
          </w:p>
        </w:tc>
        <w:tc>
          <w:tcPr>
            <w:tcW w:w="40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23E0A2" w14:textId="77777777" w:rsidR="00FE432C" w:rsidRPr="004453B4" w:rsidRDefault="0027563E" w:rsidP="004453B4">
            <w:pPr>
              <w:jc w:val="center"/>
              <w:rPr>
                <w:rFonts w:ascii="Arial" w:hAnsi="Arial" w:cs="Arial"/>
              </w:rPr>
            </w:pPr>
            <w:r w:rsidRPr="004453B4">
              <w:rPr>
                <w:rFonts w:ascii="Arial" w:hAnsi="Arial" w:cs="Arial"/>
                <w:b/>
                <w:bCs/>
              </w:rPr>
              <w:t>Numerical Evidence</w:t>
            </w:r>
          </w:p>
        </w:tc>
        <w:tc>
          <w:tcPr>
            <w:tcW w:w="36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6D9020" w14:textId="77777777" w:rsidR="00FE432C" w:rsidRPr="004453B4" w:rsidRDefault="0027563E" w:rsidP="004453B4">
            <w:pPr>
              <w:jc w:val="center"/>
              <w:rPr>
                <w:rFonts w:ascii="Arial" w:hAnsi="Arial" w:cs="Arial"/>
              </w:rPr>
            </w:pPr>
            <w:r w:rsidRPr="004453B4">
              <w:rPr>
                <w:rFonts w:ascii="Arial" w:hAnsi="Arial" w:cs="Arial"/>
                <w:b/>
                <w:bCs/>
              </w:rPr>
              <w:t>Strategic Assessment</w:t>
            </w:r>
          </w:p>
        </w:tc>
      </w:tr>
      <w:tr w:rsidR="00FE432C" w:rsidRPr="004453B4" w14:paraId="20D5EBAC" w14:textId="77777777" w:rsidTr="004453B4">
        <w:trPr>
          <w:trHeight w:val="1325"/>
          <w:jc w:val="center"/>
        </w:trPr>
        <w:tc>
          <w:tcPr>
            <w:tcW w:w="18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897A52" w14:textId="77777777" w:rsidR="00FE432C" w:rsidRPr="004453B4" w:rsidRDefault="0027563E" w:rsidP="004453B4">
            <w:pPr>
              <w:rPr>
                <w:rFonts w:ascii="Arial" w:hAnsi="Arial" w:cs="Arial"/>
              </w:rPr>
            </w:pPr>
            <w:r w:rsidRPr="004453B4">
              <w:rPr>
                <w:rFonts w:ascii="Arial" w:hAnsi="Arial" w:cs="Arial"/>
              </w:rPr>
              <w:t>Market Penetration</w:t>
            </w:r>
          </w:p>
        </w:tc>
        <w:tc>
          <w:tcPr>
            <w:tcW w:w="40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2690D3" w14:textId="27DCE77B" w:rsidR="00FE432C" w:rsidRPr="004453B4" w:rsidRDefault="0027563E" w:rsidP="004453B4">
            <w:pPr>
              <w:rPr>
                <w:rFonts w:ascii="Arial" w:hAnsi="Arial" w:cs="Arial"/>
              </w:rPr>
            </w:pPr>
            <w:r w:rsidRPr="004453B4">
              <w:rPr>
                <w:rFonts w:ascii="Arial" w:hAnsi="Arial" w:cs="Arial"/>
              </w:rPr>
              <w:t>Enterprise value of approximately US$122 billion demonstrates strong market presence and growth potential (YF, 2026)</w:t>
            </w:r>
          </w:p>
        </w:tc>
        <w:tc>
          <w:tcPr>
            <w:tcW w:w="36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8EE437" w14:textId="60A933BF" w:rsidR="00FE432C" w:rsidRPr="004453B4" w:rsidRDefault="0027563E" w:rsidP="004453B4">
            <w:pPr>
              <w:rPr>
                <w:rFonts w:ascii="Arial" w:hAnsi="Arial" w:cs="Arial"/>
              </w:rPr>
            </w:pPr>
            <w:r w:rsidRPr="004453B4">
              <w:rPr>
                <w:rFonts w:ascii="Arial" w:hAnsi="Arial" w:cs="Arial"/>
              </w:rPr>
              <w:t>Suitable for strengthening market share in existing mining markets but offers limited sustainability-driven growth</w:t>
            </w:r>
          </w:p>
        </w:tc>
      </w:tr>
      <w:tr w:rsidR="00FE432C" w:rsidRPr="004453B4" w14:paraId="06D9A469" w14:textId="77777777" w:rsidTr="004453B4">
        <w:trPr>
          <w:trHeight w:val="1325"/>
          <w:jc w:val="center"/>
        </w:trPr>
        <w:tc>
          <w:tcPr>
            <w:tcW w:w="18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EE938" w14:textId="77777777" w:rsidR="00FE432C" w:rsidRPr="004453B4" w:rsidRDefault="0027563E" w:rsidP="004453B4">
            <w:pPr>
              <w:rPr>
                <w:rFonts w:ascii="Arial" w:hAnsi="Arial" w:cs="Arial"/>
              </w:rPr>
            </w:pPr>
            <w:r w:rsidRPr="004453B4">
              <w:rPr>
                <w:rFonts w:ascii="Arial" w:hAnsi="Arial" w:cs="Arial"/>
              </w:rPr>
              <w:t>Market Development</w:t>
            </w:r>
          </w:p>
        </w:tc>
        <w:tc>
          <w:tcPr>
            <w:tcW w:w="40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05EAFA" w14:textId="7155245D" w:rsidR="00FE432C" w:rsidRPr="004453B4" w:rsidRDefault="0027563E" w:rsidP="004453B4">
            <w:pPr>
              <w:rPr>
                <w:rFonts w:ascii="Arial" w:hAnsi="Arial" w:cs="Arial"/>
              </w:rPr>
            </w:pPr>
            <w:r w:rsidRPr="004453B4">
              <w:rPr>
                <w:rFonts w:ascii="Arial" w:hAnsi="Arial" w:cs="Arial"/>
              </w:rPr>
              <w:t>Iron ore shipments exceeded 328 million tonnes annually, enabling expansion into emerging green steel markets (GD, 2025)</w:t>
            </w:r>
          </w:p>
        </w:tc>
        <w:tc>
          <w:tcPr>
            <w:tcW w:w="36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14464C" w14:textId="2D49552B" w:rsidR="00FE432C" w:rsidRPr="004453B4" w:rsidRDefault="0027563E" w:rsidP="004453B4">
            <w:pPr>
              <w:rPr>
                <w:rFonts w:ascii="Arial" w:hAnsi="Arial" w:cs="Arial"/>
              </w:rPr>
            </w:pPr>
            <w:r w:rsidRPr="004453B4">
              <w:rPr>
                <w:rFonts w:ascii="Arial" w:hAnsi="Arial" w:cs="Arial"/>
              </w:rPr>
              <w:t>High potential due to growing global demand for sustainable minerals and green infrastructure</w:t>
            </w:r>
          </w:p>
        </w:tc>
      </w:tr>
      <w:tr w:rsidR="00FE432C" w:rsidRPr="004453B4" w14:paraId="4CD577E6" w14:textId="77777777" w:rsidTr="004453B4">
        <w:trPr>
          <w:trHeight w:val="1325"/>
          <w:jc w:val="center"/>
        </w:trPr>
        <w:tc>
          <w:tcPr>
            <w:tcW w:w="18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84F89B" w14:textId="77777777" w:rsidR="00FE432C" w:rsidRPr="004453B4" w:rsidRDefault="0027563E" w:rsidP="004453B4">
            <w:pPr>
              <w:rPr>
                <w:rFonts w:ascii="Arial" w:hAnsi="Arial" w:cs="Arial"/>
              </w:rPr>
            </w:pPr>
            <w:r w:rsidRPr="004453B4">
              <w:rPr>
                <w:rFonts w:ascii="Arial" w:hAnsi="Arial" w:cs="Arial"/>
              </w:rPr>
              <w:t>Product Development</w:t>
            </w:r>
          </w:p>
        </w:tc>
        <w:tc>
          <w:tcPr>
            <w:tcW w:w="40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422F73" w14:textId="6A610A81" w:rsidR="00FE432C" w:rsidRPr="004453B4" w:rsidRDefault="0027563E" w:rsidP="004453B4">
            <w:pPr>
              <w:rPr>
                <w:rFonts w:ascii="Arial" w:hAnsi="Arial" w:cs="Arial"/>
              </w:rPr>
            </w:pPr>
            <w:r w:rsidRPr="004453B4">
              <w:rPr>
                <w:rFonts w:ascii="Arial" w:hAnsi="Arial" w:cs="Arial"/>
              </w:rPr>
              <w:t>Approximately 697,000 tonnes produced annually, supporting expansion of renewable energy supply chains (GD, 2025)</w:t>
            </w:r>
          </w:p>
        </w:tc>
        <w:tc>
          <w:tcPr>
            <w:tcW w:w="36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22F9CA" w14:textId="6E577C52" w:rsidR="00FE432C" w:rsidRPr="004453B4" w:rsidRDefault="0027563E" w:rsidP="004453B4">
            <w:pPr>
              <w:rPr>
                <w:rFonts w:ascii="Arial" w:hAnsi="Arial" w:cs="Arial"/>
              </w:rPr>
            </w:pPr>
            <w:r w:rsidRPr="004453B4">
              <w:rPr>
                <w:rFonts w:ascii="Arial" w:hAnsi="Arial" w:cs="Arial"/>
              </w:rPr>
              <w:t>Most suitable strategy for aligning sustainability objectives with future market demand</w:t>
            </w:r>
          </w:p>
        </w:tc>
      </w:tr>
      <w:tr w:rsidR="00FE432C" w:rsidRPr="004453B4" w14:paraId="7B773EC0" w14:textId="77777777" w:rsidTr="004453B4">
        <w:trPr>
          <w:trHeight w:val="1325"/>
          <w:jc w:val="center"/>
        </w:trPr>
        <w:tc>
          <w:tcPr>
            <w:tcW w:w="180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659144" w14:textId="77777777" w:rsidR="00FE432C" w:rsidRPr="004453B4" w:rsidRDefault="0027563E" w:rsidP="004453B4">
            <w:pPr>
              <w:rPr>
                <w:rFonts w:ascii="Arial" w:hAnsi="Arial" w:cs="Arial"/>
              </w:rPr>
            </w:pPr>
            <w:r w:rsidRPr="004453B4">
              <w:rPr>
                <w:rFonts w:ascii="Arial" w:hAnsi="Arial" w:cs="Arial"/>
              </w:rPr>
              <w:t>Diversification</w:t>
            </w:r>
          </w:p>
        </w:tc>
        <w:tc>
          <w:tcPr>
            <w:tcW w:w="40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82A7F5" w14:textId="77777777" w:rsidR="00FE432C" w:rsidRPr="004453B4" w:rsidRDefault="0027563E" w:rsidP="004453B4">
            <w:pPr>
              <w:rPr>
                <w:rFonts w:ascii="Arial" w:hAnsi="Arial" w:cs="Arial"/>
              </w:rPr>
            </w:pPr>
            <w:r w:rsidRPr="004453B4">
              <w:rPr>
                <w:rFonts w:ascii="Arial" w:hAnsi="Arial" w:cs="Arial"/>
              </w:rPr>
              <w:t>Average daily trading volume of approximately 3.2 million shares reflects strong market confidence for strategic investments (TV, 2026)</w:t>
            </w:r>
          </w:p>
        </w:tc>
        <w:tc>
          <w:tcPr>
            <w:tcW w:w="36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723C12" w14:textId="4AEC8281" w:rsidR="00FE432C" w:rsidRPr="004453B4" w:rsidRDefault="0027563E" w:rsidP="004453B4">
            <w:pPr>
              <w:rPr>
                <w:rFonts w:ascii="Arial" w:hAnsi="Arial" w:cs="Arial"/>
              </w:rPr>
            </w:pPr>
            <w:r w:rsidRPr="004453B4">
              <w:rPr>
                <w:rFonts w:ascii="Arial" w:hAnsi="Arial" w:cs="Arial"/>
              </w:rPr>
              <w:t>Higher risk because diversification beyond core mining activities may dilute competitive advantages</w:t>
            </w:r>
          </w:p>
        </w:tc>
      </w:tr>
    </w:tbl>
    <w:p w14:paraId="6B423A82" w14:textId="1E6B5E6F" w:rsidR="00C05C35" w:rsidRPr="004453B4" w:rsidRDefault="00C05C35" w:rsidP="004453B4">
      <w:pPr>
        <w:jc w:val="center"/>
        <w:rPr>
          <w:rFonts w:ascii="Arial" w:hAnsi="Arial" w:cs="Arial"/>
          <w:b/>
          <w:bCs/>
        </w:rPr>
      </w:pPr>
      <w:r w:rsidRPr="004453B4">
        <w:rPr>
          <w:rFonts w:ascii="Arial" w:hAnsi="Arial" w:cs="Arial"/>
          <w:b/>
          <w:bCs/>
        </w:rPr>
        <w:t>Figure 4: Ansoff Matrix Evaluation of Strategic Growth Options for Rio Tinto plc</w:t>
      </w:r>
    </w:p>
    <w:p w14:paraId="28AF3F24" w14:textId="3D977954" w:rsidR="00FE432C" w:rsidRPr="004453B4" w:rsidRDefault="004453B4" w:rsidP="004453B4">
      <w:pPr>
        <w:rPr>
          <w:rFonts w:ascii="Arial" w:hAnsi="Arial" w:cs="Arial"/>
        </w:rPr>
      </w:pPr>
      <w:r w:rsidRPr="004453B4">
        <w:rPr>
          <w:rFonts w:ascii="Arial" w:hAnsi="Arial" w:cs="Arial"/>
        </w:rPr>
        <w:t>In context to</w:t>
      </w:r>
      <w:r w:rsidR="0027563E" w:rsidRPr="004453B4">
        <w:rPr>
          <w:rFonts w:ascii="Arial" w:hAnsi="Arial" w:cs="Arial"/>
        </w:rPr>
        <w:t xml:space="preserve"> the Ansoff Matrix, there are four main market growth strategies: market penetration, market development, product development, and diversification. The lowest-hanging fruit for Rio Tinto is product development, as that can grow with the sustainability goals the organisation has while enhancing current operational capabilities. According to Addo (2026), extractive companies have more and more resorted to the practice of sustainable rebranding in order to gain the trust of stakeholders and generate long-term value creation. Moreover, Zhao et al. (2026) highlighted the need for carbon products in industries. As a result, investments in the production of green aluminium, sustainable copper, and low-carbon iron ore are market-oriented, gain a competitive edge and offer lower risks than diversification.</w:t>
      </w:r>
    </w:p>
    <w:p w14:paraId="69CEA855" w14:textId="381CB546" w:rsidR="00C05C35" w:rsidRPr="004453B4" w:rsidRDefault="0027563E" w:rsidP="004453B4">
      <w:pPr>
        <w:pStyle w:val="Heading3"/>
        <w:rPr>
          <w:rFonts w:ascii="Arial" w:hAnsi="Arial" w:cs="Arial"/>
        </w:rPr>
      </w:pPr>
      <w:bookmarkStart w:id="23" w:name="_fhvkyruwwgq0" w:colFirst="0" w:colLast="0"/>
      <w:bookmarkStart w:id="24" w:name="_Toc234622512"/>
      <w:bookmarkEnd w:id="23"/>
      <w:r w:rsidRPr="004453B4">
        <w:rPr>
          <w:rFonts w:ascii="Arial" w:hAnsi="Arial" w:cs="Arial"/>
        </w:rPr>
        <w:t>3.1.2 Recommended Strategy: Product Development</w:t>
      </w:r>
      <w:bookmarkEnd w:id="24"/>
    </w:p>
    <w:p w14:paraId="378A9BB1" w14:textId="56A74353" w:rsidR="00C05C35" w:rsidRPr="004453B4" w:rsidRDefault="00C05C35" w:rsidP="004453B4">
      <w:pPr>
        <w:jc w:val="center"/>
        <w:rPr>
          <w:rFonts w:ascii="Arial" w:hAnsi="Arial" w:cs="Arial"/>
        </w:rPr>
      </w:pPr>
      <w:r w:rsidRPr="004453B4">
        <w:rPr>
          <w:rFonts w:ascii="Arial" w:hAnsi="Arial" w:cs="Arial"/>
          <w:noProof/>
        </w:rPr>
        <w:drawing>
          <wp:inline distT="0" distB="0" distL="0" distR="0" wp14:anchorId="347FF0F0" wp14:editId="30BCD0E9">
            <wp:extent cx="5305080" cy="2673350"/>
            <wp:effectExtent l="19050" t="19050" r="10160" b="12700"/>
            <wp:docPr id="9128489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b="4187"/>
                    <a:stretch>
                      <a:fillRect/>
                    </a:stretch>
                  </pic:blipFill>
                  <pic:spPr bwMode="auto">
                    <a:xfrm>
                      <a:off x="0" y="0"/>
                      <a:ext cx="5323141" cy="2682451"/>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18D846F" w14:textId="7244EA29" w:rsidR="00C05C35" w:rsidRPr="004453B4" w:rsidRDefault="00C05C35" w:rsidP="004453B4">
      <w:pPr>
        <w:jc w:val="center"/>
        <w:rPr>
          <w:rFonts w:ascii="Arial" w:hAnsi="Arial" w:cs="Arial"/>
          <w:b/>
          <w:bCs/>
        </w:rPr>
      </w:pPr>
      <w:r w:rsidRPr="004453B4">
        <w:rPr>
          <w:rFonts w:ascii="Arial" w:hAnsi="Arial" w:cs="Arial"/>
          <w:b/>
          <w:bCs/>
        </w:rPr>
        <w:t>Figure 2: Rio Tinto plc Financial Performance</w:t>
      </w:r>
    </w:p>
    <w:p w14:paraId="50CC74CF" w14:textId="62F0808C" w:rsidR="00C05C35" w:rsidRPr="004453B4" w:rsidRDefault="00C05C35" w:rsidP="004453B4">
      <w:pPr>
        <w:jc w:val="center"/>
        <w:rPr>
          <w:rFonts w:ascii="Arial" w:hAnsi="Arial" w:cs="Arial"/>
        </w:rPr>
      </w:pPr>
      <w:r w:rsidRPr="004453B4">
        <w:rPr>
          <w:rFonts w:ascii="Arial" w:hAnsi="Arial" w:cs="Arial"/>
        </w:rPr>
        <w:t>(Source: MarketScreener, 2026)</w:t>
      </w:r>
    </w:p>
    <w:p w14:paraId="788D9825" w14:textId="74F8BDC7" w:rsidR="00FE432C" w:rsidRPr="004453B4" w:rsidRDefault="00326DFE" w:rsidP="004453B4">
      <w:pPr>
        <w:rPr>
          <w:rFonts w:ascii="Arial" w:hAnsi="Arial" w:cs="Arial"/>
          <w:color w:val="000000" w:themeColor="text1"/>
        </w:rPr>
      </w:pPr>
      <w:r w:rsidRPr="004453B4">
        <w:rPr>
          <w:rFonts w:ascii="Arial" w:hAnsi="Arial" w:cs="Arial"/>
        </w:rPr>
        <w:t>Future sales, EBITDA and cash flows suggest the company's ability to finance future product growth and sustainability initiatives (MarketScreener, 2026). A product development growth strategy is the most appropriate strategy for Rio Tinto due to its growth being based on the company's existing resources and the increase in the demand for sustainable materials. The transition to renewable energy, transition to EVs and transition to low-carbon infrastructure have elevated the value of critical minerals like aluminium, copper and lithium globally. Das (2026) highlight</w:t>
      </w:r>
      <w:r w:rsidR="004453B4" w:rsidRPr="004453B4">
        <w:rPr>
          <w:rFonts w:ascii="Arial" w:hAnsi="Arial" w:cs="Arial"/>
        </w:rPr>
        <w:t>ed</w:t>
      </w:r>
      <w:r w:rsidRPr="004453B4">
        <w:rPr>
          <w:rFonts w:ascii="Arial" w:hAnsi="Arial" w:cs="Arial"/>
        </w:rPr>
        <w:t xml:space="preserve"> that aluminium plays </w:t>
      </w:r>
      <w:r w:rsidRPr="004453B4">
        <w:rPr>
          <w:rFonts w:ascii="Arial" w:hAnsi="Arial" w:cs="Arial"/>
          <w:color w:val="000000" w:themeColor="text1"/>
        </w:rPr>
        <w:t>a vital role in the energy transition due to its extensive use in clean technologies and advanced manufacturing. As a result, growing low-carbon aluminium and other sustainable mineral products could deepen Rio Tinto's market share, unlock new revenue streams and contribute to global decarbonisation efforts.</w:t>
      </w:r>
    </w:p>
    <w:p w14:paraId="6B12C4B1" w14:textId="77777777" w:rsidR="00FE432C" w:rsidRPr="004453B4" w:rsidRDefault="0027563E" w:rsidP="004453B4">
      <w:pPr>
        <w:pStyle w:val="Heading3"/>
        <w:rPr>
          <w:rFonts w:ascii="Arial" w:hAnsi="Arial" w:cs="Arial"/>
          <w:color w:val="000000" w:themeColor="text1"/>
        </w:rPr>
      </w:pPr>
      <w:bookmarkStart w:id="25" w:name="_2svxv21vvxs0" w:colFirst="0" w:colLast="0"/>
      <w:bookmarkStart w:id="26" w:name="_Toc234622513"/>
      <w:bookmarkEnd w:id="25"/>
      <w:r w:rsidRPr="004453B4">
        <w:rPr>
          <w:rFonts w:ascii="Arial" w:hAnsi="Arial" w:cs="Arial"/>
          <w:color w:val="000000" w:themeColor="text1"/>
        </w:rPr>
        <w:t>3.1.3 Achieving Competitive Advantage</w:t>
      </w:r>
      <w:bookmarkEnd w:id="26"/>
    </w:p>
    <w:p w14:paraId="4A10A0E1" w14:textId="05957056" w:rsidR="00FE432C" w:rsidRPr="004453B4" w:rsidRDefault="00892C39" w:rsidP="004453B4">
      <w:pPr>
        <w:rPr>
          <w:rFonts w:ascii="Arial" w:hAnsi="Arial" w:cs="Arial"/>
        </w:rPr>
      </w:pPr>
      <w:r w:rsidRPr="004453B4">
        <w:rPr>
          <w:rFonts w:ascii="Arial" w:hAnsi="Arial" w:cs="Arial"/>
          <w:color w:val="000000" w:themeColor="text1"/>
        </w:rPr>
        <w:t xml:space="preserve">Sustainable competitive advantage requires Rio Tinto to innovate, perform well environmentally, and act responsibly in relation to resource extraction. The company can boost its competitive edge by providing products with reduced levels of carbon as well as increasing transparency along the value chain. This is an increasingly significant trend as people and governments wish to have confidence that they are consuming products that are sourced in an environmentally responsible way. According to Shee Weng (2025), the sector is changing international trade with mechanisms like the </w:t>
      </w:r>
      <w:r w:rsidRPr="004453B4">
        <w:rPr>
          <w:rFonts w:ascii="Arial" w:hAnsi="Arial" w:cs="Arial"/>
        </w:rPr>
        <w:t>European Union's Carbon Border Adjustment Mechanism (CBAM) that favour lower-carbon products. The change in regulations would result in a competitive advantage for mining companies which are able to prove high environmental performance. The inclusion of sustainability in product development and operational strategies can drive improvements in customer value, market access and long-term competitiveness in the evolving low-carbon economy for Rio Tinto.</w:t>
      </w:r>
    </w:p>
    <w:p w14:paraId="51033C3A" w14:textId="77777777" w:rsidR="004453B4" w:rsidRPr="004453B4" w:rsidRDefault="004453B4" w:rsidP="004453B4">
      <w:pPr>
        <w:rPr>
          <w:rFonts w:ascii="Arial" w:hAnsi="Arial" w:cs="Arial"/>
        </w:rPr>
      </w:pPr>
    </w:p>
    <w:p w14:paraId="7AF8A4D6" w14:textId="77777777" w:rsidR="00FE432C" w:rsidRPr="004453B4" w:rsidRDefault="0027563E" w:rsidP="004453B4">
      <w:pPr>
        <w:pStyle w:val="Heading1"/>
        <w:rPr>
          <w:rFonts w:ascii="Arial" w:hAnsi="Arial" w:cs="Arial"/>
        </w:rPr>
      </w:pPr>
      <w:bookmarkStart w:id="27" w:name="_gqqe0sqf3f4k" w:colFirst="0" w:colLast="0"/>
      <w:bookmarkStart w:id="28" w:name="_Toc234622514"/>
      <w:bookmarkEnd w:id="27"/>
      <w:r w:rsidRPr="004453B4">
        <w:rPr>
          <w:rFonts w:ascii="Arial" w:hAnsi="Arial" w:cs="Arial"/>
        </w:rPr>
        <w:t>4. Task 3: Critical Reflection on AI Usage</w:t>
      </w:r>
      <w:bookmarkEnd w:id="28"/>
    </w:p>
    <w:p w14:paraId="2FD8A26D" w14:textId="77777777" w:rsidR="00FE432C" w:rsidRPr="004453B4" w:rsidRDefault="0027563E" w:rsidP="004453B4">
      <w:pPr>
        <w:pStyle w:val="Heading2"/>
        <w:rPr>
          <w:rFonts w:ascii="Arial" w:hAnsi="Arial" w:cs="Arial"/>
        </w:rPr>
      </w:pPr>
      <w:bookmarkStart w:id="29" w:name="_l6qitcrer7mw" w:colFirst="0" w:colLast="0"/>
      <w:bookmarkStart w:id="30" w:name="_Toc234622515"/>
      <w:bookmarkEnd w:id="29"/>
      <w:r w:rsidRPr="004453B4">
        <w:rPr>
          <w:rFonts w:ascii="Arial" w:hAnsi="Arial" w:cs="Arial"/>
        </w:rPr>
        <w:t>4.1 Critical Reflection on Artificial Intelligence Usage</w:t>
      </w:r>
      <w:bookmarkEnd w:id="30"/>
    </w:p>
    <w:p w14:paraId="24DBECAB" w14:textId="49753157" w:rsidR="00FE432C" w:rsidRPr="004453B4" w:rsidRDefault="0027563E" w:rsidP="004453B4">
      <w:pPr>
        <w:rPr>
          <w:rFonts w:ascii="Arial" w:hAnsi="Arial" w:cs="Arial"/>
        </w:rPr>
      </w:pPr>
      <w:r w:rsidRPr="004453B4">
        <w:rPr>
          <w:rFonts w:ascii="Arial" w:hAnsi="Arial" w:cs="Arial"/>
        </w:rPr>
        <w:t>Artificial intelligence (AI) was used as a facilitator in locating and identifying literature, organising information, and initial synthesis of the content for this report. AI tools optimised research processes and provided cross-sectoral access to current research and information from industry and academia on sustainability, mining and strategic management. AI-generated content</w:t>
      </w:r>
      <w:r w:rsidR="004453B4" w:rsidRPr="004453B4">
        <w:rPr>
          <w:rFonts w:ascii="Arial" w:hAnsi="Arial" w:cs="Arial"/>
        </w:rPr>
        <w:t>s</w:t>
      </w:r>
      <w:r w:rsidRPr="004453B4">
        <w:rPr>
          <w:rFonts w:ascii="Arial" w:hAnsi="Arial" w:cs="Arial"/>
        </w:rPr>
        <w:t xml:space="preserve"> w</w:t>
      </w:r>
      <w:r w:rsidR="004453B4" w:rsidRPr="004453B4">
        <w:rPr>
          <w:rFonts w:ascii="Arial" w:hAnsi="Arial" w:cs="Arial"/>
        </w:rPr>
        <w:t>ere</w:t>
      </w:r>
      <w:r w:rsidRPr="004453B4">
        <w:rPr>
          <w:rFonts w:ascii="Arial" w:hAnsi="Arial" w:cs="Arial"/>
        </w:rPr>
        <w:t>, however, meticulously judged, and due diligence was done with reference to peer-reviewed literature and reliable company sources to ensure it was included. This reflective component will examine where AI has been applied in research, its output and reliability, its contribution to the report, and issues of ethical and professional responsibility for the use of AI in research.</w:t>
      </w:r>
    </w:p>
    <w:p w14:paraId="24131106" w14:textId="77777777" w:rsidR="00FE432C" w:rsidRPr="004453B4" w:rsidRDefault="0027563E" w:rsidP="004453B4">
      <w:pPr>
        <w:pStyle w:val="Heading3"/>
        <w:rPr>
          <w:rFonts w:ascii="Arial" w:hAnsi="Arial" w:cs="Arial"/>
        </w:rPr>
      </w:pPr>
      <w:bookmarkStart w:id="31" w:name="_8jdlpiyjhsb" w:colFirst="0" w:colLast="0"/>
      <w:bookmarkStart w:id="32" w:name="_Toc234622516"/>
      <w:bookmarkEnd w:id="31"/>
      <w:r w:rsidRPr="004453B4">
        <w:rPr>
          <w:rFonts w:ascii="Arial" w:hAnsi="Arial" w:cs="Arial"/>
        </w:rPr>
        <w:t>4.1.1 Tool Disclosure</w:t>
      </w:r>
      <w:bookmarkEnd w:id="32"/>
    </w:p>
    <w:p w14:paraId="0A80CFCD" w14:textId="77777777" w:rsidR="00FE432C" w:rsidRPr="004453B4" w:rsidRDefault="0027563E" w:rsidP="004453B4">
      <w:pPr>
        <w:rPr>
          <w:rFonts w:ascii="Arial" w:hAnsi="Arial" w:cs="Arial"/>
        </w:rPr>
      </w:pPr>
      <w:r w:rsidRPr="004453B4">
        <w:rPr>
          <w:rFonts w:ascii="Arial" w:hAnsi="Arial" w:cs="Arial"/>
        </w:rPr>
        <w:t>Artificial intelligence (AI) tools have been used to assist in the process of information gathering and identify sources, and initial synthesis in preparing this report. Platforms were identified to search for recent research about sustainable mining, energy-transition minerals, and environmental governance, with the assistance of artificial intelligence (AI). Information that was company-specific was also verified against the publicly available corporate and financial databases for consistency and accuracy of the information. According to Mendes (2025), when it comes to decisions regarding sustainability, the importance of reliable information and technological support systems is growing increasingly. Therefore, AI was used as an aid in researching and not a replacement for academic work and critical evaluation.</w:t>
      </w:r>
    </w:p>
    <w:p w14:paraId="0AB09CEE" w14:textId="77777777" w:rsidR="00FE432C" w:rsidRPr="004453B4" w:rsidRDefault="0027563E" w:rsidP="004453B4">
      <w:pPr>
        <w:pStyle w:val="Heading3"/>
        <w:rPr>
          <w:rFonts w:ascii="Arial" w:hAnsi="Arial" w:cs="Arial"/>
        </w:rPr>
      </w:pPr>
      <w:bookmarkStart w:id="33" w:name="_4dxosu7kf0ds" w:colFirst="0" w:colLast="0"/>
      <w:bookmarkStart w:id="34" w:name="_Toc234622517"/>
      <w:bookmarkEnd w:id="33"/>
      <w:r w:rsidRPr="004453B4">
        <w:rPr>
          <w:rFonts w:ascii="Arial" w:hAnsi="Arial" w:cs="Arial"/>
        </w:rPr>
        <w:t>4.1.2 Critical Evaluation of AI Outputs</w:t>
      </w:r>
      <w:bookmarkEnd w:id="34"/>
    </w:p>
    <w:p w14:paraId="34810571" w14:textId="40903309" w:rsidR="00FE432C" w:rsidRPr="004453B4" w:rsidRDefault="0027563E" w:rsidP="004453B4">
      <w:pPr>
        <w:rPr>
          <w:rFonts w:ascii="Arial" w:hAnsi="Arial" w:cs="Arial"/>
        </w:rPr>
      </w:pPr>
      <w:r w:rsidRPr="004453B4">
        <w:rPr>
          <w:rFonts w:ascii="Arial" w:hAnsi="Arial" w:cs="Arial"/>
        </w:rPr>
        <w:t xml:space="preserve">AI tools greatly streamlined the research </w:t>
      </w:r>
      <w:r w:rsidR="005D6C3D" w:rsidRPr="004453B4">
        <w:rPr>
          <w:rFonts w:ascii="Arial" w:hAnsi="Arial" w:cs="Arial"/>
        </w:rPr>
        <w:t>process,</w:t>
      </w:r>
      <w:r w:rsidRPr="004453B4">
        <w:rPr>
          <w:rFonts w:ascii="Arial" w:hAnsi="Arial" w:cs="Arial"/>
        </w:rPr>
        <w:t xml:space="preserve"> careful verification of the outputs was necessary to ensure academic reliability. Several AI-generated summaries initially produced a self-simplifying summary of the mining sustainability issues, which lacked an understanding of the geopolitical and socio-environmental nuances and complexities of mining. Vivoda and Loginova (2025) illustrate how it is multifaceted and that critical mineral projects represent complex dynamics of geopolitical, environmental and economic development. As such, every AI-generated report was carefully vetted against already published, peer-reviewed articles in journals as well as trusted industry benchmarks before being incorporated into the report. Besides, Rio Tinto had a cash amount of around US$18.9 billion, in terms of cash and cash equivalents, which shows that it is extremely crucial to validate the numbers before using them for analysis of strategic planning (GD, 2025). This evaluation system helped identify if there are any unsupported claims, reduced the rate of factually inaccurate claims and enhanced the overall credibility of the final analysis.</w:t>
      </w:r>
    </w:p>
    <w:p w14:paraId="54BA959E" w14:textId="77777777" w:rsidR="00FE432C" w:rsidRPr="004453B4" w:rsidRDefault="0027563E" w:rsidP="004453B4">
      <w:pPr>
        <w:pStyle w:val="Heading3"/>
        <w:rPr>
          <w:rFonts w:ascii="Arial" w:hAnsi="Arial" w:cs="Arial"/>
        </w:rPr>
      </w:pPr>
      <w:bookmarkStart w:id="35" w:name="_ivfaq4mcueuw" w:colFirst="0" w:colLast="0"/>
      <w:bookmarkStart w:id="36" w:name="_Toc234622518"/>
      <w:bookmarkEnd w:id="35"/>
      <w:r w:rsidRPr="004453B4">
        <w:rPr>
          <w:rFonts w:ascii="Arial" w:hAnsi="Arial" w:cs="Arial"/>
        </w:rPr>
        <w:t>4.1.3 Contribution Analysis</w:t>
      </w:r>
      <w:bookmarkEnd w:id="36"/>
    </w:p>
    <w:p w14:paraId="150AB8E0" w14:textId="51C55B1C" w:rsidR="00FE432C" w:rsidRPr="004453B4" w:rsidRDefault="0027563E" w:rsidP="004453B4">
      <w:pPr>
        <w:rPr>
          <w:rFonts w:ascii="Arial" w:hAnsi="Arial" w:cs="Arial"/>
        </w:rPr>
      </w:pPr>
      <w:r w:rsidRPr="004453B4">
        <w:rPr>
          <w:rFonts w:ascii="Arial" w:hAnsi="Arial" w:cs="Arial"/>
        </w:rPr>
        <w:t xml:space="preserve">Together, AI played a significant part in making the literature discovery more effective, categorising the literature in themes, and providing an initial organisation of the content. The technology helped to bring to light new sustainability transition, critical mineral and strategic adaptation trends in mining. The interpretation of the results, application of the marketing mix models and the marketing strategy recommendations were, </w:t>
      </w:r>
      <w:r w:rsidR="005D6C3D" w:rsidRPr="004453B4">
        <w:rPr>
          <w:rFonts w:ascii="Arial" w:hAnsi="Arial" w:cs="Arial"/>
        </w:rPr>
        <w:t>however</w:t>
      </w:r>
      <w:r w:rsidRPr="004453B4">
        <w:rPr>
          <w:rFonts w:ascii="Arial" w:hAnsi="Arial" w:cs="Arial"/>
        </w:rPr>
        <w:t xml:space="preserve"> still left to the researcher. There is a need to go beyond automated information handling to develop contextual understanding and managerial judgment, particularly for strategic adaptation, industries based on natural resources (Hulwani et al. 2025). Additionally, in 2024, Rio Tinto's operating cash flows amounted to about US$15.1 billion, which gives a crucial measure of its ability to fund future strategic initiatives (Statista, 2026).</w:t>
      </w:r>
    </w:p>
    <w:p w14:paraId="5763211F" w14:textId="77777777" w:rsidR="00FE432C" w:rsidRPr="004453B4" w:rsidRDefault="0027563E" w:rsidP="004453B4">
      <w:pPr>
        <w:pStyle w:val="Heading3"/>
        <w:rPr>
          <w:rFonts w:ascii="Arial" w:hAnsi="Arial" w:cs="Arial"/>
        </w:rPr>
      </w:pPr>
      <w:bookmarkStart w:id="37" w:name="_x7c3dq795xbb" w:colFirst="0" w:colLast="0"/>
      <w:bookmarkStart w:id="38" w:name="_Toc234622519"/>
      <w:bookmarkEnd w:id="37"/>
      <w:r w:rsidRPr="004453B4">
        <w:rPr>
          <w:rFonts w:ascii="Arial" w:hAnsi="Arial" w:cs="Arial"/>
        </w:rPr>
        <w:t>4.1.4 Ethical and Professional Reflection</w:t>
      </w:r>
      <w:bookmarkEnd w:id="38"/>
    </w:p>
    <w:p w14:paraId="10FA8180" w14:textId="2FF2B252" w:rsidR="00FE432C" w:rsidRPr="004453B4" w:rsidRDefault="0027563E" w:rsidP="004453B4">
      <w:pPr>
        <w:rPr>
          <w:rFonts w:ascii="Arial" w:hAnsi="Arial" w:cs="Arial"/>
          <w:color w:val="000000" w:themeColor="text1"/>
        </w:rPr>
      </w:pPr>
      <w:r w:rsidRPr="004453B4">
        <w:rPr>
          <w:rFonts w:ascii="Arial" w:hAnsi="Arial" w:cs="Arial"/>
        </w:rPr>
        <w:t xml:space="preserve">Ethical usage of AI must include </w:t>
      </w:r>
      <w:r w:rsidRPr="004453B4">
        <w:rPr>
          <w:rFonts w:ascii="Arial" w:hAnsi="Arial" w:cs="Arial"/>
          <w:color w:val="000000" w:themeColor="text1"/>
        </w:rPr>
        <w:t xml:space="preserve">clarity, responsibility, and thorough checks for accuracy when using AI-created products. AI systems can be used to generate a lot of </w:t>
      </w:r>
      <w:r w:rsidR="005D6C3D" w:rsidRPr="004453B4">
        <w:rPr>
          <w:rFonts w:ascii="Arial" w:hAnsi="Arial" w:cs="Arial"/>
          <w:color w:val="000000" w:themeColor="text1"/>
        </w:rPr>
        <w:t>things</w:t>
      </w:r>
      <w:r w:rsidRPr="004453B4">
        <w:rPr>
          <w:rFonts w:ascii="Arial" w:hAnsi="Arial" w:cs="Arial"/>
          <w:color w:val="000000" w:themeColor="text1"/>
        </w:rPr>
        <w:t xml:space="preserve"> and if the results are not critically analysed, inaccurate information, incomplete interpretations, or biased perspectives may be generated. </w:t>
      </w:r>
      <w:r w:rsidR="00892C39" w:rsidRPr="004453B4">
        <w:rPr>
          <w:rFonts w:ascii="Arial" w:hAnsi="Arial" w:cs="Arial"/>
          <w:color w:val="000000" w:themeColor="text1"/>
        </w:rPr>
        <w:t>Thus, the information gathered through the AI-assisted processes were corroborated with academic literature and reputable industry sources prior to their application in the report. Aska et al. (2025) underline that the activities related to the transition to renewables in the forms of mining can apply pressures on biodiversity and form social conflicts, hence comes the importance of study and balance</w:t>
      </w:r>
      <w:r w:rsidRPr="004453B4">
        <w:rPr>
          <w:rFonts w:ascii="Arial" w:hAnsi="Arial" w:cs="Arial"/>
          <w:color w:val="000000" w:themeColor="text1"/>
        </w:rPr>
        <w:t>. Dunlap et al. (2025) suggest that narratives in the extractive industry should also be analysed and scrutinised. Therefore, ongoing human supervision and care are necessary to ensure the ethical use of AI.</w:t>
      </w:r>
    </w:p>
    <w:p w14:paraId="0CAFB3DB" w14:textId="77777777" w:rsidR="004453B4" w:rsidRPr="004453B4" w:rsidRDefault="004453B4" w:rsidP="004453B4">
      <w:pPr>
        <w:rPr>
          <w:rFonts w:ascii="Arial" w:hAnsi="Arial" w:cs="Arial"/>
          <w:color w:val="000000" w:themeColor="text1"/>
        </w:rPr>
      </w:pPr>
    </w:p>
    <w:p w14:paraId="7546B9CE" w14:textId="12FD71E5" w:rsidR="00FE432C" w:rsidRPr="004453B4" w:rsidRDefault="00810030" w:rsidP="004453B4">
      <w:pPr>
        <w:pStyle w:val="Heading1"/>
        <w:rPr>
          <w:rFonts w:ascii="Arial" w:hAnsi="Arial" w:cs="Arial"/>
          <w:color w:val="000000" w:themeColor="text1"/>
        </w:rPr>
      </w:pPr>
      <w:bookmarkStart w:id="39" w:name="_ilnsz9hqss9u" w:colFirst="0" w:colLast="0"/>
      <w:bookmarkStart w:id="40" w:name="_Toc234622520"/>
      <w:bookmarkEnd w:id="39"/>
      <w:r w:rsidRPr="004453B4">
        <w:rPr>
          <w:rFonts w:ascii="Arial" w:hAnsi="Arial" w:cs="Arial"/>
          <w:color w:val="000000" w:themeColor="text1"/>
        </w:rPr>
        <w:t>5. Conclusion</w:t>
      </w:r>
      <w:bookmarkEnd w:id="40"/>
    </w:p>
    <w:p w14:paraId="3552F76B" w14:textId="0DE53B7C" w:rsidR="00FE432C" w:rsidRPr="004453B4" w:rsidRDefault="00892C39" w:rsidP="004453B4">
      <w:pPr>
        <w:rPr>
          <w:rFonts w:ascii="Arial" w:hAnsi="Arial" w:cs="Arial"/>
        </w:rPr>
      </w:pPr>
      <w:r w:rsidRPr="004453B4">
        <w:rPr>
          <w:rFonts w:ascii="Arial" w:hAnsi="Arial" w:cs="Arial"/>
          <w:color w:val="000000" w:themeColor="text1"/>
        </w:rPr>
        <w:t xml:space="preserve">Rio Tinto's external landscape is complex and the forces of sustainability and environmental challenges and regulatory requirements are dynamic. The analysis revealed that the natural environment and political-legal environment have the largest impact </w:t>
      </w:r>
      <w:r w:rsidRPr="004453B4">
        <w:rPr>
          <w:rFonts w:ascii="Arial" w:hAnsi="Arial" w:cs="Arial"/>
        </w:rPr>
        <w:t>on the company's path to products with a lower carbon footprint. The most appropriate Ansoff growth strategy was found to be product development as it meets rising demand for minerals that do not compromise the environment and for clean energy technologies. Investing in low-</w:t>
      </w:r>
      <w:r w:rsidR="005D6C3D" w:rsidRPr="004453B4">
        <w:rPr>
          <w:rFonts w:ascii="Arial" w:hAnsi="Arial" w:cs="Arial"/>
        </w:rPr>
        <w:t>carbon aluminium</w:t>
      </w:r>
      <w:r w:rsidRPr="004453B4">
        <w:rPr>
          <w:rFonts w:ascii="Arial" w:hAnsi="Arial" w:cs="Arial"/>
        </w:rPr>
        <w:t xml:space="preserve">, copper, </w:t>
      </w:r>
      <w:r w:rsidR="005D6C3D" w:rsidRPr="004453B4">
        <w:rPr>
          <w:rFonts w:ascii="Arial" w:hAnsi="Arial" w:cs="Arial"/>
        </w:rPr>
        <w:t>a</w:t>
      </w:r>
      <w:r w:rsidRPr="004453B4">
        <w:rPr>
          <w:rFonts w:ascii="Arial" w:hAnsi="Arial" w:cs="Arial"/>
        </w:rPr>
        <w:t>nd other critical minerals will enable Rio Tinto to improve its competitiveness and create value for stakeholders, as well as enable long-term growth in the global low-carbon economy.</w:t>
      </w:r>
      <w:r w:rsidRPr="004453B4">
        <w:rPr>
          <w:rFonts w:ascii="Arial" w:hAnsi="Arial" w:cs="Arial"/>
        </w:rPr>
        <w:br w:type="page"/>
      </w:r>
    </w:p>
    <w:p w14:paraId="4AEA86C8" w14:textId="77777777" w:rsidR="00FE432C" w:rsidRPr="004453B4" w:rsidRDefault="0027563E" w:rsidP="004453B4">
      <w:pPr>
        <w:pStyle w:val="Heading1"/>
        <w:rPr>
          <w:rFonts w:ascii="Arial" w:hAnsi="Arial" w:cs="Arial"/>
        </w:rPr>
      </w:pPr>
      <w:bookmarkStart w:id="41" w:name="_ejjuqev6d610" w:colFirst="0" w:colLast="0"/>
      <w:bookmarkStart w:id="42" w:name="_Toc234622521"/>
      <w:bookmarkEnd w:id="41"/>
      <w:r w:rsidRPr="004453B4">
        <w:rPr>
          <w:rFonts w:ascii="Arial" w:hAnsi="Arial" w:cs="Arial"/>
        </w:rPr>
        <w:t>References</w:t>
      </w:r>
      <w:bookmarkEnd w:id="42"/>
    </w:p>
    <w:p w14:paraId="3E0C4903" w14:textId="77777777" w:rsidR="004453B4" w:rsidRPr="004453B4" w:rsidRDefault="004453B4" w:rsidP="004453B4">
      <w:pPr>
        <w:spacing w:after="240"/>
        <w:rPr>
          <w:rFonts w:ascii="Arial" w:hAnsi="Arial" w:cs="Arial"/>
        </w:rPr>
      </w:pPr>
      <w:r w:rsidRPr="004453B4">
        <w:rPr>
          <w:rFonts w:ascii="Arial" w:hAnsi="Arial" w:cs="Arial"/>
        </w:rPr>
        <w:t xml:space="preserve">Addo, A.F. (2026). Marketing and Communicating the Transition: Exploring the Sustainable Rebranding of Extractive Companies. </w:t>
      </w:r>
      <w:hyperlink r:id="rId11" w:history="1">
        <w:r w:rsidRPr="004453B4">
          <w:rPr>
            <w:rStyle w:val="Hyperlink"/>
            <w:rFonts w:ascii="Arial" w:hAnsi="Arial" w:cs="Arial"/>
          </w:rPr>
          <w:t>https://www.diva-portal.org/smash/record.jsf?pid=diva2:2031949</w:t>
        </w:r>
      </w:hyperlink>
    </w:p>
    <w:p w14:paraId="7859CF3B" w14:textId="77777777" w:rsidR="004453B4" w:rsidRPr="004453B4" w:rsidRDefault="004453B4" w:rsidP="004453B4">
      <w:pPr>
        <w:spacing w:after="240"/>
        <w:rPr>
          <w:rFonts w:ascii="Arial" w:hAnsi="Arial" w:cs="Arial"/>
        </w:rPr>
      </w:pPr>
      <w:r w:rsidRPr="004453B4">
        <w:rPr>
          <w:rFonts w:ascii="Arial" w:hAnsi="Arial" w:cs="Arial"/>
        </w:rPr>
        <w:t>Aska, B., Sonter, L.J., zu Ermgassen, S.O., Franks, D.M., Mingorria, S., Iniesta-Arandia, I., Lloyd, T.J. and Torres, A. (2025). Mining, biodiversity and social conflict in the renewable energy transition. </w:t>
      </w:r>
      <w:r w:rsidRPr="004453B4">
        <w:rPr>
          <w:rFonts w:ascii="Arial" w:hAnsi="Arial" w:cs="Arial"/>
          <w:i/>
          <w:iCs/>
        </w:rPr>
        <w:t>Nature Reviews Biodiversity</w:t>
      </w:r>
      <w:r w:rsidRPr="004453B4">
        <w:rPr>
          <w:rFonts w:ascii="Arial" w:hAnsi="Arial" w:cs="Arial"/>
        </w:rPr>
        <w:t>, </w:t>
      </w:r>
      <w:r w:rsidRPr="004453B4">
        <w:rPr>
          <w:rFonts w:ascii="Arial" w:hAnsi="Arial" w:cs="Arial"/>
          <w:i/>
          <w:iCs/>
        </w:rPr>
        <w:t>1</w:t>
      </w:r>
      <w:r w:rsidRPr="004453B4">
        <w:rPr>
          <w:rFonts w:ascii="Arial" w:hAnsi="Arial" w:cs="Arial"/>
        </w:rPr>
        <w:t xml:space="preserve">(9), pp.597-614. </w:t>
      </w:r>
      <w:hyperlink r:id="rId12" w:history="1">
        <w:r w:rsidRPr="004453B4">
          <w:rPr>
            <w:rStyle w:val="Hyperlink"/>
            <w:rFonts w:ascii="Arial" w:hAnsi="Arial" w:cs="Arial"/>
          </w:rPr>
          <w:t>https://www.nature.com/articles/s44358-025-00076-3</w:t>
        </w:r>
      </w:hyperlink>
    </w:p>
    <w:p w14:paraId="287004CB" w14:textId="34504C2B" w:rsidR="004453B4" w:rsidRPr="007D65FE" w:rsidRDefault="004453B4" w:rsidP="004453B4">
      <w:pPr>
        <w:spacing w:after="240"/>
        <w:rPr>
          <w:rFonts w:ascii="Arial" w:hAnsi="Arial" w:cs="Arial"/>
        </w:rPr>
      </w:pPr>
      <w:r w:rsidRPr="004453B4">
        <w:rPr>
          <w:rFonts w:ascii="Arial" w:hAnsi="Arial" w:cs="Arial"/>
        </w:rPr>
        <w:t>Das, J. (2026). Strategic Metals in the Energy Transition: The Geopolitical Economics of Aluminium Ingots. </w:t>
      </w:r>
      <w:r w:rsidRPr="007D65FE">
        <w:rPr>
          <w:rFonts w:ascii="Arial" w:hAnsi="Arial" w:cs="Arial"/>
          <w:i/>
          <w:iCs/>
        </w:rPr>
        <w:t>Available at SSRN 6273878</w:t>
      </w:r>
      <w:r w:rsidRPr="007D65FE">
        <w:rPr>
          <w:rFonts w:ascii="Arial" w:hAnsi="Arial" w:cs="Arial"/>
        </w:rPr>
        <w:t xml:space="preserve">. </w:t>
      </w:r>
      <w:hyperlink r:id="rId13" w:history="1">
        <w:r w:rsidR="007D65FE" w:rsidRPr="007D65FE">
          <w:rPr>
            <w:rStyle w:val="Hyperlink"/>
            <w:rFonts w:ascii="Arial" w:hAnsi="Arial" w:cs="Arial"/>
          </w:rPr>
          <w:t>https://www.researchgate.net/publication/403715078_Strategic_Metals_in_the_Energy_Transition_The_Geopolitical_Economics_of_Aluminium_Ingots</w:t>
        </w:r>
      </w:hyperlink>
      <w:r w:rsidR="007D65FE" w:rsidRPr="007D65FE">
        <w:rPr>
          <w:rFonts w:ascii="Arial" w:hAnsi="Arial" w:cs="Arial"/>
        </w:rPr>
        <w:t xml:space="preserve"> </w:t>
      </w:r>
    </w:p>
    <w:p w14:paraId="6C74AB0C" w14:textId="77777777" w:rsidR="004453B4" w:rsidRPr="004453B4" w:rsidRDefault="004453B4" w:rsidP="004453B4">
      <w:pPr>
        <w:spacing w:after="240"/>
        <w:rPr>
          <w:rStyle w:val="Hyperlink"/>
          <w:rFonts w:ascii="Arial" w:hAnsi="Arial" w:cs="Arial"/>
        </w:rPr>
      </w:pPr>
      <w:r w:rsidRPr="004453B4">
        <w:rPr>
          <w:rFonts w:ascii="Arial" w:hAnsi="Arial" w:cs="Arial"/>
        </w:rPr>
        <w:t>Dunlap, A.A., Novaković, B. and Sovacool, B.K. (2025). Mining as environmentalism: green/grey extractivism and the production of extractive subjectivities around the Rio Tinto Kennecott mine in the United States. </w:t>
      </w:r>
      <w:r w:rsidRPr="004453B4">
        <w:rPr>
          <w:rFonts w:ascii="Arial" w:hAnsi="Arial" w:cs="Arial"/>
          <w:i/>
          <w:iCs/>
        </w:rPr>
        <w:t>Globalizations</w:t>
      </w:r>
      <w:r w:rsidRPr="004453B4">
        <w:rPr>
          <w:rFonts w:ascii="Arial" w:hAnsi="Arial" w:cs="Arial"/>
        </w:rPr>
        <w:t xml:space="preserve">, pp.1-36. </w:t>
      </w:r>
      <w:hyperlink r:id="rId14" w:history="1">
        <w:r w:rsidRPr="004453B4">
          <w:rPr>
            <w:rStyle w:val="Hyperlink"/>
            <w:rFonts w:ascii="Arial" w:hAnsi="Arial" w:cs="Arial"/>
          </w:rPr>
          <w:t>https://www.tandfonline.com/doi/abs/10.1080/14747731.2025.2465069</w:t>
        </w:r>
      </w:hyperlink>
    </w:p>
    <w:p w14:paraId="52D2DA41" w14:textId="77777777" w:rsidR="004453B4" w:rsidRPr="004453B4" w:rsidRDefault="004453B4" w:rsidP="004453B4">
      <w:pPr>
        <w:spacing w:after="240"/>
        <w:rPr>
          <w:rFonts w:ascii="Arial" w:hAnsi="Arial" w:cs="Arial"/>
        </w:rPr>
      </w:pPr>
      <w:r w:rsidRPr="004453B4">
        <w:rPr>
          <w:rFonts w:ascii="Arial" w:hAnsi="Arial" w:cs="Arial"/>
        </w:rPr>
        <w:t>Ekins, P., Christmann, P., Ciftci, M.M., Larosa, F. and Verrier, B. (2026). Financing the responsible supply of energy transition minerals. </w:t>
      </w:r>
      <w:r w:rsidRPr="004453B4">
        <w:rPr>
          <w:rFonts w:ascii="Arial" w:hAnsi="Arial" w:cs="Arial"/>
          <w:i/>
          <w:iCs/>
        </w:rPr>
        <w:t>Mineral Economics</w:t>
      </w:r>
      <w:r w:rsidRPr="004453B4">
        <w:rPr>
          <w:rFonts w:ascii="Arial" w:hAnsi="Arial" w:cs="Arial"/>
        </w:rPr>
        <w:t xml:space="preserve">, pp.1-19. </w:t>
      </w:r>
      <w:hyperlink r:id="rId15" w:history="1">
        <w:r w:rsidRPr="004453B4">
          <w:rPr>
            <w:rStyle w:val="Hyperlink"/>
            <w:rFonts w:ascii="Arial" w:hAnsi="Arial" w:cs="Arial"/>
          </w:rPr>
          <w:t>https://link.springer.com/article/10.1007/s13563-026-00637-8</w:t>
        </w:r>
      </w:hyperlink>
    </w:p>
    <w:p w14:paraId="7E0BC2DB" w14:textId="77777777" w:rsidR="004453B4" w:rsidRPr="004453B4" w:rsidRDefault="004453B4" w:rsidP="004453B4">
      <w:pPr>
        <w:spacing w:after="240"/>
        <w:rPr>
          <w:rFonts w:ascii="Arial" w:hAnsi="Arial" w:cs="Arial"/>
        </w:rPr>
      </w:pPr>
      <w:r w:rsidRPr="004453B4">
        <w:rPr>
          <w:rFonts w:ascii="Arial" w:hAnsi="Arial" w:cs="Arial"/>
        </w:rPr>
        <w:t>Fathollahzadeh, H., Mudd, G.M. and Jowitt, S.M. (2026). Economic sustainability in the critical materials-supply chains-renewable energy nexus for a low carbon future. </w:t>
      </w:r>
      <w:r w:rsidRPr="004453B4">
        <w:rPr>
          <w:rFonts w:ascii="Arial" w:hAnsi="Arial" w:cs="Arial"/>
          <w:i/>
          <w:iCs/>
        </w:rPr>
        <w:t>Resources Policy</w:t>
      </w:r>
      <w:r w:rsidRPr="004453B4">
        <w:rPr>
          <w:rFonts w:ascii="Arial" w:hAnsi="Arial" w:cs="Arial"/>
        </w:rPr>
        <w:t>, </w:t>
      </w:r>
      <w:r w:rsidRPr="004453B4">
        <w:rPr>
          <w:rFonts w:ascii="Arial" w:hAnsi="Arial" w:cs="Arial"/>
          <w:i/>
          <w:iCs/>
        </w:rPr>
        <w:t>114</w:t>
      </w:r>
      <w:r w:rsidRPr="004453B4">
        <w:rPr>
          <w:rFonts w:ascii="Arial" w:hAnsi="Arial" w:cs="Arial"/>
        </w:rPr>
        <w:t xml:space="preserve">, p.105862. </w:t>
      </w:r>
      <w:hyperlink r:id="rId16" w:history="1">
        <w:r w:rsidRPr="004453B4">
          <w:rPr>
            <w:rStyle w:val="Hyperlink"/>
            <w:rFonts w:ascii="Arial" w:hAnsi="Arial" w:cs="Arial"/>
          </w:rPr>
          <w:t>https://www.sciencedirect.com/science/article/pii/S0301420726000346</w:t>
        </w:r>
      </w:hyperlink>
    </w:p>
    <w:p w14:paraId="243F4432" w14:textId="77777777" w:rsidR="004453B4" w:rsidRPr="004453B4" w:rsidRDefault="004453B4" w:rsidP="004453B4">
      <w:pPr>
        <w:spacing w:after="240"/>
        <w:rPr>
          <w:rFonts w:ascii="Arial" w:hAnsi="Arial" w:cs="Arial"/>
        </w:rPr>
      </w:pPr>
      <w:r w:rsidRPr="004453B4">
        <w:rPr>
          <w:rFonts w:ascii="Arial" w:hAnsi="Arial" w:cs="Arial"/>
        </w:rPr>
        <w:t xml:space="preserve">GD. (2025). </w:t>
      </w:r>
      <w:r w:rsidRPr="004453B4">
        <w:rPr>
          <w:rFonts w:ascii="Arial" w:hAnsi="Arial" w:cs="Arial"/>
          <w:i/>
          <w:iCs/>
        </w:rPr>
        <w:t>Rio Tinto: Overview.</w:t>
      </w:r>
      <w:r w:rsidRPr="004453B4">
        <w:rPr>
          <w:rFonts w:ascii="Arial" w:hAnsi="Arial" w:cs="Arial"/>
        </w:rPr>
        <w:t xml:space="preserve"> Available at: </w:t>
      </w:r>
      <w:hyperlink r:id="rId17" w:history="1">
        <w:r w:rsidRPr="004453B4">
          <w:rPr>
            <w:rStyle w:val="Hyperlink"/>
            <w:rFonts w:ascii="Arial" w:hAnsi="Arial" w:cs="Arial"/>
          </w:rPr>
          <w:t>https://www.globaldata.com/company-profile/rio-tinto/</w:t>
        </w:r>
      </w:hyperlink>
      <w:r w:rsidRPr="004453B4">
        <w:rPr>
          <w:rFonts w:ascii="Arial" w:hAnsi="Arial" w:cs="Arial"/>
        </w:rPr>
        <w:t xml:space="preserve"> [Accessed: 06 July 2026]</w:t>
      </w:r>
    </w:p>
    <w:p w14:paraId="2A27F6BA" w14:textId="77777777" w:rsidR="004453B4" w:rsidRPr="004453B4" w:rsidRDefault="004453B4" w:rsidP="004453B4">
      <w:pPr>
        <w:spacing w:after="240"/>
        <w:rPr>
          <w:rFonts w:ascii="Arial" w:hAnsi="Arial" w:cs="Arial"/>
        </w:rPr>
      </w:pPr>
      <w:r w:rsidRPr="004453B4">
        <w:rPr>
          <w:rFonts w:ascii="Arial" w:hAnsi="Arial" w:cs="Arial"/>
        </w:rPr>
        <w:t>Hulwani, Z., Oziana, D.R.R., Arsianda, M.N., Harisman, H., Muchlis, M. and Mutia, F. (2025). Business Strategy Adaptation amid Industry Dynamics and Energy Transition: Evidence From PT Merdeka Copper Gold and Pt Indika Energy. </w:t>
      </w:r>
      <w:r w:rsidRPr="004453B4">
        <w:rPr>
          <w:rFonts w:ascii="Arial" w:hAnsi="Arial" w:cs="Arial"/>
          <w:i/>
          <w:iCs/>
        </w:rPr>
        <w:t>Jurnal Industri dan Inovasi (INVASI)</w:t>
      </w:r>
      <w:r w:rsidRPr="004453B4">
        <w:rPr>
          <w:rFonts w:ascii="Arial" w:hAnsi="Arial" w:cs="Arial"/>
        </w:rPr>
        <w:t>, </w:t>
      </w:r>
      <w:r w:rsidRPr="004453B4">
        <w:rPr>
          <w:rFonts w:ascii="Arial" w:hAnsi="Arial" w:cs="Arial"/>
          <w:i/>
          <w:iCs/>
        </w:rPr>
        <w:t>3</w:t>
      </w:r>
      <w:r w:rsidRPr="004453B4">
        <w:rPr>
          <w:rFonts w:ascii="Arial" w:hAnsi="Arial" w:cs="Arial"/>
        </w:rPr>
        <w:t xml:space="preserve">(1), pp.41-52. </w:t>
      </w:r>
      <w:hyperlink r:id="rId18" w:history="1">
        <w:r w:rsidRPr="004453B4">
          <w:rPr>
            <w:rStyle w:val="Hyperlink"/>
            <w:rFonts w:ascii="Arial" w:hAnsi="Arial" w:cs="Arial"/>
          </w:rPr>
          <w:t>http://jurnal.utu.ac.id/invasi/article/view/14716</w:t>
        </w:r>
      </w:hyperlink>
    </w:p>
    <w:p w14:paraId="5A30F8C3" w14:textId="77777777" w:rsidR="004453B4" w:rsidRPr="004453B4" w:rsidRDefault="004453B4" w:rsidP="004453B4">
      <w:pPr>
        <w:spacing w:after="240"/>
        <w:rPr>
          <w:rFonts w:ascii="Arial" w:hAnsi="Arial" w:cs="Arial"/>
        </w:rPr>
      </w:pPr>
      <w:r w:rsidRPr="004453B4">
        <w:rPr>
          <w:rFonts w:ascii="Arial" w:hAnsi="Arial" w:cs="Arial"/>
        </w:rPr>
        <w:t>Kustra, A., Lorenc-Szot, S. and Yilmaz, D. (2025). Diversification and Transformation of Business Models in Raw Material Companies. </w:t>
      </w:r>
      <w:r w:rsidRPr="004453B4">
        <w:rPr>
          <w:rFonts w:ascii="Arial" w:hAnsi="Arial" w:cs="Arial"/>
          <w:i/>
          <w:iCs/>
        </w:rPr>
        <w:t>Inżynieria Mineralna</w:t>
      </w:r>
      <w:r w:rsidRPr="004453B4">
        <w:rPr>
          <w:rFonts w:ascii="Arial" w:hAnsi="Arial" w:cs="Arial"/>
        </w:rPr>
        <w:t>, </w:t>
      </w:r>
      <w:r w:rsidRPr="004453B4">
        <w:rPr>
          <w:rFonts w:ascii="Arial" w:hAnsi="Arial" w:cs="Arial"/>
          <w:i/>
          <w:iCs/>
        </w:rPr>
        <w:t>4</w:t>
      </w:r>
      <w:r w:rsidRPr="004453B4">
        <w:rPr>
          <w:rFonts w:ascii="Arial" w:hAnsi="Arial" w:cs="Arial"/>
        </w:rPr>
        <w:t xml:space="preserve">(2), pp.135-143. </w:t>
      </w:r>
      <w:hyperlink r:id="rId19" w:history="1">
        <w:r w:rsidRPr="004453B4">
          <w:rPr>
            <w:rStyle w:val="Hyperlink"/>
            <w:rFonts w:ascii="Arial" w:hAnsi="Arial" w:cs="Arial"/>
          </w:rPr>
          <w:t>https://bibliotekanauki.pl/articles/64176657.pdf</w:t>
        </w:r>
      </w:hyperlink>
    </w:p>
    <w:p w14:paraId="23C43DB6" w14:textId="77777777" w:rsidR="004453B4" w:rsidRPr="004453B4" w:rsidRDefault="004453B4" w:rsidP="004453B4">
      <w:pPr>
        <w:spacing w:after="240"/>
        <w:rPr>
          <w:rFonts w:ascii="Arial" w:hAnsi="Arial" w:cs="Arial"/>
        </w:rPr>
      </w:pPr>
      <w:r w:rsidRPr="004453B4">
        <w:rPr>
          <w:rFonts w:ascii="Arial" w:hAnsi="Arial" w:cs="Arial"/>
          <w:color w:val="222222"/>
          <w:shd w:val="clear" w:color="auto" w:fill="FFFFFF"/>
        </w:rPr>
        <w:t>Liu, W., Xu, J., Cao, L. and Li, F., 2024. Towards iron ore mining sustainability and low-carbon transformation: Policies and implications. </w:t>
      </w:r>
      <w:r w:rsidRPr="004453B4">
        <w:rPr>
          <w:rFonts w:ascii="Arial" w:hAnsi="Arial" w:cs="Arial"/>
          <w:i/>
          <w:iCs/>
          <w:color w:val="222222"/>
          <w:shd w:val="clear" w:color="auto" w:fill="FFFFFF"/>
        </w:rPr>
        <w:t>Resources Policy</w:t>
      </w:r>
      <w:r w:rsidRPr="004453B4">
        <w:rPr>
          <w:rFonts w:ascii="Arial" w:hAnsi="Arial" w:cs="Arial"/>
          <w:color w:val="222222"/>
          <w:shd w:val="clear" w:color="auto" w:fill="FFFFFF"/>
        </w:rPr>
        <w:t>, </w:t>
      </w:r>
      <w:r w:rsidRPr="004453B4">
        <w:rPr>
          <w:rFonts w:ascii="Arial" w:hAnsi="Arial" w:cs="Arial"/>
          <w:i/>
          <w:iCs/>
          <w:color w:val="222222"/>
          <w:shd w:val="clear" w:color="auto" w:fill="FFFFFF"/>
        </w:rPr>
        <w:t>90</w:t>
      </w:r>
      <w:r w:rsidRPr="004453B4">
        <w:rPr>
          <w:rFonts w:ascii="Arial" w:hAnsi="Arial" w:cs="Arial"/>
          <w:color w:val="222222"/>
          <w:shd w:val="clear" w:color="auto" w:fill="FFFFFF"/>
        </w:rPr>
        <w:t xml:space="preserve">, p.104780. </w:t>
      </w:r>
      <w:hyperlink r:id="rId20" w:history="1">
        <w:r w:rsidRPr="004453B4">
          <w:rPr>
            <w:rStyle w:val="Hyperlink"/>
            <w:rFonts w:ascii="Arial" w:hAnsi="Arial" w:cs="Arial"/>
            <w:shd w:val="clear" w:color="auto" w:fill="FFFFFF"/>
          </w:rPr>
          <w:t>https://www.sciencedirect.com/science/article/pii/S0301420724001478</w:t>
        </w:r>
      </w:hyperlink>
      <w:r w:rsidRPr="004453B4">
        <w:rPr>
          <w:rFonts w:ascii="Arial" w:hAnsi="Arial" w:cs="Arial"/>
          <w:color w:val="222222"/>
          <w:shd w:val="clear" w:color="auto" w:fill="FFFFFF"/>
        </w:rPr>
        <w:t xml:space="preserve"> </w:t>
      </w:r>
    </w:p>
    <w:p w14:paraId="3A804609" w14:textId="77777777" w:rsidR="004453B4" w:rsidRPr="004453B4" w:rsidRDefault="004453B4" w:rsidP="004453B4">
      <w:pPr>
        <w:spacing w:after="240"/>
        <w:rPr>
          <w:rFonts w:ascii="Arial" w:hAnsi="Arial" w:cs="Arial"/>
        </w:rPr>
      </w:pPr>
      <w:r w:rsidRPr="004453B4">
        <w:rPr>
          <w:rFonts w:ascii="Arial" w:hAnsi="Arial" w:cs="Arial"/>
        </w:rPr>
        <w:t xml:space="preserve">Macrotrends. (2026). </w:t>
      </w:r>
      <w:r w:rsidRPr="004453B4">
        <w:rPr>
          <w:rFonts w:ascii="Arial" w:hAnsi="Arial" w:cs="Arial"/>
          <w:i/>
          <w:iCs/>
        </w:rPr>
        <w:t>Rio Tinto - 15 Year Stock Price History | RIO.</w:t>
      </w:r>
      <w:r w:rsidRPr="004453B4">
        <w:rPr>
          <w:rFonts w:ascii="Arial" w:hAnsi="Arial" w:cs="Arial"/>
        </w:rPr>
        <w:t xml:space="preserve"> Available at: </w:t>
      </w:r>
      <w:hyperlink r:id="rId21" w:history="1">
        <w:r w:rsidRPr="004453B4">
          <w:rPr>
            <w:rStyle w:val="Hyperlink"/>
            <w:rFonts w:ascii="Arial" w:hAnsi="Arial" w:cs="Arial"/>
          </w:rPr>
          <w:t>https://www.macrotrends.net/stocks/charts/RIO/rio-tinto/stock-price-history</w:t>
        </w:r>
      </w:hyperlink>
      <w:r w:rsidRPr="004453B4">
        <w:rPr>
          <w:rFonts w:ascii="Arial" w:hAnsi="Arial" w:cs="Arial"/>
        </w:rPr>
        <w:t xml:space="preserve"> [Accessed: 05 July 2026]</w:t>
      </w:r>
    </w:p>
    <w:p w14:paraId="660B95B8" w14:textId="77777777" w:rsidR="004453B4" w:rsidRPr="004453B4" w:rsidRDefault="004453B4" w:rsidP="004453B4">
      <w:pPr>
        <w:spacing w:after="240"/>
        <w:rPr>
          <w:rFonts w:ascii="Arial" w:hAnsi="Arial" w:cs="Arial"/>
        </w:rPr>
      </w:pPr>
      <w:r w:rsidRPr="004453B4">
        <w:rPr>
          <w:rFonts w:ascii="Arial" w:hAnsi="Arial" w:cs="Arial"/>
        </w:rPr>
        <w:t xml:space="preserve">MarketScreener. (2026). </w:t>
      </w:r>
      <w:r w:rsidRPr="004453B4">
        <w:rPr>
          <w:rFonts w:ascii="Arial" w:hAnsi="Arial" w:cs="Arial"/>
          <w:i/>
          <w:iCs/>
        </w:rPr>
        <w:t>RIO TINTO PLC.</w:t>
      </w:r>
      <w:r w:rsidRPr="004453B4">
        <w:rPr>
          <w:rFonts w:ascii="Arial" w:hAnsi="Arial" w:cs="Arial"/>
        </w:rPr>
        <w:t xml:space="preserve"> Available at: </w:t>
      </w:r>
      <w:hyperlink r:id="rId22" w:history="1">
        <w:r w:rsidRPr="004453B4">
          <w:rPr>
            <w:rStyle w:val="Hyperlink"/>
            <w:rFonts w:ascii="Arial" w:hAnsi="Arial" w:cs="Arial"/>
          </w:rPr>
          <w:t>https://in.marketscreener.com/quote/stock/RIO-TINTO-PLC-9590196/finances/</w:t>
        </w:r>
      </w:hyperlink>
      <w:r w:rsidRPr="004453B4">
        <w:rPr>
          <w:rFonts w:ascii="Arial" w:hAnsi="Arial" w:cs="Arial"/>
        </w:rPr>
        <w:t xml:space="preserve"> [Accessed: 09 July 2026]</w:t>
      </w:r>
    </w:p>
    <w:p w14:paraId="657B9480" w14:textId="77777777" w:rsidR="004453B4" w:rsidRPr="004453B4" w:rsidRDefault="004453B4" w:rsidP="004453B4">
      <w:pPr>
        <w:spacing w:after="240"/>
        <w:rPr>
          <w:rFonts w:ascii="Arial" w:hAnsi="Arial" w:cs="Arial"/>
        </w:rPr>
      </w:pPr>
      <w:r w:rsidRPr="004453B4">
        <w:rPr>
          <w:rFonts w:ascii="Arial" w:hAnsi="Arial" w:cs="Arial"/>
        </w:rPr>
        <w:t>Mendes, V. (2025), June. Powering Indonesia’s Green Revolution: Leading the Charge in Sustainable Energy Solutions. In </w:t>
      </w:r>
      <w:r w:rsidRPr="004453B4">
        <w:rPr>
          <w:rFonts w:ascii="Arial" w:hAnsi="Arial" w:cs="Arial"/>
          <w:i/>
          <w:iCs/>
        </w:rPr>
        <w:t>Proceeding Jakarta Geopolitical Forum</w:t>
      </w:r>
      <w:r w:rsidRPr="004453B4">
        <w:rPr>
          <w:rFonts w:ascii="Arial" w:hAnsi="Arial" w:cs="Arial"/>
        </w:rPr>
        <w:t xml:space="preserve"> (Vol. 9, pp. 97-102). </w:t>
      </w:r>
      <w:hyperlink r:id="rId23" w:history="1">
        <w:r w:rsidRPr="004453B4">
          <w:rPr>
            <w:rStyle w:val="Hyperlink"/>
            <w:rFonts w:ascii="Arial" w:hAnsi="Arial" w:cs="Arial"/>
          </w:rPr>
          <w:t>https://proceeding.lemhannas.com/index.php/jgf/article/view/298</w:t>
        </w:r>
      </w:hyperlink>
    </w:p>
    <w:p w14:paraId="50FCD87A" w14:textId="77777777" w:rsidR="004453B4" w:rsidRPr="004453B4" w:rsidRDefault="004453B4" w:rsidP="004453B4">
      <w:pPr>
        <w:spacing w:after="240"/>
        <w:rPr>
          <w:rFonts w:ascii="Arial" w:hAnsi="Arial" w:cs="Arial"/>
        </w:rPr>
      </w:pPr>
      <w:r w:rsidRPr="004453B4">
        <w:rPr>
          <w:rFonts w:ascii="Arial" w:hAnsi="Arial" w:cs="Arial"/>
        </w:rPr>
        <w:t xml:space="preserve">Reuters. (2025). </w:t>
      </w:r>
      <w:r w:rsidRPr="004453B4">
        <w:rPr>
          <w:rFonts w:ascii="Arial" w:hAnsi="Arial" w:cs="Arial"/>
          <w:i/>
          <w:iCs/>
        </w:rPr>
        <w:t>Rio Tinto PLC.</w:t>
      </w:r>
      <w:r w:rsidRPr="004453B4">
        <w:rPr>
          <w:rFonts w:ascii="Arial" w:hAnsi="Arial" w:cs="Arial"/>
        </w:rPr>
        <w:t xml:space="preserve"> Available at: </w:t>
      </w:r>
      <w:hyperlink r:id="rId24" w:history="1">
        <w:r w:rsidRPr="004453B4">
          <w:rPr>
            <w:rStyle w:val="Hyperlink"/>
            <w:rFonts w:ascii="Arial" w:hAnsi="Arial" w:cs="Arial"/>
          </w:rPr>
          <w:t>https://www.reuters.com/markets/companies/RIO/</w:t>
        </w:r>
      </w:hyperlink>
      <w:r w:rsidRPr="004453B4">
        <w:rPr>
          <w:rFonts w:ascii="Arial" w:hAnsi="Arial" w:cs="Arial"/>
        </w:rPr>
        <w:t xml:space="preserve"> [Accessed: 07 July 2026]</w:t>
      </w:r>
    </w:p>
    <w:p w14:paraId="0F09A254" w14:textId="77777777" w:rsidR="004453B4" w:rsidRPr="004453B4" w:rsidRDefault="004453B4" w:rsidP="004453B4">
      <w:pPr>
        <w:spacing w:after="240"/>
        <w:rPr>
          <w:rFonts w:ascii="Arial" w:hAnsi="Arial" w:cs="Arial"/>
        </w:rPr>
      </w:pPr>
      <w:r w:rsidRPr="004453B4">
        <w:rPr>
          <w:rFonts w:ascii="Arial" w:hAnsi="Arial" w:cs="Arial"/>
        </w:rPr>
        <w:t xml:space="preserve">Rio Tinto. (2026). </w:t>
      </w:r>
      <w:r w:rsidRPr="004453B4">
        <w:rPr>
          <w:rFonts w:ascii="Arial" w:hAnsi="Arial" w:cs="Arial"/>
          <w:i/>
          <w:iCs/>
        </w:rPr>
        <w:t>About us.</w:t>
      </w:r>
      <w:r w:rsidRPr="004453B4">
        <w:rPr>
          <w:rFonts w:ascii="Arial" w:hAnsi="Arial" w:cs="Arial"/>
        </w:rPr>
        <w:t xml:space="preserve"> Available at: </w:t>
      </w:r>
      <w:hyperlink r:id="rId25" w:history="1">
        <w:r w:rsidRPr="004453B4">
          <w:rPr>
            <w:rStyle w:val="Hyperlink"/>
            <w:rFonts w:ascii="Arial" w:hAnsi="Arial" w:cs="Arial"/>
          </w:rPr>
          <w:t>https://www.riotinto.com/en/about</w:t>
        </w:r>
      </w:hyperlink>
      <w:r w:rsidRPr="004453B4">
        <w:rPr>
          <w:rFonts w:ascii="Arial" w:hAnsi="Arial" w:cs="Arial"/>
        </w:rPr>
        <w:t xml:space="preserve"> [Accessed: 09 July 2026]</w:t>
      </w:r>
    </w:p>
    <w:p w14:paraId="7FA53A77" w14:textId="77777777" w:rsidR="004453B4" w:rsidRPr="004453B4" w:rsidRDefault="004453B4" w:rsidP="004453B4">
      <w:pPr>
        <w:spacing w:after="240"/>
        <w:rPr>
          <w:rFonts w:ascii="Arial" w:hAnsi="Arial" w:cs="Arial"/>
        </w:rPr>
      </w:pPr>
      <w:r w:rsidRPr="004453B4">
        <w:rPr>
          <w:rFonts w:ascii="Arial" w:hAnsi="Arial" w:cs="Arial"/>
        </w:rPr>
        <w:t xml:space="preserve">SA. (2026). </w:t>
      </w:r>
      <w:r w:rsidRPr="004453B4">
        <w:rPr>
          <w:rFonts w:ascii="Arial" w:hAnsi="Arial" w:cs="Arial"/>
          <w:i/>
          <w:iCs/>
        </w:rPr>
        <w:t>Rio Tinto Group (RIO).</w:t>
      </w:r>
      <w:r w:rsidRPr="004453B4">
        <w:rPr>
          <w:rFonts w:ascii="Arial" w:hAnsi="Arial" w:cs="Arial"/>
        </w:rPr>
        <w:t xml:space="preserve"> Available at: Available at: </w:t>
      </w:r>
      <w:hyperlink r:id="rId26" w:history="1">
        <w:r w:rsidRPr="004453B4">
          <w:rPr>
            <w:rStyle w:val="Hyperlink"/>
            <w:rFonts w:ascii="Arial" w:hAnsi="Arial" w:cs="Arial"/>
          </w:rPr>
          <w:t>https://stockanalysis.com/stocks/rio/statistics/</w:t>
        </w:r>
      </w:hyperlink>
      <w:r w:rsidRPr="004453B4">
        <w:rPr>
          <w:rFonts w:ascii="Arial" w:hAnsi="Arial" w:cs="Arial"/>
        </w:rPr>
        <w:t xml:space="preserve"> [Accessed: 05 July 2026]</w:t>
      </w:r>
    </w:p>
    <w:p w14:paraId="00C0F227" w14:textId="77777777" w:rsidR="004453B4" w:rsidRPr="004453B4" w:rsidRDefault="004453B4" w:rsidP="004453B4">
      <w:pPr>
        <w:spacing w:after="240"/>
        <w:rPr>
          <w:rFonts w:ascii="Arial" w:hAnsi="Arial" w:cs="Arial"/>
        </w:rPr>
      </w:pPr>
      <w:r w:rsidRPr="004453B4">
        <w:rPr>
          <w:rFonts w:ascii="Arial" w:hAnsi="Arial" w:cs="Arial"/>
        </w:rPr>
        <w:t>Shee Weng, L. (2025). The EU's carbon border adjustment mechanism (CBAM): balancing climate action and global trade. </w:t>
      </w:r>
      <w:r w:rsidRPr="004453B4">
        <w:rPr>
          <w:rFonts w:ascii="Arial" w:hAnsi="Arial" w:cs="Arial"/>
          <w:i/>
          <w:iCs/>
        </w:rPr>
        <w:t>The EU's Carbon Border Adjustment Mechanism (CBAM): Balancing Climate Action and Global Trade (March 01, 2025)</w:t>
      </w:r>
      <w:r w:rsidRPr="004453B4">
        <w:rPr>
          <w:rFonts w:ascii="Arial" w:hAnsi="Arial" w:cs="Arial"/>
        </w:rPr>
        <w:t xml:space="preserve">. </w:t>
      </w:r>
      <w:hyperlink r:id="rId27" w:history="1">
        <w:r w:rsidRPr="004453B4">
          <w:rPr>
            <w:rStyle w:val="Hyperlink"/>
            <w:rFonts w:ascii="Arial" w:hAnsi="Arial" w:cs="Arial"/>
          </w:rPr>
          <w:t>https://papers.ssrn.com/sol3/papers.cfm?abstract_id=5160814</w:t>
        </w:r>
      </w:hyperlink>
    </w:p>
    <w:p w14:paraId="05166CA8" w14:textId="77777777" w:rsidR="004453B4" w:rsidRPr="004453B4" w:rsidRDefault="004453B4" w:rsidP="004453B4">
      <w:pPr>
        <w:spacing w:after="240"/>
        <w:rPr>
          <w:rFonts w:ascii="Arial" w:hAnsi="Arial" w:cs="Arial"/>
        </w:rPr>
      </w:pPr>
      <w:r w:rsidRPr="004453B4">
        <w:rPr>
          <w:rFonts w:ascii="Arial" w:hAnsi="Arial" w:cs="Arial"/>
        </w:rPr>
        <w:t xml:space="preserve">Statista. (2026). </w:t>
      </w:r>
      <w:r w:rsidRPr="004453B4">
        <w:rPr>
          <w:rFonts w:ascii="Arial" w:hAnsi="Arial" w:cs="Arial"/>
          <w:i/>
          <w:iCs/>
        </w:rPr>
        <w:t>Rio Tinto's net income from 2005 to 2024.</w:t>
      </w:r>
      <w:r w:rsidRPr="004453B4">
        <w:rPr>
          <w:rFonts w:ascii="Arial" w:hAnsi="Arial" w:cs="Arial"/>
        </w:rPr>
        <w:t xml:space="preserve"> Available at: </w:t>
      </w:r>
      <w:hyperlink r:id="rId28" w:history="1">
        <w:r w:rsidRPr="004453B4">
          <w:rPr>
            <w:rStyle w:val="Hyperlink"/>
            <w:rFonts w:ascii="Arial" w:hAnsi="Arial" w:cs="Arial"/>
          </w:rPr>
          <w:t>https://www.statista.com/statistics/272598/net-income-of-rio-tinto-since-2001/?srsltid=AfmBOoqC73gHb7sCs6b8Yd-GmQcwXdxekZbeWpo39pfms1iynhIdLpHn</w:t>
        </w:r>
      </w:hyperlink>
      <w:r w:rsidRPr="004453B4">
        <w:rPr>
          <w:rFonts w:ascii="Arial" w:hAnsi="Arial" w:cs="Arial"/>
        </w:rPr>
        <w:t xml:space="preserve"> [Accessed: 02 July 2026]</w:t>
      </w:r>
    </w:p>
    <w:p w14:paraId="48531C22" w14:textId="77777777" w:rsidR="004453B4" w:rsidRPr="004453B4" w:rsidRDefault="004453B4" w:rsidP="004453B4">
      <w:pPr>
        <w:spacing w:after="240"/>
        <w:rPr>
          <w:rFonts w:ascii="Arial" w:hAnsi="Arial" w:cs="Arial"/>
        </w:rPr>
      </w:pPr>
      <w:r w:rsidRPr="004453B4">
        <w:rPr>
          <w:rFonts w:ascii="Arial" w:hAnsi="Arial" w:cs="Arial"/>
        </w:rPr>
        <w:t xml:space="preserve">TV. (2026). </w:t>
      </w:r>
      <w:r w:rsidRPr="004453B4">
        <w:rPr>
          <w:rFonts w:ascii="Arial" w:hAnsi="Arial" w:cs="Arial"/>
          <w:i/>
          <w:iCs/>
        </w:rPr>
        <w:t>Rio Tinto plc.</w:t>
      </w:r>
      <w:r w:rsidRPr="004453B4">
        <w:rPr>
          <w:rFonts w:ascii="Arial" w:hAnsi="Arial" w:cs="Arial"/>
        </w:rPr>
        <w:t xml:space="preserve"> </w:t>
      </w:r>
      <w:hyperlink r:id="rId29" w:history="1">
        <w:r w:rsidRPr="004453B4">
          <w:rPr>
            <w:rStyle w:val="Hyperlink"/>
            <w:rFonts w:ascii="Arial" w:hAnsi="Arial" w:cs="Arial"/>
          </w:rPr>
          <w:t>https://www.tradingview.com/symbols/LSE-RIO/</w:t>
        </w:r>
      </w:hyperlink>
      <w:r w:rsidRPr="004453B4">
        <w:rPr>
          <w:rFonts w:ascii="Arial" w:hAnsi="Arial" w:cs="Arial"/>
        </w:rPr>
        <w:t xml:space="preserve"> [Accessed: 01 July 2026]</w:t>
      </w:r>
    </w:p>
    <w:p w14:paraId="376B250B" w14:textId="77777777" w:rsidR="004453B4" w:rsidRPr="004453B4" w:rsidRDefault="004453B4" w:rsidP="004453B4">
      <w:pPr>
        <w:spacing w:after="240"/>
        <w:rPr>
          <w:rFonts w:ascii="Arial" w:hAnsi="Arial" w:cs="Arial"/>
        </w:rPr>
      </w:pPr>
      <w:r w:rsidRPr="004453B4">
        <w:rPr>
          <w:rFonts w:ascii="Arial" w:hAnsi="Arial" w:cs="Arial"/>
        </w:rPr>
        <w:t>Vivoda, V. and Loginova, J. (2025). Lithium at the crossroads: geopolitical, economic, and socio-environmental complexities of the Jadar project in Serbia: Lithium at the crossroads: geopolitical, economic, and socio-environmental complexities of the Jadar project in Serbia. </w:t>
      </w:r>
      <w:r w:rsidRPr="004453B4">
        <w:rPr>
          <w:rFonts w:ascii="Arial" w:hAnsi="Arial" w:cs="Arial"/>
          <w:i/>
          <w:iCs/>
        </w:rPr>
        <w:t>Mineral Economics</w:t>
      </w:r>
      <w:r w:rsidRPr="004453B4">
        <w:rPr>
          <w:rFonts w:ascii="Arial" w:hAnsi="Arial" w:cs="Arial"/>
        </w:rPr>
        <w:t>, </w:t>
      </w:r>
      <w:r w:rsidRPr="004453B4">
        <w:rPr>
          <w:rFonts w:ascii="Arial" w:hAnsi="Arial" w:cs="Arial"/>
          <w:i/>
          <w:iCs/>
        </w:rPr>
        <w:t>38</w:t>
      </w:r>
      <w:r w:rsidRPr="004453B4">
        <w:rPr>
          <w:rFonts w:ascii="Arial" w:hAnsi="Arial" w:cs="Arial"/>
        </w:rPr>
        <w:t xml:space="preserve">(3), pp.665-681. </w:t>
      </w:r>
      <w:hyperlink r:id="rId30" w:history="1">
        <w:r w:rsidRPr="004453B4">
          <w:rPr>
            <w:rStyle w:val="Hyperlink"/>
            <w:rFonts w:ascii="Arial" w:hAnsi="Arial" w:cs="Arial"/>
          </w:rPr>
          <w:t>https://link.springer.com/article/10.1007/s13563-025-00517-7</w:t>
        </w:r>
      </w:hyperlink>
    </w:p>
    <w:p w14:paraId="2478E5AC" w14:textId="77777777" w:rsidR="004453B4" w:rsidRPr="004453B4" w:rsidRDefault="004453B4" w:rsidP="004453B4">
      <w:pPr>
        <w:spacing w:after="240"/>
        <w:rPr>
          <w:rFonts w:ascii="Arial" w:hAnsi="Arial" w:cs="Arial"/>
        </w:rPr>
      </w:pPr>
      <w:r w:rsidRPr="004453B4">
        <w:rPr>
          <w:rFonts w:ascii="Arial" w:hAnsi="Arial" w:cs="Arial"/>
        </w:rPr>
        <w:t xml:space="preserve">YF. (2026). </w:t>
      </w:r>
      <w:r w:rsidRPr="004453B4">
        <w:rPr>
          <w:rFonts w:ascii="Arial" w:hAnsi="Arial" w:cs="Arial"/>
          <w:i/>
          <w:iCs/>
        </w:rPr>
        <w:t>Rio Tinto Group (RIO).</w:t>
      </w:r>
      <w:r w:rsidRPr="004453B4">
        <w:rPr>
          <w:rFonts w:ascii="Arial" w:hAnsi="Arial" w:cs="Arial"/>
        </w:rPr>
        <w:t xml:space="preserve"> Available at: </w:t>
      </w:r>
      <w:hyperlink r:id="rId31" w:history="1">
        <w:r w:rsidRPr="004453B4">
          <w:rPr>
            <w:rStyle w:val="Hyperlink"/>
            <w:rFonts w:ascii="Arial" w:hAnsi="Arial" w:cs="Arial"/>
          </w:rPr>
          <w:t>https://finance.yahoo.com/quote/RIO/key-statistics/</w:t>
        </w:r>
      </w:hyperlink>
      <w:r w:rsidRPr="004453B4">
        <w:rPr>
          <w:rFonts w:ascii="Arial" w:hAnsi="Arial" w:cs="Arial"/>
        </w:rPr>
        <w:t xml:space="preserve"> [Accessed: 09 July 2026]</w:t>
      </w:r>
    </w:p>
    <w:p w14:paraId="4D0FC6AF" w14:textId="77777777" w:rsidR="004453B4" w:rsidRPr="004453B4" w:rsidRDefault="004453B4" w:rsidP="004453B4">
      <w:pPr>
        <w:rPr>
          <w:rFonts w:ascii="Arial" w:hAnsi="Arial" w:cs="Arial"/>
        </w:rPr>
      </w:pPr>
      <w:r w:rsidRPr="004453B4">
        <w:rPr>
          <w:rFonts w:ascii="Arial" w:hAnsi="Arial" w:cs="Arial"/>
        </w:rPr>
        <w:t>Zhao, H., Zhang, S., Lei, M., Zhang, S. and Cai, W. (2026). Inequalities in health-care carbon footprints and implications for demand-side interventions: a global assessment across population groups. </w:t>
      </w:r>
      <w:r w:rsidRPr="004453B4">
        <w:rPr>
          <w:rFonts w:ascii="Arial" w:hAnsi="Arial" w:cs="Arial"/>
          <w:i/>
          <w:iCs/>
        </w:rPr>
        <w:t>The Lancet Planetary Health</w:t>
      </w:r>
      <w:r w:rsidRPr="004453B4">
        <w:rPr>
          <w:rFonts w:ascii="Arial" w:hAnsi="Arial" w:cs="Arial"/>
        </w:rPr>
        <w:t>, </w:t>
      </w:r>
      <w:r w:rsidRPr="004453B4">
        <w:rPr>
          <w:rFonts w:ascii="Arial" w:hAnsi="Arial" w:cs="Arial"/>
          <w:i/>
          <w:iCs/>
        </w:rPr>
        <w:t>10</w:t>
      </w:r>
      <w:r w:rsidRPr="004453B4">
        <w:rPr>
          <w:rFonts w:ascii="Arial" w:hAnsi="Arial" w:cs="Arial"/>
        </w:rPr>
        <w:t xml:space="preserve">(4). </w:t>
      </w:r>
      <w:hyperlink r:id="rId32" w:history="1">
        <w:r w:rsidRPr="004453B4">
          <w:rPr>
            <w:rStyle w:val="Hyperlink"/>
            <w:rFonts w:ascii="Arial" w:hAnsi="Arial" w:cs="Arial"/>
          </w:rPr>
          <w:t>https://www.thelancet.com/journals/lanplh/article/PIIS2542-5196(26)00029-X/fulltext</w:t>
        </w:r>
      </w:hyperlink>
    </w:p>
    <w:sectPr w:rsidR="004453B4" w:rsidRPr="004453B4" w:rsidSect="000673FE">
      <w:footerReference w:type="default" r:id="rId33"/>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5870C5" w14:textId="77777777" w:rsidR="00E958E3" w:rsidRDefault="00E958E3" w:rsidP="00FC7C44">
      <w:pPr>
        <w:spacing w:line="240" w:lineRule="auto"/>
      </w:pPr>
      <w:r>
        <w:separator/>
      </w:r>
    </w:p>
  </w:endnote>
  <w:endnote w:type="continuationSeparator" w:id="0">
    <w:p w14:paraId="59F7BA44" w14:textId="77777777" w:rsidR="00E958E3" w:rsidRDefault="00E958E3" w:rsidP="00FC7C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37FABB9E-2A8E-4921-84B8-71668304D115}"/>
  </w:font>
  <w:font w:name="Calibri">
    <w:panose1 w:val="020F0502020204030204"/>
    <w:charset w:val="00"/>
    <w:family w:val="swiss"/>
    <w:pitch w:val="variable"/>
    <w:sig w:usb0="E4002EFF" w:usb1="C200247B" w:usb2="00000009" w:usb3="00000000" w:csb0="000001FF" w:csb1="00000000"/>
    <w:embedRegular r:id="rId2" w:fontKey="{E87D509E-71FF-4FAE-BCDC-AF35F65ECD66}"/>
  </w:font>
  <w:font w:name="Cambria Math">
    <w:panose1 w:val="02040503050406030204"/>
    <w:charset w:val="00"/>
    <w:family w:val="roman"/>
    <w:pitch w:val="variable"/>
    <w:sig w:usb0="E00006FF" w:usb1="420024FF" w:usb2="02000000" w:usb3="00000000" w:csb0="0000019F" w:csb1="00000000"/>
    <w:embedRegular r:id="rId3" w:fontKey="{8126B522-6F0F-4909-8307-A9DF6676A5C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258823"/>
      <w:docPartObj>
        <w:docPartGallery w:val="Page Numbers (Bottom of Page)"/>
        <w:docPartUnique/>
      </w:docPartObj>
    </w:sdtPr>
    <w:sdtEndPr>
      <w:rPr>
        <w:noProof/>
      </w:rPr>
    </w:sdtEndPr>
    <w:sdtContent>
      <w:p w14:paraId="34604883" w14:textId="1E30EC6B" w:rsidR="00FC7C44" w:rsidRDefault="00FC7C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A0DD2A" w14:textId="77777777" w:rsidR="00FC7C44" w:rsidRDefault="00FC7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8D09D" w14:textId="77777777" w:rsidR="00E958E3" w:rsidRDefault="00E958E3" w:rsidP="00FC7C44">
      <w:pPr>
        <w:spacing w:line="240" w:lineRule="auto"/>
      </w:pPr>
      <w:r>
        <w:separator/>
      </w:r>
    </w:p>
  </w:footnote>
  <w:footnote w:type="continuationSeparator" w:id="0">
    <w:p w14:paraId="3BE8FCBF" w14:textId="77777777" w:rsidR="00E958E3" w:rsidRDefault="00E958E3" w:rsidP="00FC7C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D33D0B"/>
    <w:multiLevelType w:val="hybridMultilevel"/>
    <w:tmpl w:val="3E8856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2222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432C"/>
    <w:rsid w:val="000673FE"/>
    <w:rsid w:val="001120FA"/>
    <w:rsid w:val="00251882"/>
    <w:rsid w:val="0027563E"/>
    <w:rsid w:val="00292C6D"/>
    <w:rsid w:val="002A1D79"/>
    <w:rsid w:val="00300BFC"/>
    <w:rsid w:val="00326DFE"/>
    <w:rsid w:val="00344B67"/>
    <w:rsid w:val="003A25F1"/>
    <w:rsid w:val="004453B4"/>
    <w:rsid w:val="00545892"/>
    <w:rsid w:val="005572AA"/>
    <w:rsid w:val="005D6C3D"/>
    <w:rsid w:val="00732806"/>
    <w:rsid w:val="00770191"/>
    <w:rsid w:val="007D65FE"/>
    <w:rsid w:val="00810030"/>
    <w:rsid w:val="00892C39"/>
    <w:rsid w:val="009D121A"/>
    <w:rsid w:val="00A2626A"/>
    <w:rsid w:val="00A34560"/>
    <w:rsid w:val="00A43CB2"/>
    <w:rsid w:val="00C05C35"/>
    <w:rsid w:val="00E958E3"/>
    <w:rsid w:val="00FC7C44"/>
    <w:rsid w:val="00FE432C"/>
    <w:rsid w:val="00FE51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1DB5F"/>
  <w15:docId w15:val="{724BFC00-C674-4F40-B174-F9F5ADACB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ListParagraph">
    <w:name w:val="List Paragraph"/>
    <w:basedOn w:val="Normal"/>
    <w:uiPriority w:val="34"/>
    <w:qFormat/>
    <w:rsid w:val="00326DFE"/>
    <w:pPr>
      <w:spacing w:after="160" w:line="278" w:lineRule="auto"/>
      <w:ind w:left="720"/>
      <w:contextualSpacing/>
      <w:jc w:val="left"/>
    </w:pPr>
    <w:rPr>
      <w:rFonts w:asciiTheme="minorHAnsi" w:eastAsiaTheme="minorHAnsi" w:hAnsiTheme="minorHAnsi" w:cstheme="minorBidi"/>
      <w:kern w:val="2"/>
      <w:lang w:eastAsia="en-US"/>
      <w14:ligatures w14:val="standardContextual"/>
    </w:rPr>
  </w:style>
  <w:style w:type="character" w:styleId="Hyperlink">
    <w:name w:val="Hyperlink"/>
    <w:basedOn w:val="DefaultParagraphFont"/>
    <w:uiPriority w:val="99"/>
    <w:unhideWhenUsed/>
    <w:rsid w:val="00326DFE"/>
    <w:rPr>
      <w:color w:val="0000FF" w:themeColor="hyperlink"/>
      <w:u w:val="single"/>
    </w:rPr>
  </w:style>
  <w:style w:type="character" w:styleId="FollowedHyperlink">
    <w:name w:val="FollowedHyperlink"/>
    <w:basedOn w:val="DefaultParagraphFont"/>
    <w:uiPriority w:val="99"/>
    <w:semiHidden/>
    <w:unhideWhenUsed/>
    <w:rsid w:val="00326DFE"/>
    <w:rPr>
      <w:color w:val="800080" w:themeColor="followedHyperlink"/>
      <w:u w:val="single"/>
    </w:rPr>
  </w:style>
  <w:style w:type="paragraph" w:styleId="Header">
    <w:name w:val="header"/>
    <w:basedOn w:val="Normal"/>
    <w:link w:val="HeaderChar"/>
    <w:uiPriority w:val="99"/>
    <w:unhideWhenUsed/>
    <w:rsid w:val="00FC7C44"/>
    <w:pPr>
      <w:tabs>
        <w:tab w:val="center" w:pos="4513"/>
        <w:tab w:val="right" w:pos="9026"/>
      </w:tabs>
      <w:spacing w:line="240" w:lineRule="auto"/>
    </w:pPr>
  </w:style>
  <w:style w:type="character" w:customStyle="1" w:styleId="HeaderChar">
    <w:name w:val="Header Char"/>
    <w:basedOn w:val="DefaultParagraphFont"/>
    <w:link w:val="Header"/>
    <w:uiPriority w:val="99"/>
    <w:rsid w:val="00FC7C44"/>
    <w:rPr>
      <w:lang w:val="en-GB"/>
    </w:rPr>
  </w:style>
  <w:style w:type="paragraph" w:styleId="Footer">
    <w:name w:val="footer"/>
    <w:basedOn w:val="Normal"/>
    <w:link w:val="FooterChar"/>
    <w:uiPriority w:val="99"/>
    <w:unhideWhenUsed/>
    <w:rsid w:val="00FC7C44"/>
    <w:pPr>
      <w:tabs>
        <w:tab w:val="center" w:pos="4513"/>
        <w:tab w:val="right" w:pos="9026"/>
      </w:tabs>
      <w:spacing w:line="240" w:lineRule="auto"/>
    </w:pPr>
  </w:style>
  <w:style w:type="character" w:customStyle="1" w:styleId="FooterChar">
    <w:name w:val="Footer Char"/>
    <w:basedOn w:val="DefaultParagraphFont"/>
    <w:link w:val="Footer"/>
    <w:uiPriority w:val="99"/>
    <w:rsid w:val="00FC7C44"/>
    <w:rPr>
      <w:lang w:val="en-GB"/>
    </w:rPr>
  </w:style>
  <w:style w:type="paragraph" w:styleId="TOCHeading">
    <w:name w:val="TOC Heading"/>
    <w:basedOn w:val="Heading1"/>
    <w:next w:val="Normal"/>
    <w:uiPriority w:val="39"/>
    <w:unhideWhenUsed/>
    <w:qFormat/>
    <w:rsid w:val="00FC7C4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C7C44"/>
    <w:pPr>
      <w:spacing w:after="100"/>
    </w:pPr>
  </w:style>
  <w:style w:type="paragraph" w:styleId="TOC2">
    <w:name w:val="toc 2"/>
    <w:basedOn w:val="Normal"/>
    <w:next w:val="Normal"/>
    <w:autoRedefine/>
    <w:uiPriority w:val="39"/>
    <w:unhideWhenUsed/>
    <w:rsid w:val="00FC7C44"/>
    <w:pPr>
      <w:spacing w:after="100"/>
      <w:ind w:left="240"/>
    </w:pPr>
  </w:style>
  <w:style w:type="paragraph" w:styleId="TOC3">
    <w:name w:val="toc 3"/>
    <w:basedOn w:val="Normal"/>
    <w:next w:val="Normal"/>
    <w:autoRedefine/>
    <w:uiPriority w:val="39"/>
    <w:unhideWhenUsed/>
    <w:rsid w:val="00FC7C44"/>
    <w:pPr>
      <w:spacing w:after="100"/>
      <w:ind w:left="480"/>
    </w:pPr>
  </w:style>
  <w:style w:type="character" w:styleId="UnresolvedMention">
    <w:name w:val="Unresolved Mention"/>
    <w:basedOn w:val="DefaultParagraphFont"/>
    <w:uiPriority w:val="99"/>
    <w:semiHidden/>
    <w:unhideWhenUsed/>
    <w:rsid w:val="004453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71753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403715078_Strategic_Metals_in_the_Energy_Transition_The_Geopolitical_Economics_of_Aluminium_Ingots" TargetMode="External"/><Relationship Id="rId18" Type="http://schemas.openxmlformats.org/officeDocument/2006/relationships/hyperlink" Target="http://jurnal.utu.ac.id/invasi/article/view/14716" TargetMode="External"/><Relationship Id="rId26" Type="http://schemas.openxmlformats.org/officeDocument/2006/relationships/hyperlink" Target="https://stockanalysis.com/stocks/rio/statistics/" TargetMode="External"/><Relationship Id="rId3" Type="http://schemas.openxmlformats.org/officeDocument/2006/relationships/styles" Target="styles.xml"/><Relationship Id="rId21" Type="http://schemas.openxmlformats.org/officeDocument/2006/relationships/hyperlink" Target="https://www.macrotrends.net/stocks/charts/RIO/rio-tinto/stock-price-history"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ature.com/articles/s44358-025-00076-3" TargetMode="External"/><Relationship Id="rId17" Type="http://schemas.openxmlformats.org/officeDocument/2006/relationships/hyperlink" Target="https://www.globaldata.com/company-profile/rio-tinto/" TargetMode="External"/><Relationship Id="rId25" Type="http://schemas.openxmlformats.org/officeDocument/2006/relationships/hyperlink" Target="https://www.riotinto.com/en/about"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ncedirect.com/science/article/pii/S0301420726000346" TargetMode="External"/><Relationship Id="rId20" Type="http://schemas.openxmlformats.org/officeDocument/2006/relationships/hyperlink" Target="https://www.sciencedirect.com/science/article/pii/S0301420724001478" TargetMode="External"/><Relationship Id="rId29" Type="http://schemas.openxmlformats.org/officeDocument/2006/relationships/hyperlink" Target="https://www.tradingview.com/symbols/LSE-RI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va-portal.org/smash/record.jsf?pid=diva2:2031949" TargetMode="External"/><Relationship Id="rId24" Type="http://schemas.openxmlformats.org/officeDocument/2006/relationships/hyperlink" Target="https://www.reuters.com/markets/companies/RIO/" TargetMode="External"/><Relationship Id="rId32" Type="http://schemas.openxmlformats.org/officeDocument/2006/relationships/hyperlink" Target="https://www.thelancet.com/journals/lanplh/article/PIIS2542-5196(26)00029-X/fulltext" TargetMode="External"/><Relationship Id="rId5" Type="http://schemas.openxmlformats.org/officeDocument/2006/relationships/webSettings" Target="webSettings.xml"/><Relationship Id="rId15" Type="http://schemas.openxmlformats.org/officeDocument/2006/relationships/hyperlink" Target="https://link.springer.com/article/10.1007/s13563-026-00637-8" TargetMode="External"/><Relationship Id="rId23" Type="http://schemas.openxmlformats.org/officeDocument/2006/relationships/hyperlink" Target="https://proceeding.lemhannas.com/index.php/jgf/article/view/298" TargetMode="External"/><Relationship Id="rId28" Type="http://schemas.openxmlformats.org/officeDocument/2006/relationships/hyperlink" Target="https://www.statista.com/statistics/272598/net-income-of-rio-tinto-since-2001/?srsltid=AfmBOoqC73gHb7sCs6b8Yd-GmQcwXdxekZbeWpo39pfms1iynhIdLpHn" TargetMode="External"/><Relationship Id="rId10" Type="http://schemas.openxmlformats.org/officeDocument/2006/relationships/image" Target="media/image3.png"/><Relationship Id="rId19" Type="http://schemas.openxmlformats.org/officeDocument/2006/relationships/hyperlink" Target="https://bibliotekanauki.pl/articles/64176657.pdf" TargetMode="External"/><Relationship Id="rId31" Type="http://schemas.openxmlformats.org/officeDocument/2006/relationships/hyperlink" Target="https://finance.yahoo.com/quote/RIO/key-statist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abs/10.1080/14747731.2025.2465069" TargetMode="External"/><Relationship Id="rId22" Type="http://schemas.openxmlformats.org/officeDocument/2006/relationships/hyperlink" Target="https://in.marketscreener.com/quote/stock/RIO-TINTO-PLC-9590196/finances/" TargetMode="External"/><Relationship Id="rId27" Type="http://schemas.openxmlformats.org/officeDocument/2006/relationships/hyperlink" Target="https://papers.ssrn.com/sol3/papers.cfm?abstract_id=5160814" TargetMode="External"/><Relationship Id="rId30" Type="http://schemas.openxmlformats.org/officeDocument/2006/relationships/hyperlink" Target="https://link.springer.com/article/10.1007/s13563-025-00517-7" TargetMode="External"/><Relationship Id="rId35" Type="http://schemas.openxmlformats.org/officeDocument/2006/relationships/theme" Target="theme/theme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55609D8-42EC-4631-B900-883DBD05F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Pages>
  <Words>4372</Words>
  <Characters>24926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dc:creator>
  <cp:lastModifiedBy>Patel Prince</cp:lastModifiedBy>
  <cp:revision>11</cp:revision>
  <dcterms:created xsi:type="dcterms:W3CDTF">2026-07-09T17:45:00Z</dcterms:created>
  <dcterms:modified xsi:type="dcterms:W3CDTF">2026-07-23T18:19:00Z</dcterms:modified>
</cp:coreProperties>
</file>