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59E9A" w14:textId="77777777" w:rsidR="00FB6690" w:rsidRDefault="00FB6690">
      <w:pPr>
        <w:jc w:val="both"/>
        <w:rPr>
          <w:rFonts w:ascii="Times New Roman" w:eastAsia="Times New Roman" w:hAnsi="Times New Roman" w:cs="Times New Roman"/>
          <w:color w:val="000000"/>
          <w:sz w:val="24"/>
          <w:szCs w:val="24"/>
          <w:highlight w:val="white"/>
        </w:rPr>
      </w:pPr>
    </w:p>
    <w:p w14:paraId="73424ED6" w14:textId="77777777" w:rsidR="00FB6690" w:rsidRDefault="00FB6690">
      <w:pPr>
        <w:jc w:val="both"/>
        <w:rPr>
          <w:rFonts w:ascii="Times New Roman" w:eastAsia="Times New Roman" w:hAnsi="Times New Roman" w:cs="Times New Roman"/>
          <w:color w:val="000000"/>
          <w:sz w:val="24"/>
          <w:szCs w:val="24"/>
          <w:highlight w:val="white"/>
        </w:rPr>
      </w:pPr>
    </w:p>
    <w:p w14:paraId="4973FCAE" w14:textId="77777777" w:rsidR="00FB6690" w:rsidRDefault="00FB6690">
      <w:pPr>
        <w:jc w:val="both"/>
        <w:rPr>
          <w:rFonts w:ascii="Times New Roman" w:eastAsia="Times New Roman" w:hAnsi="Times New Roman" w:cs="Times New Roman"/>
          <w:color w:val="000000"/>
          <w:sz w:val="24"/>
          <w:szCs w:val="24"/>
          <w:highlight w:val="white"/>
        </w:rPr>
      </w:pPr>
    </w:p>
    <w:p w14:paraId="01B17EF9" w14:textId="77777777" w:rsidR="00FB6690" w:rsidRDefault="00FB6690">
      <w:pPr>
        <w:jc w:val="both"/>
        <w:rPr>
          <w:rFonts w:ascii="Times New Roman" w:eastAsia="Times New Roman" w:hAnsi="Times New Roman" w:cs="Times New Roman"/>
          <w:color w:val="000000"/>
          <w:sz w:val="24"/>
          <w:szCs w:val="24"/>
          <w:highlight w:val="white"/>
        </w:rPr>
      </w:pPr>
    </w:p>
    <w:p w14:paraId="1160CF2E" w14:textId="77777777" w:rsidR="00FB6690" w:rsidRDefault="00FB6690">
      <w:pPr>
        <w:jc w:val="both"/>
        <w:rPr>
          <w:rFonts w:ascii="Times New Roman" w:eastAsia="Times New Roman" w:hAnsi="Times New Roman" w:cs="Times New Roman"/>
          <w:color w:val="000000"/>
          <w:sz w:val="24"/>
          <w:szCs w:val="24"/>
          <w:highlight w:val="white"/>
        </w:rPr>
      </w:pPr>
    </w:p>
    <w:p w14:paraId="49F8DE72" w14:textId="77777777" w:rsidR="00FB6690" w:rsidRDefault="00FB6690">
      <w:pPr>
        <w:jc w:val="both"/>
        <w:rPr>
          <w:rFonts w:ascii="Times New Roman" w:eastAsia="Times New Roman" w:hAnsi="Times New Roman" w:cs="Times New Roman"/>
          <w:color w:val="000000"/>
          <w:sz w:val="24"/>
          <w:szCs w:val="24"/>
          <w:highlight w:val="white"/>
        </w:rPr>
      </w:pPr>
    </w:p>
    <w:p w14:paraId="6B7A97E0" w14:textId="50620F58" w:rsidR="00FB6690" w:rsidRPr="00657004" w:rsidRDefault="00000000">
      <w:pPr>
        <w:jc w:val="center"/>
        <w:rPr>
          <w:rFonts w:ascii="Times New Roman" w:eastAsia="Arial" w:hAnsi="Times New Roman" w:cs="Times New Roman"/>
          <w:b/>
          <w:sz w:val="48"/>
          <w:szCs w:val="48"/>
        </w:rPr>
      </w:pPr>
      <w:r w:rsidRPr="00657004">
        <w:rPr>
          <w:rFonts w:ascii="Times New Roman" w:eastAsia="Arial" w:hAnsi="Times New Roman" w:cs="Times New Roman"/>
          <w:b/>
          <w:sz w:val="48"/>
          <w:szCs w:val="48"/>
        </w:rPr>
        <w:t>LCBB4001: Accounting Fundamentals</w:t>
      </w:r>
    </w:p>
    <w:p w14:paraId="5CF373E4" w14:textId="02B1D244" w:rsidR="00657004" w:rsidRDefault="00657004">
      <w:pPr>
        <w:jc w:val="center"/>
        <w:rPr>
          <w:rFonts w:ascii="Times New Roman" w:eastAsia="Arial" w:hAnsi="Times New Roman" w:cs="Times New Roman"/>
          <w:b/>
          <w:sz w:val="36"/>
          <w:szCs w:val="36"/>
        </w:rPr>
      </w:pPr>
    </w:p>
    <w:p w14:paraId="7ADC2569" w14:textId="77777777" w:rsidR="00657004" w:rsidRPr="00657004" w:rsidRDefault="00657004">
      <w:pPr>
        <w:jc w:val="center"/>
        <w:rPr>
          <w:rFonts w:ascii="Times New Roman" w:eastAsia="Arial" w:hAnsi="Times New Roman" w:cs="Times New Roman"/>
          <w:b/>
          <w:sz w:val="36"/>
          <w:szCs w:val="36"/>
        </w:rPr>
      </w:pPr>
    </w:p>
    <w:p w14:paraId="37CB6614" w14:textId="1117D127" w:rsidR="00657004" w:rsidRPr="00657004" w:rsidRDefault="00657004">
      <w:pPr>
        <w:jc w:val="center"/>
        <w:rPr>
          <w:rFonts w:ascii="Times New Roman" w:eastAsia="Arial" w:hAnsi="Times New Roman" w:cs="Times New Roman"/>
          <w:b/>
          <w:sz w:val="36"/>
          <w:szCs w:val="36"/>
        </w:rPr>
      </w:pPr>
    </w:p>
    <w:p w14:paraId="0F6AF9DC" w14:textId="77777777" w:rsidR="00657004" w:rsidRPr="00657004" w:rsidRDefault="00657004" w:rsidP="00657004">
      <w:pPr>
        <w:spacing w:line="360" w:lineRule="auto"/>
        <w:jc w:val="center"/>
        <w:rPr>
          <w:rFonts w:ascii="Times New Roman" w:hAnsi="Times New Roman" w:cs="Times New Roman"/>
          <w:b/>
          <w:bCs/>
          <w:sz w:val="28"/>
          <w:szCs w:val="28"/>
          <w:shd w:val="clear" w:color="auto" w:fill="FFFFFF"/>
        </w:rPr>
      </w:pPr>
      <w:r w:rsidRPr="00657004">
        <w:rPr>
          <w:rFonts w:ascii="Times New Roman" w:hAnsi="Times New Roman" w:cs="Times New Roman"/>
          <w:b/>
          <w:bCs/>
          <w:sz w:val="28"/>
          <w:szCs w:val="28"/>
          <w:shd w:val="clear" w:color="auto" w:fill="FFFFFF"/>
        </w:rPr>
        <w:t xml:space="preserve">Students Name: Ileana Cristina </w:t>
      </w:r>
      <w:proofErr w:type="spellStart"/>
      <w:r w:rsidRPr="00657004">
        <w:rPr>
          <w:rFonts w:ascii="Times New Roman" w:hAnsi="Times New Roman" w:cs="Times New Roman"/>
          <w:b/>
          <w:bCs/>
          <w:sz w:val="28"/>
          <w:szCs w:val="28"/>
          <w:shd w:val="clear" w:color="auto" w:fill="FFFFFF"/>
        </w:rPr>
        <w:t>Greurus</w:t>
      </w:r>
      <w:proofErr w:type="spellEnd"/>
    </w:p>
    <w:p w14:paraId="160024D2" w14:textId="77777777" w:rsidR="00657004" w:rsidRPr="00657004" w:rsidRDefault="00657004" w:rsidP="00657004">
      <w:pPr>
        <w:spacing w:line="360" w:lineRule="auto"/>
        <w:jc w:val="center"/>
        <w:rPr>
          <w:rFonts w:ascii="Times New Roman" w:hAnsi="Times New Roman" w:cs="Times New Roman"/>
          <w:b/>
          <w:bCs/>
          <w:sz w:val="28"/>
          <w:szCs w:val="28"/>
          <w:shd w:val="clear" w:color="auto" w:fill="FFFFFF"/>
        </w:rPr>
      </w:pPr>
      <w:r w:rsidRPr="00657004">
        <w:rPr>
          <w:rFonts w:ascii="Times New Roman" w:hAnsi="Times New Roman" w:cs="Times New Roman"/>
          <w:b/>
          <w:bCs/>
          <w:sz w:val="28"/>
          <w:szCs w:val="28"/>
          <w:shd w:val="clear" w:color="auto" w:fill="FFFFFF"/>
        </w:rPr>
        <w:t>Students ID NO: 2122653</w:t>
      </w:r>
    </w:p>
    <w:p w14:paraId="1E915319" w14:textId="6CB756B4" w:rsidR="00657004" w:rsidRDefault="00657004" w:rsidP="00657004">
      <w:pPr>
        <w:spacing w:line="360" w:lineRule="auto"/>
        <w:jc w:val="center"/>
        <w:rPr>
          <w:rFonts w:ascii="Times New Roman" w:hAnsi="Times New Roman" w:cs="Times New Roman"/>
          <w:b/>
          <w:bCs/>
          <w:sz w:val="28"/>
          <w:szCs w:val="28"/>
          <w:shd w:val="clear" w:color="auto" w:fill="FFFFFF"/>
        </w:rPr>
      </w:pPr>
      <w:r w:rsidRPr="00657004">
        <w:rPr>
          <w:rFonts w:ascii="Times New Roman" w:hAnsi="Times New Roman" w:cs="Times New Roman"/>
          <w:b/>
          <w:bCs/>
          <w:sz w:val="28"/>
          <w:szCs w:val="28"/>
          <w:shd w:val="clear" w:color="auto" w:fill="FFFFFF"/>
        </w:rPr>
        <w:t xml:space="preserve">Date of submission: </w:t>
      </w:r>
      <w:r w:rsidR="00EB5E63">
        <w:rPr>
          <w:rFonts w:ascii="Times New Roman" w:hAnsi="Times New Roman" w:cs="Times New Roman"/>
          <w:b/>
          <w:bCs/>
          <w:sz w:val="28"/>
          <w:szCs w:val="28"/>
          <w:shd w:val="clear" w:color="auto" w:fill="FFFFFF"/>
        </w:rPr>
        <w:t>06.01.2023</w:t>
      </w:r>
    </w:p>
    <w:p w14:paraId="59BF8E5F" w14:textId="77777777" w:rsidR="00657004" w:rsidRPr="00657004" w:rsidRDefault="00657004">
      <w:pPr>
        <w:jc w:val="center"/>
        <w:rPr>
          <w:rFonts w:ascii="Times New Roman" w:eastAsia="Times New Roman" w:hAnsi="Times New Roman" w:cs="Times New Roman"/>
          <w:color w:val="000000"/>
          <w:sz w:val="36"/>
          <w:szCs w:val="36"/>
          <w:highlight w:val="white"/>
        </w:rPr>
      </w:pPr>
    </w:p>
    <w:p w14:paraId="59214BC2" w14:textId="77777777" w:rsidR="00FB6690" w:rsidRDefault="00FB6690">
      <w:pPr>
        <w:jc w:val="both"/>
        <w:rPr>
          <w:rFonts w:ascii="Times New Roman" w:eastAsia="Times New Roman" w:hAnsi="Times New Roman" w:cs="Times New Roman"/>
          <w:color w:val="000000"/>
          <w:sz w:val="24"/>
          <w:szCs w:val="24"/>
          <w:highlight w:val="white"/>
        </w:rPr>
      </w:pPr>
    </w:p>
    <w:p w14:paraId="6D643428" w14:textId="77777777" w:rsidR="00FB6690" w:rsidRDefault="00FB6690">
      <w:pPr>
        <w:jc w:val="both"/>
        <w:rPr>
          <w:rFonts w:ascii="Times New Roman" w:eastAsia="Times New Roman" w:hAnsi="Times New Roman" w:cs="Times New Roman"/>
          <w:color w:val="000000"/>
          <w:sz w:val="24"/>
          <w:szCs w:val="24"/>
          <w:highlight w:val="white"/>
        </w:rPr>
      </w:pPr>
    </w:p>
    <w:p w14:paraId="3831C4D7" w14:textId="77777777" w:rsidR="00FB6690" w:rsidRDefault="00FB6690">
      <w:pPr>
        <w:jc w:val="both"/>
        <w:rPr>
          <w:rFonts w:ascii="Times New Roman" w:eastAsia="Times New Roman" w:hAnsi="Times New Roman" w:cs="Times New Roman"/>
          <w:color w:val="000000"/>
          <w:sz w:val="24"/>
          <w:szCs w:val="24"/>
          <w:highlight w:val="white"/>
        </w:rPr>
      </w:pPr>
    </w:p>
    <w:p w14:paraId="68592B91" w14:textId="77777777" w:rsidR="00FB6690" w:rsidRDefault="00FB6690">
      <w:pPr>
        <w:jc w:val="both"/>
        <w:rPr>
          <w:rFonts w:ascii="Times New Roman" w:eastAsia="Times New Roman" w:hAnsi="Times New Roman" w:cs="Times New Roman"/>
          <w:color w:val="000000"/>
          <w:sz w:val="24"/>
          <w:szCs w:val="24"/>
          <w:highlight w:val="white"/>
        </w:rPr>
      </w:pPr>
    </w:p>
    <w:p w14:paraId="3FE9541C" w14:textId="77777777" w:rsidR="00FB6690" w:rsidRDefault="00FB6690">
      <w:pPr>
        <w:jc w:val="both"/>
        <w:rPr>
          <w:rFonts w:ascii="Times New Roman" w:eastAsia="Times New Roman" w:hAnsi="Times New Roman" w:cs="Times New Roman"/>
          <w:color w:val="000000"/>
          <w:sz w:val="24"/>
          <w:szCs w:val="24"/>
          <w:highlight w:val="white"/>
        </w:rPr>
      </w:pPr>
    </w:p>
    <w:p w14:paraId="754C885E" w14:textId="77777777" w:rsidR="00FB6690" w:rsidRDefault="00FB6690">
      <w:pPr>
        <w:jc w:val="both"/>
        <w:rPr>
          <w:rFonts w:ascii="Times New Roman" w:eastAsia="Times New Roman" w:hAnsi="Times New Roman" w:cs="Times New Roman"/>
          <w:color w:val="000000"/>
          <w:sz w:val="24"/>
          <w:szCs w:val="24"/>
          <w:highlight w:val="white"/>
        </w:rPr>
      </w:pPr>
    </w:p>
    <w:p w14:paraId="141861F5" w14:textId="77777777" w:rsidR="00FB6690" w:rsidRDefault="00FB6690">
      <w:pPr>
        <w:jc w:val="both"/>
        <w:rPr>
          <w:rFonts w:ascii="Times New Roman" w:eastAsia="Times New Roman" w:hAnsi="Times New Roman" w:cs="Times New Roman"/>
          <w:color w:val="000000"/>
          <w:sz w:val="24"/>
          <w:szCs w:val="24"/>
          <w:highlight w:val="white"/>
        </w:rPr>
      </w:pPr>
    </w:p>
    <w:p w14:paraId="009CD8A9" w14:textId="77777777" w:rsidR="00FB6690" w:rsidRDefault="00FB6690">
      <w:pPr>
        <w:jc w:val="both"/>
        <w:rPr>
          <w:rFonts w:ascii="Times New Roman" w:eastAsia="Times New Roman" w:hAnsi="Times New Roman" w:cs="Times New Roman"/>
          <w:color w:val="000000"/>
          <w:sz w:val="24"/>
          <w:szCs w:val="24"/>
          <w:highlight w:val="white"/>
        </w:rPr>
      </w:pPr>
    </w:p>
    <w:p w14:paraId="1C306E63" w14:textId="77777777" w:rsidR="00FB6690" w:rsidRDefault="00FB6690">
      <w:pPr>
        <w:jc w:val="both"/>
        <w:rPr>
          <w:rFonts w:ascii="Times New Roman" w:eastAsia="Times New Roman" w:hAnsi="Times New Roman" w:cs="Times New Roman"/>
          <w:color w:val="000000"/>
          <w:sz w:val="24"/>
          <w:szCs w:val="24"/>
          <w:highlight w:val="white"/>
        </w:rPr>
      </w:pPr>
    </w:p>
    <w:p w14:paraId="09079F24" w14:textId="77777777" w:rsidR="00FB6690" w:rsidRDefault="00FB6690">
      <w:pPr>
        <w:jc w:val="both"/>
        <w:rPr>
          <w:rFonts w:ascii="Times New Roman" w:eastAsia="Times New Roman" w:hAnsi="Times New Roman" w:cs="Times New Roman"/>
          <w:color w:val="000000"/>
          <w:sz w:val="24"/>
          <w:szCs w:val="24"/>
          <w:highlight w:val="white"/>
        </w:rPr>
      </w:pPr>
    </w:p>
    <w:p w14:paraId="0470D886" w14:textId="77777777" w:rsidR="00FB6690" w:rsidRDefault="00FB6690">
      <w:pPr>
        <w:jc w:val="both"/>
        <w:rPr>
          <w:rFonts w:ascii="Times New Roman" w:eastAsia="Times New Roman" w:hAnsi="Times New Roman" w:cs="Times New Roman"/>
          <w:color w:val="000000"/>
          <w:sz w:val="24"/>
          <w:szCs w:val="24"/>
          <w:highlight w:val="white"/>
        </w:rPr>
      </w:pPr>
    </w:p>
    <w:p w14:paraId="782F3D7E" w14:textId="77777777" w:rsidR="00FB6690" w:rsidRDefault="00FB6690">
      <w:pPr>
        <w:jc w:val="both"/>
        <w:rPr>
          <w:rFonts w:ascii="Times New Roman" w:eastAsia="Times New Roman" w:hAnsi="Times New Roman" w:cs="Times New Roman"/>
          <w:color w:val="000000"/>
          <w:sz w:val="24"/>
          <w:szCs w:val="24"/>
          <w:highlight w:val="white"/>
        </w:rPr>
      </w:pPr>
    </w:p>
    <w:p w14:paraId="475704CB" w14:textId="77777777" w:rsidR="00FB6690" w:rsidRDefault="00000000">
      <w:pPr>
        <w:keepNext/>
        <w:keepLines/>
        <w:pBdr>
          <w:top w:val="nil"/>
          <w:left w:val="nil"/>
          <w:bottom w:val="nil"/>
          <w:right w:val="nil"/>
          <w:between w:val="nil"/>
        </w:pBdr>
        <w:spacing w:before="240" w:after="0"/>
        <w:rPr>
          <w:color w:val="2F5496"/>
          <w:sz w:val="32"/>
          <w:szCs w:val="32"/>
        </w:rPr>
      </w:pPr>
      <w:r>
        <w:rPr>
          <w:color w:val="2F5496"/>
          <w:sz w:val="32"/>
          <w:szCs w:val="32"/>
        </w:rPr>
        <w:t>Contents</w:t>
      </w:r>
    </w:p>
    <w:sdt>
      <w:sdtPr>
        <w:id w:val="-1532338435"/>
        <w:docPartObj>
          <w:docPartGallery w:val="Table of Contents"/>
          <w:docPartUnique/>
        </w:docPartObj>
      </w:sdtPr>
      <w:sdtContent>
        <w:p w14:paraId="5024871F" w14:textId="3BB4F1DD" w:rsidR="00657004" w:rsidRDefault="00000000">
          <w:pPr>
            <w:pStyle w:val="TOC1"/>
            <w:tabs>
              <w:tab w:val="right" w:pos="9350"/>
            </w:tabs>
            <w:rPr>
              <w:noProof/>
            </w:rPr>
          </w:pPr>
          <w:r>
            <w:fldChar w:fldCharType="begin"/>
          </w:r>
          <w:r>
            <w:instrText xml:space="preserve"> TOC \h \u \z </w:instrText>
          </w:r>
          <w:r>
            <w:fldChar w:fldCharType="separate"/>
          </w:r>
          <w:hyperlink w:anchor="_Toc123900793" w:history="1">
            <w:r w:rsidR="00657004" w:rsidRPr="00DC00B9">
              <w:rPr>
                <w:rStyle w:val="Hyperlink"/>
                <w:b/>
                <w:noProof/>
                <w:highlight w:val="white"/>
              </w:rPr>
              <w:t>Introduction</w:t>
            </w:r>
            <w:r w:rsidR="00657004">
              <w:rPr>
                <w:noProof/>
                <w:webHidden/>
              </w:rPr>
              <w:tab/>
            </w:r>
            <w:r w:rsidR="00657004">
              <w:rPr>
                <w:noProof/>
                <w:webHidden/>
              </w:rPr>
              <w:fldChar w:fldCharType="begin"/>
            </w:r>
            <w:r w:rsidR="00657004">
              <w:rPr>
                <w:noProof/>
                <w:webHidden/>
              </w:rPr>
              <w:instrText xml:space="preserve"> PAGEREF _Toc123900793 \h </w:instrText>
            </w:r>
            <w:r w:rsidR="00657004">
              <w:rPr>
                <w:noProof/>
                <w:webHidden/>
              </w:rPr>
            </w:r>
            <w:r w:rsidR="00657004">
              <w:rPr>
                <w:noProof/>
                <w:webHidden/>
              </w:rPr>
              <w:fldChar w:fldCharType="separate"/>
            </w:r>
            <w:r w:rsidR="00657004">
              <w:rPr>
                <w:noProof/>
                <w:webHidden/>
              </w:rPr>
              <w:t>3</w:t>
            </w:r>
            <w:r w:rsidR="00657004">
              <w:rPr>
                <w:noProof/>
                <w:webHidden/>
              </w:rPr>
              <w:fldChar w:fldCharType="end"/>
            </w:r>
          </w:hyperlink>
        </w:p>
        <w:p w14:paraId="246098CA" w14:textId="37CE55E1" w:rsidR="00657004" w:rsidRDefault="00000000">
          <w:pPr>
            <w:pStyle w:val="TOC1"/>
            <w:tabs>
              <w:tab w:val="right" w:pos="9350"/>
            </w:tabs>
            <w:rPr>
              <w:noProof/>
            </w:rPr>
          </w:pPr>
          <w:hyperlink w:anchor="_Toc123900794" w:history="1">
            <w:r w:rsidR="00657004" w:rsidRPr="00DC00B9">
              <w:rPr>
                <w:rStyle w:val="Hyperlink"/>
                <w:b/>
                <w:noProof/>
                <w:highlight w:val="white"/>
              </w:rPr>
              <w:t>Question-01</w:t>
            </w:r>
            <w:r w:rsidR="00657004">
              <w:rPr>
                <w:noProof/>
                <w:webHidden/>
              </w:rPr>
              <w:tab/>
            </w:r>
            <w:r w:rsidR="00657004">
              <w:rPr>
                <w:noProof/>
                <w:webHidden/>
              </w:rPr>
              <w:fldChar w:fldCharType="begin"/>
            </w:r>
            <w:r w:rsidR="00657004">
              <w:rPr>
                <w:noProof/>
                <w:webHidden/>
              </w:rPr>
              <w:instrText xml:space="preserve"> PAGEREF _Toc123900794 \h </w:instrText>
            </w:r>
            <w:r w:rsidR="00657004">
              <w:rPr>
                <w:noProof/>
                <w:webHidden/>
              </w:rPr>
            </w:r>
            <w:r w:rsidR="00657004">
              <w:rPr>
                <w:noProof/>
                <w:webHidden/>
              </w:rPr>
              <w:fldChar w:fldCharType="separate"/>
            </w:r>
            <w:r w:rsidR="00657004">
              <w:rPr>
                <w:noProof/>
                <w:webHidden/>
              </w:rPr>
              <w:t>4</w:t>
            </w:r>
            <w:r w:rsidR="00657004">
              <w:rPr>
                <w:noProof/>
                <w:webHidden/>
              </w:rPr>
              <w:fldChar w:fldCharType="end"/>
            </w:r>
          </w:hyperlink>
        </w:p>
        <w:p w14:paraId="28D23FC5" w14:textId="0C4D1069" w:rsidR="00657004" w:rsidRDefault="00000000">
          <w:pPr>
            <w:pStyle w:val="TOC2"/>
            <w:tabs>
              <w:tab w:val="right" w:pos="9350"/>
            </w:tabs>
            <w:rPr>
              <w:noProof/>
            </w:rPr>
          </w:pPr>
          <w:hyperlink w:anchor="_Toc123900795" w:history="1">
            <w:r w:rsidR="00657004" w:rsidRPr="00DC00B9">
              <w:rPr>
                <w:rStyle w:val="Hyperlink"/>
                <w:b/>
                <w:noProof/>
                <w:highlight w:val="white"/>
              </w:rPr>
              <w:t>Task-A</w:t>
            </w:r>
            <w:r w:rsidR="00657004">
              <w:rPr>
                <w:noProof/>
                <w:webHidden/>
              </w:rPr>
              <w:tab/>
            </w:r>
            <w:r w:rsidR="00657004">
              <w:rPr>
                <w:noProof/>
                <w:webHidden/>
              </w:rPr>
              <w:fldChar w:fldCharType="begin"/>
            </w:r>
            <w:r w:rsidR="00657004">
              <w:rPr>
                <w:noProof/>
                <w:webHidden/>
              </w:rPr>
              <w:instrText xml:space="preserve"> PAGEREF _Toc123900795 \h </w:instrText>
            </w:r>
            <w:r w:rsidR="00657004">
              <w:rPr>
                <w:noProof/>
                <w:webHidden/>
              </w:rPr>
            </w:r>
            <w:r w:rsidR="00657004">
              <w:rPr>
                <w:noProof/>
                <w:webHidden/>
              </w:rPr>
              <w:fldChar w:fldCharType="separate"/>
            </w:r>
            <w:r w:rsidR="00657004">
              <w:rPr>
                <w:noProof/>
                <w:webHidden/>
              </w:rPr>
              <w:t>4</w:t>
            </w:r>
            <w:r w:rsidR="00657004">
              <w:rPr>
                <w:noProof/>
                <w:webHidden/>
              </w:rPr>
              <w:fldChar w:fldCharType="end"/>
            </w:r>
          </w:hyperlink>
        </w:p>
        <w:p w14:paraId="24E53FDC" w14:textId="3C239B9D" w:rsidR="00657004" w:rsidRDefault="00000000">
          <w:pPr>
            <w:pStyle w:val="TOC2"/>
            <w:tabs>
              <w:tab w:val="right" w:pos="9350"/>
            </w:tabs>
            <w:rPr>
              <w:noProof/>
            </w:rPr>
          </w:pPr>
          <w:hyperlink w:anchor="_Toc123900796" w:history="1">
            <w:r w:rsidR="00657004" w:rsidRPr="00DC00B9">
              <w:rPr>
                <w:rStyle w:val="Hyperlink"/>
                <w:b/>
                <w:noProof/>
                <w:highlight w:val="white"/>
              </w:rPr>
              <w:t>Task-B</w:t>
            </w:r>
            <w:r w:rsidR="00657004">
              <w:rPr>
                <w:noProof/>
                <w:webHidden/>
              </w:rPr>
              <w:tab/>
            </w:r>
            <w:r w:rsidR="00657004">
              <w:rPr>
                <w:noProof/>
                <w:webHidden/>
              </w:rPr>
              <w:fldChar w:fldCharType="begin"/>
            </w:r>
            <w:r w:rsidR="00657004">
              <w:rPr>
                <w:noProof/>
                <w:webHidden/>
              </w:rPr>
              <w:instrText xml:space="preserve"> PAGEREF _Toc123900796 \h </w:instrText>
            </w:r>
            <w:r w:rsidR="00657004">
              <w:rPr>
                <w:noProof/>
                <w:webHidden/>
              </w:rPr>
            </w:r>
            <w:r w:rsidR="00657004">
              <w:rPr>
                <w:noProof/>
                <w:webHidden/>
              </w:rPr>
              <w:fldChar w:fldCharType="separate"/>
            </w:r>
            <w:r w:rsidR="00657004">
              <w:rPr>
                <w:noProof/>
                <w:webHidden/>
              </w:rPr>
              <w:t>6</w:t>
            </w:r>
            <w:r w:rsidR="00657004">
              <w:rPr>
                <w:noProof/>
                <w:webHidden/>
              </w:rPr>
              <w:fldChar w:fldCharType="end"/>
            </w:r>
          </w:hyperlink>
        </w:p>
        <w:p w14:paraId="09CFA5DB" w14:textId="3D8D0E3B" w:rsidR="00657004" w:rsidRDefault="00000000">
          <w:pPr>
            <w:pStyle w:val="TOC1"/>
            <w:tabs>
              <w:tab w:val="right" w:pos="9350"/>
            </w:tabs>
            <w:rPr>
              <w:noProof/>
            </w:rPr>
          </w:pPr>
          <w:hyperlink w:anchor="_Toc123900797" w:history="1">
            <w:r w:rsidR="00657004" w:rsidRPr="00DC00B9">
              <w:rPr>
                <w:rStyle w:val="Hyperlink"/>
                <w:b/>
                <w:noProof/>
              </w:rPr>
              <w:t>Question-02</w:t>
            </w:r>
            <w:r w:rsidR="00657004">
              <w:rPr>
                <w:noProof/>
                <w:webHidden/>
              </w:rPr>
              <w:tab/>
            </w:r>
            <w:r w:rsidR="00657004">
              <w:rPr>
                <w:noProof/>
                <w:webHidden/>
              </w:rPr>
              <w:fldChar w:fldCharType="begin"/>
            </w:r>
            <w:r w:rsidR="00657004">
              <w:rPr>
                <w:noProof/>
                <w:webHidden/>
              </w:rPr>
              <w:instrText xml:space="preserve"> PAGEREF _Toc123900797 \h </w:instrText>
            </w:r>
            <w:r w:rsidR="00657004">
              <w:rPr>
                <w:noProof/>
                <w:webHidden/>
              </w:rPr>
            </w:r>
            <w:r w:rsidR="00657004">
              <w:rPr>
                <w:noProof/>
                <w:webHidden/>
              </w:rPr>
              <w:fldChar w:fldCharType="separate"/>
            </w:r>
            <w:r w:rsidR="00657004">
              <w:rPr>
                <w:noProof/>
                <w:webHidden/>
              </w:rPr>
              <w:t>8</w:t>
            </w:r>
            <w:r w:rsidR="00657004">
              <w:rPr>
                <w:noProof/>
                <w:webHidden/>
              </w:rPr>
              <w:fldChar w:fldCharType="end"/>
            </w:r>
          </w:hyperlink>
        </w:p>
        <w:p w14:paraId="7E1A683E" w14:textId="29779038" w:rsidR="00657004" w:rsidRDefault="00000000">
          <w:pPr>
            <w:pStyle w:val="TOC2"/>
            <w:tabs>
              <w:tab w:val="right" w:pos="9350"/>
            </w:tabs>
            <w:rPr>
              <w:noProof/>
            </w:rPr>
          </w:pPr>
          <w:hyperlink w:anchor="_Toc123900798" w:history="1">
            <w:r w:rsidR="00657004" w:rsidRPr="00DC00B9">
              <w:rPr>
                <w:rStyle w:val="Hyperlink"/>
                <w:b/>
                <w:noProof/>
              </w:rPr>
              <w:t>Task-A</w:t>
            </w:r>
            <w:r w:rsidR="00657004">
              <w:rPr>
                <w:noProof/>
                <w:webHidden/>
              </w:rPr>
              <w:tab/>
            </w:r>
            <w:r w:rsidR="00657004">
              <w:rPr>
                <w:noProof/>
                <w:webHidden/>
              </w:rPr>
              <w:fldChar w:fldCharType="begin"/>
            </w:r>
            <w:r w:rsidR="00657004">
              <w:rPr>
                <w:noProof/>
                <w:webHidden/>
              </w:rPr>
              <w:instrText xml:space="preserve"> PAGEREF _Toc123900798 \h </w:instrText>
            </w:r>
            <w:r w:rsidR="00657004">
              <w:rPr>
                <w:noProof/>
                <w:webHidden/>
              </w:rPr>
            </w:r>
            <w:r w:rsidR="00657004">
              <w:rPr>
                <w:noProof/>
                <w:webHidden/>
              </w:rPr>
              <w:fldChar w:fldCharType="separate"/>
            </w:r>
            <w:r w:rsidR="00657004">
              <w:rPr>
                <w:noProof/>
                <w:webHidden/>
              </w:rPr>
              <w:t>8</w:t>
            </w:r>
            <w:r w:rsidR="00657004">
              <w:rPr>
                <w:noProof/>
                <w:webHidden/>
              </w:rPr>
              <w:fldChar w:fldCharType="end"/>
            </w:r>
          </w:hyperlink>
        </w:p>
        <w:p w14:paraId="561E20BC" w14:textId="031292AB" w:rsidR="00657004" w:rsidRDefault="00000000">
          <w:pPr>
            <w:pStyle w:val="TOC2"/>
            <w:tabs>
              <w:tab w:val="right" w:pos="9350"/>
            </w:tabs>
            <w:rPr>
              <w:noProof/>
            </w:rPr>
          </w:pPr>
          <w:hyperlink w:anchor="_Toc123900799" w:history="1">
            <w:r w:rsidR="00657004" w:rsidRPr="00DC00B9">
              <w:rPr>
                <w:rStyle w:val="Hyperlink"/>
                <w:b/>
                <w:noProof/>
              </w:rPr>
              <w:t>Task-B</w:t>
            </w:r>
            <w:r w:rsidR="00657004">
              <w:rPr>
                <w:noProof/>
                <w:webHidden/>
              </w:rPr>
              <w:tab/>
            </w:r>
            <w:r w:rsidR="00657004">
              <w:rPr>
                <w:noProof/>
                <w:webHidden/>
              </w:rPr>
              <w:fldChar w:fldCharType="begin"/>
            </w:r>
            <w:r w:rsidR="00657004">
              <w:rPr>
                <w:noProof/>
                <w:webHidden/>
              </w:rPr>
              <w:instrText xml:space="preserve"> PAGEREF _Toc123900799 \h </w:instrText>
            </w:r>
            <w:r w:rsidR="00657004">
              <w:rPr>
                <w:noProof/>
                <w:webHidden/>
              </w:rPr>
            </w:r>
            <w:r w:rsidR="00657004">
              <w:rPr>
                <w:noProof/>
                <w:webHidden/>
              </w:rPr>
              <w:fldChar w:fldCharType="separate"/>
            </w:r>
            <w:r w:rsidR="00657004">
              <w:rPr>
                <w:noProof/>
                <w:webHidden/>
              </w:rPr>
              <w:t>14</w:t>
            </w:r>
            <w:r w:rsidR="00657004">
              <w:rPr>
                <w:noProof/>
                <w:webHidden/>
              </w:rPr>
              <w:fldChar w:fldCharType="end"/>
            </w:r>
          </w:hyperlink>
        </w:p>
        <w:p w14:paraId="5CDAC335" w14:textId="423CFFEC" w:rsidR="00657004" w:rsidRDefault="00000000">
          <w:pPr>
            <w:pStyle w:val="TOC1"/>
            <w:tabs>
              <w:tab w:val="right" w:pos="9350"/>
            </w:tabs>
            <w:rPr>
              <w:noProof/>
            </w:rPr>
          </w:pPr>
          <w:hyperlink w:anchor="_Toc123900800" w:history="1">
            <w:r w:rsidR="00657004" w:rsidRPr="00DC00B9">
              <w:rPr>
                <w:rStyle w:val="Hyperlink"/>
                <w:b/>
                <w:noProof/>
              </w:rPr>
              <w:t>Conclusion</w:t>
            </w:r>
            <w:r w:rsidR="00657004">
              <w:rPr>
                <w:noProof/>
                <w:webHidden/>
              </w:rPr>
              <w:tab/>
            </w:r>
            <w:r w:rsidR="00657004">
              <w:rPr>
                <w:noProof/>
                <w:webHidden/>
              </w:rPr>
              <w:fldChar w:fldCharType="begin"/>
            </w:r>
            <w:r w:rsidR="00657004">
              <w:rPr>
                <w:noProof/>
                <w:webHidden/>
              </w:rPr>
              <w:instrText xml:space="preserve"> PAGEREF _Toc123900800 \h </w:instrText>
            </w:r>
            <w:r w:rsidR="00657004">
              <w:rPr>
                <w:noProof/>
                <w:webHidden/>
              </w:rPr>
            </w:r>
            <w:r w:rsidR="00657004">
              <w:rPr>
                <w:noProof/>
                <w:webHidden/>
              </w:rPr>
              <w:fldChar w:fldCharType="separate"/>
            </w:r>
            <w:r w:rsidR="00657004">
              <w:rPr>
                <w:noProof/>
                <w:webHidden/>
              </w:rPr>
              <w:t>16</w:t>
            </w:r>
            <w:r w:rsidR="00657004">
              <w:rPr>
                <w:noProof/>
                <w:webHidden/>
              </w:rPr>
              <w:fldChar w:fldCharType="end"/>
            </w:r>
          </w:hyperlink>
        </w:p>
        <w:p w14:paraId="5CC094AE" w14:textId="4F7FAC35" w:rsidR="00FB6690" w:rsidRDefault="00000000">
          <w:r>
            <w:fldChar w:fldCharType="end"/>
          </w:r>
        </w:p>
      </w:sdtContent>
    </w:sdt>
    <w:p w14:paraId="6314B6AB" w14:textId="77777777" w:rsidR="00FB6690" w:rsidRDefault="00FB6690">
      <w:pPr>
        <w:jc w:val="both"/>
        <w:rPr>
          <w:rFonts w:ascii="Times New Roman" w:eastAsia="Times New Roman" w:hAnsi="Times New Roman" w:cs="Times New Roman"/>
          <w:color w:val="000000"/>
          <w:sz w:val="24"/>
          <w:szCs w:val="24"/>
          <w:highlight w:val="white"/>
        </w:rPr>
      </w:pPr>
    </w:p>
    <w:p w14:paraId="2CB0A7B2" w14:textId="77777777" w:rsidR="00FB6690" w:rsidRDefault="00FB6690">
      <w:pPr>
        <w:jc w:val="both"/>
        <w:rPr>
          <w:rFonts w:ascii="Times New Roman" w:eastAsia="Times New Roman" w:hAnsi="Times New Roman" w:cs="Times New Roman"/>
          <w:color w:val="000000"/>
          <w:sz w:val="24"/>
          <w:szCs w:val="24"/>
          <w:highlight w:val="white"/>
        </w:rPr>
      </w:pPr>
    </w:p>
    <w:p w14:paraId="101E2EE2" w14:textId="77777777" w:rsidR="00FB6690" w:rsidRDefault="00FB6690">
      <w:pPr>
        <w:jc w:val="both"/>
        <w:rPr>
          <w:rFonts w:ascii="Times New Roman" w:eastAsia="Times New Roman" w:hAnsi="Times New Roman" w:cs="Times New Roman"/>
          <w:color w:val="000000"/>
          <w:sz w:val="24"/>
          <w:szCs w:val="24"/>
          <w:highlight w:val="white"/>
        </w:rPr>
      </w:pPr>
    </w:p>
    <w:p w14:paraId="70F9580F" w14:textId="77777777" w:rsidR="00FB6690" w:rsidRDefault="00FB6690">
      <w:pPr>
        <w:jc w:val="both"/>
        <w:rPr>
          <w:rFonts w:ascii="Times New Roman" w:eastAsia="Times New Roman" w:hAnsi="Times New Roman" w:cs="Times New Roman"/>
          <w:color w:val="000000"/>
          <w:sz w:val="24"/>
          <w:szCs w:val="24"/>
          <w:highlight w:val="white"/>
        </w:rPr>
      </w:pPr>
    </w:p>
    <w:p w14:paraId="28B42DFD" w14:textId="77777777" w:rsidR="00FB6690" w:rsidRDefault="00FB6690">
      <w:pPr>
        <w:jc w:val="both"/>
        <w:rPr>
          <w:rFonts w:ascii="Times New Roman" w:eastAsia="Times New Roman" w:hAnsi="Times New Roman" w:cs="Times New Roman"/>
          <w:color w:val="000000"/>
          <w:sz w:val="24"/>
          <w:szCs w:val="24"/>
          <w:highlight w:val="white"/>
        </w:rPr>
      </w:pPr>
    </w:p>
    <w:p w14:paraId="2355042D" w14:textId="77777777" w:rsidR="00FB6690" w:rsidRDefault="00FB6690">
      <w:pPr>
        <w:jc w:val="both"/>
        <w:rPr>
          <w:rFonts w:ascii="Times New Roman" w:eastAsia="Times New Roman" w:hAnsi="Times New Roman" w:cs="Times New Roman"/>
          <w:color w:val="000000"/>
          <w:sz w:val="24"/>
          <w:szCs w:val="24"/>
          <w:highlight w:val="white"/>
        </w:rPr>
      </w:pPr>
    </w:p>
    <w:p w14:paraId="0F8DEDD8" w14:textId="77777777" w:rsidR="00FB6690" w:rsidRDefault="00FB6690">
      <w:pPr>
        <w:jc w:val="both"/>
        <w:rPr>
          <w:rFonts w:ascii="Times New Roman" w:eastAsia="Times New Roman" w:hAnsi="Times New Roman" w:cs="Times New Roman"/>
          <w:color w:val="000000"/>
          <w:sz w:val="24"/>
          <w:szCs w:val="24"/>
          <w:highlight w:val="white"/>
        </w:rPr>
      </w:pPr>
    </w:p>
    <w:p w14:paraId="52EA337C" w14:textId="77777777" w:rsidR="00FB6690" w:rsidRDefault="00FB6690">
      <w:pPr>
        <w:jc w:val="both"/>
        <w:rPr>
          <w:rFonts w:ascii="Times New Roman" w:eastAsia="Times New Roman" w:hAnsi="Times New Roman" w:cs="Times New Roman"/>
          <w:color w:val="000000"/>
          <w:sz w:val="24"/>
          <w:szCs w:val="24"/>
          <w:highlight w:val="white"/>
        </w:rPr>
      </w:pPr>
    </w:p>
    <w:p w14:paraId="7DC608D7" w14:textId="77777777" w:rsidR="00FB6690" w:rsidRDefault="00FB6690">
      <w:pPr>
        <w:jc w:val="both"/>
        <w:rPr>
          <w:rFonts w:ascii="Times New Roman" w:eastAsia="Times New Roman" w:hAnsi="Times New Roman" w:cs="Times New Roman"/>
          <w:color w:val="000000"/>
          <w:sz w:val="24"/>
          <w:szCs w:val="24"/>
          <w:highlight w:val="white"/>
        </w:rPr>
      </w:pPr>
    </w:p>
    <w:p w14:paraId="314E166B" w14:textId="77777777" w:rsidR="00FB6690" w:rsidRDefault="00FB6690">
      <w:pPr>
        <w:jc w:val="both"/>
        <w:rPr>
          <w:rFonts w:ascii="Times New Roman" w:eastAsia="Times New Roman" w:hAnsi="Times New Roman" w:cs="Times New Roman"/>
          <w:color w:val="000000"/>
          <w:sz w:val="24"/>
          <w:szCs w:val="24"/>
          <w:highlight w:val="white"/>
        </w:rPr>
      </w:pPr>
    </w:p>
    <w:p w14:paraId="1BBED985" w14:textId="77777777" w:rsidR="00FB6690" w:rsidRDefault="00FB6690">
      <w:pPr>
        <w:jc w:val="both"/>
        <w:rPr>
          <w:rFonts w:ascii="Times New Roman" w:eastAsia="Times New Roman" w:hAnsi="Times New Roman" w:cs="Times New Roman"/>
          <w:color w:val="000000"/>
          <w:sz w:val="24"/>
          <w:szCs w:val="24"/>
          <w:highlight w:val="white"/>
        </w:rPr>
      </w:pPr>
    </w:p>
    <w:p w14:paraId="03AB8435" w14:textId="77777777" w:rsidR="00FB6690" w:rsidRDefault="00FB6690">
      <w:pPr>
        <w:jc w:val="both"/>
        <w:rPr>
          <w:rFonts w:ascii="Times New Roman" w:eastAsia="Times New Roman" w:hAnsi="Times New Roman" w:cs="Times New Roman"/>
          <w:color w:val="000000"/>
          <w:sz w:val="24"/>
          <w:szCs w:val="24"/>
          <w:highlight w:val="white"/>
        </w:rPr>
      </w:pPr>
    </w:p>
    <w:p w14:paraId="65FBA444" w14:textId="77777777" w:rsidR="00FB6690" w:rsidRDefault="00FB6690">
      <w:pPr>
        <w:jc w:val="both"/>
        <w:rPr>
          <w:rFonts w:ascii="Times New Roman" w:eastAsia="Times New Roman" w:hAnsi="Times New Roman" w:cs="Times New Roman"/>
          <w:color w:val="000000"/>
          <w:sz w:val="24"/>
          <w:szCs w:val="24"/>
          <w:highlight w:val="white"/>
        </w:rPr>
      </w:pPr>
    </w:p>
    <w:p w14:paraId="01D9BBB2" w14:textId="77777777" w:rsidR="00FB6690" w:rsidRDefault="00FB6690">
      <w:pPr>
        <w:jc w:val="both"/>
        <w:rPr>
          <w:rFonts w:ascii="Times New Roman" w:eastAsia="Times New Roman" w:hAnsi="Times New Roman" w:cs="Times New Roman"/>
          <w:color w:val="000000"/>
          <w:sz w:val="24"/>
          <w:szCs w:val="24"/>
          <w:highlight w:val="white"/>
        </w:rPr>
      </w:pPr>
    </w:p>
    <w:p w14:paraId="190239DD" w14:textId="77777777" w:rsidR="00FB6690" w:rsidRDefault="00FB6690">
      <w:pPr>
        <w:jc w:val="both"/>
        <w:rPr>
          <w:rFonts w:ascii="Times New Roman" w:eastAsia="Times New Roman" w:hAnsi="Times New Roman" w:cs="Times New Roman"/>
          <w:color w:val="000000"/>
          <w:sz w:val="24"/>
          <w:szCs w:val="24"/>
          <w:highlight w:val="white"/>
        </w:rPr>
      </w:pPr>
    </w:p>
    <w:p w14:paraId="05728E7C" w14:textId="77777777" w:rsidR="00FB6690" w:rsidRDefault="00FB6690">
      <w:pPr>
        <w:jc w:val="both"/>
        <w:rPr>
          <w:rFonts w:ascii="Times New Roman" w:eastAsia="Times New Roman" w:hAnsi="Times New Roman" w:cs="Times New Roman"/>
          <w:color w:val="000000"/>
          <w:sz w:val="24"/>
          <w:szCs w:val="24"/>
          <w:highlight w:val="white"/>
        </w:rPr>
      </w:pPr>
    </w:p>
    <w:p w14:paraId="16D0E232" w14:textId="77777777" w:rsidR="00FB6690" w:rsidRDefault="00FB6690">
      <w:pPr>
        <w:jc w:val="both"/>
        <w:rPr>
          <w:rFonts w:ascii="Times New Roman" w:eastAsia="Times New Roman" w:hAnsi="Times New Roman" w:cs="Times New Roman"/>
          <w:color w:val="000000"/>
          <w:sz w:val="24"/>
          <w:szCs w:val="24"/>
          <w:highlight w:val="white"/>
        </w:rPr>
      </w:pPr>
    </w:p>
    <w:p w14:paraId="66826603" w14:textId="77777777" w:rsidR="00FB6690" w:rsidRDefault="00FB6690">
      <w:pPr>
        <w:jc w:val="both"/>
        <w:rPr>
          <w:rFonts w:ascii="Times New Roman" w:eastAsia="Times New Roman" w:hAnsi="Times New Roman" w:cs="Times New Roman"/>
          <w:color w:val="000000"/>
          <w:sz w:val="24"/>
          <w:szCs w:val="24"/>
          <w:highlight w:val="white"/>
        </w:rPr>
      </w:pPr>
    </w:p>
    <w:p w14:paraId="339076BA" w14:textId="77777777" w:rsidR="00FB6690" w:rsidRDefault="00000000">
      <w:pPr>
        <w:pStyle w:val="Heading1"/>
        <w:rPr>
          <w:b/>
          <w:highlight w:val="white"/>
        </w:rPr>
      </w:pPr>
      <w:bookmarkStart w:id="0" w:name="_Toc123900793"/>
      <w:r>
        <w:rPr>
          <w:b/>
          <w:highlight w:val="white"/>
        </w:rPr>
        <w:t>Introduction</w:t>
      </w:r>
      <w:bookmarkEnd w:id="0"/>
    </w:p>
    <w:p w14:paraId="48279E27" w14:textId="77777777" w:rsidR="00FB6690" w:rsidRDefault="00000000">
      <w:pPr>
        <w:spacing w:line="30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Every business organization needs accounting because it makes it easier to identify business transactions and how they affect the company's economic entity. Accounting is also important because it makes it easier to prepare financial statements for businesses and to provide the required financial information to all recipients of accounting information. This study shows how to prepare financial statements for a corporate organization</w:t>
      </w:r>
    </w:p>
    <w:p w14:paraId="32EB1D2E" w14:textId="77777777" w:rsidR="00FB6690" w:rsidRDefault="00FB6690">
      <w:pPr>
        <w:spacing w:line="300" w:lineRule="auto"/>
        <w:jc w:val="both"/>
        <w:rPr>
          <w:rFonts w:ascii="Times New Roman" w:eastAsia="Times New Roman" w:hAnsi="Times New Roman" w:cs="Times New Roman"/>
          <w:color w:val="000000"/>
          <w:sz w:val="24"/>
          <w:szCs w:val="24"/>
          <w:highlight w:val="white"/>
        </w:rPr>
      </w:pPr>
    </w:p>
    <w:p w14:paraId="00CB2D7B" w14:textId="77777777" w:rsidR="00FB6690" w:rsidRDefault="00FB6690">
      <w:pPr>
        <w:jc w:val="both"/>
        <w:rPr>
          <w:rFonts w:ascii="Times New Roman" w:eastAsia="Times New Roman" w:hAnsi="Times New Roman" w:cs="Times New Roman"/>
          <w:color w:val="000000"/>
          <w:sz w:val="24"/>
          <w:szCs w:val="24"/>
          <w:highlight w:val="white"/>
        </w:rPr>
      </w:pPr>
    </w:p>
    <w:p w14:paraId="0D9C6AE7" w14:textId="77777777" w:rsidR="00FB6690" w:rsidRDefault="00FB6690">
      <w:pPr>
        <w:jc w:val="both"/>
        <w:rPr>
          <w:rFonts w:ascii="Times New Roman" w:eastAsia="Times New Roman" w:hAnsi="Times New Roman" w:cs="Times New Roman"/>
          <w:color w:val="000000"/>
          <w:sz w:val="24"/>
          <w:szCs w:val="24"/>
          <w:highlight w:val="white"/>
        </w:rPr>
      </w:pPr>
    </w:p>
    <w:p w14:paraId="44BDE1A2" w14:textId="77777777" w:rsidR="00FB6690" w:rsidRDefault="00FB6690">
      <w:pPr>
        <w:jc w:val="both"/>
        <w:rPr>
          <w:rFonts w:ascii="Times New Roman" w:eastAsia="Times New Roman" w:hAnsi="Times New Roman" w:cs="Times New Roman"/>
          <w:color w:val="000000"/>
          <w:sz w:val="24"/>
          <w:szCs w:val="24"/>
          <w:highlight w:val="white"/>
        </w:rPr>
      </w:pPr>
    </w:p>
    <w:p w14:paraId="4385CE4B" w14:textId="77777777" w:rsidR="00FB6690" w:rsidRDefault="00FB6690">
      <w:pPr>
        <w:jc w:val="both"/>
        <w:rPr>
          <w:rFonts w:ascii="Times New Roman" w:eastAsia="Times New Roman" w:hAnsi="Times New Roman" w:cs="Times New Roman"/>
          <w:color w:val="000000"/>
          <w:sz w:val="24"/>
          <w:szCs w:val="24"/>
          <w:highlight w:val="white"/>
        </w:rPr>
      </w:pPr>
    </w:p>
    <w:p w14:paraId="7F47EB82" w14:textId="77777777" w:rsidR="00FB6690" w:rsidRDefault="00FB6690">
      <w:pPr>
        <w:jc w:val="both"/>
        <w:rPr>
          <w:rFonts w:ascii="Times New Roman" w:eastAsia="Times New Roman" w:hAnsi="Times New Roman" w:cs="Times New Roman"/>
          <w:color w:val="000000"/>
          <w:sz w:val="24"/>
          <w:szCs w:val="24"/>
          <w:highlight w:val="white"/>
        </w:rPr>
      </w:pPr>
    </w:p>
    <w:p w14:paraId="0522D962" w14:textId="77777777" w:rsidR="00FB6690" w:rsidRDefault="00FB6690">
      <w:pPr>
        <w:jc w:val="both"/>
        <w:rPr>
          <w:rFonts w:ascii="Times New Roman" w:eastAsia="Times New Roman" w:hAnsi="Times New Roman" w:cs="Times New Roman"/>
          <w:color w:val="000000"/>
          <w:sz w:val="24"/>
          <w:szCs w:val="24"/>
          <w:highlight w:val="white"/>
        </w:rPr>
      </w:pPr>
    </w:p>
    <w:p w14:paraId="24FA4185" w14:textId="77777777" w:rsidR="00FB6690" w:rsidRDefault="00FB6690">
      <w:pPr>
        <w:jc w:val="both"/>
        <w:rPr>
          <w:rFonts w:ascii="Times New Roman" w:eastAsia="Times New Roman" w:hAnsi="Times New Roman" w:cs="Times New Roman"/>
          <w:color w:val="000000"/>
          <w:sz w:val="24"/>
          <w:szCs w:val="24"/>
          <w:highlight w:val="white"/>
        </w:rPr>
      </w:pPr>
    </w:p>
    <w:p w14:paraId="2FB058A5" w14:textId="77777777" w:rsidR="00FB6690" w:rsidRDefault="00FB6690">
      <w:pPr>
        <w:jc w:val="both"/>
        <w:rPr>
          <w:rFonts w:ascii="Times New Roman" w:eastAsia="Times New Roman" w:hAnsi="Times New Roman" w:cs="Times New Roman"/>
          <w:color w:val="000000"/>
          <w:sz w:val="24"/>
          <w:szCs w:val="24"/>
          <w:highlight w:val="white"/>
        </w:rPr>
      </w:pPr>
    </w:p>
    <w:p w14:paraId="1B4576CE" w14:textId="77777777" w:rsidR="00FB6690" w:rsidRDefault="00FB6690">
      <w:pPr>
        <w:jc w:val="both"/>
        <w:rPr>
          <w:rFonts w:ascii="Times New Roman" w:eastAsia="Times New Roman" w:hAnsi="Times New Roman" w:cs="Times New Roman"/>
          <w:color w:val="000000"/>
          <w:sz w:val="24"/>
          <w:szCs w:val="24"/>
          <w:highlight w:val="white"/>
        </w:rPr>
      </w:pPr>
    </w:p>
    <w:p w14:paraId="52EB6D8A" w14:textId="77777777" w:rsidR="00FB6690" w:rsidRDefault="00FB6690">
      <w:pPr>
        <w:jc w:val="both"/>
        <w:rPr>
          <w:rFonts w:ascii="Times New Roman" w:eastAsia="Times New Roman" w:hAnsi="Times New Roman" w:cs="Times New Roman"/>
          <w:color w:val="000000"/>
          <w:sz w:val="24"/>
          <w:szCs w:val="24"/>
          <w:highlight w:val="white"/>
        </w:rPr>
      </w:pPr>
    </w:p>
    <w:p w14:paraId="2CD62385" w14:textId="77777777" w:rsidR="00FB6690" w:rsidRDefault="00FB6690">
      <w:pPr>
        <w:jc w:val="both"/>
        <w:rPr>
          <w:rFonts w:ascii="Times New Roman" w:eastAsia="Times New Roman" w:hAnsi="Times New Roman" w:cs="Times New Roman"/>
          <w:color w:val="000000"/>
          <w:sz w:val="24"/>
          <w:szCs w:val="24"/>
          <w:highlight w:val="white"/>
        </w:rPr>
      </w:pPr>
    </w:p>
    <w:p w14:paraId="2E1D7DBC" w14:textId="77777777" w:rsidR="00FB6690" w:rsidRDefault="00FB6690">
      <w:pPr>
        <w:jc w:val="both"/>
        <w:rPr>
          <w:rFonts w:ascii="Times New Roman" w:eastAsia="Times New Roman" w:hAnsi="Times New Roman" w:cs="Times New Roman"/>
          <w:color w:val="000000"/>
          <w:sz w:val="24"/>
          <w:szCs w:val="24"/>
          <w:highlight w:val="white"/>
        </w:rPr>
      </w:pPr>
    </w:p>
    <w:p w14:paraId="3C6D55A9" w14:textId="77777777" w:rsidR="00FB6690" w:rsidRDefault="00FB6690">
      <w:pPr>
        <w:jc w:val="both"/>
        <w:rPr>
          <w:rFonts w:ascii="Times New Roman" w:eastAsia="Times New Roman" w:hAnsi="Times New Roman" w:cs="Times New Roman"/>
          <w:color w:val="000000"/>
          <w:sz w:val="24"/>
          <w:szCs w:val="24"/>
          <w:highlight w:val="white"/>
        </w:rPr>
      </w:pPr>
    </w:p>
    <w:p w14:paraId="497C0F5B" w14:textId="77777777" w:rsidR="00FB6690" w:rsidRDefault="00FB6690">
      <w:pPr>
        <w:jc w:val="both"/>
        <w:rPr>
          <w:rFonts w:ascii="Times New Roman" w:eastAsia="Times New Roman" w:hAnsi="Times New Roman" w:cs="Times New Roman"/>
          <w:color w:val="000000"/>
          <w:sz w:val="24"/>
          <w:szCs w:val="24"/>
          <w:highlight w:val="white"/>
        </w:rPr>
      </w:pPr>
    </w:p>
    <w:p w14:paraId="37660388" w14:textId="77777777" w:rsidR="00FB6690" w:rsidRDefault="00FB6690">
      <w:pPr>
        <w:jc w:val="both"/>
        <w:rPr>
          <w:rFonts w:ascii="Times New Roman" w:eastAsia="Times New Roman" w:hAnsi="Times New Roman" w:cs="Times New Roman"/>
          <w:color w:val="000000"/>
          <w:sz w:val="24"/>
          <w:szCs w:val="24"/>
          <w:highlight w:val="white"/>
        </w:rPr>
      </w:pPr>
    </w:p>
    <w:p w14:paraId="5FA23A57" w14:textId="77777777" w:rsidR="00FB6690" w:rsidRDefault="00FB6690">
      <w:pPr>
        <w:jc w:val="both"/>
        <w:rPr>
          <w:rFonts w:ascii="Times New Roman" w:eastAsia="Times New Roman" w:hAnsi="Times New Roman" w:cs="Times New Roman"/>
          <w:color w:val="000000"/>
          <w:sz w:val="24"/>
          <w:szCs w:val="24"/>
          <w:highlight w:val="white"/>
        </w:rPr>
      </w:pPr>
    </w:p>
    <w:p w14:paraId="6DA515D0" w14:textId="77777777" w:rsidR="00FB6690" w:rsidRDefault="00FB6690">
      <w:pPr>
        <w:jc w:val="both"/>
        <w:rPr>
          <w:rFonts w:ascii="Times New Roman" w:eastAsia="Times New Roman" w:hAnsi="Times New Roman" w:cs="Times New Roman"/>
          <w:color w:val="000000"/>
          <w:sz w:val="24"/>
          <w:szCs w:val="24"/>
          <w:highlight w:val="white"/>
        </w:rPr>
      </w:pPr>
    </w:p>
    <w:p w14:paraId="7142B037" w14:textId="77777777" w:rsidR="00FB6690" w:rsidRDefault="00FB6690">
      <w:pPr>
        <w:jc w:val="both"/>
        <w:rPr>
          <w:rFonts w:ascii="Times New Roman" w:eastAsia="Times New Roman" w:hAnsi="Times New Roman" w:cs="Times New Roman"/>
          <w:color w:val="000000"/>
          <w:sz w:val="24"/>
          <w:szCs w:val="24"/>
          <w:highlight w:val="white"/>
        </w:rPr>
      </w:pPr>
    </w:p>
    <w:p w14:paraId="266F1E4D" w14:textId="77777777" w:rsidR="00FB6690" w:rsidRDefault="00FB6690">
      <w:pPr>
        <w:jc w:val="both"/>
        <w:rPr>
          <w:rFonts w:ascii="Times New Roman" w:eastAsia="Times New Roman" w:hAnsi="Times New Roman" w:cs="Times New Roman"/>
          <w:color w:val="000000"/>
          <w:sz w:val="24"/>
          <w:szCs w:val="24"/>
          <w:highlight w:val="white"/>
        </w:rPr>
      </w:pPr>
    </w:p>
    <w:p w14:paraId="0FEA2E3E" w14:textId="77777777" w:rsidR="00FB6690" w:rsidRDefault="00FB6690">
      <w:pPr>
        <w:jc w:val="both"/>
        <w:rPr>
          <w:rFonts w:ascii="Times New Roman" w:eastAsia="Times New Roman" w:hAnsi="Times New Roman" w:cs="Times New Roman"/>
          <w:color w:val="000000"/>
          <w:sz w:val="24"/>
          <w:szCs w:val="24"/>
          <w:highlight w:val="white"/>
        </w:rPr>
      </w:pPr>
    </w:p>
    <w:p w14:paraId="25FCB1D4" w14:textId="77777777" w:rsidR="00FB6690" w:rsidRDefault="00FB6690">
      <w:pPr>
        <w:jc w:val="both"/>
        <w:rPr>
          <w:rFonts w:ascii="Times New Roman" w:eastAsia="Times New Roman" w:hAnsi="Times New Roman" w:cs="Times New Roman"/>
          <w:color w:val="000000"/>
          <w:sz w:val="24"/>
          <w:szCs w:val="24"/>
          <w:highlight w:val="white"/>
        </w:rPr>
      </w:pPr>
    </w:p>
    <w:p w14:paraId="6A3ED96C" w14:textId="77777777" w:rsidR="00FB6690" w:rsidRDefault="00FB6690">
      <w:pPr>
        <w:jc w:val="both"/>
        <w:rPr>
          <w:rFonts w:ascii="Times New Roman" w:eastAsia="Times New Roman" w:hAnsi="Times New Roman" w:cs="Times New Roman"/>
          <w:color w:val="000000"/>
          <w:sz w:val="24"/>
          <w:szCs w:val="24"/>
          <w:highlight w:val="white"/>
        </w:rPr>
      </w:pPr>
    </w:p>
    <w:p w14:paraId="0827E20C" w14:textId="77777777" w:rsidR="00FB6690" w:rsidRDefault="00000000">
      <w:pPr>
        <w:pStyle w:val="Heading1"/>
        <w:rPr>
          <w:b/>
          <w:highlight w:val="white"/>
        </w:rPr>
      </w:pPr>
      <w:bookmarkStart w:id="1" w:name="_Toc123900794"/>
      <w:r>
        <w:rPr>
          <w:b/>
          <w:highlight w:val="white"/>
        </w:rPr>
        <w:t>Question-01</w:t>
      </w:r>
      <w:bookmarkEnd w:id="1"/>
    </w:p>
    <w:p w14:paraId="7D17A9B7" w14:textId="77777777" w:rsidR="00FB6690" w:rsidRDefault="00000000">
      <w:pPr>
        <w:pStyle w:val="Heading2"/>
        <w:spacing w:line="300" w:lineRule="auto"/>
        <w:rPr>
          <w:b/>
          <w:color w:val="ED7D31"/>
          <w:highlight w:val="white"/>
        </w:rPr>
      </w:pPr>
      <w:bookmarkStart w:id="2" w:name="_Toc123900795"/>
      <w:r>
        <w:rPr>
          <w:b/>
          <w:color w:val="ED7D31"/>
          <w:highlight w:val="white"/>
        </w:rPr>
        <w:t>Task-A</w:t>
      </w:r>
      <w:bookmarkEnd w:id="2"/>
    </w:p>
    <w:p w14:paraId="0FD6DD00"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Wales Plc</w:t>
      </w:r>
    </w:p>
    <w:p w14:paraId="40E904DE"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Income statement</w:t>
      </w:r>
    </w:p>
    <w:p w14:paraId="466C9782"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Prepared for the year ended 31</w:t>
      </w:r>
      <w:r>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December 2021</w:t>
      </w:r>
    </w:p>
    <w:tbl>
      <w:tblPr>
        <w:tblStyle w:val="a"/>
        <w:tblW w:w="935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A0" w:firstRow="1" w:lastRow="0" w:firstColumn="1" w:lastColumn="0" w:noHBand="0" w:noVBand="1"/>
      </w:tblPr>
      <w:tblGrid>
        <w:gridCol w:w="4982"/>
        <w:gridCol w:w="1472"/>
        <w:gridCol w:w="1449"/>
        <w:gridCol w:w="1447"/>
      </w:tblGrid>
      <w:tr w:rsidR="00FB6690" w14:paraId="0C2CE19D" w14:textId="77777777" w:rsidTr="00FB669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4EFD2E6B"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472" w:type="dxa"/>
          </w:tcPr>
          <w:p w14:paraId="61EA90B1"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w:t>
            </w:r>
          </w:p>
        </w:tc>
        <w:tc>
          <w:tcPr>
            <w:tcW w:w="1449" w:type="dxa"/>
          </w:tcPr>
          <w:p w14:paraId="7EBDBDA0"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w:t>
            </w:r>
          </w:p>
        </w:tc>
        <w:tc>
          <w:tcPr>
            <w:tcW w:w="1447" w:type="dxa"/>
          </w:tcPr>
          <w:p w14:paraId="50208F78"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w:t>
            </w:r>
          </w:p>
        </w:tc>
      </w:tr>
      <w:tr w:rsidR="00FB6690" w14:paraId="76ACD854"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30D7F08B"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Revenue </w:t>
            </w:r>
          </w:p>
        </w:tc>
        <w:tc>
          <w:tcPr>
            <w:tcW w:w="1472" w:type="dxa"/>
          </w:tcPr>
          <w:p w14:paraId="6733DA49"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£800,000</w:t>
            </w:r>
          </w:p>
        </w:tc>
        <w:tc>
          <w:tcPr>
            <w:tcW w:w="1449" w:type="dxa"/>
          </w:tcPr>
          <w:p w14:paraId="4B4A21E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7" w:type="dxa"/>
          </w:tcPr>
          <w:p w14:paraId="7603464C"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3C1DAE5E"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982" w:type="dxa"/>
          </w:tcPr>
          <w:p w14:paraId="5FF3FF22"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Add: unregistered credit sales</w:t>
            </w:r>
          </w:p>
        </w:tc>
        <w:tc>
          <w:tcPr>
            <w:tcW w:w="1472" w:type="dxa"/>
          </w:tcPr>
          <w:p w14:paraId="2E8F957E"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£980</w:t>
            </w:r>
          </w:p>
        </w:tc>
        <w:tc>
          <w:tcPr>
            <w:tcW w:w="1449" w:type="dxa"/>
          </w:tcPr>
          <w:p w14:paraId="5566C9F4"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7" w:type="dxa"/>
          </w:tcPr>
          <w:p w14:paraId="635E84E8"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0AB58770"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59B7302D"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 Revenue</w:t>
            </w:r>
          </w:p>
        </w:tc>
        <w:tc>
          <w:tcPr>
            <w:tcW w:w="1472" w:type="dxa"/>
          </w:tcPr>
          <w:p w14:paraId="63C01AFE"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449" w:type="dxa"/>
          </w:tcPr>
          <w:p w14:paraId="5BD86AA6"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£800,980</w:t>
            </w:r>
          </w:p>
        </w:tc>
        <w:tc>
          <w:tcPr>
            <w:tcW w:w="1447" w:type="dxa"/>
          </w:tcPr>
          <w:p w14:paraId="18803D1F"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r>
      <w:tr w:rsidR="00FB6690" w14:paraId="2AC703A1"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982" w:type="dxa"/>
          </w:tcPr>
          <w:p w14:paraId="71197780"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Less: Cost of sales</w:t>
            </w:r>
          </w:p>
        </w:tc>
        <w:tc>
          <w:tcPr>
            <w:tcW w:w="1472" w:type="dxa"/>
          </w:tcPr>
          <w:p w14:paraId="790A62F5"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1E833BC7"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£578,650</w:t>
            </w:r>
          </w:p>
        </w:tc>
        <w:tc>
          <w:tcPr>
            <w:tcW w:w="1447" w:type="dxa"/>
          </w:tcPr>
          <w:p w14:paraId="2B9914FD"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17D6C1E7"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2FE30989"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Gross Profit</w:t>
            </w:r>
          </w:p>
        </w:tc>
        <w:tc>
          <w:tcPr>
            <w:tcW w:w="1472" w:type="dxa"/>
          </w:tcPr>
          <w:p w14:paraId="33F1A2A3"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449" w:type="dxa"/>
          </w:tcPr>
          <w:p w14:paraId="57F92732"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0C619D28"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£222,330</w:t>
            </w:r>
          </w:p>
        </w:tc>
      </w:tr>
      <w:tr w:rsidR="00FB6690" w14:paraId="42989953"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24D98181"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Less: Operating Expenses</w:t>
            </w:r>
          </w:p>
        </w:tc>
        <w:tc>
          <w:tcPr>
            <w:tcW w:w="1472" w:type="dxa"/>
          </w:tcPr>
          <w:p w14:paraId="4749E963"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798B454A"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6EEE2F47"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3070CF48"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733ED998"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Administrative expenses</w:t>
            </w:r>
          </w:p>
        </w:tc>
        <w:tc>
          <w:tcPr>
            <w:tcW w:w="1472" w:type="dxa"/>
          </w:tcPr>
          <w:p w14:paraId="4D2E9142"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0E876054"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w:t>
            </w:r>
          </w:p>
        </w:tc>
        <w:tc>
          <w:tcPr>
            <w:tcW w:w="1447" w:type="dxa"/>
          </w:tcPr>
          <w:p w14:paraId="7A8737B3"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3090B5B0"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72CCBD5E"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Sales commission expense</w:t>
            </w:r>
          </w:p>
        </w:tc>
        <w:tc>
          <w:tcPr>
            <w:tcW w:w="1472" w:type="dxa"/>
          </w:tcPr>
          <w:p w14:paraId="3389B28A"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4493277B"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w:t>
            </w:r>
          </w:p>
        </w:tc>
        <w:tc>
          <w:tcPr>
            <w:tcW w:w="1447" w:type="dxa"/>
          </w:tcPr>
          <w:p w14:paraId="5C5E813C"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375C8C99"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3A96E114"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Directors’ remuneration</w:t>
            </w:r>
          </w:p>
        </w:tc>
        <w:tc>
          <w:tcPr>
            <w:tcW w:w="1472" w:type="dxa"/>
          </w:tcPr>
          <w:p w14:paraId="49458253"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0AA57DA0"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1447" w:type="dxa"/>
          </w:tcPr>
          <w:p w14:paraId="09D123F1"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6A97CCB5"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748A9E53"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Distribution costs</w:t>
            </w:r>
          </w:p>
        </w:tc>
        <w:tc>
          <w:tcPr>
            <w:tcW w:w="1472" w:type="dxa"/>
          </w:tcPr>
          <w:p w14:paraId="04E8C0B4"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70357841"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£28,000</w:t>
            </w:r>
          </w:p>
        </w:tc>
        <w:tc>
          <w:tcPr>
            <w:tcW w:w="1447" w:type="dxa"/>
          </w:tcPr>
          <w:p w14:paraId="4E533EAA"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2A05CFBE"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982" w:type="dxa"/>
          </w:tcPr>
          <w:p w14:paraId="5C952A7F"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Operating Expenses</w:t>
            </w:r>
          </w:p>
        </w:tc>
        <w:tc>
          <w:tcPr>
            <w:tcW w:w="1472" w:type="dxa"/>
          </w:tcPr>
          <w:p w14:paraId="618C35CF"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5AF920B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2268D025"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£66,000</w:t>
            </w:r>
          </w:p>
        </w:tc>
      </w:tr>
      <w:tr w:rsidR="00FB6690" w14:paraId="73CFF888"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3BFF7D9F"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Operating Profit</w:t>
            </w:r>
          </w:p>
        </w:tc>
        <w:tc>
          <w:tcPr>
            <w:tcW w:w="1472" w:type="dxa"/>
          </w:tcPr>
          <w:p w14:paraId="53830F2F"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449" w:type="dxa"/>
          </w:tcPr>
          <w:p w14:paraId="65EA506B"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691C0A9C"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£156,330</w:t>
            </w:r>
          </w:p>
        </w:tc>
      </w:tr>
      <w:tr w:rsidR="00FB6690" w14:paraId="242B0D4B"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982" w:type="dxa"/>
          </w:tcPr>
          <w:p w14:paraId="0C7E6EE6"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Less: Non-operating expenses</w:t>
            </w:r>
          </w:p>
        </w:tc>
        <w:tc>
          <w:tcPr>
            <w:tcW w:w="1472" w:type="dxa"/>
          </w:tcPr>
          <w:p w14:paraId="697119D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32F90DFF"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179AAEA7"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03011DDE"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982" w:type="dxa"/>
          </w:tcPr>
          <w:p w14:paraId="22A9BACF"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Interest expense</w:t>
            </w:r>
          </w:p>
        </w:tc>
        <w:tc>
          <w:tcPr>
            <w:tcW w:w="1472" w:type="dxa"/>
          </w:tcPr>
          <w:p w14:paraId="64705264"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4415B333"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w:t>
            </w:r>
          </w:p>
        </w:tc>
        <w:tc>
          <w:tcPr>
            <w:tcW w:w="1447" w:type="dxa"/>
          </w:tcPr>
          <w:p w14:paraId="0F888273"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4CA224D6"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982" w:type="dxa"/>
          </w:tcPr>
          <w:p w14:paraId="5CE387F1"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Add: interest payable [(£200,000*4%)-£2,000] </w:t>
            </w:r>
          </w:p>
        </w:tc>
        <w:tc>
          <w:tcPr>
            <w:tcW w:w="1472" w:type="dxa"/>
          </w:tcPr>
          <w:p w14:paraId="1FE30E88"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64B14A0D"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£6,000</w:t>
            </w:r>
          </w:p>
        </w:tc>
        <w:tc>
          <w:tcPr>
            <w:tcW w:w="1447" w:type="dxa"/>
          </w:tcPr>
          <w:p w14:paraId="0072BBFA"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£8,000</w:t>
            </w:r>
          </w:p>
        </w:tc>
      </w:tr>
      <w:tr w:rsidR="00FB6690" w14:paraId="5DC95EFA"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036BF65F"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Profit Before Taxation</w:t>
            </w:r>
          </w:p>
        </w:tc>
        <w:tc>
          <w:tcPr>
            <w:tcW w:w="1472" w:type="dxa"/>
          </w:tcPr>
          <w:p w14:paraId="5FD7442C"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449" w:type="dxa"/>
          </w:tcPr>
          <w:p w14:paraId="605F2586"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3D2F61D8"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£148,330</w:t>
            </w:r>
          </w:p>
        </w:tc>
      </w:tr>
      <w:tr w:rsidR="00FB6690" w14:paraId="26ABB106"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982" w:type="dxa"/>
          </w:tcPr>
          <w:p w14:paraId="114D8FEA"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Less: Taxation</w:t>
            </w:r>
          </w:p>
        </w:tc>
        <w:tc>
          <w:tcPr>
            <w:tcW w:w="1472" w:type="dxa"/>
          </w:tcPr>
          <w:p w14:paraId="6796B77B"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1C09E1B9"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4225293C"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FB6690" w14:paraId="0CC0C96A"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982" w:type="dxa"/>
          </w:tcPr>
          <w:p w14:paraId="23B2FEEF"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Net Profit </w:t>
            </w:r>
          </w:p>
        </w:tc>
        <w:tc>
          <w:tcPr>
            <w:tcW w:w="1472" w:type="dxa"/>
          </w:tcPr>
          <w:p w14:paraId="24EAE2CE"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449" w:type="dxa"/>
          </w:tcPr>
          <w:p w14:paraId="620BB35A"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75EC7E93"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£48,330</w:t>
            </w:r>
          </w:p>
        </w:tc>
      </w:tr>
      <w:tr w:rsidR="00FB6690" w14:paraId="0D7735FC"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982" w:type="dxa"/>
          </w:tcPr>
          <w:p w14:paraId="5AFB8C4C"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Less: Preferred dividend </w:t>
            </w:r>
          </w:p>
        </w:tc>
        <w:tc>
          <w:tcPr>
            <w:tcW w:w="1472" w:type="dxa"/>
          </w:tcPr>
          <w:p w14:paraId="7F422090"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449" w:type="dxa"/>
          </w:tcPr>
          <w:p w14:paraId="26E8362A"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447" w:type="dxa"/>
          </w:tcPr>
          <w:p w14:paraId="3572BADB"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r>
      <w:tr w:rsidR="00FB6690" w14:paraId="5E081A84"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7903" w:type="dxa"/>
            <w:gridSpan w:val="3"/>
          </w:tcPr>
          <w:p w14:paraId="315EB088"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Profit Available for common stockholders for the year</w:t>
            </w:r>
          </w:p>
        </w:tc>
        <w:tc>
          <w:tcPr>
            <w:tcW w:w="1447" w:type="dxa"/>
          </w:tcPr>
          <w:p w14:paraId="18A71CC9"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8,330</w:t>
            </w:r>
          </w:p>
        </w:tc>
      </w:tr>
    </w:tbl>
    <w:p w14:paraId="77EE2F70" w14:textId="77777777" w:rsidR="00FB6690" w:rsidRDefault="00FB6690">
      <w:pPr>
        <w:spacing w:line="360" w:lineRule="auto"/>
        <w:ind w:left="720" w:hanging="360"/>
        <w:jc w:val="center"/>
        <w:rPr>
          <w:rFonts w:ascii="Times New Roman" w:eastAsia="Times New Roman" w:hAnsi="Times New Roman" w:cs="Times New Roman"/>
          <w:sz w:val="24"/>
          <w:szCs w:val="24"/>
        </w:rPr>
      </w:pPr>
    </w:p>
    <w:p w14:paraId="079ED4B3" w14:textId="77777777" w:rsidR="00FB6690" w:rsidRDefault="00FB6690">
      <w:pPr>
        <w:spacing w:line="360" w:lineRule="auto"/>
        <w:jc w:val="both"/>
        <w:rPr>
          <w:rFonts w:ascii="Times New Roman" w:eastAsia="Times New Roman" w:hAnsi="Times New Roman" w:cs="Times New Roman"/>
          <w:sz w:val="24"/>
          <w:szCs w:val="24"/>
        </w:rPr>
      </w:pPr>
    </w:p>
    <w:p w14:paraId="735297FD" w14:textId="77777777" w:rsidR="00FB6690" w:rsidRDefault="00FB6690">
      <w:pPr>
        <w:spacing w:line="360" w:lineRule="auto"/>
        <w:jc w:val="both"/>
        <w:rPr>
          <w:rFonts w:ascii="Times New Roman" w:eastAsia="Times New Roman" w:hAnsi="Times New Roman" w:cs="Times New Roman"/>
          <w:sz w:val="24"/>
          <w:szCs w:val="24"/>
        </w:rPr>
      </w:pPr>
    </w:p>
    <w:p w14:paraId="429DB142"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Wales Plc</w:t>
      </w:r>
    </w:p>
    <w:p w14:paraId="36A5FDA1"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Statement of Financial Position</w:t>
      </w:r>
    </w:p>
    <w:p w14:paraId="18FFDC5D" w14:textId="77777777" w:rsidR="00FB6690" w:rsidRDefault="00000000">
      <w:pPr>
        <w:spacing w:line="300" w:lineRule="auto"/>
        <w:ind w:left="720" w:hanging="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Prepared on the date 31</w:t>
      </w:r>
      <w:r>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December 2021</w:t>
      </w:r>
    </w:p>
    <w:tbl>
      <w:tblPr>
        <w:tblStyle w:val="a0"/>
        <w:tblW w:w="868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A0" w:firstRow="1" w:lastRow="0" w:firstColumn="1" w:lastColumn="0" w:noHBand="0" w:noVBand="1"/>
      </w:tblPr>
      <w:tblGrid>
        <w:gridCol w:w="4360"/>
        <w:gridCol w:w="1300"/>
        <w:gridCol w:w="1520"/>
        <w:gridCol w:w="1500"/>
      </w:tblGrid>
      <w:tr w:rsidR="00FB6690" w14:paraId="7724CB78" w14:textId="77777777" w:rsidTr="00FB669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2AB58B37"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300" w:type="dxa"/>
          </w:tcPr>
          <w:p w14:paraId="11AA9600"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Amount </w:t>
            </w:r>
          </w:p>
        </w:tc>
        <w:tc>
          <w:tcPr>
            <w:tcW w:w="1520" w:type="dxa"/>
          </w:tcPr>
          <w:p w14:paraId="58492962"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Amount </w:t>
            </w:r>
          </w:p>
        </w:tc>
        <w:tc>
          <w:tcPr>
            <w:tcW w:w="1500" w:type="dxa"/>
          </w:tcPr>
          <w:p w14:paraId="09C574F7" w14:textId="77777777" w:rsidR="00FB6690" w:rsidRDefault="00000000">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Amount </w:t>
            </w:r>
          </w:p>
        </w:tc>
      </w:tr>
      <w:tr w:rsidR="00FB6690" w14:paraId="4A98EEB8"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599EAD15"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Non-Current Assets:</w:t>
            </w:r>
          </w:p>
        </w:tc>
        <w:tc>
          <w:tcPr>
            <w:tcW w:w="1300" w:type="dxa"/>
          </w:tcPr>
          <w:p w14:paraId="3762ED73"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93C210D"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42CCEC7A"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192D7F4A"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680ADFFC"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Plant &amp; Equipment</w:t>
            </w:r>
          </w:p>
        </w:tc>
        <w:tc>
          <w:tcPr>
            <w:tcW w:w="1300" w:type="dxa"/>
          </w:tcPr>
          <w:p w14:paraId="043FA9E8"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1965D737"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£1,250,000</w:t>
            </w:r>
          </w:p>
        </w:tc>
        <w:tc>
          <w:tcPr>
            <w:tcW w:w="1500" w:type="dxa"/>
          </w:tcPr>
          <w:p w14:paraId="72FE19B7"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273D3E91"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0178EC77"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Total Non-Current Asset</w:t>
            </w:r>
          </w:p>
        </w:tc>
        <w:tc>
          <w:tcPr>
            <w:tcW w:w="1300" w:type="dxa"/>
          </w:tcPr>
          <w:p w14:paraId="171435A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7D5ADF6B"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223A0778"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£1,250,000</w:t>
            </w:r>
          </w:p>
        </w:tc>
      </w:tr>
      <w:tr w:rsidR="00FB6690" w14:paraId="182A07F3"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360" w:type="dxa"/>
          </w:tcPr>
          <w:p w14:paraId="73960E73"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Asset:</w:t>
            </w:r>
          </w:p>
        </w:tc>
        <w:tc>
          <w:tcPr>
            <w:tcW w:w="1300" w:type="dxa"/>
          </w:tcPr>
          <w:p w14:paraId="5EB54072"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A763A31"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54A34F67"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66A7C9E5"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1F7FAD7A"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Closing stock</w:t>
            </w:r>
          </w:p>
        </w:tc>
        <w:tc>
          <w:tcPr>
            <w:tcW w:w="1300" w:type="dxa"/>
          </w:tcPr>
          <w:p w14:paraId="002EDDA4"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20F99886"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£430,600</w:t>
            </w:r>
          </w:p>
        </w:tc>
        <w:tc>
          <w:tcPr>
            <w:tcW w:w="1500" w:type="dxa"/>
          </w:tcPr>
          <w:p w14:paraId="225D0C2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457DB2C6"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360" w:type="dxa"/>
          </w:tcPr>
          <w:p w14:paraId="4DF949F5"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Trade receivable</w:t>
            </w:r>
          </w:p>
        </w:tc>
        <w:tc>
          <w:tcPr>
            <w:tcW w:w="1300" w:type="dxa"/>
          </w:tcPr>
          <w:p w14:paraId="6F9707D4"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£170,125</w:t>
            </w:r>
          </w:p>
        </w:tc>
        <w:tc>
          <w:tcPr>
            <w:tcW w:w="1520" w:type="dxa"/>
          </w:tcPr>
          <w:p w14:paraId="10144954"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00" w:type="dxa"/>
          </w:tcPr>
          <w:p w14:paraId="754DD1FC"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1682CC44"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02402416"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Add: credit sales</w:t>
            </w:r>
          </w:p>
        </w:tc>
        <w:tc>
          <w:tcPr>
            <w:tcW w:w="1300" w:type="dxa"/>
          </w:tcPr>
          <w:p w14:paraId="71B4FE69"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£980</w:t>
            </w:r>
          </w:p>
        </w:tc>
        <w:tc>
          <w:tcPr>
            <w:tcW w:w="1520" w:type="dxa"/>
          </w:tcPr>
          <w:p w14:paraId="4790F89C"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£171,105</w:t>
            </w:r>
          </w:p>
        </w:tc>
        <w:tc>
          <w:tcPr>
            <w:tcW w:w="1500" w:type="dxa"/>
          </w:tcPr>
          <w:p w14:paraId="1F9E49D2"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61FB7545"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32E3116A"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Cash &amp; Bank</w:t>
            </w:r>
          </w:p>
        </w:tc>
        <w:tc>
          <w:tcPr>
            <w:tcW w:w="1300" w:type="dxa"/>
          </w:tcPr>
          <w:p w14:paraId="4C1FD8A3"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7CC6C9D7"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£176,250</w:t>
            </w:r>
          </w:p>
        </w:tc>
        <w:tc>
          <w:tcPr>
            <w:tcW w:w="1500" w:type="dxa"/>
          </w:tcPr>
          <w:p w14:paraId="713A3B22"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0071CDAB"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06CEC3E4"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Current Asset</w:t>
            </w:r>
          </w:p>
        </w:tc>
        <w:tc>
          <w:tcPr>
            <w:tcW w:w="1300" w:type="dxa"/>
          </w:tcPr>
          <w:p w14:paraId="453DC3EA"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D91C9C9"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0CF725CC"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£777,955</w:t>
            </w:r>
          </w:p>
        </w:tc>
      </w:tr>
      <w:tr w:rsidR="00FB6690" w14:paraId="0592388A"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28EBC255"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Asset</w:t>
            </w:r>
          </w:p>
        </w:tc>
        <w:tc>
          <w:tcPr>
            <w:tcW w:w="1300" w:type="dxa"/>
          </w:tcPr>
          <w:p w14:paraId="778B0CF8"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p w14:paraId="2C7D867C"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69D12FE"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32EE9335"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£2,027,955</w:t>
            </w:r>
          </w:p>
        </w:tc>
      </w:tr>
      <w:tr w:rsidR="00FB6690" w14:paraId="59286F2D"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558FC944"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Liabilities</w:t>
            </w:r>
          </w:p>
        </w:tc>
        <w:tc>
          <w:tcPr>
            <w:tcW w:w="1300" w:type="dxa"/>
          </w:tcPr>
          <w:p w14:paraId="08292C51"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2E95E782"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47DF360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593358FD"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7F3DF9DE"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Trade Payable</w:t>
            </w:r>
          </w:p>
        </w:tc>
        <w:tc>
          <w:tcPr>
            <w:tcW w:w="1300" w:type="dxa"/>
          </w:tcPr>
          <w:p w14:paraId="07A7C8C4"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4ACDB848"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£188,625</w:t>
            </w:r>
          </w:p>
        </w:tc>
        <w:tc>
          <w:tcPr>
            <w:tcW w:w="1500" w:type="dxa"/>
          </w:tcPr>
          <w:p w14:paraId="51237B05"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4C769224"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21E9CA83"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Tax payable</w:t>
            </w:r>
          </w:p>
        </w:tc>
        <w:tc>
          <w:tcPr>
            <w:tcW w:w="1300" w:type="dxa"/>
          </w:tcPr>
          <w:p w14:paraId="210ACCF2"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36653316"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£100,000</w:t>
            </w:r>
          </w:p>
        </w:tc>
        <w:tc>
          <w:tcPr>
            <w:tcW w:w="1500" w:type="dxa"/>
          </w:tcPr>
          <w:p w14:paraId="63659E4B"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1AAA2EDE"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7BD14252"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Sales commission payable</w:t>
            </w:r>
          </w:p>
        </w:tc>
        <w:tc>
          <w:tcPr>
            <w:tcW w:w="1300" w:type="dxa"/>
          </w:tcPr>
          <w:p w14:paraId="25EA3C6D"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261CE629"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£3,000</w:t>
            </w:r>
          </w:p>
        </w:tc>
        <w:tc>
          <w:tcPr>
            <w:tcW w:w="1500" w:type="dxa"/>
          </w:tcPr>
          <w:p w14:paraId="3DB66E17"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4E848782"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0DD4AB35"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Preferred dividend payable</w:t>
            </w:r>
          </w:p>
        </w:tc>
        <w:tc>
          <w:tcPr>
            <w:tcW w:w="1300" w:type="dxa"/>
          </w:tcPr>
          <w:p w14:paraId="32B8B857"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7384C243"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£10,000</w:t>
            </w:r>
          </w:p>
        </w:tc>
        <w:tc>
          <w:tcPr>
            <w:tcW w:w="1500" w:type="dxa"/>
          </w:tcPr>
          <w:p w14:paraId="471D6A51"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3BAA3668"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4D4F5726"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Interest payable </w:t>
            </w:r>
          </w:p>
        </w:tc>
        <w:tc>
          <w:tcPr>
            <w:tcW w:w="1300" w:type="dxa"/>
          </w:tcPr>
          <w:p w14:paraId="77CF2D3C"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2074E3B"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£6,000</w:t>
            </w:r>
          </w:p>
        </w:tc>
        <w:tc>
          <w:tcPr>
            <w:tcW w:w="1500" w:type="dxa"/>
          </w:tcPr>
          <w:p w14:paraId="4D511BF4"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5065A895"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0BF61AA9"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Current Liabilities</w:t>
            </w:r>
          </w:p>
        </w:tc>
        <w:tc>
          <w:tcPr>
            <w:tcW w:w="1300" w:type="dxa"/>
          </w:tcPr>
          <w:p w14:paraId="7B6987ED"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1A909AB1"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388B3B10"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u w:val="single"/>
              </w:rPr>
            </w:pPr>
            <w:r>
              <w:rPr>
                <w:rFonts w:ascii="Times New Roman" w:eastAsia="Times New Roman" w:hAnsi="Times New Roman" w:cs="Times New Roman"/>
                <w:b/>
                <w:color w:val="000000"/>
                <w:sz w:val="24"/>
                <w:szCs w:val="24"/>
                <w:u w:val="single"/>
              </w:rPr>
              <w:t>£307,625</w:t>
            </w:r>
          </w:p>
        </w:tc>
      </w:tr>
      <w:tr w:rsidR="00FB6690" w14:paraId="2BE81E31"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670138D0"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Non-Current Liabilities</w:t>
            </w:r>
          </w:p>
        </w:tc>
        <w:tc>
          <w:tcPr>
            <w:tcW w:w="1300" w:type="dxa"/>
          </w:tcPr>
          <w:p w14:paraId="34ED77DA"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151BBC71"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6418F126"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0B7BC123"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02DAFA0C"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4% Debentures</w:t>
            </w:r>
          </w:p>
        </w:tc>
        <w:tc>
          <w:tcPr>
            <w:tcW w:w="1300" w:type="dxa"/>
          </w:tcPr>
          <w:p w14:paraId="25B75356"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0504CDD5"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245928B7"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u w:val="single"/>
              </w:rPr>
            </w:pPr>
            <w:r>
              <w:rPr>
                <w:rFonts w:ascii="Times New Roman" w:eastAsia="Times New Roman" w:hAnsi="Times New Roman" w:cs="Times New Roman"/>
                <w:b/>
                <w:color w:val="000000"/>
                <w:sz w:val="24"/>
                <w:szCs w:val="24"/>
                <w:u w:val="single"/>
              </w:rPr>
              <w:t>£200,000</w:t>
            </w:r>
          </w:p>
        </w:tc>
      </w:tr>
      <w:tr w:rsidR="00FB6690" w14:paraId="31EC2F63"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25AD0839"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 Assets</w:t>
            </w:r>
          </w:p>
        </w:tc>
        <w:tc>
          <w:tcPr>
            <w:tcW w:w="1300" w:type="dxa"/>
          </w:tcPr>
          <w:p w14:paraId="7A21487F"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69E72F83"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6516ACB3"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u w:val="single"/>
              </w:rPr>
            </w:pPr>
            <w:r>
              <w:rPr>
                <w:rFonts w:ascii="Times New Roman" w:eastAsia="Times New Roman" w:hAnsi="Times New Roman" w:cs="Times New Roman"/>
                <w:b/>
                <w:color w:val="000000"/>
                <w:sz w:val="24"/>
                <w:szCs w:val="24"/>
                <w:u w:val="single"/>
              </w:rPr>
              <w:t>£1,520,330</w:t>
            </w:r>
          </w:p>
        </w:tc>
      </w:tr>
      <w:tr w:rsidR="00FB6690" w14:paraId="42A58F63"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4CE2B312" w14:textId="77777777" w:rsidR="00FB6690" w:rsidRDefault="00FB6690">
            <w:pPr>
              <w:spacing w:line="360" w:lineRule="auto"/>
              <w:jc w:val="right"/>
              <w:rPr>
                <w:rFonts w:ascii="Times New Roman" w:eastAsia="Times New Roman" w:hAnsi="Times New Roman" w:cs="Times New Roman"/>
                <w:color w:val="000000"/>
                <w:sz w:val="24"/>
                <w:szCs w:val="24"/>
              </w:rPr>
            </w:pPr>
          </w:p>
        </w:tc>
        <w:tc>
          <w:tcPr>
            <w:tcW w:w="1300" w:type="dxa"/>
          </w:tcPr>
          <w:p w14:paraId="2FFC85AB"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05A0B995"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01FC2F0C"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r>
      <w:tr w:rsidR="00FB6690" w14:paraId="3E1235AD"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360" w:type="dxa"/>
          </w:tcPr>
          <w:p w14:paraId="647AB35D"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 Equity:</w:t>
            </w:r>
          </w:p>
        </w:tc>
        <w:tc>
          <w:tcPr>
            <w:tcW w:w="1300" w:type="dxa"/>
          </w:tcPr>
          <w:p w14:paraId="523FE4EE"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783E58BF"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0ADF92DF"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322B3C43"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5BA1FE52"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10% £1 preference shares</w:t>
            </w:r>
          </w:p>
        </w:tc>
        <w:tc>
          <w:tcPr>
            <w:tcW w:w="1300" w:type="dxa"/>
          </w:tcPr>
          <w:p w14:paraId="70A66CC6" w14:textId="77777777" w:rsidR="00FB6690" w:rsidRDefault="00FB669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3BA7D1BB"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£400,000</w:t>
            </w:r>
          </w:p>
        </w:tc>
        <w:tc>
          <w:tcPr>
            <w:tcW w:w="1500" w:type="dxa"/>
          </w:tcPr>
          <w:p w14:paraId="3025B8B1"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6709BE2F"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360" w:type="dxa"/>
          </w:tcPr>
          <w:p w14:paraId="3FB3A7A3"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£1 Ordinary shares</w:t>
            </w:r>
          </w:p>
        </w:tc>
        <w:tc>
          <w:tcPr>
            <w:tcW w:w="1300" w:type="dxa"/>
          </w:tcPr>
          <w:p w14:paraId="6A32F520"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3FF2AF75"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£1,000,000</w:t>
            </w:r>
          </w:p>
        </w:tc>
        <w:tc>
          <w:tcPr>
            <w:tcW w:w="1500" w:type="dxa"/>
          </w:tcPr>
          <w:p w14:paraId="5C41E562"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625606D4"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7BD20C41"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Retained profit </w:t>
            </w:r>
            <w:proofErr w:type="gramStart"/>
            <w:r>
              <w:rPr>
                <w:rFonts w:ascii="Times New Roman" w:eastAsia="Times New Roman" w:hAnsi="Times New Roman" w:cs="Times New Roman"/>
                <w:b w:val="0"/>
                <w:color w:val="000000"/>
                <w:sz w:val="24"/>
                <w:szCs w:val="24"/>
              </w:rPr>
              <w:t>at</w:t>
            </w:r>
            <w:proofErr w:type="gramEnd"/>
            <w:r>
              <w:rPr>
                <w:rFonts w:ascii="Times New Roman" w:eastAsia="Times New Roman" w:hAnsi="Times New Roman" w:cs="Times New Roman"/>
                <w:b w:val="0"/>
                <w:color w:val="000000"/>
                <w:sz w:val="24"/>
                <w:szCs w:val="24"/>
              </w:rPr>
              <w:t xml:space="preserve"> 1st January, 2021 </w:t>
            </w:r>
          </w:p>
        </w:tc>
        <w:tc>
          <w:tcPr>
            <w:tcW w:w="1300" w:type="dxa"/>
          </w:tcPr>
          <w:p w14:paraId="442D0B21"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£132,000</w:t>
            </w:r>
          </w:p>
        </w:tc>
        <w:tc>
          <w:tcPr>
            <w:tcW w:w="1520" w:type="dxa"/>
          </w:tcPr>
          <w:p w14:paraId="0F10D20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500" w:type="dxa"/>
          </w:tcPr>
          <w:p w14:paraId="1355EC46"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48C9157D" w14:textId="77777777" w:rsidTr="00FB6690">
        <w:trPr>
          <w:trHeight w:val="315"/>
        </w:trPr>
        <w:tc>
          <w:tcPr>
            <w:cnfStyle w:val="001000000000" w:firstRow="0" w:lastRow="0" w:firstColumn="1" w:lastColumn="0" w:oddVBand="0" w:evenVBand="0" w:oddHBand="0" w:evenHBand="0" w:firstRowFirstColumn="0" w:firstRowLastColumn="0" w:lastRowFirstColumn="0" w:lastRowLastColumn="0"/>
            <w:tcW w:w="4360" w:type="dxa"/>
          </w:tcPr>
          <w:p w14:paraId="1950E536"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Add: Profit in the year 2021</w:t>
            </w:r>
          </w:p>
        </w:tc>
        <w:tc>
          <w:tcPr>
            <w:tcW w:w="1300" w:type="dxa"/>
          </w:tcPr>
          <w:p w14:paraId="4F75F533"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£8,330</w:t>
            </w:r>
          </w:p>
        </w:tc>
        <w:tc>
          <w:tcPr>
            <w:tcW w:w="1520" w:type="dxa"/>
          </w:tcPr>
          <w:p w14:paraId="7B4C8249"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00" w:type="dxa"/>
          </w:tcPr>
          <w:p w14:paraId="412F25C7"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B6690" w14:paraId="0753FCC5" w14:textId="77777777" w:rsidTr="00FB66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tcPr>
          <w:p w14:paraId="654A4036"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Less: Ordinary Dividend Payment</w:t>
            </w:r>
          </w:p>
        </w:tc>
        <w:tc>
          <w:tcPr>
            <w:tcW w:w="1300" w:type="dxa"/>
          </w:tcPr>
          <w:p w14:paraId="6C8E55B8"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c>
          <w:tcPr>
            <w:tcW w:w="1520" w:type="dxa"/>
          </w:tcPr>
          <w:p w14:paraId="2B7B6895"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500" w:type="dxa"/>
          </w:tcPr>
          <w:p w14:paraId="3867F5F8"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FB6690" w14:paraId="0FAB8D9E" w14:textId="77777777" w:rsidTr="00FB6690">
        <w:trPr>
          <w:trHeight w:val="330"/>
        </w:trPr>
        <w:tc>
          <w:tcPr>
            <w:cnfStyle w:val="001000000000" w:firstRow="0" w:lastRow="0" w:firstColumn="1" w:lastColumn="0" w:oddVBand="0" w:evenVBand="0" w:oddHBand="0" w:evenHBand="0" w:firstRowFirstColumn="0" w:firstRowLastColumn="0" w:lastRowFirstColumn="0" w:lastRowLastColumn="0"/>
            <w:tcW w:w="4360" w:type="dxa"/>
          </w:tcPr>
          <w:p w14:paraId="3C14C498" w14:textId="77777777" w:rsidR="00FB6690"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val="0"/>
                <w:color w:val="000000"/>
                <w:sz w:val="24"/>
                <w:szCs w:val="24"/>
              </w:rPr>
              <w:t xml:space="preserve">   Retained profit </w:t>
            </w:r>
            <w:proofErr w:type="gramStart"/>
            <w:r>
              <w:rPr>
                <w:rFonts w:ascii="Times New Roman" w:eastAsia="Times New Roman" w:hAnsi="Times New Roman" w:cs="Times New Roman"/>
                <w:b w:val="0"/>
                <w:color w:val="000000"/>
                <w:sz w:val="24"/>
                <w:szCs w:val="24"/>
              </w:rPr>
              <w:t>at</w:t>
            </w:r>
            <w:proofErr w:type="gramEnd"/>
            <w:r>
              <w:rPr>
                <w:rFonts w:ascii="Times New Roman" w:eastAsia="Times New Roman" w:hAnsi="Times New Roman" w:cs="Times New Roman"/>
                <w:b w:val="0"/>
                <w:color w:val="000000"/>
                <w:sz w:val="24"/>
                <w:szCs w:val="24"/>
              </w:rPr>
              <w:t xml:space="preserve"> 31st December, 2022 </w:t>
            </w:r>
          </w:p>
        </w:tc>
        <w:tc>
          <w:tcPr>
            <w:tcW w:w="1300" w:type="dxa"/>
          </w:tcPr>
          <w:p w14:paraId="03C6C973" w14:textId="77777777" w:rsidR="00FB6690" w:rsidRDefault="00FB669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520" w:type="dxa"/>
          </w:tcPr>
          <w:p w14:paraId="7C2AE62A" w14:textId="77777777" w:rsidR="00FB6690" w:rsidRDefault="0000000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£120,330</w:t>
            </w:r>
          </w:p>
        </w:tc>
        <w:tc>
          <w:tcPr>
            <w:tcW w:w="1500" w:type="dxa"/>
          </w:tcPr>
          <w:p w14:paraId="14CCCB9A" w14:textId="77777777" w:rsidR="00FB6690" w:rsidRDefault="00FB669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FB6690" w14:paraId="459FCE02" w14:textId="77777777" w:rsidTr="00FB669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60" w:type="dxa"/>
          </w:tcPr>
          <w:p w14:paraId="4364A27E" w14:textId="77777777" w:rsidR="00FB6690" w:rsidRDefault="00000000">
            <w:pP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Equity</w:t>
            </w:r>
          </w:p>
        </w:tc>
        <w:tc>
          <w:tcPr>
            <w:tcW w:w="1300" w:type="dxa"/>
          </w:tcPr>
          <w:p w14:paraId="06BA892E"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p>
        </w:tc>
        <w:tc>
          <w:tcPr>
            <w:tcW w:w="1520" w:type="dxa"/>
          </w:tcPr>
          <w:p w14:paraId="3D2D4F2D" w14:textId="77777777" w:rsidR="00FB6690" w:rsidRDefault="00FB669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500" w:type="dxa"/>
          </w:tcPr>
          <w:p w14:paraId="0E43444C" w14:textId="77777777" w:rsidR="00FB6690" w:rsidRDefault="00000000">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£1,520,330</w:t>
            </w:r>
          </w:p>
        </w:tc>
      </w:tr>
    </w:tbl>
    <w:p w14:paraId="1EAEF79F" w14:textId="77777777" w:rsidR="00FB6690" w:rsidRDefault="00FB6690">
      <w:pPr>
        <w:jc w:val="both"/>
        <w:rPr>
          <w:rFonts w:ascii="Times New Roman" w:eastAsia="Times New Roman" w:hAnsi="Times New Roman" w:cs="Times New Roman"/>
          <w:color w:val="000000"/>
          <w:sz w:val="24"/>
          <w:szCs w:val="24"/>
          <w:highlight w:val="white"/>
        </w:rPr>
      </w:pPr>
    </w:p>
    <w:p w14:paraId="395E60E2" w14:textId="77777777" w:rsidR="00FB6690" w:rsidRDefault="00FB6690">
      <w:pPr>
        <w:jc w:val="both"/>
        <w:rPr>
          <w:rFonts w:ascii="Times New Roman" w:eastAsia="Times New Roman" w:hAnsi="Times New Roman" w:cs="Times New Roman"/>
          <w:color w:val="000000"/>
          <w:sz w:val="24"/>
          <w:szCs w:val="24"/>
          <w:highlight w:val="white"/>
        </w:rPr>
      </w:pPr>
    </w:p>
    <w:p w14:paraId="74B79AEF" w14:textId="77777777" w:rsidR="00FB6690" w:rsidRDefault="00000000">
      <w:pPr>
        <w:pStyle w:val="Heading2"/>
        <w:rPr>
          <w:b/>
          <w:color w:val="ED7D31"/>
          <w:highlight w:val="white"/>
        </w:rPr>
      </w:pPr>
      <w:bookmarkStart w:id="3" w:name="_Toc123900796"/>
      <w:r>
        <w:rPr>
          <w:b/>
          <w:color w:val="ED7D31"/>
          <w:highlight w:val="white"/>
        </w:rPr>
        <w:t>Task-B</w:t>
      </w:r>
      <w:bookmarkEnd w:id="3"/>
    </w:p>
    <w:p w14:paraId="42BFC50D" w14:textId="77777777" w:rsidR="00FB6690" w:rsidRDefault="00FB6690">
      <w:pPr>
        <w:jc w:val="both"/>
        <w:rPr>
          <w:rFonts w:ascii="Times New Roman" w:eastAsia="Times New Roman" w:hAnsi="Times New Roman" w:cs="Times New Roman"/>
          <w:color w:val="000000"/>
          <w:sz w:val="24"/>
          <w:szCs w:val="24"/>
          <w:highlight w:val="white"/>
        </w:rPr>
      </w:pPr>
    </w:p>
    <w:p w14:paraId="51F751DF" w14:textId="77777777" w:rsidR="00FB6690" w:rsidRDefault="00000000">
      <w:pPr>
        <w:spacing w:line="30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statement of financial position or balance sheet balances due to the double entry recording system used in recording business transactions to show the monetary effect of each transaction in the accounting equation to gain valuable insights regarding firm performance. The relationship between different types of accounts relevant to a business firm's assets, liabilities, and equity is often shown by the accounting equation shown below:</w:t>
      </w:r>
    </w:p>
    <w:p w14:paraId="180CC329" w14:textId="77777777" w:rsidR="00FB6690" w:rsidRDefault="00000000">
      <w:pPr>
        <w:spacing w:line="30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noProof/>
          <w:color w:val="000000"/>
          <w:sz w:val="24"/>
          <w:szCs w:val="24"/>
          <w:highlight w:val="white"/>
        </w:rPr>
        <w:drawing>
          <wp:inline distT="0" distB="0" distL="0" distR="0" wp14:anchorId="7ECE695D" wp14:editId="4FAD17AF">
            <wp:extent cx="5943600" cy="33197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3319780"/>
                    </a:xfrm>
                    <a:prstGeom prst="rect">
                      <a:avLst/>
                    </a:prstGeom>
                    <a:ln/>
                  </pic:spPr>
                </pic:pic>
              </a:graphicData>
            </a:graphic>
          </wp:inline>
        </w:drawing>
      </w:r>
    </w:p>
    <w:p w14:paraId="3CA7CBFE" w14:textId="77777777" w:rsidR="00FB6690" w:rsidRDefault="00FB6690">
      <w:pPr>
        <w:spacing w:line="300" w:lineRule="auto"/>
        <w:jc w:val="both"/>
        <w:rPr>
          <w:rFonts w:ascii="Times New Roman" w:eastAsia="Times New Roman" w:hAnsi="Times New Roman" w:cs="Times New Roman"/>
          <w:color w:val="000000"/>
          <w:sz w:val="24"/>
          <w:szCs w:val="24"/>
          <w:highlight w:val="white"/>
        </w:rPr>
      </w:pPr>
    </w:p>
    <w:p w14:paraId="0C49AFC9" w14:textId="77777777" w:rsidR="00FB6690" w:rsidRDefault="00000000">
      <w:pPr>
        <w:spacing w:line="3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asset of a company must match its liabilities and equity in accordance with the accounting equation.</w:t>
      </w:r>
    </w:p>
    <w:p w14:paraId="01E963B3" w14:textId="77777777" w:rsidR="00FB6690" w:rsidRDefault="00000000">
      <w:pPr>
        <w:spacing w:line="3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financial transaction that is documented in the accounting books </w:t>
      </w:r>
      <w:proofErr w:type="gramStart"/>
      <w:r>
        <w:rPr>
          <w:rFonts w:ascii="Times New Roman" w:eastAsia="Times New Roman" w:hAnsi="Times New Roman" w:cs="Times New Roman"/>
          <w:sz w:val="24"/>
          <w:szCs w:val="24"/>
        </w:rPr>
        <w:t>has an effect on</w:t>
      </w:r>
      <w:proofErr w:type="gramEnd"/>
      <w:r>
        <w:rPr>
          <w:rFonts w:ascii="Times New Roman" w:eastAsia="Times New Roman" w:hAnsi="Times New Roman" w:cs="Times New Roman"/>
          <w:sz w:val="24"/>
          <w:szCs w:val="24"/>
        </w:rPr>
        <w:t xml:space="preserve"> at least two accounts, according to the double entry recording method. In one account, a change is recorded as a debit, but in another, a change is recorded as a credit. Debit refers to the portion of the equation that includes assets on the left, while credit refers to the portion of the equation that includes liabilities and equity on the right. In order to record a financial transaction in the accounting books, one account must be </w:t>
      </w:r>
      <w:proofErr w:type="gramStart"/>
      <w:r>
        <w:rPr>
          <w:rFonts w:ascii="Times New Roman" w:eastAsia="Times New Roman" w:hAnsi="Times New Roman" w:cs="Times New Roman"/>
          <w:sz w:val="24"/>
          <w:szCs w:val="24"/>
        </w:rPr>
        <w:t>debited</w:t>
      </w:r>
      <w:proofErr w:type="gramEnd"/>
      <w:r>
        <w:rPr>
          <w:rFonts w:ascii="Times New Roman" w:eastAsia="Times New Roman" w:hAnsi="Times New Roman" w:cs="Times New Roman"/>
          <w:sz w:val="24"/>
          <w:szCs w:val="24"/>
        </w:rPr>
        <w:t xml:space="preserve"> and the other account must be credited by the same amount.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every business transaction inside the company has an equal and opposing economic impact on both sides of the accounting equation, the debit side of the equation must equal the credit side of the equation. In other words, If the asset of the business increases by a business transaction, then it will be accompanied by either an increase in liabilities/equity of the business or a decline in asset of the business. Similarly, a decrease in assets will be accompanied by either a decline in liabilities/ reduction in equity of the business or increase in the assets. The structural or net changes brought by a business transaction in the accounting equation in ensures that the balance sheet balances at the end of the period. The economic effects of any business transaction on the assets, liabilities, and equity of a company should thus be assessed. Thus, equation's asset side and equity and liability sides are equivalent and identical which results in total debit balance equalling total credit balance in the balance sheet at the end of the period. </w:t>
      </w:r>
    </w:p>
    <w:p w14:paraId="71A28DE9" w14:textId="77777777" w:rsidR="00FB6690" w:rsidRDefault="00FB6690">
      <w:pPr>
        <w:spacing w:line="300" w:lineRule="auto"/>
        <w:jc w:val="both"/>
        <w:rPr>
          <w:rFonts w:ascii="Times New Roman" w:eastAsia="Times New Roman" w:hAnsi="Times New Roman" w:cs="Times New Roman"/>
          <w:sz w:val="24"/>
          <w:szCs w:val="24"/>
        </w:rPr>
      </w:pPr>
    </w:p>
    <w:p w14:paraId="042B1338" w14:textId="77777777" w:rsidR="00FB6690" w:rsidRDefault="00FB6690">
      <w:pPr>
        <w:jc w:val="both"/>
        <w:rPr>
          <w:rFonts w:ascii="Times New Roman" w:eastAsia="Times New Roman" w:hAnsi="Times New Roman" w:cs="Times New Roman"/>
          <w:sz w:val="24"/>
          <w:szCs w:val="24"/>
        </w:rPr>
      </w:pPr>
    </w:p>
    <w:p w14:paraId="038D0139" w14:textId="77777777" w:rsidR="00FB6690" w:rsidRDefault="00FB6690">
      <w:pPr>
        <w:jc w:val="both"/>
        <w:rPr>
          <w:rFonts w:ascii="Times New Roman" w:eastAsia="Times New Roman" w:hAnsi="Times New Roman" w:cs="Times New Roman"/>
          <w:sz w:val="24"/>
          <w:szCs w:val="24"/>
        </w:rPr>
      </w:pPr>
    </w:p>
    <w:p w14:paraId="53748BD2" w14:textId="77777777" w:rsidR="00FB6690" w:rsidRDefault="00FB6690">
      <w:pPr>
        <w:jc w:val="both"/>
        <w:rPr>
          <w:rFonts w:ascii="Times New Roman" w:eastAsia="Times New Roman" w:hAnsi="Times New Roman" w:cs="Times New Roman"/>
          <w:sz w:val="24"/>
          <w:szCs w:val="24"/>
        </w:rPr>
      </w:pPr>
    </w:p>
    <w:p w14:paraId="3924E642" w14:textId="77777777" w:rsidR="00FB6690" w:rsidRDefault="00FB6690">
      <w:pPr>
        <w:jc w:val="both"/>
        <w:rPr>
          <w:rFonts w:ascii="Times New Roman" w:eastAsia="Times New Roman" w:hAnsi="Times New Roman" w:cs="Times New Roman"/>
          <w:sz w:val="24"/>
          <w:szCs w:val="24"/>
        </w:rPr>
      </w:pPr>
    </w:p>
    <w:p w14:paraId="57A24C30" w14:textId="77777777" w:rsidR="00FB6690" w:rsidRDefault="00FB6690">
      <w:pPr>
        <w:jc w:val="both"/>
        <w:rPr>
          <w:rFonts w:ascii="Times New Roman" w:eastAsia="Times New Roman" w:hAnsi="Times New Roman" w:cs="Times New Roman"/>
          <w:sz w:val="24"/>
          <w:szCs w:val="24"/>
        </w:rPr>
      </w:pPr>
    </w:p>
    <w:p w14:paraId="0851C1F4" w14:textId="77777777" w:rsidR="00FB6690" w:rsidRDefault="00FB6690">
      <w:pPr>
        <w:jc w:val="both"/>
        <w:rPr>
          <w:rFonts w:ascii="Times New Roman" w:eastAsia="Times New Roman" w:hAnsi="Times New Roman" w:cs="Times New Roman"/>
          <w:sz w:val="24"/>
          <w:szCs w:val="24"/>
        </w:rPr>
      </w:pPr>
    </w:p>
    <w:p w14:paraId="438A726D" w14:textId="77777777" w:rsidR="00FB6690" w:rsidRDefault="00FB6690">
      <w:pPr>
        <w:jc w:val="both"/>
        <w:rPr>
          <w:rFonts w:ascii="Times New Roman" w:eastAsia="Times New Roman" w:hAnsi="Times New Roman" w:cs="Times New Roman"/>
          <w:sz w:val="24"/>
          <w:szCs w:val="24"/>
        </w:rPr>
      </w:pPr>
    </w:p>
    <w:p w14:paraId="31548FB2" w14:textId="77777777" w:rsidR="00FB6690" w:rsidRDefault="00FB6690">
      <w:pPr>
        <w:jc w:val="both"/>
        <w:rPr>
          <w:rFonts w:ascii="Times New Roman" w:eastAsia="Times New Roman" w:hAnsi="Times New Roman" w:cs="Times New Roman"/>
          <w:sz w:val="24"/>
          <w:szCs w:val="24"/>
        </w:rPr>
      </w:pPr>
    </w:p>
    <w:p w14:paraId="1419802D" w14:textId="77777777" w:rsidR="00FB6690" w:rsidRDefault="00FB6690">
      <w:pPr>
        <w:jc w:val="both"/>
        <w:rPr>
          <w:rFonts w:ascii="Times New Roman" w:eastAsia="Times New Roman" w:hAnsi="Times New Roman" w:cs="Times New Roman"/>
          <w:sz w:val="24"/>
          <w:szCs w:val="24"/>
        </w:rPr>
      </w:pPr>
    </w:p>
    <w:p w14:paraId="3156F007" w14:textId="77777777" w:rsidR="00FB6690" w:rsidRDefault="00FB6690">
      <w:pPr>
        <w:jc w:val="both"/>
        <w:rPr>
          <w:rFonts w:ascii="Times New Roman" w:eastAsia="Times New Roman" w:hAnsi="Times New Roman" w:cs="Times New Roman"/>
          <w:sz w:val="24"/>
          <w:szCs w:val="24"/>
        </w:rPr>
      </w:pPr>
    </w:p>
    <w:p w14:paraId="6F43006D" w14:textId="77777777" w:rsidR="00FB6690" w:rsidRDefault="00FB6690">
      <w:pPr>
        <w:jc w:val="both"/>
        <w:rPr>
          <w:rFonts w:ascii="Times New Roman" w:eastAsia="Times New Roman" w:hAnsi="Times New Roman" w:cs="Times New Roman"/>
          <w:sz w:val="24"/>
          <w:szCs w:val="24"/>
        </w:rPr>
      </w:pPr>
    </w:p>
    <w:p w14:paraId="7874452A" w14:textId="77777777" w:rsidR="00FB6690" w:rsidRDefault="00FB6690">
      <w:pPr>
        <w:jc w:val="both"/>
        <w:rPr>
          <w:rFonts w:ascii="Times New Roman" w:eastAsia="Times New Roman" w:hAnsi="Times New Roman" w:cs="Times New Roman"/>
          <w:sz w:val="24"/>
          <w:szCs w:val="24"/>
        </w:rPr>
      </w:pPr>
    </w:p>
    <w:p w14:paraId="1F8E47EF" w14:textId="77777777" w:rsidR="00FB6690" w:rsidRDefault="00FB6690">
      <w:pPr>
        <w:jc w:val="both"/>
        <w:rPr>
          <w:rFonts w:ascii="Times New Roman" w:eastAsia="Times New Roman" w:hAnsi="Times New Roman" w:cs="Times New Roman"/>
          <w:sz w:val="24"/>
          <w:szCs w:val="24"/>
        </w:rPr>
      </w:pPr>
    </w:p>
    <w:p w14:paraId="306A500D" w14:textId="77777777" w:rsidR="00FB6690" w:rsidRDefault="00000000">
      <w:pPr>
        <w:pStyle w:val="Heading1"/>
        <w:rPr>
          <w:b/>
        </w:rPr>
      </w:pPr>
      <w:bookmarkStart w:id="4" w:name="_Toc123900797"/>
      <w:r>
        <w:rPr>
          <w:b/>
        </w:rPr>
        <w:t>Question-02</w:t>
      </w:r>
      <w:bookmarkEnd w:id="4"/>
    </w:p>
    <w:p w14:paraId="798DCD59" w14:textId="77777777" w:rsidR="00FB6690" w:rsidRDefault="00000000">
      <w:pPr>
        <w:pStyle w:val="Heading2"/>
        <w:rPr>
          <w:b/>
          <w:color w:val="ED7D31"/>
        </w:rPr>
      </w:pPr>
      <w:bookmarkStart w:id="5" w:name="_Toc123900798"/>
      <w:r>
        <w:rPr>
          <w:b/>
          <w:color w:val="ED7D31"/>
        </w:rPr>
        <w:t>Task-A</w:t>
      </w:r>
      <w:bookmarkEnd w:id="5"/>
    </w:p>
    <w:p w14:paraId="500BCC3D" w14:textId="77777777" w:rsidR="00FB6690" w:rsidRDefault="00FB6690">
      <w:pPr>
        <w:jc w:val="both"/>
        <w:rPr>
          <w:rFonts w:ascii="Times New Roman" w:eastAsia="Times New Roman" w:hAnsi="Times New Roman" w:cs="Times New Roman"/>
          <w:sz w:val="24"/>
          <w:szCs w:val="24"/>
        </w:rPr>
      </w:pPr>
    </w:p>
    <w:p w14:paraId="6FA71234" w14:textId="77777777" w:rsidR="00FB6690" w:rsidRDefault="00000000">
      <w:pPr>
        <w:numPr>
          <w:ilvl w:val="0"/>
          <w:numId w:val="1"/>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Return on Capital Employed (ROCE):</w:t>
      </w:r>
    </w:p>
    <w:p w14:paraId="7772511E"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ROCE of Sweets Plc for 2020 and 2021 is calculated below:</w:t>
      </w:r>
    </w:p>
    <w:tbl>
      <w:tblPr>
        <w:tblStyle w:val="a1"/>
        <w:tblW w:w="9336"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815"/>
        <w:gridCol w:w="1040"/>
        <w:gridCol w:w="897"/>
        <w:gridCol w:w="1904"/>
        <w:gridCol w:w="3680"/>
      </w:tblGrid>
      <w:tr w:rsidR="00FB6690" w14:paraId="297DC2E7" w14:textId="77777777">
        <w:tc>
          <w:tcPr>
            <w:tcW w:w="1815" w:type="dxa"/>
          </w:tcPr>
          <w:p w14:paraId="779EF264"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ROCE</w:t>
            </w:r>
          </w:p>
        </w:tc>
        <w:tc>
          <w:tcPr>
            <w:tcW w:w="7521" w:type="dxa"/>
            <w:gridSpan w:val="4"/>
          </w:tcPr>
          <w:p w14:paraId="27C5E855"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Operating Profit</m:t>
                    </m:r>
                  </m:num>
                  <m:den>
                    <m:r>
                      <w:rPr>
                        <w:rFonts w:ascii="Cambria Math" w:eastAsia="Cambria Math" w:hAnsi="Cambria Math" w:cs="Cambria Math"/>
                        <w:sz w:val="24"/>
                        <w:szCs w:val="24"/>
                      </w:rPr>
                      <m:t>Capital Employed</m:t>
                    </m:r>
                  </m:den>
                </m:f>
              </m:oMath>
            </m:oMathPara>
          </w:p>
          <w:p w14:paraId="6E6EBE0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Here, Capital Employed=Total Asset-Total Current Liabilities</w:t>
            </w:r>
          </w:p>
        </w:tc>
      </w:tr>
      <w:tr w:rsidR="00FB6690" w14:paraId="300C7C88" w14:textId="77777777">
        <w:tc>
          <w:tcPr>
            <w:tcW w:w="9336" w:type="dxa"/>
            <w:gridSpan w:val="5"/>
          </w:tcPr>
          <w:p w14:paraId="58AAEB2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ROCE</w:t>
            </w:r>
          </w:p>
        </w:tc>
      </w:tr>
      <w:tr w:rsidR="00FB6690" w14:paraId="062D6F17" w14:textId="77777777">
        <w:tc>
          <w:tcPr>
            <w:tcW w:w="1815" w:type="dxa"/>
          </w:tcPr>
          <w:p w14:paraId="6A1231D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937" w:type="dxa"/>
            <w:gridSpan w:val="2"/>
          </w:tcPr>
          <w:p w14:paraId="570DF28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4D1EB39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1904" w:type="dxa"/>
          </w:tcPr>
          <w:p w14:paraId="2DDD3DD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ROCE in 2020</w:t>
            </w:r>
          </w:p>
        </w:tc>
        <w:tc>
          <w:tcPr>
            <w:tcW w:w="3680" w:type="dxa"/>
          </w:tcPr>
          <w:p w14:paraId="1B9A369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ROCE in 2021</w:t>
            </w:r>
          </w:p>
        </w:tc>
      </w:tr>
      <w:tr w:rsidR="00FB6690" w14:paraId="2538340A" w14:textId="77777777">
        <w:tc>
          <w:tcPr>
            <w:tcW w:w="1815" w:type="dxa"/>
            <w:tcBorders>
              <w:top w:val="single" w:sz="4" w:space="0" w:color="000000"/>
              <w:left w:val="single" w:sz="4" w:space="0" w:color="000000"/>
              <w:bottom w:val="single" w:sz="4" w:space="0" w:color="000000"/>
              <w:right w:val="single" w:sz="4" w:space="0" w:color="000000"/>
            </w:tcBorders>
          </w:tcPr>
          <w:p w14:paraId="180B813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040" w:type="dxa"/>
          </w:tcPr>
          <w:p w14:paraId="0C69469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897" w:type="dxa"/>
          </w:tcPr>
          <w:p w14:paraId="3DC500DE"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904" w:type="dxa"/>
            <w:vMerge w:val="restart"/>
          </w:tcPr>
          <w:p w14:paraId="49BF1678"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699 </m:t>
                    </m:r>
                  </m:num>
                  <m:den>
                    <m:r>
                      <w:rPr>
                        <w:rFonts w:ascii="Cambria Math" w:eastAsia="Cambria Math" w:hAnsi="Cambria Math" w:cs="Cambria Math"/>
                        <w:sz w:val="24"/>
                        <w:szCs w:val="24"/>
                      </w:rPr>
                      <m:t xml:space="preserve">10087 - 3046 </m:t>
                    </m:r>
                  </m:den>
                </m:f>
              </m:oMath>
            </m:oMathPara>
          </w:p>
          <w:p w14:paraId="42CDE0EC" w14:textId="77777777" w:rsidR="00FB6690" w:rsidRDefault="00FB6690">
            <w:pPr>
              <w:spacing w:line="360" w:lineRule="auto"/>
              <w:jc w:val="center"/>
              <w:rPr>
                <w:rFonts w:ascii="Times New Roman" w:eastAsia="Times New Roman" w:hAnsi="Times New Roman" w:cs="Times New Roman"/>
                <w:sz w:val="24"/>
                <w:szCs w:val="24"/>
              </w:rPr>
            </w:pPr>
          </w:p>
          <w:p w14:paraId="6F3A83B7"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0.099</w:t>
            </w:r>
          </w:p>
          <w:p w14:paraId="32DBF65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=9.9%</w:t>
            </w:r>
          </w:p>
        </w:tc>
        <w:tc>
          <w:tcPr>
            <w:tcW w:w="3680" w:type="dxa"/>
            <w:vMerge w:val="restart"/>
          </w:tcPr>
          <w:p w14:paraId="3B867957"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805 </m:t>
                    </m:r>
                  </m:num>
                  <m:den>
                    <m:r>
                      <w:rPr>
                        <w:rFonts w:ascii="Cambria Math" w:eastAsia="Cambria Math" w:hAnsi="Cambria Math" w:cs="Cambria Math"/>
                        <w:sz w:val="24"/>
                        <w:szCs w:val="24"/>
                      </w:rPr>
                      <m:t xml:space="preserve"> 9736 - 2511 </m:t>
                    </m:r>
                  </m:den>
                </m:f>
              </m:oMath>
            </m:oMathPara>
          </w:p>
          <w:p w14:paraId="30E9E39C" w14:textId="77777777" w:rsidR="00FB6690" w:rsidRDefault="00FB6690">
            <w:pPr>
              <w:spacing w:line="360" w:lineRule="auto"/>
              <w:jc w:val="center"/>
              <w:rPr>
                <w:rFonts w:ascii="Times New Roman" w:eastAsia="Times New Roman" w:hAnsi="Times New Roman" w:cs="Times New Roman"/>
                <w:sz w:val="28"/>
                <w:szCs w:val="28"/>
              </w:rPr>
            </w:pPr>
          </w:p>
          <w:p w14:paraId="17CDABD2"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0.111</w:t>
            </w:r>
          </w:p>
          <w:p w14:paraId="48454A1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11.1%</w:t>
            </w:r>
          </w:p>
        </w:tc>
      </w:tr>
      <w:tr w:rsidR="00FB6690" w14:paraId="4F710761" w14:textId="77777777">
        <w:tc>
          <w:tcPr>
            <w:tcW w:w="1815" w:type="dxa"/>
            <w:tcBorders>
              <w:top w:val="single" w:sz="4" w:space="0" w:color="000000"/>
              <w:left w:val="single" w:sz="4" w:space="0" w:color="000000"/>
              <w:bottom w:val="single" w:sz="4" w:space="0" w:color="000000"/>
              <w:right w:val="single" w:sz="4" w:space="0" w:color="000000"/>
            </w:tcBorders>
          </w:tcPr>
          <w:p w14:paraId="78313BBF"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Profit</w:t>
            </w:r>
          </w:p>
        </w:tc>
        <w:tc>
          <w:tcPr>
            <w:tcW w:w="1040" w:type="dxa"/>
          </w:tcPr>
          <w:p w14:paraId="13CDFF9B"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699</w:t>
            </w:r>
          </w:p>
        </w:tc>
        <w:tc>
          <w:tcPr>
            <w:tcW w:w="897" w:type="dxa"/>
          </w:tcPr>
          <w:p w14:paraId="60D3A277"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805</w:t>
            </w:r>
          </w:p>
        </w:tc>
        <w:tc>
          <w:tcPr>
            <w:tcW w:w="1904" w:type="dxa"/>
            <w:vMerge/>
          </w:tcPr>
          <w:p w14:paraId="320CA22C"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680" w:type="dxa"/>
            <w:vMerge/>
          </w:tcPr>
          <w:p w14:paraId="29B63DE3"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3266DF05" w14:textId="77777777">
        <w:tc>
          <w:tcPr>
            <w:tcW w:w="1815" w:type="dxa"/>
            <w:tcBorders>
              <w:top w:val="single" w:sz="4" w:space="0" w:color="000000"/>
              <w:left w:val="single" w:sz="4" w:space="0" w:color="000000"/>
              <w:bottom w:val="single" w:sz="4" w:space="0" w:color="000000"/>
              <w:right w:val="single" w:sz="4" w:space="0" w:color="000000"/>
            </w:tcBorders>
          </w:tcPr>
          <w:p w14:paraId="3E34ECE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040" w:type="dxa"/>
          </w:tcPr>
          <w:p w14:paraId="0F704903"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c>
          <w:tcPr>
            <w:tcW w:w="897" w:type="dxa"/>
          </w:tcPr>
          <w:p w14:paraId="61ADA053"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c>
          <w:tcPr>
            <w:tcW w:w="1904" w:type="dxa"/>
            <w:vMerge/>
          </w:tcPr>
          <w:p w14:paraId="5CEC7EBF"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680" w:type="dxa"/>
            <w:vMerge/>
          </w:tcPr>
          <w:p w14:paraId="77C7431E"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60C6E8FB" w14:textId="77777777">
        <w:tc>
          <w:tcPr>
            <w:tcW w:w="1815" w:type="dxa"/>
            <w:tcBorders>
              <w:top w:val="single" w:sz="4" w:space="0" w:color="000000"/>
              <w:left w:val="single" w:sz="4" w:space="0" w:color="000000"/>
              <w:bottom w:val="single" w:sz="4" w:space="0" w:color="000000"/>
              <w:right w:val="single" w:sz="4" w:space="0" w:color="000000"/>
            </w:tcBorders>
          </w:tcPr>
          <w:p w14:paraId="2F8685E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Current Liabilities</w:t>
            </w:r>
          </w:p>
        </w:tc>
        <w:tc>
          <w:tcPr>
            <w:tcW w:w="1040" w:type="dxa"/>
          </w:tcPr>
          <w:p w14:paraId="56CAD204"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c>
          <w:tcPr>
            <w:tcW w:w="897" w:type="dxa"/>
          </w:tcPr>
          <w:p w14:paraId="3DE7D605"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c>
          <w:tcPr>
            <w:tcW w:w="1904" w:type="dxa"/>
            <w:vMerge/>
          </w:tcPr>
          <w:p w14:paraId="020A4D3F"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680" w:type="dxa"/>
            <w:vMerge/>
          </w:tcPr>
          <w:p w14:paraId="60420BAE"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49E4BCB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Table-01: ROCE of Sweet Plc</w:t>
      </w:r>
    </w:p>
    <w:p w14:paraId="6727FEDC" w14:textId="77777777" w:rsidR="00FB6690" w:rsidRDefault="00000000">
      <w:pPr>
        <w:numPr>
          <w:ilvl w:val="0"/>
          <w:numId w:val="1"/>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Return on Equity (ROE):</w:t>
      </w:r>
    </w:p>
    <w:p w14:paraId="046923FA"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ROE of Sweets Plc for 2020 and 2021 is calculated below:</w:t>
      </w:r>
    </w:p>
    <w:tbl>
      <w:tblPr>
        <w:tblStyle w:val="a2"/>
        <w:tblW w:w="937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652"/>
        <w:gridCol w:w="982"/>
        <w:gridCol w:w="982"/>
        <w:gridCol w:w="1314"/>
        <w:gridCol w:w="4445"/>
      </w:tblGrid>
      <w:tr w:rsidR="00FB6690" w14:paraId="5CF94B0B" w14:textId="77777777">
        <w:tc>
          <w:tcPr>
            <w:tcW w:w="1652" w:type="dxa"/>
          </w:tcPr>
          <w:p w14:paraId="5095F06E"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ROE</w:t>
            </w:r>
          </w:p>
        </w:tc>
        <w:tc>
          <w:tcPr>
            <w:tcW w:w="7723" w:type="dxa"/>
            <w:gridSpan w:val="4"/>
          </w:tcPr>
          <w:p w14:paraId="23359829"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NPAT</m:t>
                    </m:r>
                  </m:num>
                  <m:den>
                    <m:r>
                      <w:rPr>
                        <w:rFonts w:ascii="Cambria Math" w:eastAsia="Cambria Math" w:hAnsi="Cambria Math" w:cs="Cambria Math"/>
                        <w:sz w:val="24"/>
                        <w:szCs w:val="24"/>
                      </w:rPr>
                      <m:t>Total Equity</m:t>
                    </m:r>
                  </m:den>
                </m:f>
              </m:oMath>
            </m:oMathPara>
          </w:p>
          <w:p w14:paraId="5A1B1B7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Here, NPAT =Net profit after tax</w:t>
            </w:r>
          </w:p>
        </w:tc>
      </w:tr>
      <w:tr w:rsidR="00FB6690" w14:paraId="17EA2378" w14:textId="77777777">
        <w:tc>
          <w:tcPr>
            <w:tcW w:w="9375" w:type="dxa"/>
            <w:gridSpan w:val="5"/>
          </w:tcPr>
          <w:p w14:paraId="62C0C24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ROE</w:t>
            </w:r>
          </w:p>
        </w:tc>
      </w:tr>
      <w:tr w:rsidR="00FB6690" w14:paraId="1C74F16D" w14:textId="77777777">
        <w:tc>
          <w:tcPr>
            <w:tcW w:w="1652" w:type="dxa"/>
          </w:tcPr>
          <w:p w14:paraId="0C5F67D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964" w:type="dxa"/>
            <w:gridSpan w:val="2"/>
          </w:tcPr>
          <w:p w14:paraId="43208F1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531EE86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1314" w:type="dxa"/>
          </w:tcPr>
          <w:p w14:paraId="63C5CED1"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ROE in 2020</w:t>
            </w:r>
          </w:p>
        </w:tc>
        <w:tc>
          <w:tcPr>
            <w:tcW w:w="4445" w:type="dxa"/>
          </w:tcPr>
          <w:p w14:paraId="369C124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ROE in 2021</w:t>
            </w:r>
          </w:p>
        </w:tc>
      </w:tr>
      <w:tr w:rsidR="00FB6690" w14:paraId="3AA40CD7" w14:textId="77777777">
        <w:tc>
          <w:tcPr>
            <w:tcW w:w="1652" w:type="dxa"/>
            <w:tcBorders>
              <w:top w:val="single" w:sz="4" w:space="0" w:color="000000"/>
              <w:left w:val="single" w:sz="4" w:space="0" w:color="000000"/>
              <w:bottom w:val="single" w:sz="4" w:space="0" w:color="000000"/>
              <w:right w:val="single" w:sz="4" w:space="0" w:color="000000"/>
            </w:tcBorders>
          </w:tcPr>
          <w:p w14:paraId="4D5EA3B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982" w:type="dxa"/>
          </w:tcPr>
          <w:p w14:paraId="42BB510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982" w:type="dxa"/>
          </w:tcPr>
          <w:p w14:paraId="2720B0E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314" w:type="dxa"/>
            <w:vMerge w:val="restart"/>
          </w:tcPr>
          <w:p w14:paraId="2C2F06E0"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366 </m:t>
                    </m:r>
                  </m:num>
                  <m:den>
                    <m:r>
                      <w:rPr>
                        <w:rFonts w:ascii="Cambria Math" w:eastAsia="Cambria Math" w:hAnsi="Cambria Math" w:cs="Cambria Math"/>
                        <w:sz w:val="24"/>
                        <w:szCs w:val="24"/>
                      </w:rPr>
                      <m:t>2912</m:t>
                    </m:r>
                  </m:den>
                </m:f>
              </m:oMath>
            </m:oMathPara>
          </w:p>
          <w:p w14:paraId="2327965E" w14:textId="77777777" w:rsidR="00FB6690" w:rsidRDefault="00FB6690">
            <w:pPr>
              <w:spacing w:line="360" w:lineRule="auto"/>
              <w:jc w:val="center"/>
              <w:rPr>
                <w:rFonts w:ascii="Times New Roman" w:eastAsia="Times New Roman" w:hAnsi="Times New Roman" w:cs="Times New Roman"/>
                <w:sz w:val="24"/>
                <w:szCs w:val="24"/>
              </w:rPr>
            </w:pPr>
          </w:p>
          <w:p w14:paraId="40C0699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0.126</w:t>
            </w:r>
          </w:p>
          <w:p w14:paraId="309EBC3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=12.6%</w:t>
            </w:r>
          </w:p>
        </w:tc>
        <w:tc>
          <w:tcPr>
            <w:tcW w:w="4445" w:type="dxa"/>
            <w:vMerge w:val="restart"/>
          </w:tcPr>
          <w:p w14:paraId="54A749F8"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431 </m:t>
                    </m:r>
                  </m:num>
                  <m:den>
                    <m:r>
                      <w:rPr>
                        <w:rFonts w:ascii="Cambria Math" w:eastAsia="Cambria Math" w:hAnsi="Cambria Math" w:cs="Cambria Math"/>
                        <w:sz w:val="24"/>
                        <w:szCs w:val="24"/>
                      </w:rPr>
                      <m:t xml:space="preserve"> 3088</m:t>
                    </m:r>
                  </m:den>
                </m:f>
              </m:oMath>
            </m:oMathPara>
          </w:p>
          <w:p w14:paraId="30CD8D94" w14:textId="77777777" w:rsidR="00FB6690" w:rsidRDefault="00FB6690">
            <w:pPr>
              <w:spacing w:line="360" w:lineRule="auto"/>
              <w:jc w:val="center"/>
              <w:rPr>
                <w:rFonts w:ascii="Times New Roman" w:eastAsia="Times New Roman" w:hAnsi="Times New Roman" w:cs="Times New Roman"/>
                <w:sz w:val="24"/>
                <w:szCs w:val="24"/>
              </w:rPr>
            </w:pPr>
          </w:p>
          <w:p w14:paraId="58BD427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0.14</w:t>
            </w:r>
          </w:p>
          <w:p w14:paraId="6FAC28B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=14.0%</w:t>
            </w:r>
          </w:p>
        </w:tc>
      </w:tr>
      <w:tr w:rsidR="00FB6690" w14:paraId="185524AB" w14:textId="77777777">
        <w:tc>
          <w:tcPr>
            <w:tcW w:w="1652" w:type="dxa"/>
            <w:tcBorders>
              <w:top w:val="single" w:sz="4" w:space="0" w:color="000000"/>
              <w:left w:val="single" w:sz="4" w:space="0" w:color="000000"/>
              <w:bottom w:val="single" w:sz="4" w:space="0" w:color="000000"/>
              <w:right w:val="single" w:sz="4" w:space="0" w:color="000000"/>
            </w:tcBorders>
          </w:tcPr>
          <w:p w14:paraId="428D6BD9"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NPAT</w:t>
            </w:r>
          </w:p>
        </w:tc>
        <w:tc>
          <w:tcPr>
            <w:tcW w:w="982" w:type="dxa"/>
          </w:tcPr>
          <w:p w14:paraId="466F323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982" w:type="dxa"/>
          </w:tcPr>
          <w:p w14:paraId="32E5F4F2"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1314" w:type="dxa"/>
            <w:vMerge/>
          </w:tcPr>
          <w:p w14:paraId="3AF2ABA6"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4445" w:type="dxa"/>
            <w:vMerge/>
          </w:tcPr>
          <w:p w14:paraId="0AAFE0F1"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6A86F234" w14:textId="77777777">
        <w:trPr>
          <w:trHeight w:val="700"/>
        </w:trPr>
        <w:tc>
          <w:tcPr>
            <w:tcW w:w="1652" w:type="dxa"/>
            <w:tcBorders>
              <w:top w:val="single" w:sz="4" w:space="0" w:color="000000"/>
              <w:left w:val="single" w:sz="4" w:space="0" w:color="000000"/>
              <w:right w:val="single" w:sz="4" w:space="0" w:color="000000"/>
            </w:tcBorders>
          </w:tcPr>
          <w:p w14:paraId="156C608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982" w:type="dxa"/>
          </w:tcPr>
          <w:p w14:paraId="79C0F668"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c>
          <w:tcPr>
            <w:tcW w:w="982" w:type="dxa"/>
          </w:tcPr>
          <w:p w14:paraId="7AB9F747"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c>
          <w:tcPr>
            <w:tcW w:w="1314" w:type="dxa"/>
            <w:vMerge/>
          </w:tcPr>
          <w:p w14:paraId="4B50569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4445" w:type="dxa"/>
            <w:vMerge/>
          </w:tcPr>
          <w:p w14:paraId="64173CDE"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5606A1C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Table-02: ROE of Sweet Plc</w:t>
      </w:r>
    </w:p>
    <w:p w14:paraId="57788CC1" w14:textId="77777777" w:rsidR="00FB6690" w:rsidRDefault="00FB6690">
      <w:pPr>
        <w:spacing w:line="360" w:lineRule="auto"/>
        <w:jc w:val="both"/>
        <w:rPr>
          <w:rFonts w:ascii="Times New Roman" w:eastAsia="Times New Roman" w:hAnsi="Times New Roman" w:cs="Times New Roman"/>
          <w:sz w:val="24"/>
          <w:szCs w:val="24"/>
        </w:rPr>
      </w:pPr>
    </w:p>
    <w:p w14:paraId="46BCBCED" w14:textId="77777777" w:rsidR="00FB6690" w:rsidRDefault="00000000">
      <w:pPr>
        <w:numPr>
          <w:ilvl w:val="0"/>
          <w:numId w:val="1"/>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Earnings Per Share (EPS):</w:t>
      </w:r>
    </w:p>
    <w:p w14:paraId="51A8B0C1"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EPS of Sweets Plc for 2020 and 2021 is calculated below:</w:t>
      </w:r>
    </w:p>
    <w:tbl>
      <w:tblPr>
        <w:tblStyle w:val="a3"/>
        <w:tblW w:w="937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618"/>
        <w:gridCol w:w="1070"/>
        <w:gridCol w:w="1070"/>
        <w:gridCol w:w="2537"/>
        <w:gridCol w:w="3080"/>
      </w:tblGrid>
      <w:tr w:rsidR="00FB6690" w14:paraId="38932A37" w14:textId="77777777">
        <w:tc>
          <w:tcPr>
            <w:tcW w:w="1618" w:type="dxa"/>
          </w:tcPr>
          <w:p w14:paraId="4F91C21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EPS</w:t>
            </w:r>
          </w:p>
        </w:tc>
        <w:tc>
          <w:tcPr>
            <w:tcW w:w="7757" w:type="dxa"/>
            <w:gridSpan w:val="4"/>
          </w:tcPr>
          <w:p w14:paraId="25CFCE5D"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NPAT</m:t>
                    </m:r>
                  </m:num>
                  <m:den>
                    <m:r>
                      <w:rPr>
                        <w:rFonts w:ascii="Cambria Math" w:eastAsia="Cambria Math" w:hAnsi="Cambria Math" w:cs="Cambria Math"/>
                        <w:sz w:val="24"/>
                        <w:szCs w:val="24"/>
                      </w:rPr>
                      <m:t>Total volume of shares outstanding</m:t>
                    </m:r>
                  </m:den>
                </m:f>
              </m:oMath>
            </m:oMathPara>
          </w:p>
          <w:p w14:paraId="302C8FB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Here, NPAT =Net profit after tax</w:t>
            </w:r>
          </w:p>
        </w:tc>
      </w:tr>
      <w:tr w:rsidR="00FB6690" w14:paraId="796EEEBC" w14:textId="77777777">
        <w:tc>
          <w:tcPr>
            <w:tcW w:w="9375" w:type="dxa"/>
            <w:gridSpan w:val="5"/>
          </w:tcPr>
          <w:p w14:paraId="00C750A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EPS</w:t>
            </w:r>
          </w:p>
        </w:tc>
      </w:tr>
      <w:tr w:rsidR="00FB6690" w14:paraId="37EC5735" w14:textId="77777777">
        <w:tc>
          <w:tcPr>
            <w:tcW w:w="1618" w:type="dxa"/>
          </w:tcPr>
          <w:p w14:paraId="2FC9A61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140" w:type="dxa"/>
            <w:gridSpan w:val="2"/>
          </w:tcPr>
          <w:p w14:paraId="65F5DF9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248F0A1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537" w:type="dxa"/>
          </w:tcPr>
          <w:p w14:paraId="1E828EE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EPS in 2020</w:t>
            </w:r>
          </w:p>
        </w:tc>
        <w:tc>
          <w:tcPr>
            <w:tcW w:w="3080" w:type="dxa"/>
          </w:tcPr>
          <w:p w14:paraId="11B06A5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EPS in 2021</w:t>
            </w:r>
          </w:p>
        </w:tc>
      </w:tr>
      <w:tr w:rsidR="00FB6690" w14:paraId="61DEE50F" w14:textId="77777777">
        <w:tc>
          <w:tcPr>
            <w:tcW w:w="1618" w:type="dxa"/>
            <w:tcBorders>
              <w:top w:val="single" w:sz="4" w:space="0" w:color="000000"/>
              <w:left w:val="single" w:sz="4" w:space="0" w:color="000000"/>
              <w:bottom w:val="single" w:sz="4" w:space="0" w:color="000000"/>
              <w:right w:val="single" w:sz="4" w:space="0" w:color="000000"/>
            </w:tcBorders>
          </w:tcPr>
          <w:p w14:paraId="00DA70A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070" w:type="dxa"/>
          </w:tcPr>
          <w:p w14:paraId="5720C62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070" w:type="dxa"/>
          </w:tcPr>
          <w:p w14:paraId="1F5EC04E"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537" w:type="dxa"/>
            <w:vMerge w:val="restart"/>
          </w:tcPr>
          <w:p w14:paraId="11043220"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366 </m:t>
                    </m:r>
                  </m:num>
                  <m:den>
                    <m:r>
                      <w:rPr>
                        <w:rFonts w:ascii="Cambria Math" w:eastAsia="Cambria Math" w:hAnsi="Cambria Math" w:cs="Cambria Math"/>
                        <w:sz w:val="24"/>
                        <w:szCs w:val="24"/>
                      </w:rPr>
                      <m:t xml:space="preserve">600 million shares </m:t>
                    </m:r>
                  </m:den>
                </m:f>
              </m:oMath>
            </m:oMathPara>
          </w:p>
          <w:p w14:paraId="6903BB88" w14:textId="77777777" w:rsidR="00FB6690" w:rsidRDefault="00FB6690">
            <w:pPr>
              <w:jc w:val="center"/>
              <w:rPr>
                <w:rFonts w:ascii="Times New Roman" w:eastAsia="Times New Roman" w:hAnsi="Times New Roman" w:cs="Times New Roman"/>
                <w:sz w:val="24"/>
                <w:szCs w:val="24"/>
              </w:rPr>
            </w:pPr>
          </w:p>
          <w:p w14:paraId="4F3E3C4D"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£0.61 per share</w:t>
            </w:r>
          </w:p>
        </w:tc>
        <w:tc>
          <w:tcPr>
            <w:tcW w:w="3080" w:type="dxa"/>
            <w:vMerge w:val="restart"/>
          </w:tcPr>
          <w:p w14:paraId="219C4565"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431 </m:t>
                    </m:r>
                  </m:num>
                  <m:den>
                    <m:r>
                      <w:rPr>
                        <w:rFonts w:ascii="Cambria Math" w:eastAsia="Cambria Math" w:hAnsi="Cambria Math" w:cs="Cambria Math"/>
                        <w:sz w:val="24"/>
                        <w:szCs w:val="24"/>
                      </w:rPr>
                      <m:t xml:space="preserve">600 million shares </m:t>
                    </m:r>
                  </m:den>
                </m:f>
              </m:oMath>
            </m:oMathPara>
          </w:p>
          <w:p w14:paraId="031EEAFE" w14:textId="77777777" w:rsidR="00FB6690" w:rsidRDefault="00FB6690">
            <w:pPr>
              <w:jc w:val="center"/>
              <w:rPr>
                <w:rFonts w:ascii="Times New Roman" w:eastAsia="Times New Roman" w:hAnsi="Times New Roman" w:cs="Times New Roman"/>
                <w:sz w:val="24"/>
                <w:szCs w:val="24"/>
              </w:rPr>
            </w:pPr>
          </w:p>
          <w:p w14:paraId="5429C7B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£0.72 per share</w:t>
            </w:r>
          </w:p>
        </w:tc>
      </w:tr>
      <w:tr w:rsidR="00FB6690" w14:paraId="379D7296" w14:textId="77777777">
        <w:tc>
          <w:tcPr>
            <w:tcW w:w="1618" w:type="dxa"/>
            <w:tcBorders>
              <w:top w:val="single" w:sz="4" w:space="0" w:color="000000"/>
              <w:left w:val="single" w:sz="4" w:space="0" w:color="000000"/>
              <w:bottom w:val="single" w:sz="4" w:space="0" w:color="000000"/>
              <w:right w:val="single" w:sz="4" w:space="0" w:color="000000"/>
            </w:tcBorders>
          </w:tcPr>
          <w:p w14:paraId="3F0668C9"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NPAT</w:t>
            </w:r>
          </w:p>
        </w:tc>
        <w:tc>
          <w:tcPr>
            <w:tcW w:w="1070" w:type="dxa"/>
          </w:tcPr>
          <w:p w14:paraId="73EEB5EB"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1070" w:type="dxa"/>
          </w:tcPr>
          <w:p w14:paraId="27C5DC7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2537" w:type="dxa"/>
            <w:vMerge/>
          </w:tcPr>
          <w:p w14:paraId="6CA80192"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080" w:type="dxa"/>
            <w:vMerge/>
          </w:tcPr>
          <w:p w14:paraId="0451224C"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6C24D65A" w14:textId="77777777">
        <w:trPr>
          <w:trHeight w:val="700"/>
        </w:trPr>
        <w:tc>
          <w:tcPr>
            <w:tcW w:w="1618" w:type="dxa"/>
            <w:tcBorders>
              <w:top w:val="single" w:sz="4" w:space="0" w:color="000000"/>
              <w:left w:val="single" w:sz="4" w:space="0" w:color="000000"/>
              <w:right w:val="single" w:sz="4" w:space="0" w:color="000000"/>
            </w:tcBorders>
          </w:tcPr>
          <w:p w14:paraId="2E41A814"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shares outstanding</w:t>
            </w:r>
          </w:p>
        </w:tc>
        <w:tc>
          <w:tcPr>
            <w:tcW w:w="1070" w:type="dxa"/>
          </w:tcPr>
          <w:p w14:paraId="27D9DAF6"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 million shares</w:t>
            </w:r>
          </w:p>
        </w:tc>
        <w:tc>
          <w:tcPr>
            <w:tcW w:w="1070" w:type="dxa"/>
          </w:tcPr>
          <w:p w14:paraId="6BB1E51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 million shares</w:t>
            </w:r>
          </w:p>
        </w:tc>
        <w:tc>
          <w:tcPr>
            <w:tcW w:w="2537" w:type="dxa"/>
            <w:vMerge/>
          </w:tcPr>
          <w:p w14:paraId="22AE4F0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080" w:type="dxa"/>
            <w:vMerge/>
          </w:tcPr>
          <w:p w14:paraId="141B089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5C402A9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Table-03: EPS of Sweet Plc</w:t>
      </w:r>
    </w:p>
    <w:p w14:paraId="24ADB77F"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Note: Determination of total outstanding shares</w:t>
      </w:r>
    </w:p>
    <w:tbl>
      <w:tblPr>
        <w:tblStyle w:val="a4"/>
        <w:tblW w:w="935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3116"/>
        <w:gridCol w:w="3117"/>
        <w:gridCol w:w="3117"/>
      </w:tblGrid>
      <w:tr w:rsidR="00FB6690" w14:paraId="161D7B32" w14:textId="77777777">
        <w:tc>
          <w:tcPr>
            <w:tcW w:w="3116" w:type="dxa"/>
            <w:tcBorders>
              <w:top w:val="single" w:sz="4" w:space="0" w:color="000000"/>
              <w:left w:val="single" w:sz="4" w:space="0" w:color="000000"/>
              <w:bottom w:val="single" w:sz="4" w:space="0" w:color="000000"/>
              <w:right w:val="single" w:sz="4" w:space="0" w:color="000000"/>
            </w:tcBorders>
          </w:tcPr>
          <w:p w14:paraId="37654D2B"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3117" w:type="dxa"/>
            <w:tcBorders>
              <w:top w:val="single" w:sz="4" w:space="0" w:color="000000"/>
              <w:left w:val="single" w:sz="4" w:space="0" w:color="000000"/>
              <w:bottom w:val="single" w:sz="4" w:space="0" w:color="000000"/>
              <w:right w:val="single" w:sz="4" w:space="0" w:color="000000"/>
            </w:tcBorders>
          </w:tcPr>
          <w:p w14:paraId="444E2FC8"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p w14:paraId="068BD83D"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 millions)</w:t>
            </w:r>
          </w:p>
        </w:tc>
        <w:tc>
          <w:tcPr>
            <w:tcW w:w="3117" w:type="dxa"/>
            <w:tcBorders>
              <w:top w:val="single" w:sz="4" w:space="0" w:color="000000"/>
              <w:left w:val="single" w:sz="4" w:space="0" w:color="000000"/>
              <w:bottom w:val="single" w:sz="4" w:space="0" w:color="000000"/>
              <w:right w:val="single" w:sz="4" w:space="0" w:color="000000"/>
            </w:tcBorders>
          </w:tcPr>
          <w:p w14:paraId="3DF341B3"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p w14:paraId="382C49F1"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 millions)</w:t>
            </w:r>
          </w:p>
        </w:tc>
      </w:tr>
      <w:tr w:rsidR="00FB6690" w14:paraId="3FE5A26F" w14:textId="77777777">
        <w:tc>
          <w:tcPr>
            <w:tcW w:w="3116" w:type="dxa"/>
            <w:tcBorders>
              <w:top w:val="single" w:sz="4" w:space="0" w:color="000000"/>
              <w:left w:val="single" w:sz="4" w:space="0" w:color="000000"/>
              <w:bottom w:val="single" w:sz="4" w:space="0" w:color="000000"/>
              <w:right w:val="single" w:sz="4" w:space="0" w:color="000000"/>
            </w:tcBorders>
          </w:tcPr>
          <w:p w14:paraId="040BDC13"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ordinary equity capital</w:t>
            </w:r>
          </w:p>
        </w:tc>
        <w:tc>
          <w:tcPr>
            <w:tcW w:w="3117" w:type="dxa"/>
            <w:tcBorders>
              <w:top w:val="single" w:sz="4" w:space="0" w:color="000000"/>
              <w:left w:val="single" w:sz="4" w:space="0" w:color="000000"/>
              <w:bottom w:val="single" w:sz="4" w:space="0" w:color="000000"/>
              <w:right w:val="single" w:sz="4" w:space="0" w:color="000000"/>
            </w:tcBorders>
          </w:tcPr>
          <w:p w14:paraId="56066D23" w14:textId="77777777" w:rsidR="00FB6690"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w:t>
            </w:r>
          </w:p>
        </w:tc>
        <w:tc>
          <w:tcPr>
            <w:tcW w:w="3117" w:type="dxa"/>
            <w:tcBorders>
              <w:top w:val="single" w:sz="4" w:space="0" w:color="000000"/>
              <w:left w:val="single" w:sz="4" w:space="0" w:color="000000"/>
              <w:bottom w:val="single" w:sz="4" w:space="0" w:color="000000"/>
              <w:right w:val="single" w:sz="4" w:space="0" w:color="000000"/>
            </w:tcBorders>
          </w:tcPr>
          <w:p w14:paraId="4F95C64F" w14:textId="77777777" w:rsidR="00FB6690"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w:t>
            </w:r>
          </w:p>
        </w:tc>
      </w:tr>
      <w:tr w:rsidR="00FB6690" w14:paraId="0C80028E" w14:textId="77777777">
        <w:tc>
          <w:tcPr>
            <w:tcW w:w="3116" w:type="dxa"/>
            <w:tcBorders>
              <w:top w:val="single" w:sz="4" w:space="0" w:color="000000"/>
              <w:left w:val="single" w:sz="4" w:space="0" w:color="000000"/>
              <w:bottom w:val="single" w:sz="4" w:space="0" w:color="000000"/>
              <w:right w:val="single" w:sz="4" w:space="0" w:color="000000"/>
            </w:tcBorders>
          </w:tcPr>
          <w:p w14:paraId="67955F14"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 value of per share</w:t>
            </w:r>
          </w:p>
        </w:tc>
        <w:tc>
          <w:tcPr>
            <w:tcW w:w="3117" w:type="dxa"/>
            <w:tcBorders>
              <w:top w:val="single" w:sz="4" w:space="0" w:color="000000"/>
              <w:left w:val="single" w:sz="4" w:space="0" w:color="000000"/>
              <w:bottom w:val="single" w:sz="4" w:space="0" w:color="000000"/>
              <w:right w:val="single" w:sz="4" w:space="0" w:color="000000"/>
            </w:tcBorders>
          </w:tcPr>
          <w:p w14:paraId="686D6B8A" w14:textId="77777777" w:rsidR="00FB6690"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£ 0.5 per share</w:t>
            </w:r>
          </w:p>
        </w:tc>
        <w:tc>
          <w:tcPr>
            <w:tcW w:w="3117" w:type="dxa"/>
            <w:tcBorders>
              <w:top w:val="single" w:sz="4" w:space="0" w:color="000000"/>
              <w:left w:val="single" w:sz="4" w:space="0" w:color="000000"/>
              <w:bottom w:val="single" w:sz="4" w:space="0" w:color="000000"/>
              <w:right w:val="single" w:sz="4" w:space="0" w:color="000000"/>
            </w:tcBorders>
          </w:tcPr>
          <w:p w14:paraId="48C36ED7" w14:textId="77777777" w:rsidR="00FB6690"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£ 0.5 per share</w:t>
            </w:r>
          </w:p>
        </w:tc>
      </w:tr>
      <w:tr w:rsidR="00FB6690" w14:paraId="0848320D" w14:textId="77777777">
        <w:tc>
          <w:tcPr>
            <w:tcW w:w="3116" w:type="dxa"/>
            <w:tcBorders>
              <w:top w:val="single" w:sz="4" w:space="0" w:color="000000"/>
              <w:left w:val="single" w:sz="4" w:space="0" w:color="000000"/>
              <w:bottom w:val="single" w:sz="4" w:space="0" w:color="000000"/>
              <w:right w:val="single" w:sz="4" w:space="0" w:color="000000"/>
            </w:tcBorders>
          </w:tcPr>
          <w:p w14:paraId="25EEA9E6" w14:textId="77777777" w:rsidR="00FB669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 of shares outstanding</w:t>
            </w:r>
          </w:p>
        </w:tc>
        <w:tc>
          <w:tcPr>
            <w:tcW w:w="3117" w:type="dxa"/>
            <w:tcBorders>
              <w:top w:val="single" w:sz="4" w:space="0" w:color="000000"/>
              <w:left w:val="single" w:sz="4" w:space="0" w:color="000000"/>
              <w:bottom w:val="single" w:sz="4" w:space="0" w:color="000000"/>
              <w:right w:val="single" w:sz="4" w:space="0" w:color="000000"/>
            </w:tcBorders>
          </w:tcPr>
          <w:p w14:paraId="4FF8ABC1" w14:textId="77777777" w:rsidR="00FB6690" w:rsidRDefault="00000000">
            <w:pPr>
              <w:jc w:val="center"/>
              <w:rPr>
                <w:rFonts w:ascii="Cambria Math" w:eastAsia="Cambria Math" w:hAnsi="Cambria Math" w:cs="Cambria Math"/>
                <w:color w:val="000000"/>
                <w:sz w:val="24"/>
                <w:szCs w:val="24"/>
              </w:rPr>
            </w:pPr>
            <m:oMathPara>
              <m:oMath>
                <m:r>
                  <w:rPr>
                    <w:rFonts w:ascii="Cambria Math" w:eastAsia="Cambria Math" w:hAnsi="Cambria Math" w:cs="Cambria Math"/>
                    <w:color w:val="000000"/>
                    <w:sz w:val="24"/>
                    <w:szCs w:val="24"/>
                  </w:rPr>
                  <m:t xml:space="preserve"> </m:t>
                </m:r>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 xml:space="preserve"> 300 </m:t>
                    </m:r>
                  </m:num>
                  <m:den>
                    <m:r>
                      <w:rPr>
                        <w:rFonts w:ascii="Cambria Math" w:eastAsia="Cambria Math" w:hAnsi="Cambria Math" w:cs="Cambria Math"/>
                        <w:color w:val="000000"/>
                        <w:sz w:val="24"/>
                        <w:szCs w:val="24"/>
                      </w:rPr>
                      <m:t>£ 0.5 per share</m:t>
                    </m:r>
                  </m:den>
                </m:f>
              </m:oMath>
            </m:oMathPara>
          </w:p>
          <w:p w14:paraId="11E1E4BB" w14:textId="77777777" w:rsidR="00FB6690" w:rsidRDefault="00FB6690">
            <w:pPr>
              <w:pBdr>
                <w:top w:val="nil"/>
                <w:left w:val="nil"/>
                <w:bottom w:val="nil"/>
                <w:right w:val="nil"/>
                <w:between w:val="nil"/>
              </w:pBdr>
              <w:jc w:val="both"/>
              <w:rPr>
                <w:rFonts w:ascii="Times New Roman" w:eastAsia="Times New Roman" w:hAnsi="Times New Roman" w:cs="Times New Roman"/>
                <w:color w:val="000000"/>
                <w:sz w:val="24"/>
                <w:szCs w:val="24"/>
              </w:rPr>
            </w:pPr>
          </w:p>
          <w:p w14:paraId="221096B4" w14:textId="77777777" w:rsidR="00FB6690" w:rsidRDefault="00000000">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600 million shares</w:t>
            </w:r>
          </w:p>
        </w:tc>
        <w:tc>
          <w:tcPr>
            <w:tcW w:w="3117" w:type="dxa"/>
            <w:tcBorders>
              <w:top w:val="single" w:sz="4" w:space="0" w:color="000000"/>
              <w:left w:val="single" w:sz="4" w:space="0" w:color="000000"/>
              <w:bottom w:val="single" w:sz="4" w:space="0" w:color="000000"/>
              <w:right w:val="single" w:sz="4" w:space="0" w:color="000000"/>
            </w:tcBorders>
          </w:tcPr>
          <w:p w14:paraId="717236C7" w14:textId="77777777" w:rsidR="00FB6690" w:rsidRDefault="00000000">
            <w:pPr>
              <w:jc w:val="center"/>
              <w:rPr>
                <w:rFonts w:ascii="Cambria Math" w:eastAsia="Cambria Math" w:hAnsi="Cambria Math" w:cs="Cambria Math"/>
                <w:color w:val="000000"/>
                <w:sz w:val="24"/>
                <w:szCs w:val="24"/>
              </w:rPr>
            </w:pPr>
            <m:oMathPara>
              <m:oMath>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 xml:space="preserve">300 </m:t>
                    </m:r>
                  </m:num>
                  <m:den>
                    <m:r>
                      <w:rPr>
                        <w:rFonts w:ascii="Cambria Math" w:eastAsia="Cambria Math" w:hAnsi="Cambria Math" w:cs="Cambria Math"/>
                        <w:color w:val="000000"/>
                        <w:sz w:val="24"/>
                        <w:szCs w:val="24"/>
                      </w:rPr>
                      <m:t>£ 0.5 per share</m:t>
                    </m:r>
                  </m:den>
                </m:f>
              </m:oMath>
            </m:oMathPara>
          </w:p>
          <w:p w14:paraId="45AC63C2" w14:textId="77777777" w:rsidR="00FB6690" w:rsidRDefault="00FB6690">
            <w:pPr>
              <w:pBdr>
                <w:top w:val="nil"/>
                <w:left w:val="nil"/>
                <w:bottom w:val="nil"/>
                <w:right w:val="nil"/>
                <w:between w:val="nil"/>
              </w:pBdr>
              <w:jc w:val="both"/>
              <w:rPr>
                <w:rFonts w:ascii="Times New Roman" w:eastAsia="Times New Roman" w:hAnsi="Times New Roman" w:cs="Times New Roman"/>
                <w:color w:val="000000"/>
                <w:sz w:val="24"/>
                <w:szCs w:val="24"/>
              </w:rPr>
            </w:pPr>
          </w:p>
          <w:p w14:paraId="017BDFDF" w14:textId="77777777" w:rsidR="00FB6690" w:rsidRDefault="00000000">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600 million shares</w:t>
            </w:r>
          </w:p>
        </w:tc>
      </w:tr>
    </w:tbl>
    <w:p w14:paraId="54B4CD80" w14:textId="77777777" w:rsidR="00FB6690" w:rsidRDefault="00FB6690">
      <w:pPr>
        <w:spacing w:line="360" w:lineRule="auto"/>
        <w:jc w:val="both"/>
        <w:rPr>
          <w:rFonts w:ascii="Times New Roman" w:eastAsia="Times New Roman" w:hAnsi="Times New Roman" w:cs="Times New Roman"/>
          <w:sz w:val="24"/>
          <w:szCs w:val="24"/>
        </w:rPr>
      </w:pPr>
    </w:p>
    <w:p w14:paraId="373C965B" w14:textId="77777777" w:rsidR="00FB6690" w:rsidRDefault="00FB6690">
      <w:pPr>
        <w:spacing w:line="360" w:lineRule="auto"/>
        <w:jc w:val="both"/>
        <w:rPr>
          <w:rFonts w:ascii="Times New Roman" w:eastAsia="Times New Roman" w:hAnsi="Times New Roman" w:cs="Times New Roman"/>
          <w:sz w:val="24"/>
          <w:szCs w:val="24"/>
        </w:rPr>
      </w:pPr>
    </w:p>
    <w:p w14:paraId="2A6103F7" w14:textId="77777777" w:rsidR="00FB6690" w:rsidRDefault="00000000">
      <w:pPr>
        <w:numPr>
          <w:ilvl w:val="0"/>
          <w:numId w:val="1"/>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Net Profit Margin:</w:t>
      </w:r>
    </w:p>
    <w:p w14:paraId="66E1EB93"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 of Sweets Plc for 2020 and 2021 is calculated below:</w:t>
      </w:r>
    </w:p>
    <w:tbl>
      <w:tblPr>
        <w:tblStyle w:val="a5"/>
        <w:tblW w:w="1034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650"/>
        <w:gridCol w:w="826"/>
        <w:gridCol w:w="826"/>
        <w:gridCol w:w="3678"/>
        <w:gridCol w:w="3365"/>
      </w:tblGrid>
      <w:tr w:rsidR="00FB6690" w14:paraId="780EC39C" w14:textId="77777777">
        <w:trPr>
          <w:trHeight w:val="1022"/>
        </w:trPr>
        <w:tc>
          <w:tcPr>
            <w:tcW w:w="1650" w:type="dxa"/>
          </w:tcPr>
          <w:p w14:paraId="0417663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Net profit margin</w:t>
            </w:r>
          </w:p>
        </w:tc>
        <w:tc>
          <w:tcPr>
            <w:tcW w:w="8695" w:type="dxa"/>
            <w:gridSpan w:val="4"/>
          </w:tcPr>
          <w:p w14:paraId="10B9BAA1"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NPAT</m:t>
                    </m:r>
                  </m:num>
                  <m:den>
                    <m:r>
                      <w:rPr>
                        <w:rFonts w:ascii="Cambria Math" w:eastAsia="Cambria Math" w:hAnsi="Cambria Math" w:cs="Cambria Math"/>
                        <w:sz w:val="24"/>
                        <w:szCs w:val="24"/>
                      </w:rPr>
                      <m:t>Total Revenue</m:t>
                    </m:r>
                  </m:den>
                </m:f>
              </m:oMath>
            </m:oMathPara>
          </w:p>
          <w:p w14:paraId="40397A1F"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Here, NPAT =Net profit after tax</w:t>
            </w:r>
          </w:p>
        </w:tc>
      </w:tr>
      <w:tr w:rsidR="00FB6690" w14:paraId="04BA781F" w14:textId="77777777">
        <w:trPr>
          <w:trHeight w:val="331"/>
        </w:trPr>
        <w:tc>
          <w:tcPr>
            <w:tcW w:w="10345" w:type="dxa"/>
            <w:gridSpan w:val="5"/>
          </w:tcPr>
          <w:p w14:paraId="69733B6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Net profit margin</w:t>
            </w:r>
          </w:p>
        </w:tc>
      </w:tr>
      <w:tr w:rsidR="00FB6690" w14:paraId="7307D5A3" w14:textId="77777777">
        <w:trPr>
          <w:trHeight w:val="1368"/>
        </w:trPr>
        <w:tc>
          <w:tcPr>
            <w:tcW w:w="1650" w:type="dxa"/>
          </w:tcPr>
          <w:p w14:paraId="009EFC5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652" w:type="dxa"/>
            <w:gridSpan w:val="2"/>
          </w:tcPr>
          <w:p w14:paraId="6E43E04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3D00375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3678" w:type="dxa"/>
          </w:tcPr>
          <w:p w14:paraId="4C57324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profit margin in 2020</w:t>
            </w:r>
          </w:p>
        </w:tc>
        <w:tc>
          <w:tcPr>
            <w:tcW w:w="3365" w:type="dxa"/>
          </w:tcPr>
          <w:p w14:paraId="482FF64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profit margin in 2021</w:t>
            </w:r>
          </w:p>
        </w:tc>
      </w:tr>
      <w:tr w:rsidR="00FB6690" w14:paraId="6ACE59D1" w14:textId="77777777">
        <w:trPr>
          <w:trHeight w:val="331"/>
        </w:trPr>
        <w:tc>
          <w:tcPr>
            <w:tcW w:w="1650" w:type="dxa"/>
            <w:tcBorders>
              <w:top w:val="single" w:sz="4" w:space="0" w:color="000000"/>
              <w:left w:val="single" w:sz="4" w:space="0" w:color="000000"/>
              <w:bottom w:val="single" w:sz="4" w:space="0" w:color="000000"/>
              <w:right w:val="single" w:sz="4" w:space="0" w:color="000000"/>
            </w:tcBorders>
          </w:tcPr>
          <w:p w14:paraId="0E9BB1D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826" w:type="dxa"/>
          </w:tcPr>
          <w:p w14:paraId="060381F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826" w:type="dxa"/>
          </w:tcPr>
          <w:p w14:paraId="4F9DC54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3678" w:type="dxa"/>
            <w:vMerge w:val="restart"/>
          </w:tcPr>
          <w:p w14:paraId="72A65237"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366 </m:t>
                    </m:r>
                  </m:num>
                  <m:den>
                    <m:r>
                      <w:rPr>
                        <w:rFonts w:ascii="Cambria Math" w:eastAsia="Cambria Math" w:hAnsi="Cambria Math" w:cs="Cambria Math"/>
                        <w:sz w:val="24"/>
                        <w:szCs w:val="24"/>
                      </w:rPr>
                      <m:t xml:space="preserve">6,441 </m:t>
                    </m:r>
                  </m:den>
                </m:f>
              </m:oMath>
            </m:oMathPara>
          </w:p>
          <w:p w14:paraId="71ACF9DE" w14:textId="77777777" w:rsidR="00FB6690" w:rsidRDefault="00FB6690">
            <w:pPr>
              <w:jc w:val="center"/>
              <w:rPr>
                <w:rFonts w:ascii="Times New Roman" w:eastAsia="Times New Roman" w:hAnsi="Times New Roman" w:cs="Times New Roman"/>
                <w:sz w:val="24"/>
                <w:szCs w:val="24"/>
              </w:rPr>
            </w:pPr>
          </w:p>
          <w:p w14:paraId="13FABD73" w14:textId="77777777" w:rsidR="00FB6690"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=0.0568</w:t>
            </w:r>
          </w:p>
          <w:p w14:paraId="1542ABBD" w14:textId="77777777" w:rsidR="00FB6690" w:rsidRDefault="00FB6690">
            <w:pPr>
              <w:jc w:val="center"/>
              <w:rPr>
                <w:rFonts w:ascii="Times New Roman" w:eastAsia="Times New Roman" w:hAnsi="Times New Roman" w:cs="Times New Roman"/>
                <w:sz w:val="24"/>
                <w:szCs w:val="24"/>
              </w:rPr>
            </w:pPr>
          </w:p>
          <w:p w14:paraId="39C325A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5.7%</w:t>
            </w:r>
          </w:p>
        </w:tc>
        <w:tc>
          <w:tcPr>
            <w:tcW w:w="3365" w:type="dxa"/>
            <w:vMerge w:val="restart"/>
          </w:tcPr>
          <w:p w14:paraId="0E88A07C"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431 </m:t>
                    </m:r>
                  </m:num>
                  <m:den>
                    <m:r>
                      <w:rPr>
                        <w:rFonts w:ascii="Cambria Math" w:eastAsia="Cambria Math" w:hAnsi="Cambria Math" w:cs="Cambria Math"/>
                        <w:sz w:val="24"/>
                        <w:szCs w:val="24"/>
                      </w:rPr>
                      <m:t xml:space="preserve">6,738 </m:t>
                    </m:r>
                  </m:den>
                </m:f>
              </m:oMath>
            </m:oMathPara>
          </w:p>
          <w:p w14:paraId="2A817197" w14:textId="77777777" w:rsidR="00FB6690" w:rsidRDefault="00FB6690">
            <w:pPr>
              <w:jc w:val="center"/>
              <w:rPr>
                <w:rFonts w:ascii="Times New Roman" w:eastAsia="Times New Roman" w:hAnsi="Times New Roman" w:cs="Times New Roman"/>
                <w:sz w:val="24"/>
                <w:szCs w:val="24"/>
              </w:rPr>
            </w:pPr>
          </w:p>
          <w:p w14:paraId="42EF7EB4" w14:textId="77777777" w:rsidR="00FB6690"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=0.064</w:t>
            </w:r>
          </w:p>
          <w:p w14:paraId="78DC98DA" w14:textId="77777777" w:rsidR="00FB6690" w:rsidRDefault="00FB6690">
            <w:pPr>
              <w:jc w:val="center"/>
              <w:rPr>
                <w:rFonts w:ascii="Times New Roman" w:eastAsia="Times New Roman" w:hAnsi="Times New Roman" w:cs="Times New Roman"/>
                <w:sz w:val="24"/>
                <w:szCs w:val="24"/>
              </w:rPr>
            </w:pPr>
          </w:p>
          <w:p w14:paraId="41E0DEC1"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6.40%</w:t>
            </w:r>
          </w:p>
        </w:tc>
      </w:tr>
      <w:tr w:rsidR="00FB6690" w14:paraId="7DDB0DA3" w14:textId="77777777">
        <w:trPr>
          <w:trHeight w:val="331"/>
        </w:trPr>
        <w:tc>
          <w:tcPr>
            <w:tcW w:w="1650" w:type="dxa"/>
            <w:tcBorders>
              <w:top w:val="single" w:sz="4" w:space="0" w:color="000000"/>
              <w:left w:val="single" w:sz="4" w:space="0" w:color="000000"/>
              <w:bottom w:val="single" w:sz="4" w:space="0" w:color="000000"/>
              <w:right w:val="single" w:sz="4" w:space="0" w:color="000000"/>
            </w:tcBorders>
          </w:tcPr>
          <w:p w14:paraId="0958A09D"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NPAT</w:t>
            </w:r>
          </w:p>
        </w:tc>
        <w:tc>
          <w:tcPr>
            <w:tcW w:w="826" w:type="dxa"/>
          </w:tcPr>
          <w:p w14:paraId="281659E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826" w:type="dxa"/>
          </w:tcPr>
          <w:p w14:paraId="7C84264B"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3678" w:type="dxa"/>
            <w:vMerge/>
          </w:tcPr>
          <w:p w14:paraId="74BE059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365" w:type="dxa"/>
            <w:vMerge/>
          </w:tcPr>
          <w:p w14:paraId="38E9D69D"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750D4877" w14:textId="77777777">
        <w:trPr>
          <w:trHeight w:val="577"/>
        </w:trPr>
        <w:tc>
          <w:tcPr>
            <w:tcW w:w="1650" w:type="dxa"/>
            <w:tcBorders>
              <w:top w:val="single" w:sz="4" w:space="0" w:color="000000"/>
              <w:left w:val="single" w:sz="4" w:space="0" w:color="000000"/>
              <w:right w:val="single" w:sz="4" w:space="0" w:color="000000"/>
            </w:tcBorders>
          </w:tcPr>
          <w:p w14:paraId="57A726C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Revenue</w:t>
            </w:r>
          </w:p>
        </w:tc>
        <w:tc>
          <w:tcPr>
            <w:tcW w:w="826" w:type="dxa"/>
          </w:tcPr>
          <w:p w14:paraId="428807E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826" w:type="dxa"/>
          </w:tcPr>
          <w:p w14:paraId="77A3C756"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3678" w:type="dxa"/>
            <w:vMerge/>
          </w:tcPr>
          <w:p w14:paraId="612324B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3365" w:type="dxa"/>
            <w:vMerge/>
          </w:tcPr>
          <w:p w14:paraId="1C43EDF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19A1E35C"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Table-04: Net profit margin of Sweet Plc</w:t>
      </w:r>
    </w:p>
    <w:p w14:paraId="729C0A13" w14:textId="77777777" w:rsidR="00FB6690" w:rsidRDefault="00000000">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Asset Turnover:</w:t>
      </w:r>
    </w:p>
    <w:p w14:paraId="673B69F2" w14:textId="77777777" w:rsidR="00FB6690" w:rsidRDefault="00FB6690">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6D5C4A3E" w14:textId="77777777" w:rsidR="00FB669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of Sweets Plc for 2020 and 2021 is calculated below:</w:t>
      </w:r>
    </w:p>
    <w:tbl>
      <w:tblPr>
        <w:tblStyle w:val="a6"/>
        <w:tblW w:w="937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1885"/>
        <w:gridCol w:w="1080"/>
        <w:gridCol w:w="1530"/>
        <w:gridCol w:w="2340"/>
        <w:gridCol w:w="2540"/>
      </w:tblGrid>
      <w:tr w:rsidR="00FB6690" w14:paraId="68096563" w14:textId="77777777">
        <w:tc>
          <w:tcPr>
            <w:tcW w:w="1885" w:type="dxa"/>
          </w:tcPr>
          <w:p w14:paraId="08992AD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Asset turnover</w:t>
            </w:r>
          </w:p>
        </w:tc>
        <w:tc>
          <w:tcPr>
            <w:tcW w:w="7490" w:type="dxa"/>
            <w:gridSpan w:val="4"/>
          </w:tcPr>
          <w:p w14:paraId="770DD09F"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Total Revenue</m:t>
                    </m:r>
                  </m:num>
                  <m:den>
                    <m:r>
                      <w:rPr>
                        <w:rFonts w:ascii="Cambria Math" w:eastAsia="Cambria Math" w:hAnsi="Cambria Math" w:cs="Cambria Math"/>
                        <w:sz w:val="24"/>
                        <w:szCs w:val="24"/>
                      </w:rPr>
                      <m:t>Total Asset</m:t>
                    </m:r>
                  </m:den>
                </m:f>
              </m:oMath>
            </m:oMathPara>
          </w:p>
        </w:tc>
      </w:tr>
      <w:tr w:rsidR="00FB6690" w14:paraId="0B8A007A" w14:textId="77777777">
        <w:tc>
          <w:tcPr>
            <w:tcW w:w="9375" w:type="dxa"/>
            <w:gridSpan w:val="5"/>
          </w:tcPr>
          <w:p w14:paraId="4B836A1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Asset Turnover</w:t>
            </w:r>
          </w:p>
        </w:tc>
      </w:tr>
      <w:tr w:rsidR="00FB6690" w14:paraId="4574DCCF" w14:textId="77777777">
        <w:tc>
          <w:tcPr>
            <w:tcW w:w="1885" w:type="dxa"/>
          </w:tcPr>
          <w:p w14:paraId="4840EF0F"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610" w:type="dxa"/>
            <w:gridSpan w:val="2"/>
          </w:tcPr>
          <w:p w14:paraId="7E1FE8C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29318AA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340" w:type="dxa"/>
          </w:tcPr>
          <w:p w14:paraId="6CA0443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 turnover in 2020</w:t>
            </w:r>
          </w:p>
        </w:tc>
        <w:tc>
          <w:tcPr>
            <w:tcW w:w="2540" w:type="dxa"/>
          </w:tcPr>
          <w:p w14:paraId="5B64CF6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 turnover in 2021</w:t>
            </w:r>
          </w:p>
        </w:tc>
      </w:tr>
      <w:tr w:rsidR="00FB6690" w14:paraId="5A91B1E5" w14:textId="77777777">
        <w:tc>
          <w:tcPr>
            <w:tcW w:w="1885" w:type="dxa"/>
            <w:tcBorders>
              <w:top w:val="single" w:sz="4" w:space="0" w:color="000000"/>
              <w:left w:val="single" w:sz="4" w:space="0" w:color="000000"/>
              <w:bottom w:val="single" w:sz="4" w:space="0" w:color="000000"/>
              <w:right w:val="single" w:sz="4" w:space="0" w:color="000000"/>
            </w:tcBorders>
          </w:tcPr>
          <w:p w14:paraId="2F47D4D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080" w:type="dxa"/>
          </w:tcPr>
          <w:p w14:paraId="71BD9F5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530" w:type="dxa"/>
          </w:tcPr>
          <w:p w14:paraId="1297896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340" w:type="dxa"/>
            <w:vMerge w:val="restart"/>
          </w:tcPr>
          <w:p w14:paraId="5A7F0D5B"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6441 </m:t>
                    </m:r>
                  </m:num>
                  <m:den>
                    <m:r>
                      <w:rPr>
                        <w:rFonts w:ascii="Cambria Math" w:eastAsia="Cambria Math" w:hAnsi="Cambria Math" w:cs="Cambria Math"/>
                        <w:sz w:val="24"/>
                        <w:szCs w:val="24"/>
                      </w:rPr>
                      <m:t xml:space="preserve">10087 </m:t>
                    </m:r>
                  </m:den>
                </m:f>
              </m:oMath>
            </m:oMathPara>
          </w:p>
          <w:p w14:paraId="57304D33" w14:textId="77777777" w:rsidR="00FB6690" w:rsidRDefault="00FB6690">
            <w:pPr>
              <w:jc w:val="center"/>
              <w:rPr>
                <w:rFonts w:ascii="Times New Roman" w:eastAsia="Times New Roman" w:hAnsi="Times New Roman" w:cs="Times New Roman"/>
                <w:sz w:val="24"/>
                <w:szCs w:val="24"/>
              </w:rPr>
            </w:pPr>
          </w:p>
          <w:p w14:paraId="730E820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0.639</w:t>
            </w:r>
          </w:p>
          <w:p w14:paraId="0E9E507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=63.9%</w:t>
            </w:r>
          </w:p>
        </w:tc>
        <w:tc>
          <w:tcPr>
            <w:tcW w:w="2540" w:type="dxa"/>
            <w:vMerge w:val="restart"/>
          </w:tcPr>
          <w:p w14:paraId="6A816827"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6738 </m:t>
                    </m:r>
                  </m:num>
                  <m:den>
                    <m:r>
                      <w:rPr>
                        <w:rFonts w:ascii="Cambria Math" w:eastAsia="Cambria Math" w:hAnsi="Cambria Math" w:cs="Cambria Math"/>
                        <w:sz w:val="24"/>
                        <w:szCs w:val="24"/>
                      </w:rPr>
                      <m:t xml:space="preserve">9736  </m:t>
                    </m:r>
                  </m:den>
                </m:f>
              </m:oMath>
            </m:oMathPara>
          </w:p>
          <w:p w14:paraId="01857D3C" w14:textId="77777777" w:rsidR="00FB6690" w:rsidRDefault="00FB6690">
            <w:pPr>
              <w:jc w:val="center"/>
              <w:rPr>
                <w:rFonts w:ascii="Times New Roman" w:eastAsia="Times New Roman" w:hAnsi="Times New Roman" w:cs="Times New Roman"/>
                <w:sz w:val="24"/>
                <w:szCs w:val="24"/>
              </w:rPr>
            </w:pPr>
          </w:p>
          <w:p w14:paraId="79220AD6"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0.692</w:t>
            </w:r>
          </w:p>
          <w:p w14:paraId="2A069BB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=69.2%</w:t>
            </w:r>
          </w:p>
        </w:tc>
      </w:tr>
      <w:tr w:rsidR="00FB6690" w14:paraId="6EB907E1" w14:textId="77777777">
        <w:tc>
          <w:tcPr>
            <w:tcW w:w="1885" w:type="dxa"/>
            <w:tcBorders>
              <w:top w:val="single" w:sz="4" w:space="0" w:color="000000"/>
              <w:left w:val="single" w:sz="4" w:space="0" w:color="000000"/>
              <w:bottom w:val="single" w:sz="4" w:space="0" w:color="000000"/>
              <w:right w:val="single" w:sz="4" w:space="0" w:color="000000"/>
            </w:tcBorders>
          </w:tcPr>
          <w:p w14:paraId="22629149"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Revenue</w:t>
            </w:r>
          </w:p>
        </w:tc>
        <w:tc>
          <w:tcPr>
            <w:tcW w:w="1080" w:type="dxa"/>
          </w:tcPr>
          <w:p w14:paraId="3A6C50FF"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1530" w:type="dxa"/>
          </w:tcPr>
          <w:p w14:paraId="686C184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2340" w:type="dxa"/>
            <w:vMerge/>
          </w:tcPr>
          <w:p w14:paraId="15ED6817"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540" w:type="dxa"/>
            <w:vMerge/>
          </w:tcPr>
          <w:p w14:paraId="4FBF089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119C3F2B" w14:textId="77777777">
        <w:trPr>
          <w:trHeight w:val="700"/>
        </w:trPr>
        <w:tc>
          <w:tcPr>
            <w:tcW w:w="1885" w:type="dxa"/>
            <w:tcBorders>
              <w:top w:val="single" w:sz="4" w:space="0" w:color="000000"/>
              <w:left w:val="single" w:sz="4" w:space="0" w:color="000000"/>
              <w:right w:val="single" w:sz="4" w:space="0" w:color="000000"/>
            </w:tcBorders>
          </w:tcPr>
          <w:p w14:paraId="4B703514"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080" w:type="dxa"/>
          </w:tcPr>
          <w:p w14:paraId="2AB1214D"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c>
          <w:tcPr>
            <w:tcW w:w="1530" w:type="dxa"/>
          </w:tcPr>
          <w:p w14:paraId="6857431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c>
          <w:tcPr>
            <w:tcW w:w="2340" w:type="dxa"/>
            <w:vMerge/>
          </w:tcPr>
          <w:p w14:paraId="76B4B093"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540" w:type="dxa"/>
            <w:vMerge/>
          </w:tcPr>
          <w:p w14:paraId="0CE6E999"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32300B0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Table-05: Asset turnover of Sweet Plc</w:t>
      </w:r>
    </w:p>
    <w:p w14:paraId="782393B5" w14:textId="77777777" w:rsidR="00FB6690" w:rsidRDefault="00FB6690">
      <w:pPr>
        <w:spacing w:line="360" w:lineRule="auto"/>
        <w:jc w:val="both"/>
        <w:rPr>
          <w:rFonts w:ascii="Times New Roman" w:eastAsia="Times New Roman" w:hAnsi="Times New Roman" w:cs="Times New Roman"/>
          <w:sz w:val="24"/>
          <w:szCs w:val="24"/>
        </w:rPr>
      </w:pPr>
    </w:p>
    <w:p w14:paraId="07E67F3E" w14:textId="77777777" w:rsidR="00FB6690" w:rsidRDefault="00000000">
      <w:pPr>
        <w:numPr>
          <w:ilvl w:val="0"/>
          <w:numId w:val="1"/>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Stock Holding Days:</w:t>
      </w:r>
    </w:p>
    <w:p w14:paraId="30AC23FF" w14:textId="77777777" w:rsidR="00FB6690" w:rsidRDefault="00000000">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Stock holding days of Sweets Plc for 2020 and 2021 is calculated below:</w:t>
      </w:r>
    </w:p>
    <w:tbl>
      <w:tblPr>
        <w:tblStyle w:val="a7"/>
        <w:tblW w:w="10094"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2515"/>
        <w:gridCol w:w="1170"/>
        <w:gridCol w:w="1154"/>
        <w:gridCol w:w="2626"/>
        <w:gridCol w:w="2629"/>
      </w:tblGrid>
      <w:tr w:rsidR="00FB6690" w14:paraId="4743E675" w14:textId="77777777">
        <w:trPr>
          <w:trHeight w:val="846"/>
        </w:trPr>
        <w:tc>
          <w:tcPr>
            <w:tcW w:w="2515" w:type="dxa"/>
          </w:tcPr>
          <w:p w14:paraId="56EDC97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Stock holding days</w:t>
            </w:r>
          </w:p>
        </w:tc>
        <w:tc>
          <w:tcPr>
            <w:tcW w:w="7579" w:type="dxa"/>
            <w:gridSpan w:val="4"/>
          </w:tcPr>
          <w:p w14:paraId="7B58017F" w14:textId="77777777" w:rsidR="00FB6690" w:rsidRDefault="00000000">
            <w:pPr>
              <w:spacing w:line="360" w:lineRule="auto"/>
              <w:jc w:val="center"/>
              <w:rPr>
                <w:rFonts w:ascii="Times New Roman" w:eastAsia="Times New Roman" w:hAnsi="Times New Roman" w:cs="Times New Roman"/>
                <w:sz w:val="24"/>
                <w:szCs w:val="24"/>
              </w:rPr>
            </w:pPr>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Closing inventory</m:t>
                  </m:r>
                </m:num>
                <m:den>
                  <m:r>
                    <w:rPr>
                      <w:rFonts w:ascii="Cambria Math" w:eastAsia="Cambria Math" w:hAnsi="Cambria Math" w:cs="Cambria Math"/>
                      <w:sz w:val="24"/>
                      <w:szCs w:val="24"/>
                    </w:rPr>
                    <m:t>COS</m:t>
                  </m:r>
                </m:den>
              </m:f>
            </m:oMath>
            <w:r>
              <w:rPr>
                <w:rFonts w:ascii="Times New Roman" w:eastAsia="Times New Roman" w:hAnsi="Times New Roman" w:cs="Times New Roman"/>
                <w:sz w:val="24"/>
                <w:szCs w:val="24"/>
              </w:rPr>
              <w:t xml:space="preserve"> *365 days</w:t>
            </w:r>
          </w:p>
          <w:p w14:paraId="7A3E68B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Here, COGS= Cost of sales</w:t>
            </w:r>
          </w:p>
        </w:tc>
      </w:tr>
      <w:tr w:rsidR="00FB6690" w14:paraId="27B3274C" w14:textId="77777777">
        <w:trPr>
          <w:trHeight w:val="723"/>
        </w:trPr>
        <w:tc>
          <w:tcPr>
            <w:tcW w:w="10094" w:type="dxa"/>
            <w:gridSpan w:val="5"/>
          </w:tcPr>
          <w:p w14:paraId="12ECF65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Stock holding days</w:t>
            </w:r>
          </w:p>
        </w:tc>
      </w:tr>
      <w:tr w:rsidR="00FB6690" w14:paraId="3E76D637" w14:textId="77777777">
        <w:trPr>
          <w:trHeight w:val="723"/>
        </w:trPr>
        <w:tc>
          <w:tcPr>
            <w:tcW w:w="2515" w:type="dxa"/>
          </w:tcPr>
          <w:p w14:paraId="1EF75139"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324" w:type="dxa"/>
            <w:gridSpan w:val="2"/>
          </w:tcPr>
          <w:p w14:paraId="10F3BD8B"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71BB3C0F"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626" w:type="dxa"/>
          </w:tcPr>
          <w:p w14:paraId="36FBFEFD"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Stock holding days in 2020</w:t>
            </w:r>
          </w:p>
        </w:tc>
        <w:tc>
          <w:tcPr>
            <w:tcW w:w="2629" w:type="dxa"/>
          </w:tcPr>
          <w:p w14:paraId="7C720D5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Stock holding days in 2021</w:t>
            </w:r>
          </w:p>
        </w:tc>
      </w:tr>
      <w:tr w:rsidR="00FB6690" w14:paraId="7FF9D558" w14:textId="77777777">
        <w:trPr>
          <w:trHeight w:val="352"/>
        </w:trPr>
        <w:tc>
          <w:tcPr>
            <w:tcW w:w="2515" w:type="dxa"/>
            <w:tcBorders>
              <w:top w:val="single" w:sz="4" w:space="0" w:color="000000"/>
              <w:left w:val="single" w:sz="4" w:space="0" w:color="000000"/>
              <w:bottom w:val="single" w:sz="4" w:space="0" w:color="000000"/>
              <w:right w:val="single" w:sz="4" w:space="0" w:color="000000"/>
            </w:tcBorders>
          </w:tcPr>
          <w:p w14:paraId="7004CF8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170" w:type="dxa"/>
          </w:tcPr>
          <w:p w14:paraId="039A35D4"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154" w:type="dxa"/>
          </w:tcPr>
          <w:p w14:paraId="4E0FBA1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626" w:type="dxa"/>
            <w:vMerge w:val="restart"/>
          </w:tcPr>
          <w:p w14:paraId="4C62E769" w14:textId="77777777" w:rsidR="00FB6690" w:rsidRDefault="00000000">
            <w:pP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659 </m:t>
                    </m:r>
                  </m:num>
                  <m:den>
                    <m:r>
                      <w:rPr>
                        <w:rFonts w:ascii="Cambria Math" w:eastAsia="Cambria Math" w:hAnsi="Cambria Math" w:cs="Cambria Math"/>
                        <w:sz w:val="24"/>
                        <w:szCs w:val="24"/>
                      </w:rPr>
                      <m:t xml:space="preserve">3,096 </m:t>
                    </m:r>
                  </m:den>
                </m:f>
                <m:r>
                  <w:rPr>
                    <w:rFonts w:ascii="Cambria Math" w:eastAsia="Cambria Math" w:hAnsi="Cambria Math" w:cs="Cambria Math"/>
                    <w:sz w:val="24"/>
                    <w:szCs w:val="24"/>
                  </w:rPr>
                  <m:t>*365</m:t>
                </m:r>
              </m:oMath>
            </m:oMathPara>
          </w:p>
          <w:p w14:paraId="095485EF" w14:textId="77777777" w:rsidR="00FB6690" w:rsidRDefault="00FB6690">
            <w:pPr>
              <w:jc w:val="both"/>
              <w:rPr>
                <w:rFonts w:ascii="Times New Roman" w:eastAsia="Times New Roman" w:hAnsi="Times New Roman" w:cs="Times New Roman"/>
                <w:sz w:val="24"/>
                <w:szCs w:val="24"/>
              </w:rPr>
            </w:pPr>
          </w:p>
          <w:p w14:paraId="0AA2CCB0"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=77.69</w:t>
            </w:r>
          </w:p>
          <w:p w14:paraId="22932B85" w14:textId="77777777" w:rsidR="00FB6690" w:rsidRDefault="00FB6690">
            <w:pPr>
              <w:jc w:val="both"/>
              <w:rPr>
                <w:rFonts w:ascii="Times New Roman" w:eastAsia="Times New Roman" w:hAnsi="Times New Roman" w:cs="Times New Roman"/>
                <w:sz w:val="24"/>
                <w:szCs w:val="24"/>
              </w:rPr>
            </w:pPr>
          </w:p>
          <w:p w14:paraId="02F94DE9"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78 days (approximate)</w:t>
            </w:r>
          </w:p>
        </w:tc>
        <w:tc>
          <w:tcPr>
            <w:tcW w:w="2629" w:type="dxa"/>
            <w:vMerge w:val="restart"/>
          </w:tcPr>
          <w:p w14:paraId="312E86CA" w14:textId="77777777" w:rsidR="00FB6690" w:rsidRDefault="00000000">
            <w:pP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708 </m:t>
                    </m:r>
                  </m:num>
                  <m:den>
                    <m:r>
                      <w:rPr>
                        <w:rFonts w:ascii="Cambria Math" w:eastAsia="Cambria Math" w:hAnsi="Cambria Math" w:cs="Cambria Math"/>
                        <w:sz w:val="24"/>
                        <w:szCs w:val="24"/>
                      </w:rPr>
                      <m:t xml:space="preserve">3,235  </m:t>
                    </m:r>
                  </m:den>
                </m:f>
                <m:r>
                  <w:rPr>
                    <w:rFonts w:ascii="Cambria Math" w:eastAsia="Cambria Math" w:hAnsi="Cambria Math" w:cs="Cambria Math"/>
                    <w:sz w:val="24"/>
                    <w:szCs w:val="24"/>
                  </w:rPr>
                  <m:t>*365</m:t>
                </m:r>
              </m:oMath>
            </m:oMathPara>
          </w:p>
          <w:p w14:paraId="60F5AE21" w14:textId="77777777" w:rsidR="00FB6690" w:rsidRDefault="00FB6690">
            <w:pPr>
              <w:jc w:val="both"/>
              <w:rPr>
                <w:rFonts w:ascii="Times New Roman" w:eastAsia="Times New Roman" w:hAnsi="Times New Roman" w:cs="Times New Roman"/>
                <w:sz w:val="24"/>
                <w:szCs w:val="24"/>
              </w:rPr>
            </w:pPr>
          </w:p>
          <w:p w14:paraId="4C26020D"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=79.88</w:t>
            </w:r>
          </w:p>
          <w:p w14:paraId="6929934C" w14:textId="77777777" w:rsidR="00FB6690" w:rsidRDefault="00FB6690">
            <w:pPr>
              <w:jc w:val="both"/>
              <w:rPr>
                <w:rFonts w:ascii="Times New Roman" w:eastAsia="Times New Roman" w:hAnsi="Times New Roman" w:cs="Times New Roman"/>
                <w:sz w:val="24"/>
                <w:szCs w:val="24"/>
              </w:rPr>
            </w:pPr>
          </w:p>
          <w:p w14:paraId="7B04BDFF"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80 days (approximate)</w:t>
            </w:r>
          </w:p>
        </w:tc>
      </w:tr>
      <w:tr w:rsidR="00FB6690" w14:paraId="4F7998E4" w14:textId="77777777">
        <w:trPr>
          <w:trHeight w:val="423"/>
        </w:trPr>
        <w:tc>
          <w:tcPr>
            <w:tcW w:w="2515" w:type="dxa"/>
            <w:tcBorders>
              <w:top w:val="single" w:sz="4" w:space="0" w:color="000000"/>
              <w:left w:val="single" w:sz="4" w:space="0" w:color="000000"/>
              <w:bottom w:val="single" w:sz="4" w:space="0" w:color="000000"/>
              <w:right w:val="single" w:sz="4" w:space="0" w:color="000000"/>
            </w:tcBorders>
          </w:tcPr>
          <w:p w14:paraId="2E7A9EF6"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Closing stock</w:t>
            </w:r>
          </w:p>
        </w:tc>
        <w:tc>
          <w:tcPr>
            <w:tcW w:w="1170" w:type="dxa"/>
          </w:tcPr>
          <w:p w14:paraId="3130FEF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659</w:t>
            </w:r>
          </w:p>
        </w:tc>
        <w:tc>
          <w:tcPr>
            <w:tcW w:w="1154" w:type="dxa"/>
          </w:tcPr>
          <w:p w14:paraId="3FB1002C"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708</w:t>
            </w:r>
          </w:p>
        </w:tc>
        <w:tc>
          <w:tcPr>
            <w:tcW w:w="2626" w:type="dxa"/>
            <w:vMerge/>
          </w:tcPr>
          <w:p w14:paraId="046080A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0534A3B9"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05F11E3F" w14:textId="77777777">
        <w:trPr>
          <w:trHeight w:val="737"/>
        </w:trPr>
        <w:tc>
          <w:tcPr>
            <w:tcW w:w="2515" w:type="dxa"/>
            <w:tcBorders>
              <w:top w:val="single" w:sz="4" w:space="0" w:color="000000"/>
              <w:left w:val="single" w:sz="4" w:space="0" w:color="000000"/>
              <w:right w:val="single" w:sz="4" w:space="0" w:color="000000"/>
            </w:tcBorders>
          </w:tcPr>
          <w:p w14:paraId="06EB54DF"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w:t>
            </w:r>
          </w:p>
        </w:tc>
        <w:tc>
          <w:tcPr>
            <w:tcW w:w="1170" w:type="dxa"/>
          </w:tcPr>
          <w:p w14:paraId="0D23B406"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3,096</w:t>
            </w:r>
          </w:p>
        </w:tc>
        <w:tc>
          <w:tcPr>
            <w:tcW w:w="1154" w:type="dxa"/>
          </w:tcPr>
          <w:p w14:paraId="2DBE08D2"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3,235</w:t>
            </w:r>
          </w:p>
        </w:tc>
        <w:tc>
          <w:tcPr>
            <w:tcW w:w="2626" w:type="dxa"/>
            <w:vMerge/>
          </w:tcPr>
          <w:p w14:paraId="6E65346E"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3B995F7D"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0E221694"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Table-06: Stock holding days of Sweet Plc</w:t>
      </w:r>
    </w:p>
    <w:p w14:paraId="4CC8EE60" w14:textId="77777777" w:rsidR="00FB6690" w:rsidRDefault="00000000">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Debtors Collection Period:</w:t>
      </w:r>
    </w:p>
    <w:p w14:paraId="536DC512"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352E2878" w14:textId="77777777" w:rsidR="00FB6690" w:rsidRDefault="00000000">
      <w:pPr>
        <w:spacing w:line="360" w:lineRule="auto"/>
        <w:ind w:left="36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Debtors</w:t>
      </w:r>
      <w:proofErr w:type="gramEnd"/>
      <w:r>
        <w:rPr>
          <w:rFonts w:ascii="Times New Roman" w:eastAsia="Times New Roman" w:hAnsi="Times New Roman" w:cs="Times New Roman"/>
          <w:sz w:val="24"/>
          <w:szCs w:val="24"/>
        </w:rPr>
        <w:t xml:space="preserve"> collection period of Sweets Plc for 2020 and 2021 is calculated below:</w:t>
      </w:r>
    </w:p>
    <w:tbl>
      <w:tblPr>
        <w:tblStyle w:val="a8"/>
        <w:tblW w:w="10094"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2515"/>
        <w:gridCol w:w="1170"/>
        <w:gridCol w:w="1154"/>
        <w:gridCol w:w="2626"/>
        <w:gridCol w:w="2629"/>
      </w:tblGrid>
      <w:tr w:rsidR="00FB6690" w14:paraId="6268D480" w14:textId="77777777">
        <w:trPr>
          <w:trHeight w:val="846"/>
        </w:trPr>
        <w:tc>
          <w:tcPr>
            <w:tcW w:w="2515" w:type="dxa"/>
          </w:tcPr>
          <w:p w14:paraId="46D350C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Debtors collection period</w:t>
            </w:r>
          </w:p>
        </w:tc>
        <w:tc>
          <w:tcPr>
            <w:tcW w:w="7579" w:type="dxa"/>
            <w:gridSpan w:val="4"/>
          </w:tcPr>
          <w:p w14:paraId="33CE72DA" w14:textId="77777777" w:rsidR="00FB6690" w:rsidRDefault="00000000">
            <w:pPr>
              <w:spacing w:line="360" w:lineRule="auto"/>
              <w:jc w:val="center"/>
              <w:rPr>
                <w:rFonts w:ascii="Times New Roman" w:eastAsia="Times New Roman" w:hAnsi="Times New Roman" w:cs="Times New Roman"/>
                <w:sz w:val="24"/>
                <w:szCs w:val="24"/>
              </w:rPr>
            </w:pPr>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Trade receivables</m:t>
                  </m:r>
                </m:num>
                <m:den>
                  <m:r>
                    <w:rPr>
                      <w:rFonts w:ascii="Cambria Math" w:eastAsia="Cambria Math" w:hAnsi="Cambria Math" w:cs="Cambria Math"/>
                      <w:sz w:val="24"/>
                      <w:szCs w:val="24"/>
                    </w:rPr>
                    <m:t xml:space="preserve">Credit sales </m:t>
                  </m:r>
                </m:den>
              </m:f>
            </m:oMath>
            <w:r>
              <w:rPr>
                <w:rFonts w:ascii="Times New Roman" w:eastAsia="Times New Roman" w:hAnsi="Times New Roman" w:cs="Times New Roman"/>
                <w:sz w:val="24"/>
                <w:szCs w:val="24"/>
              </w:rPr>
              <w:t xml:space="preserve"> *365 days</w:t>
            </w:r>
          </w:p>
          <w:p w14:paraId="1218F482"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volume of credit sales is not mentioned, the reported sales revenue in 2020 and 2021 is assumed as the credit sale for Sweets Plc.</w:t>
            </w:r>
          </w:p>
        </w:tc>
      </w:tr>
      <w:tr w:rsidR="00FB6690" w14:paraId="0C96CD95" w14:textId="77777777">
        <w:trPr>
          <w:trHeight w:val="723"/>
        </w:trPr>
        <w:tc>
          <w:tcPr>
            <w:tcW w:w="10094" w:type="dxa"/>
            <w:gridSpan w:val="5"/>
          </w:tcPr>
          <w:p w14:paraId="6AAD11F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Debtors collection period</w:t>
            </w:r>
          </w:p>
        </w:tc>
      </w:tr>
      <w:tr w:rsidR="00FB6690" w14:paraId="1908B2C7" w14:textId="77777777">
        <w:trPr>
          <w:trHeight w:val="723"/>
        </w:trPr>
        <w:tc>
          <w:tcPr>
            <w:tcW w:w="2515" w:type="dxa"/>
          </w:tcPr>
          <w:p w14:paraId="10597DF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324" w:type="dxa"/>
            <w:gridSpan w:val="2"/>
          </w:tcPr>
          <w:p w14:paraId="5442F08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27117B6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626" w:type="dxa"/>
          </w:tcPr>
          <w:p w14:paraId="64B7DF87" w14:textId="77777777" w:rsidR="00FB6690" w:rsidRDefault="00000000">
            <w:pPr>
              <w:spacing w:line="360" w:lineRule="auto"/>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Debtors</w:t>
            </w:r>
            <w:proofErr w:type="gramEnd"/>
            <w:r>
              <w:rPr>
                <w:rFonts w:ascii="Times New Roman" w:eastAsia="Times New Roman" w:hAnsi="Times New Roman" w:cs="Times New Roman"/>
                <w:b/>
                <w:sz w:val="24"/>
                <w:szCs w:val="24"/>
              </w:rPr>
              <w:t xml:space="preserve"> collection period in 2020</w:t>
            </w:r>
          </w:p>
        </w:tc>
        <w:tc>
          <w:tcPr>
            <w:tcW w:w="2629" w:type="dxa"/>
          </w:tcPr>
          <w:p w14:paraId="7D073853" w14:textId="77777777" w:rsidR="00FB6690" w:rsidRDefault="00000000">
            <w:pPr>
              <w:spacing w:line="360" w:lineRule="auto"/>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Debtors</w:t>
            </w:r>
            <w:proofErr w:type="gramEnd"/>
            <w:r>
              <w:rPr>
                <w:rFonts w:ascii="Times New Roman" w:eastAsia="Times New Roman" w:hAnsi="Times New Roman" w:cs="Times New Roman"/>
                <w:b/>
                <w:sz w:val="24"/>
                <w:szCs w:val="24"/>
              </w:rPr>
              <w:t xml:space="preserve"> collection period in 2021</w:t>
            </w:r>
          </w:p>
        </w:tc>
      </w:tr>
      <w:tr w:rsidR="00FB6690" w14:paraId="34369C6E" w14:textId="77777777">
        <w:trPr>
          <w:trHeight w:val="352"/>
        </w:trPr>
        <w:tc>
          <w:tcPr>
            <w:tcW w:w="2515" w:type="dxa"/>
            <w:tcBorders>
              <w:top w:val="single" w:sz="4" w:space="0" w:color="000000"/>
              <w:left w:val="single" w:sz="4" w:space="0" w:color="000000"/>
              <w:bottom w:val="single" w:sz="4" w:space="0" w:color="000000"/>
              <w:right w:val="single" w:sz="4" w:space="0" w:color="000000"/>
            </w:tcBorders>
          </w:tcPr>
          <w:p w14:paraId="7DBF420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170" w:type="dxa"/>
          </w:tcPr>
          <w:p w14:paraId="2D55CAA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154" w:type="dxa"/>
          </w:tcPr>
          <w:p w14:paraId="4F4D6D0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626" w:type="dxa"/>
            <w:vMerge w:val="restart"/>
          </w:tcPr>
          <w:p w14:paraId="685C43A9"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1,287 </m:t>
                    </m:r>
                  </m:num>
                  <m:den>
                    <m:r>
                      <w:rPr>
                        <w:rFonts w:ascii="Cambria Math" w:eastAsia="Cambria Math" w:hAnsi="Cambria Math" w:cs="Cambria Math"/>
                        <w:sz w:val="24"/>
                        <w:szCs w:val="24"/>
                      </w:rPr>
                      <m:t xml:space="preserve">6,441  </m:t>
                    </m:r>
                  </m:den>
                </m:f>
                <m:r>
                  <w:rPr>
                    <w:rFonts w:ascii="Cambria Math" w:eastAsia="Cambria Math" w:hAnsi="Cambria Math" w:cs="Cambria Math"/>
                    <w:sz w:val="24"/>
                    <w:szCs w:val="24"/>
                  </w:rPr>
                  <m:t>*365 days</m:t>
                </m:r>
              </m:oMath>
            </m:oMathPara>
          </w:p>
          <w:p w14:paraId="369CAB59" w14:textId="77777777" w:rsidR="00FB6690" w:rsidRDefault="00FB6690">
            <w:pPr>
              <w:jc w:val="both"/>
              <w:rPr>
                <w:rFonts w:ascii="Times New Roman" w:eastAsia="Times New Roman" w:hAnsi="Times New Roman" w:cs="Times New Roman"/>
                <w:sz w:val="24"/>
                <w:szCs w:val="24"/>
              </w:rPr>
            </w:pPr>
          </w:p>
          <w:p w14:paraId="33663FF6"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=72.93</w:t>
            </w:r>
          </w:p>
          <w:p w14:paraId="74B096E8" w14:textId="77777777" w:rsidR="00FB6690" w:rsidRDefault="00FB6690">
            <w:pPr>
              <w:jc w:val="both"/>
              <w:rPr>
                <w:rFonts w:ascii="Times New Roman" w:eastAsia="Times New Roman" w:hAnsi="Times New Roman" w:cs="Times New Roman"/>
                <w:sz w:val="24"/>
                <w:szCs w:val="24"/>
              </w:rPr>
            </w:pPr>
          </w:p>
          <w:p w14:paraId="359A3A9E"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=73 days (approximate)</w:t>
            </w:r>
          </w:p>
        </w:tc>
        <w:tc>
          <w:tcPr>
            <w:tcW w:w="2629" w:type="dxa"/>
            <w:vMerge w:val="restart"/>
          </w:tcPr>
          <w:p w14:paraId="78C78E72"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1,249 </m:t>
                    </m:r>
                  </m:num>
                  <m:den>
                    <m:r>
                      <w:rPr>
                        <w:rFonts w:ascii="Cambria Math" w:eastAsia="Cambria Math" w:hAnsi="Cambria Math" w:cs="Cambria Math"/>
                        <w:sz w:val="24"/>
                        <w:szCs w:val="24"/>
                      </w:rPr>
                      <m:t xml:space="preserve">6,738  </m:t>
                    </m:r>
                  </m:den>
                </m:f>
                <m:r>
                  <w:rPr>
                    <w:rFonts w:ascii="Cambria Math" w:eastAsia="Cambria Math" w:hAnsi="Cambria Math" w:cs="Cambria Math"/>
                    <w:sz w:val="24"/>
                    <w:szCs w:val="24"/>
                  </w:rPr>
                  <m:t>*365 days</m:t>
                </m:r>
              </m:oMath>
            </m:oMathPara>
          </w:p>
          <w:p w14:paraId="1AB09D75" w14:textId="77777777" w:rsidR="00FB6690" w:rsidRDefault="00FB6690">
            <w:pPr>
              <w:jc w:val="both"/>
              <w:rPr>
                <w:rFonts w:ascii="Times New Roman" w:eastAsia="Times New Roman" w:hAnsi="Times New Roman" w:cs="Times New Roman"/>
                <w:sz w:val="24"/>
                <w:szCs w:val="24"/>
              </w:rPr>
            </w:pPr>
          </w:p>
          <w:p w14:paraId="049556AB" w14:textId="77777777" w:rsidR="00FB669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=67.66</w:t>
            </w:r>
          </w:p>
          <w:p w14:paraId="702A8455" w14:textId="77777777" w:rsidR="00FB6690" w:rsidRDefault="00FB6690">
            <w:pPr>
              <w:jc w:val="both"/>
              <w:rPr>
                <w:rFonts w:ascii="Times New Roman" w:eastAsia="Times New Roman" w:hAnsi="Times New Roman" w:cs="Times New Roman"/>
                <w:sz w:val="24"/>
                <w:szCs w:val="24"/>
              </w:rPr>
            </w:pPr>
          </w:p>
          <w:p w14:paraId="2A23A325" w14:textId="77777777" w:rsidR="00FB669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=68 days (approximate)</w:t>
            </w:r>
          </w:p>
        </w:tc>
      </w:tr>
      <w:tr w:rsidR="00FB6690" w14:paraId="2BB44B96" w14:textId="77777777">
        <w:trPr>
          <w:trHeight w:val="423"/>
        </w:trPr>
        <w:tc>
          <w:tcPr>
            <w:tcW w:w="2515" w:type="dxa"/>
            <w:tcBorders>
              <w:top w:val="single" w:sz="4" w:space="0" w:color="000000"/>
              <w:left w:val="single" w:sz="4" w:space="0" w:color="000000"/>
              <w:bottom w:val="single" w:sz="4" w:space="0" w:color="000000"/>
              <w:right w:val="single" w:sz="4" w:space="0" w:color="000000"/>
            </w:tcBorders>
          </w:tcPr>
          <w:p w14:paraId="2E1C0792"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Trade receivables</w:t>
            </w:r>
          </w:p>
        </w:tc>
        <w:tc>
          <w:tcPr>
            <w:tcW w:w="1170" w:type="dxa"/>
          </w:tcPr>
          <w:p w14:paraId="045B3D3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1287</w:t>
            </w:r>
          </w:p>
        </w:tc>
        <w:tc>
          <w:tcPr>
            <w:tcW w:w="1154" w:type="dxa"/>
          </w:tcPr>
          <w:p w14:paraId="3B47296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1249</w:t>
            </w:r>
          </w:p>
        </w:tc>
        <w:tc>
          <w:tcPr>
            <w:tcW w:w="2626" w:type="dxa"/>
            <w:vMerge/>
          </w:tcPr>
          <w:p w14:paraId="340C8C38"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606C0979"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5ABB3268" w14:textId="77777777">
        <w:trPr>
          <w:trHeight w:val="737"/>
        </w:trPr>
        <w:tc>
          <w:tcPr>
            <w:tcW w:w="2515" w:type="dxa"/>
            <w:tcBorders>
              <w:top w:val="single" w:sz="4" w:space="0" w:color="000000"/>
              <w:left w:val="single" w:sz="4" w:space="0" w:color="000000"/>
              <w:right w:val="single" w:sz="4" w:space="0" w:color="000000"/>
            </w:tcBorders>
          </w:tcPr>
          <w:p w14:paraId="3EC49129"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Sales revenue</w:t>
            </w:r>
          </w:p>
        </w:tc>
        <w:tc>
          <w:tcPr>
            <w:tcW w:w="1170" w:type="dxa"/>
          </w:tcPr>
          <w:p w14:paraId="1601994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1154" w:type="dxa"/>
          </w:tcPr>
          <w:p w14:paraId="5662FCC8"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2626" w:type="dxa"/>
            <w:vMerge/>
          </w:tcPr>
          <w:p w14:paraId="2E886E62"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42FF646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5A89B71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Table-07: Debtors collection period of Sweet Plc</w:t>
      </w:r>
    </w:p>
    <w:p w14:paraId="7040E79B"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05021CC0" w14:textId="77777777" w:rsidR="00FB6690" w:rsidRDefault="00000000">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Current Ratio:</w:t>
      </w:r>
    </w:p>
    <w:p w14:paraId="3D15938B"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7FCA1242" w14:textId="77777777" w:rsidR="00FB6690" w:rsidRDefault="00000000">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ratio of Sweets Plc for 2020 and 2021 is calculated below:</w:t>
      </w:r>
    </w:p>
    <w:tbl>
      <w:tblPr>
        <w:tblStyle w:val="a9"/>
        <w:tblW w:w="10094"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2515"/>
        <w:gridCol w:w="1170"/>
        <w:gridCol w:w="1154"/>
        <w:gridCol w:w="2626"/>
        <w:gridCol w:w="2629"/>
      </w:tblGrid>
      <w:tr w:rsidR="00FB6690" w14:paraId="07293FAD" w14:textId="77777777">
        <w:trPr>
          <w:trHeight w:val="846"/>
        </w:trPr>
        <w:tc>
          <w:tcPr>
            <w:tcW w:w="2515" w:type="dxa"/>
          </w:tcPr>
          <w:p w14:paraId="062B7B3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Current Ratio</w:t>
            </w:r>
          </w:p>
        </w:tc>
        <w:tc>
          <w:tcPr>
            <w:tcW w:w="7579" w:type="dxa"/>
            <w:gridSpan w:val="4"/>
          </w:tcPr>
          <w:p w14:paraId="4D22D5F4"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Current Assets</m:t>
                    </m:r>
                  </m:num>
                  <m:den>
                    <m:r>
                      <w:rPr>
                        <w:rFonts w:ascii="Cambria Math" w:eastAsia="Cambria Math" w:hAnsi="Cambria Math" w:cs="Cambria Math"/>
                        <w:sz w:val="24"/>
                        <w:szCs w:val="24"/>
                      </w:rPr>
                      <m:t>Current Liabilities</m:t>
                    </m:r>
                  </m:den>
                </m:f>
              </m:oMath>
            </m:oMathPara>
          </w:p>
          <w:p w14:paraId="4C76DDD6" w14:textId="77777777" w:rsidR="00FB6690" w:rsidRDefault="00FB6690">
            <w:pPr>
              <w:spacing w:line="360" w:lineRule="auto"/>
              <w:jc w:val="center"/>
              <w:rPr>
                <w:rFonts w:ascii="Times New Roman" w:eastAsia="Times New Roman" w:hAnsi="Times New Roman" w:cs="Times New Roman"/>
                <w:sz w:val="24"/>
                <w:szCs w:val="24"/>
              </w:rPr>
            </w:pPr>
          </w:p>
        </w:tc>
      </w:tr>
      <w:tr w:rsidR="00FB6690" w14:paraId="45E10EAE" w14:textId="77777777">
        <w:trPr>
          <w:trHeight w:val="723"/>
        </w:trPr>
        <w:tc>
          <w:tcPr>
            <w:tcW w:w="10094" w:type="dxa"/>
            <w:gridSpan w:val="5"/>
          </w:tcPr>
          <w:p w14:paraId="547C76A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Current ratio</w:t>
            </w:r>
          </w:p>
        </w:tc>
      </w:tr>
      <w:tr w:rsidR="00FB6690" w14:paraId="1BD46836" w14:textId="77777777">
        <w:trPr>
          <w:trHeight w:val="723"/>
        </w:trPr>
        <w:tc>
          <w:tcPr>
            <w:tcW w:w="2515" w:type="dxa"/>
          </w:tcPr>
          <w:p w14:paraId="65FD088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324" w:type="dxa"/>
            <w:gridSpan w:val="2"/>
          </w:tcPr>
          <w:p w14:paraId="373CB1F4"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2E83BD1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626" w:type="dxa"/>
          </w:tcPr>
          <w:p w14:paraId="0EFA51A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 in 2020</w:t>
            </w:r>
          </w:p>
        </w:tc>
        <w:tc>
          <w:tcPr>
            <w:tcW w:w="2629" w:type="dxa"/>
          </w:tcPr>
          <w:p w14:paraId="341B714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 in 2021</w:t>
            </w:r>
          </w:p>
        </w:tc>
      </w:tr>
      <w:tr w:rsidR="00FB6690" w14:paraId="1291517B" w14:textId="77777777">
        <w:trPr>
          <w:trHeight w:val="352"/>
        </w:trPr>
        <w:tc>
          <w:tcPr>
            <w:tcW w:w="2515" w:type="dxa"/>
            <w:tcBorders>
              <w:top w:val="single" w:sz="4" w:space="0" w:color="000000"/>
              <w:left w:val="single" w:sz="4" w:space="0" w:color="000000"/>
              <w:bottom w:val="single" w:sz="4" w:space="0" w:color="000000"/>
              <w:right w:val="single" w:sz="4" w:space="0" w:color="000000"/>
            </w:tcBorders>
          </w:tcPr>
          <w:p w14:paraId="3EAEAFC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170" w:type="dxa"/>
          </w:tcPr>
          <w:p w14:paraId="4E9ABFDC"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154" w:type="dxa"/>
          </w:tcPr>
          <w:p w14:paraId="21BF2ED8"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626" w:type="dxa"/>
            <w:vMerge w:val="restart"/>
          </w:tcPr>
          <w:p w14:paraId="3E74D8BB"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2,355 </m:t>
                    </m:r>
                  </m:num>
                  <m:den>
                    <m:r>
                      <w:rPr>
                        <w:rFonts w:ascii="Cambria Math" w:eastAsia="Cambria Math" w:hAnsi="Cambria Math" w:cs="Cambria Math"/>
                        <w:sz w:val="24"/>
                        <w:szCs w:val="24"/>
                      </w:rPr>
                      <m:t xml:space="preserve">3,046 </m:t>
                    </m:r>
                  </m:den>
                </m:f>
              </m:oMath>
            </m:oMathPara>
          </w:p>
          <w:p w14:paraId="23AB439E" w14:textId="77777777" w:rsidR="00FB6690" w:rsidRDefault="00FB6690">
            <w:pPr>
              <w:jc w:val="center"/>
              <w:rPr>
                <w:rFonts w:ascii="Times New Roman" w:eastAsia="Times New Roman" w:hAnsi="Times New Roman" w:cs="Times New Roman"/>
                <w:sz w:val="24"/>
                <w:szCs w:val="24"/>
              </w:rPr>
            </w:pPr>
          </w:p>
          <w:p w14:paraId="7C4DDB6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0.773</w:t>
            </w:r>
          </w:p>
        </w:tc>
        <w:tc>
          <w:tcPr>
            <w:tcW w:w="2629" w:type="dxa"/>
            <w:vMerge w:val="restart"/>
          </w:tcPr>
          <w:p w14:paraId="51E660BF"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2,303 </m:t>
                    </m:r>
                  </m:num>
                  <m:den>
                    <m:r>
                      <w:rPr>
                        <w:rFonts w:ascii="Cambria Math" w:eastAsia="Cambria Math" w:hAnsi="Cambria Math" w:cs="Cambria Math"/>
                        <w:sz w:val="24"/>
                        <w:szCs w:val="24"/>
                      </w:rPr>
                      <m:t xml:space="preserve">2,511  </m:t>
                    </m:r>
                  </m:den>
                </m:f>
              </m:oMath>
            </m:oMathPara>
          </w:p>
          <w:p w14:paraId="0E1A5BED" w14:textId="77777777" w:rsidR="00FB6690" w:rsidRDefault="00FB6690">
            <w:pPr>
              <w:jc w:val="center"/>
              <w:rPr>
                <w:rFonts w:ascii="Times New Roman" w:eastAsia="Times New Roman" w:hAnsi="Times New Roman" w:cs="Times New Roman"/>
                <w:sz w:val="24"/>
                <w:szCs w:val="24"/>
              </w:rPr>
            </w:pPr>
          </w:p>
          <w:p w14:paraId="24455317"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0.916</w:t>
            </w:r>
          </w:p>
        </w:tc>
      </w:tr>
      <w:tr w:rsidR="00FB6690" w14:paraId="036C72D4" w14:textId="77777777">
        <w:trPr>
          <w:trHeight w:val="423"/>
        </w:trPr>
        <w:tc>
          <w:tcPr>
            <w:tcW w:w="2515" w:type="dxa"/>
            <w:tcBorders>
              <w:top w:val="single" w:sz="4" w:space="0" w:color="000000"/>
              <w:left w:val="single" w:sz="4" w:space="0" w:color="000000"/>
              <w:bottom w:val="single" w:sz="4" w:space="0" w:color="000000"/>
              <w:right w:val="single" w:sz="4" w:space="0" w:color="000000"/>
            </w:tcBorders>
          </w:tcPr>
          <w:p w14:paraId="6BEF9108"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Assets</w:t>
            </w:r>
          </w:p>
        </w:tc>
        <w:tc>
          <w:tcPr>
            <w:tcW w:w="1170" w:type="dxa"/>
          </w:tcPr>
          <w:p w14:paraId="609BC655"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2,355</w:t>
            </w:r>
          </w:p>
        </w:tc>
        <w:tc>
          <w:tcPr>
            <w:tcW w:w="1154" w:type="dxa"/>
          </w:tcPr>
          <w:p w14:paraId="53149068"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2,303</w:t>
            </w:r>
          </w:p>
        </w:tc>
        <w:tc>
          <w:tcPr>
            <w:tcW w:w="2626" w:type="dxa"/>
            <w:vMerge/>
          </w:tcPr>
          <w:p w14:paraId="56F4C457"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071D204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04619D18" w14:textId="77777777">
        <w:trPr>
          <w:trHeight w:val="737"/>
        </w:trPr>
        <w:tc>
          <w:tcPr>
            <w:tcW w:w="2515" w:type="dxa"/>
            <w:tcBorders>
              <w:top w:val="single" w:sz="4" w:space="0" w:color="000000"/>
              <w:left w:val="single" w:sz="4" w:space="0" w:color="000000"/>
              <w:right w:val="single" w:sz="4" w:space="0" w:color="000000"/>
            </w:tcBorders>
          </w:tcPr>
          <w:p w14:paraId="727DEE7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170" w:type="dxa"/>
          </w:tcPr>
          <w:p w14:paraId="6432B8C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c>
          <w:tcPr>
            <w:tcW w:w="1154" w:type="dxa"/>
          </w:tcPr>
          <w:p w14:paraId="08E69677"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c>
          <w:tcPr>
            <w:tcW w:w="2626" w:type="dxa"/>
            <w:vMerge/>
          </w:tcPr>
          <w:p w14:paraId="1126F840"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1F0E5863"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2FD44E01"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Table-08: Current ratio of Sweet Plc</w:t>
      </w:r>
    </w:p>
    <w:p w14:paraId="7EC13D3F" w14:textId="77777777" w:rsidR="00FB6690" w:rsidRDefault="00FB6690">
      <w:pPr>
        <w:spacing w:line="360" w:lineRule="auto"/>
        <w:jc w:val="both"/>
        <w:rPr>
          <w:rFonts w:ascii="Times New Roman" w:eastAsia="Times New Roman" w:hAnsi="Times New Roman" w:cs="Times New Roman"/>
          <w:sz w:val="24"/>
          <w:szCs w:val="24"/>
        </w:rPr>
      </w:pPr>
    </w:p>
    <w:p w14:paraId="5657A5A0" w14:textId="77777777" w:rsidR="00FB6690" w:rsidRDefault="00000000">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Gearing Ratio:</w:t>
      </w:r>
    </w:p>
    <w:p w14:paraId="7B79E22F"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0DE716F8" w14:textId="77777777" w:rsidR="00FB6690" w:rsidRDefault="00000000">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Gearing ratio of Sweets Plc for 2020 and 2021 is calculated below:</w:t>
      </w:r>
    </w:p>
    <w:tbl>
      <w:tblPr>
        <w:tblStyle w:val="aa"/>
        <w:tblW w:w="10094"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2515"/>
        <w:gridCol w:w="1170"/>
        <w:gridCol w:w="1154"/>
        <w:gridCol w:w="2626"/>
        <w:gridCol w:w="2629"/>
      </w:tblGrid>
      <w:tr w:rsidR="00FB6690" w14:paraId="7C6E5EEC" w14:textId="77777777">
        <w:trPr>
          <w:trHeight w:val="846"/>
        </w:trPr>
        <w:tc>
          <w:tcPr>
            <w:tcW w:w="2515" w:type="dxa"/>
          </w:tcPr>
          <w:p w14:paraId="7568DF2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Gearing Ratio</w:t>
            </w:r>
          </w:p>
        </w:tc>
        <w:tc>
          <w:tcPr>
            <w:tcW w:w="7579" w:type="dxa"/>
            <w:gridSpan w:val="4"/>
          </w:tcPr>
          <w:p w14:paraId="53463B81"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Total Equity</m:t>
                    </m:r>
                  </m:num>
                  <m:den>
                    <m:r>
                      <w:rPr>
                        <w:rFonts w:ascii="Cambria Math" w:eastAsia="Cambria Math" w:hAnsi="Cambria Math" w:cs="Cambria Math"/>
                        <w:sz w:val="24"/>
                        <w:szCs w:val="24"/>
                      </w:rPr>
                      <m:t>Total Liabilities</m:t>
                    </m:r>
                  </m:den>
                </m:f>
              </m:oMath>
            </m:oMathPara>
          </w:p>
          <w:p w14:paraId="48659768" w14:textId="77777777" w:rsidR="00FB6690" w:rsidRDefault="00FB6690">
            <w:pPr>
              <w:spacing w:line="360" w:lineRule="auto"/>
              <w:jc w:val="center"/>
              <w:rPr>
                <w:rFonts w:ascii="Times New Roman" w:eastAsia="Times New Roman" w:hAnsi="Times New Roman" w:cs="Times New Roman"/>
                <w:sz w:val="24"/>
                <w:szCs w:val="24"/>
              </w:rPr>
            </w:pPr>
          </w:p>
        </w:tc>
      </w:tr>
      <w:tr w:rsidR="00FB6690" w14:paraId="79AF9F28" w14:textId="77777777">
        <w:trPr>
          <w:trHeight w:val="723"/>
        </w:trPr>
        <w:tc>
          <w:tcPr>
            <w:tcW w:w="10094" w:type="dxa"/>
            <w:gridSpan w:val="5"/>
          </w:tcPr>
          <w:p w14:paraId="313C846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Gearing ratio</w:t>
            </w:r>
          </w:p>
        </w:tc>
      </w:tr>
      <w:tr w:rsidR="00FB6690" w14:paraId="3610DDCA" w14:textId="77777777">
        <w:trPr>
          <w:trHeight w:val="723"/>
        </w:trPr>
        <w:tc>
          <w:tcPr>
            <w:tcW w:w="2515" w:type="dxa"/>
          </w:tcPr>
          <w:p w14:paraId="6179AF8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324" w:type="dxa"/>
            <w:gridSpan w:val="2"/>
          </w:tcPr>
          <w:p w14:paraId="144F9A6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4CE2F20D"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626" w:type="dxa"/>
          </w:tcPr>
          <w:p w14:paraId="396CC30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 in 2020</w:t>
            </w:r>
          </w:p>
        </w:tc>
        <w:tc>
          <w:tcPr>
            <w:tcW w:w="2629" w:type="dxa"/>
          </w:tcPr>
          <w:p w14:paraId="1C81AE8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 in 2021</w:t>
            </w:r>
          </w:p>
        </w:tc>
      </w:tr>
      <w:tr w:rsidR="00FB6690" w14:paraId="3AA1FB63" w14:textId="77777777">
        <w:trPr>
          <w:trHeight w:val="352"/>
        </w:trPr>
        <w:tc>
          <w:tcPr>
            <w:tcW w:w="2515" w:type="dxa"/>
            <w:tcBorders>
              <w:top w:val="single" w:sz="4" w:space="0" w:color="000000"/>
              <w:left w:val="single" w:sz="4" w:space="0" w:color="000000"/>
              <w:bottom w:val="single" w:sz="4" w:space="0" w:color="000000"/>
              <w:right w:val="single" w:sz="4" w:space="0" w:color="000000"/>
            </w:tcBorders>
          </w:tcPr>
          <w:p w14:paraId="40194E1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170" w:type="dxa"/>
          </w:tcPr>
          <w:p w14:paraId="25D4F184"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154" w:type="dxa"/>
          </w:tcPr>
          <w:p w14:paraId="75421AC9"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626" w:type="dxa"/>
            <w:vMerge w:val="restart"/>
          </w:tcPr>
          <w:p w14:paraId="040A75F4"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7,175 </m:t>
                    </m:r>
                  </m:num>
                  <m:den>
                    <m:r>
                      <w:rPr>
                        <w:rFonts w:ascii="Cambria Math" w:eastAsia="Cambria Math" w:hAnsi="Cambria Math" w:cs="Cambria Math"/>
                        <w:sz w:val="24"/>
                        <w:szCs w:val="24"/>
                      </w:rPr>
                      <m:t xml:space="preserve">2,912  </m:t>
                    </m:r>
                  </m:den>
                </m:f>
              </m:oMath>
            </m:oMathPara>
          </w:p>
          <w:p w14:paraId="205BB888" w14:textId="77777777" w:rsidR="00FB6690" w:rsidRDefault="00FB6690">
            <w:pPr>
              <w:jc w:val="center"/>
              <w:rPr>
                <w:rFonts w:ascii="Times New Roman" w:eastAsia="Times New Roman" w:hAnsi="Times New Roman" w:cs="Times New Roman"/>
                <w:sz w:val="24"/>
                <w:szCs w:val="24"/>
              </w:rPr>
            </w:pPr>
          </w:p>
          <w:p w14:paraId="79C2F74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2.464</w:t>
            </w:r>
          </w:p>
        </w:tc>
        <w:tc>
          <w:tcPr>
            <w:tcW w:w="2629" w:type="dxa"/>
            <w:vMerge w:val="restart"/>
          </w:tcPr>
          <w:p w14:paraId="4795F9CC"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6,648 </m:t>
                    </m:r>
                  </m:num>
                  <m:den>
                    <m:r>
                      <w:rPr>
                        <w:rFonts w:ascii="Cambria Math" w:eastAsia="Cambria Math" w:hAnsi="Cambria Math" w:cs="Cambria Math"/>
                        <w:sz w:val="24"/>
                        <w:szCs w:val="24"/>
                      </w:rPr>
                      <m:t xml:space="preserve">3,088  </m:t>
                    </m:r>
                  </m:den>
                </m:f>
              </m:oMath>
            </m:oMathPara>
          </w:p>
          <w:p w14:paraId="5F9CE332" w14:textId="77777777" w:rsidR="00FB6690" w:rsidRDefault="00FB6690">
            <w:pPr>
              <w:jc w:val="center"/>
              <w:rPr>
                <w:rFonts w:ascii="Times New Roman" w:eastAsia="Times New Roman" w:hAnsi="Times New Roman" w:cs="Times New Roman"/>
                <w:sz w:val="24"/>
                <w:szCs w:val="24"/>
              </w:rPr>
            </w:pPr>
          </w:p>
          <w:p w14:paraId="20C4D812"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2.153</w:t>
            </w:r>
          </w:p>
        </w:tc>
      </w:tr>
      <w:tr w:rsidR="00FB6690" w14:paraId="5B71ED47" w14:textId="77777777">
        <w:trPr>
          <w:trHeight w:val="423"/>
        </w:trPr>
        <w:tc>
          <w:tcPr>
            <w:tcW w:w="2515" w:type="dxa"/>
            <w:tcBorders>
              <w:top w:val="single" w:sz="4" w:space="0" w:color="000000"/>
              <w:left w:val="single" w:sz="4" w:space="0" w:color="000000"/>
              <w:bottom w:val="single" w:sz="4" w:space="0" w:color="000000"/>
              <w:right w:val="single" w:sz="4" w:space="0" w:color="000000"/>
            </w:tcBorders>
          </w:tcPr>
          <w:p w14:paraId="7335DE6D"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w:t>
            </w:r>
          </w:p>
        </w:tc>
        <w:tc>
          <w:tcPr>
            <w:tcW w:w="1170" w:type="dxa"/>
          </w:tcPr>
          <w:p w14:paraId="74A2F727"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c>
          <w:tcPr>
            <w:tcW w:w="1154" w:type="dxa"/>
          </w:tcPr>
          <w:p w14:paraId="2AF0813D"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c>
          <w:tcPr>
            <w:tcW w:w="2626" w:type="dxa"/>
            <w:vMerge/>
          </w:tcPr>
          <w:p w14:paraId="679AD48E"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39D92BCB"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33014CD0" w14:textId="77777777">
        <w:trPr>
          <w:trHeight w:val="737"/>
        </w:trPr>
        <w:tc>
          <w:tcPr>
            <w:tcW w:w="2515" w:type="dxa"/>
            <w:tcBorders>
              <w:top w:val="single" w:sz="4" w:space="0" w:color="000000"/>
              <w:left w:val="single" w:sz="4" w:space="0" w:color="000000"/>
              <w:right w:val="single" w:sz="4" w:space="0" w:color="000000"/>
            </w:tcBorders>
          </w:tcPr>
          <w:p w14:paraId="3CA8912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Liabilities</w:t>
            </w:r>
          </w:p>
        </w:tc>
        <w:tc>
          <w:tcPr>
            <w:tcW w:w="1170" w:type="dxa"/>
          </w:tcPr>
          <w:p w14:paraId="29D5BFF7"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7,175</w:t>
            </w:r>
          </w:p>
        </w:tc>
        <w:tc>
          <w:tcPr>
            <w:tcW w:w="1154" w:type="dxa"/>
          </w:tcPr>
          <w:p w14:paraId="08323A0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6,648</w:t>
            </w:r>
          </w:p>
        </w:tc>
        <w:tc>
          <w:tcPr>
            <w:tcW w:w="2626" w:type="dxa"/>
            <w:vMerge/>
          </w:tcPr>
          <w:p w14:paraId="09E9DDF7"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6BF50D0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53EC92DD"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Table-09: Gearing ratio of Sweet Plc</w:t>
      </w:r>
    </w:p>
    <w:p w14:paraId="35CB172E"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4B4512F5" w14:textId="77777777" w:rsidR="00FB6690" w:rsidRDefault="00000000">
      <w:pPr>
        <w:numPr>
          <w:ilvl w:val="0"/>
          <w:numId w:val="1"/>
        </w:numPr>
        <w:pBdr>
          <w:top w:val="nil"/>
          <w:left w:val="nil"/>
          <w:bottom w:val="nil"/>
          <w:right w:val="nil"/>
          <w:between w:val="nil"/>
        </w:pBdr>
        <w:spacing w:after="0" w:line="360" w:lineRule="auto"/>
        <w:jc w:val="both"/>
        <w:rPr>
          <w:b/>
          <w:color w:val="000000"/>
          <w:sz w:val="24"/>
          <w:szCs w:val="24"/>
        </w:rPr>
      </w:pPr>
      <w:r>
        <w:rPr>
          <w:rFonts w:ascii="Times New Roman" w:eastAsia="Times New Roman" w:hAnsi="Times New Roman" w:cs="Times New Roman"/>
          <w:b/>
          <w:color w:val="000000"/>
          <w:sz w:val="24"/>
          <w:szCs w:val="24"/>
        </w:rPr>
        <w:t>Interest Coverage Ratio:</w:t>
      </w:r>
    </w:p>
    <w:p w14:paraId="33F51347" w14:textId="77777777" w:rsidR="00FB6690" w:rsidRDefault="00000000">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coverage ratio of Sweets Plc for 2020 and 2021 is calculated below:</w:t>
      </w:r>
    </w:p>
    <w:tbl>
      <w:tblPr>
        <w:tblStyle w:val="ab"/>
        <w:tblW w:w="10094"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400" w:firstRow="0" w:lastRow="0" w:firstColumn="0" w:lastColumn="0" w:noHBand="0" w:noVBand="1"/>
      </w:tblPr>
      <w:tblGrid>
        <w:gridCol w:w="2515"/>
        <w:gridCol w:w="1170"/>
        <w:gridCol w:w="1154"/>
        <w:gridCol w:w="2626"/>
        <w:gridCol w:w="2629"/>
      </w:tblGrid>
      <w:tr w:rsidR="00FB6690" w14:paraId="12C728C7" w14:textId="77777777">
        <w:trPr>
          <w:trHeight w:val="846"/>
        </w:trPr>
        <w:tc>
          <w:tcPr>
            <w:tcW w:w="2515" w:type="dxa"/>
          </w:tcPr>
          <w:p w14:paraId="5BF14F33"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 of Interest Coverage Ratio</w:t>
            </w:r>
          </w:p>
        </w:tc>
        <w:tc>
          <w:tcPr>
            <w:tcW w:w="7579" w:type="dxa"/>
            <w:gridSpan w:val="4"/>
          </w:tcPr>
          <w:p w14:paraId="53785182"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Operating profit</m:t>
                    </m:r>
                  </m:num>
                  <m:den>
                    <m:r>
                      <w:rPr>
                        <w:rFonts w:ascii="Cambria Math" w:eastAsia="Cambria Math" w:hAnsi="Cambria Math" w:cs="Cambria Math"/>
                        <w:sz w:val="24"/>
                        <w:szCs w:val="24"/>
                      </w:rPr>
                      <m:t>Interest expense</m:t>
                    </m:r>
                  </m:den>
                </m:f>
              </m:oMath>
            </m:oMathPara>
          </w:p>
          <w:p w14:paraId="49DBDD57" w14:textId="77777777" w:rsidR="00FB6690" w:rsidRDefault="00FB6690">
            <w:pPr>
              <w:spacing w:line="360" w:lineRule="auto"/>
              <w:jc w:val="center"/>
              <w:rPr>
                <w:rFonts w:ascii="Times New Roman" w:eastAsia="Times New Roman" w:hAnsi="Times New Roman" w:cs="Times New Roman"/>
                <w:sz w:val="24"/>
                <w:szCs w:val="24"/>
              </w:rPr>
            </w:pPr>
          </w:p>
        </w:tc>
      </w:tr>
      <w:tr w:rsidR="00FB6690" w14:paraId="679A57BD" w14:textId="77777777">
        <w:trPr>
          <w:trHeight w:val="723"/>
        </w:trPr>
        <w:tc>
          <w:tcPr>
            <w:tcW w:w="10094" w:type="dxa"/>
            <w:gridSpan w:val="5"/>
          </w:tcPr>
          <w:p w14:paraId="7D74096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 of Interest coverage ratio</w:t>
            </w:r>
          </w:p>
        </w:tc>
      </w:tr>
      <w:tr w:rsidR="00FB6690" w14:paraId="62A7EC06" w14:textId="77777777">
        <w:trPr>
          <w:trHeight w:val="723"/>
        </w:trPr>
        <w:tc>
          <w:tcPr>
            <w:tcW w:w="2515" w:type="dxa"/>
          </w:tcPr>
          <w:p w14:paraId="2724CFE5"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2324" w:type="dxa"/>
            <w:gridSpan w:val="2"/>
          </w:tcPr>
          <w:p w14:paraId="4A483CB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Provided information</w:t>
            </w:r>
          </w:p>
          <w:p w14:paraId="504D0421"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 millions)</w:t>
            </w:r>
          </w:p>
        </w:tc>
        <w:tc>
          <w:tcPr>
            <w:tcW w:w="2626" w:type="dxa"/>
          </w:tcPr>
          <w:p w14:paraId="35A437D0"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 coverage ratio in 2020</w:t>
            </w:r>
          </w:p>
        </w:tc>
        <w:tc>
          <w:tcPr>
            <w:tcW w:w="2629" w:type="dxa"/>
          </w:tcPr>
          <w:p w14:paraId="77FDE786"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 coverage ratio in 2021</w:t>
            </w:r>
          </w:p>
        </w:tc>
      </w:tr>
      <w:tr w:rsidR="00FB6690" w14:paraId="5031D582" w14:textId="77777777">
        <w:trPr>
          <w:trHeight w:val="352"/>
        </w:trPr>
        <w:tc>
          <w:tcPr>
            <w:tcW w:w="2515" w:type="dxa"/>
            <w:tcBorders>
              <w:top w:val="single" w:sz="4" w:space="0" w:color="000000"/>
              <w:left w:val="single" w:sz="4" w:space="0" w:color="000000"/>
              <w:bottom w:val="single" w:sz="4" w:space="0" w:color="000000"/>
              <w:right w:val="single" w:sz="4" w:space="0" w:color="000000"/>
            </w:tcBorders>
          </w:tcPr>
          <w:p w14:paraId="5F169531"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w:t>
            </w:r>
          </w:p>
        </w:tc>
        <w:tc>
          <w:tcPr>
            <w:tcW w:w="1170" w:type="dxa"/>
          </w:tcPr>
          <w:p w14:paraId="0066720A"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c>
          <w:tcPr>
            <w:tcW w:w="1154" w:type="dxa"/>
          </w:tcPr>
          <w:p w14:paraId="7531990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2626" w:type="dxa"/>
            <w:vMerge w:val="restart"/>
          </w:tcPr>
          <w:p w14:paraId="0AC9D3D5"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699 </m:t>
                    </m:r>
                  </m:num>
                  <m:den>
                    <m:r>
                      <w:rPr>
                        <w:rFonts w:ascii="Cambria Math" w:eastAsia="Cambria Math" w:hAnsi="Cambria Math" w:cs="Cambria Math"/>
                        <w:sz w:val="24"/>
                        <w:szCs w:val="24"/>
                      </w:rPr>
                      <m:t xml:space="preserve">181 </m:t>
                    </m:r>
                  </m:den>
                </m:f>
              </m:oMath>
            </m:oMathPara>
          </w:p>
          <w:p w14:paraId="7BD04C25" w14:textId="77777777" w:rsidR="00FB6690" w:rsidRDefault="00FB6690">
            <w:pPr>
              <w:jc w:val="center"/>
              <w:rPr>
                <w:rFonts w:ascii="Times New Roman" w:eastAsia="Times New Roman" w:hAnsi="Times New Roman" w:cs="Times New Roman"/>
                <w:sz w:val="24"/>
                <w:szCs w:val="24"/>
              </w:rPr>
            </w:pPr>
          </w:p>
          <w:p w14:paraId="0106295F"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3.862</w:t>
            </w:r>
          </w:p>
        </w:tc>
        <w:tc>
          <w:tcPr>
            <w:tcW w:w="2629" w:type="dxa"/>
            <w:vMerge w:val="restart"/>
          </w:tcPr>
          <w:p w14:paraId="646DD3C9" w14:textId="77777777" w:rsidR="00FB6690" w:rsidRDefault="00000000">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805 </m:t>
                    </m:r>
                  </m:num>
                  <m:den>
                    <m:r>
                      <w:rPr>
                        <w:rFonts w:ascii="Cambria Math" w:eastAsia="Cambria Math" w:hAnsi="Cambria Math" w:cs="Cambria Math"/>
                        <w:sz w:val="24"/>
                        <w:szCs w:val="24"/>
                      </w:rPr>
                      <m:t xml:space="preserve"> 226  </m:t>
                    </m:r>
                  </m:den>
                </m:f>
              </m:oMath>
            </m:oMathPara>
          </w:p>
          <w:p w14:paraId="6462C1A7" w14:textId="77777777" w:rsidR="00FB6690" w:rsidRDefault="00FB6690">
            <w:pPr>
              <w:jc w:val="center"/>
              <w:rPr>
                <w:rFonts w:ascii="Times New Roman" w:eastAsia="Times New Roman" w:hAnsi="Times New Roman" w:cs="Times New Roman"/>
                <w:sz w:val="24"/>
                <w:szCs w:val="24"/>
              </w:rPr>
            </w:pPr>
          </w:p>
          <w:p w14:paraId="3BABFDBB" w14:textId="77777777" w:rsidR="00FB669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3.562</w:t>
            </w:r>
          </w:p>
        </w:tc>
      </w:tr>
      <w:tr w:rsidR="00FB6690" w14:paraId="2302F19F" w14:textId="77777777">
        <w:trPr>
          <w:trHeight w:val="423"/>
        </w:trPr>
        <w:tc>
          <w:tcPr>
            <w:tcW w:w="2515" w:type="dxa"/>
            <w:tcBorders>
              <w:top w:val="single" w:sz="4" w:space="0" w:color="000000"/>
              <w:left w:val="single" w:sz="4" w:space="0" w:color="000000"/>
              <w:bottom w:val="single" w:sz="4" w:space="0" w:color="000000"/>
              <w:right w:val="single" w:sz="4" w:space="0" w:color="000000"/>
            </w:tcBorders>
          </w:tcPr>
          <w:p w14:paraId="22D8CF9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profit</w:t>
            </w:r>
          </w:p>
        </w:tc>
        <w:tc>
          <w:tcPr>
            <w:tcW w:w="1170" w:type="dxa"/>
          </w:tcPr>
          <w:p w14:paraId="72A1AFBF"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699</w:t>
            </w:r>
          </w:p>
        </w:tc>
        <w:tc>
          <w:tcPr>
            <w:tcW w:w="1154" w:type="dxa"/>
          </w:tcPr>
          <w:p w14:paraId="3FE019F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805</w:t>
            </w:r>
          </w:p>
        </w:tc>
        <w:tc>
          <w:tcPr>
            <w:tcW w:w="2626" w:type="dxa"/>
            <w:vMerge/>
          </w:tcPr>
          <w:p w14:paraId="134FE73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7B666A2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FB6690" w14:paraId="1D09B63E" w14:textId="77777777">
        <w:trPr>
          <w:trHeight w:val="737"/>
        </w:trPr>
        <w:tc>
          <w:tcPr>
            <w:tcW w:w="2515" w:type="dxa"/>
            <w:tcBorders>
              <w:top w:val="single" w:sz="4" w:space="0" w:color="000000"/>
              <w:left w:val="single" w:sz="4" w:space="0" w:color="000000"/>
              <w:right w:val="single" w:sz="4" w:space="0" w:color="000000"/>
            </w:tcBorders>
          </w:tcPr>
          <w:p w14:paraId="42FC350E"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w:t>
            </w:r>
          </w:p>
        </w:tc>
        <w:tc>
          <w:tcPr>
            <w:tcW w:w="1170" w:type="dxa"/>
          </w:tcPr>
          <w:p w14:paraId="608C413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181</w:t>
            </w:r>
          </w:p>
        </w:tc>
        <w:tc>
          <w:tcPr>
            <w:tcW w:w="1154" w:type="dxa"/>
          </w:tcPr>
          <w:p w14:paraId="7FADA5E0"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p>
        </w:tc>
        <w:tc>
          <w:tcPr>
            <w:tcW w:w="2626" w:type="dxa"/>
            <w:vMerge/>
          </w:tcPr>
          <w:p w14:paraId="43C1819A"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629" w:type="dxa"/>
            <w:vMerge/>
          </w:tcPr>
          <w:p w14:paraId="7195DB44" w14:textId="77777777" w:rsidR="00FB6690" w:rsidRDefault="00FB6690">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bl>
    <w:p w14:paraId="18A129CA" w14:textId="77777777" w:rsidR="00FB669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Table-10: Interest coverage ratio of Sweet Plc</w:t>
      </w:r>
    </w:p>
    <w:p w14:paraId="79CCE5DF"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449BA4C2"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220C6CFC"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51BDD677"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7AD961AD"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008530DF"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10B09AC7" w14:textId="77777777" w:rsidR="00FB6690" w:rsidRDefault="00FB6690">
      <w:pPr>
        <w:spacing w:after="0" w:line="360" w:lineRule="auto"/>
        <w:jc w:val="both"/>
        <w:rPr>
          <w:rFonts w:ascii="Times New Roman" w:eastAsia="Times New Roman" w:hAnsi="Times New Roman" w:cs="Times New Roman"/>
          <w:b/>
          <w:color w:val="000000"/>
          <w:sz w:val="24"/>
          <w:szCs w:val="24"/>
        </w:rPr>
      </w:pPr>
    </w:p>
    <w:p w14:paraId="622E8DDF" w14:textId="77777777" w:rsidR="00FB6690" w:rsidRDefault="00000000">
      <w:pPr>
        <w:pStyle w:val="Heading2"/>
        <w:rPr>
          <w:b/>
          <w:color w:val="ED7D31"/>
        </w:rPr>
      </w:pPr>
      <w:bookmarkStart w:id="6" w:name="_Toc123900799"/>
      <w:r>
        <w:rPr>
          <w:b/>
          <w:color w:val="ED7D31"/>
        </w:rPr>
        <w:t>Task-B</w:t>
      </w:r>
      <w:bookmarkEnd w:id="6"/>
    </w:p>
    <w:p w14:paraId="2F059797"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ROCE:</w:t>
      </w:r>
    </w:p>
    <w:p w14:paraId="0495497C"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Since the ROCE increased from 9.9% in 2020 to 11.1% in 2021, the ROCE evaluation for Sweets Plc in 2020 and 2021 demonstrates a rising trend as shown in table 1. A conclusion that can be drawn from the growing trend in the ROCE is that Sweets Plc's management is effectively using </w:t>
      </w:r>
      <w:proofErr w:type="gramStart"/>
      <w:r>
        <w:rPr>
          <w:rFonts w:ascii="Times New Roman" w:eastAsia="Times New Roman" w:hAnsi="Times New Roman" w:cs="Times New Roman"/>
          <w:color w:val="000000"/>
          <w:sz w:val="24"/>
          <w:szCs w:val="24"/>
        </w:rPr>
        <w:t>all of</w:t>
      </w:r>
      <w:proofErr w:type="gramEnd"/>
      <w:r>
        <w:rPr>
          <w:rFonts w:ascii="Times New Roman" w:eastAsia="Times New Roman" w:hAnsi="Times New Roman" w:cs="Times New Roman"/>
          <w:color w:val="000000"/>
          <w:sz w:val="24"/>
          <w:szCs w:val="24"/>
        </w:rPr>
        <w:t xml:space="preserve"> the capital that is available to the company to produce profits, aiding in the achievement of capital efficiency in the operation of the company.  </w:t>
      </w:r>
    </w:p>
    <w:p w14:paraId="6E30D46A" w14:textId="77777777" w:rsidR="00FB6690" w:rsidRDefault="00000000">
      <w:pPr>
        <w:numPr>
          <w:ilvl w:val="0"/>
          <w:numId w:val="2"/>
        </w:numPr>
        <w:pBdr>
          <w:top w:val="nil"/>
          <w:left w:val="nil"/>
          <w:bottom w:val="nil"/>
          <w:right w:val="nil"/>
          <w:between w:val="nil"/>
        </w:pBdr>
        <w:spacing w:after="0" w:line="300" w:lineRule="auto"/>
        <w:jc w:val="both"/>
        <w:rPr>
          <w:color w:val="000000"/>
          <w:sz w:val="24"/>
          <w:szCs w:val="24"/>
        </w:rPr>
      </w:pPr>
      <w:r>
        <w:rPr>
          <w:rFonts w:ascii="Times New Roman" w:eastAsia="Times New Roman" w:hAnsi="Times New Roman" w:cs="Times New Roman"/>
          <w:b/>
          <w:color w:val="000000"/>
          <w:sz w:val="24"/>
          <w:szCs w:val="24"/>
        </w:rPr>
        <w:t>ROE</w:t>
      </w:r>
      <w:r>
        <w:rPr>
          <w:rFonts w:ascii="Times New Roman" w:eastAsia="Times New Roman" w:hAnsi="Times New Roman" w:cs="Times New Roman"/>
          <w:color w:val="000000"/>
          <w:sz w:val="24"/>
          <w:szCs w:val="24"/>
        </w:rPr>
        <w:t>:</w:t>
      </w:r>
    </w:p>
    <w:p w14:paraId="6251D374"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Sweets Plc's ROE has increased over the past two fiscal years, as indicated in table 2, as the profitability ratio has increased from 12.6% in 2020 to 14.0% in 2021. The growing trend indicates that Sweets Plc's management is making sure to use equity investments effectively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generate more profits for its equity holders, greatly aiding in the process of maximizing shareholder wealth.</w:t>
      </w:r>
    </w:p>
    <w:p w14:paraId="7829E72C"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EPS:</w:t>
      </w:r>
    </w:p>
    <w:p w14:paraId="7A96819C"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Since EPS has grown from £0.61 per share in 2020 to £0.72 per share in 2021, it can be </w:t>
      </w:r>
      <w:proofErr w:type="spellStart"/>
      <w:r>
        <w:rPr>
          <w:rFonts w:ascii="Times New Roman" w:eastAsia="Times New Roman" w:hAnsi="Times New Roman" w:cs="Times New Roman"/>
          <w:color w:val="000000"/>
          <w:sz w:val="24"/>
          <w:szCs w:val="24"/>
        </w:rPr>
        <w:t>ssiad</w:t>
      </w:r>
      <w:proofErr w:type="spellEnd"/>
      <w:r>
        <w:rPr>
          <w:rFonts w:ascii="Times New Roman" w:eastAsia="Times New Roman" w:hAnsi="Times New Roman" w:cs="Times New Roman"/>
          <w:color w:val="000000"/>
          <w:sz w:val="24"/>
          <w:szCs w:val="24"/>
        </w:rPr>
        <w:t xml:space="preserve"> that EPS has been on the rise over the investigated period of Sweets Plc. The growing trend in EPS suggests that Sweets Plc's management is producing enough income and profit for its equity investors. In the future, rising EPS will help to attain greater market share prices which will eventually assist the firm to increase its market valuation.</w:t>
      </w:r>
    </w:p>
    <w:p w14:paraId="7AF73CF9"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Net profit margin:</w:t>
      </w:r>
    </w:p>
    <w:p w14:paraId="79EB0DAC"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Table 4 shows a rising trend in Sweets Plc's net profit margin over the last two fiscal years, with the ratio increasing from 5.7% in 2020 to 6.4% in 2021.</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This upward tendency implies that Sweets Plc's management is not only able to take advantage of the expanding demand for sweets and confectionery goods to raise sales revenue but also </w:t>
      </w:r>
      <w:proofErr w:type="gramStart"/>
      <w:r>
        <w:rPr>
          <w:rFonts w:ascii="Times New Roman" w:eastAsia="Times New Roman" w:hAnsi="Times New Roman" w:cs="Times New Roman"/>
          <w:color w:val="000000"/>
          <w:sz w:val="24"/>
          <w:szCs w:val="24"/>
        </w:rPr>
        <w:t>have the ability to</w:t>
      </w:r>
      <w:proofErr w:type="gramEnd"/>
      <w:r>
        <w:rPr>
          <w:rFonts w:ascii="Times New Roman" w:eastAsia="Times New Roman" w:hAnsi="Times New Roman" w:cs="Times New Roman"/>
          <w:color w:val="000000"/>
          <w:sz w:val="24"/>
          <w:szCs w:val="24"/>
        </w:rPr>
        <w:t xml:space="preserve"> exert adequate control over the cost structure to increase profit for the company.</w:t>
      </w:r>
    </w:p>
    <w:p w14:paraId="49786B02" w14:textId="77777777" w:rsidR="00FB6690" w:rsidRDefault="00FB6690">
      <w:pPr>
        <w:spacing w:after="0" w:line="300" w:lineRule="auto"/>
        <w:jc w:val="both"/>
        <w:rPr>
          <w:rFonts w:ascii="Times New Roman" w:eastAsia="Times New Roman" w:hAnsi="Times New Roman" w:cs="Times New Roman"/>
          <w:color w:val="000000"/>
          <w:sz w:val="24"/>
          <w:szCs w:val="24"/>
        </w:rPr>
      </w:pPr>
    </w:p>
    <w:p w14:paraId="2BADF861"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Asset turnover:</w:t>
      </w:r>
    </w:p>
    <w:p w14:paraId="4C1E741C"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Table 5 documents an increase in asset turnover over the past two fiscal years as the ratio has improved from 63.9% in 2020 to 69.2% in 2021. Based on this growing trend it can be implied that Sweets Plc's management is making the best use of its available resources to generate more revenue for the firm.</w:t>
      </w:r>
    </w:p>
    <w:p w14:paraId="47592BF7"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Stock holding days:</w:t>
      </w:r>
    </w:p>
    <w:p w14:paraId="42F87BBF"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Given that the stock holding days has grown from 78 days in 2020 to 80 days in 2021, it is clear from table 6 that the stock holding days have been increasing over the last two fiscal years, thus suggesting Sweets Plc's poor managerial performance in inventory management in turning finished inventories into revenue for the business. </w:t>
      </w:r>
    </w:p>
    <w:p w14:paraId="51B02022"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proofErr w:type="gramStart"/>
      <w:r>
        <w:rPr>
          <w:rFonts w:ascii="Times New Roman" w:eastAsia="Times New Roman" w:hAnsi="Times New Roman" w:cs="Times New Roman"/>
          <w:b/>
          <w:color w:val="000000"/>
          <w:sz w:val="24"/>
          <w:szCs w:val="24"/>
        </w:rPr>
        <w:t>Debtors</w:t>
      </w:r>
      <w:proofErr w:type="gramEnd"/>
      <w:r>
        <w:rPr>
          <w:rFonts w:ascii="Times New Roman" w:eastAsia="Times New Roman" w:hAnsi="Times New Roman" w:cs="Times New Roman"/>
          <w:b/>
          <w:color w:val="000000"/>
          <w:sz w:val="24"/>
          <w:szCs w:val="24"/>
        </w:rPr>
        <w:t xml:space="preserve"> collection period:</w:t>
      </w:r>
    </w:p>
    <w:p w14:paraId="6CCD98B5"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this efficiency ratio falling from 73 days in 2020 to 68 days in 2021, it can be opined that the debtor collection period has been on the decline over the past two fiscal years, thus indicating that Sweets Plc's administrative expertise in timely collecting money from its credit clients. </w:t>
      </w:r>
    </w:p>
    <w:p w14:paraId="26684839" w14:textId="77777777" w:rsidR="00FB6690" w:rsidRDefault="00000000">
      <w:pPr>
        <w:numPr>
          <w:ilvl w:val="0"/>
          <w:numId w:val="1"/>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Current ratio:</w:t>
      </w:r>
    </w:p>
    <w:p w14:paraId="09A77EEA"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Table 8 illustrates the growing trend of Sweet Plc's current ratio, which increased from 0.773 in 2020 to 0.916 in 2021. Despite the growing trend, Sweet Plc's current ratio in the previous two fiscal years was below the minimum acceptable level of 1.0. According to this, Sweets Plc would likely experience financial difficulties throughout the period of falling sales and cashflows even though it has increased profitability over the previous two financial years </w:t>
      </w:r>
      <w:proofErr w:type="gramStart"/>
      <w:r>
        <w:rPr>
          <w:rFonts w:ascii="Times New Roman" w:eastAsia="Times New Roman" w:hAnsi="Times New Roman" w:cs="Times New Roman"/>
          <w:color w:val="000000"/>
          <w:sz w:val="24"/>
          <w:szCs w:val="24"/>
        </w:rPr>
        <w:t>as a result of</w:t>
      </w:r>
      <w:proofErr w:type="gramEnd"/>
      <w:r>
        <w:rPr>
          <w:rFonts w:ascii="Times New Roman" w:eastAsia="Times New Roman" w:hAnsi="Times New Roman" w:cs="Times New Roman"/>
          <w:color w:val="000000"/>
          <w:sz w:val="24"/>
          <w:szCs w:val="24"/>
        </w:rPr>
        <w:t xml:space="preserve"> active working capital management.</w:t>
      </w:r>
    </w:p>
    <w:p w14:paraId="79BC8011"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Gearing ratio:</w:t>
      </w:r>
    </w:p>
    <w:p w14:paraId="4F89FAB2"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Table 9 shows that Sweet Plc's gearing ratio maintained over 2.0 </w:t>
      </w:r>
      <w:proofErr w:type="gramStart"/>
      <w:r>
        <w:rPr>
          <w:rFonts w:ascii="Times New Roman" w:eastAsia="Times New Roman" w:hAnsi="Times New Roman" w:cs="Times New Roman"/>
          <w:color w:val="000000"/>
          <w:sz w:val="24"/>
          <w:szCs w:val="24"/>
        </w:rPr>
        <w:t>during the course of</w:t>
      </w:r>
      <w:proofErr w:type="gramEnd"/>
      <w:r>
        <w:rPr>
          <w:rFonts w:ascii="Times New Roman" w:eastAsia="Times New Roman" w:hAnsi="Times New Roman" w:cs="Times New Roman"/>
          <w:color w:val="000000"/>
          <w:sz w:val="24"/>
          <w:szCs w:val="24"/>
        </w:rPr>
        <w:t xml:space="preserve"> the last two fiscal years, indicating that the management is increasingly depending on outside borrowing to support its capital structure. this suggests that Sweets Plc's capital structure is heavily leveraged as more than 70% of the capital structure is comprised of debt financing. However, the gearing ratio declined marginally in 2021 and the Sweet Plc’s management should be focus on this continuous decline in the gearing ratio in the future to improve its financial solvency. </w:t>
      </w:r>
    </w:p>
    <w:p w14:paraId="7B635581" w14:textId="77777777" w:rsidR="00FB6690" w:rsidRDefault="00FB6690">
      <w:pPr>
        <w:spacing w:after="0" w:line="300" w:lineRule="auto"/>
        <w:jc w:val="both"/>
        <w:rPr>
          <w:rFonts w:ascii="Times New Roman" w:eastAsia="Times New Roman" w:hAnsi="Times New Roman" w:cs="Times New Roman"/>
          <w:color w:val="000000"/>
          <w:sz w:val="24"/>
          <w:szCs w:val="24"/>
        </w:rPr>
      </w:pPr>
    </w:p>
    <w:p w14:paraId="2CD423B6" w14:textId="77777777" w:rsidR="00FB6690" w:rsidRDefault="00000000">
      <w:pPr>
        <w:numPr>
          <w:ilvl w:val="0"/>
          <w:numId w:val="2"/>
        </w:numPr>
        <w:pBdr>
          <w:top w:val="nil"/>
          <w:left w:val="nil"/>
          <w:bottom w:val="nil"/>
          <w:right w:val="nil"/>
          <w:between w:val="nil"/>
        </w:pBdr>
        <w:spacing w:after="0" w:line="300" w:lineRule="auto"/>
        <w:jc w:val="both"/>
        <w:rPr>
          <w:b/>
          <w:color w:val="000000"/>
          <w:sz w:val="24"/>
          <w:szCs w:val="24"/>
        </w:rPr>
      </w:pPr>
      <w:r>
        <w:rPr>
          <w:rFonts w:ascii="Times New Roman" w:eastAsia="Times New Roman" w:hAnsi="Times New Roman" w:cs="Times New Roman"/>
          <w:b/>
          <w:color w:val="000000"/>
          <w:sz w:val="24"/>
          <w:szCs w:val="24"/>
        </w:rPr>
        <w:t>Interest coverage ratio:</w:t>
      </w:r>
    </w:p>
    <w:p w14:paraId="616ABBAE" w14:textId="77777777" w:rsidR="00FB6690" w:rsidRDefault="00000000">
      <w:pPr>
        <w:spacing w:after="0" w:line="30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table 10, </w:t>
      </w:r>
      <w:proofErr w:type="gramStart"/>
      <w:r>
        <w:rPr>
          <w:rFonts w:ascii="Times New Roman" w:eastAsia="Times New Roman" w:hAnsi="Times New Roman" w:cs="Times New Roman"/>
          <w:color w:val="000000"/>
          <w:sz w:val="24"/>
          <w:szCs w:val="24"/>
        </w:rPr>
        <w:t>it is clear that the</w:t>
      </w:r>
      <w:proofErr w:type="gramEnd"/>
      <w:r>
        <w:rPr>
          <w:rFonts w:ascii="Times New Roman" w:eastAsia="Times New Roman" w:hAnsi="Times New Roman" w:cs="Times New Roman"/>
          <w:color w:val="000000"/>
          <w:sz w:val="24"/>
          <w:szCs w:val="24"/>
        </w:rPr>
        <w:t xml:space="preserve"> interest coverage ratio is on the decline, going from 3.86 in 2020 to 3.56 in 2021.</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Despite a little dip, the ratio had stayed over the desirable cut-off point of 2.0x for the previous two fiscal years, indicating that the management had generated sufficient revenue to cover the expenses of its debt financing during the investigated periods.</w:t>
      </w:r>
    </w:p>
    <w:p w14:paraId="56AEF5C0" w14:textId="77777777" w:rsidR="00FB6690" w:rsidRDefault="00FB6690">
      <w:pPr>
        <w:spacing w:after="0" w:line="300" w:lineRule="auto"/>
        <w:jc w:val="both"/>
        <w:rPr>
          <w:rFonts w:ascii="Times New Roman" w:eastAsia="Times New Roman" w:hAnsi="Times New Roman" w:cs="Times New Roman"/>
          <w:color w:val="000000"/>
          <w:sz w:val="24"/>
          <w:szCs w:val="24"/>
        </w:rPr>
      </w:pPr>
    </w:p>
    <w:p w14:paraId="1116A40A"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2C9FCC94"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09782568"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613FBFE0"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65B0DDF2"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4D3F8A7E"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19B0EE19"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33AB0542"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42F57617"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5DC02446"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2F3C7C0E" w14:textId="77777777" w:rsidR="00FB6690" w:rsidRDefault="00FB6690">
      <w:pPr>
        <w:spacing w:after="0" w:line="360" w:lineRule="auto"/>
        <w:jc w:val="both"/>
        <w:rPr>
          <w:rFonts w:ascii="Times New Roman" w:eastAsia="Times New Roman" w:hAnsi="Times New Roman" w:cs="Times New Roman"/>
          <w:color w:val="000000"/>
          <w:sz w:val="24"/>
          <w:szCs w:val="24"/>
        </w:rPr>
      </w:pPr>
    </w:p>
    <w:p w14:paraId="3E6FEAC5" w14:textId="77777777" w:rsidR="00FB6690" w:rsidRDefault="00000000">
      <w:pPr>
        <w:pStyle w:val="Heading1"/>
        <w:rPr>
          <w:b/>
        </w:rPr>
      </w:pPr>
      <w:bookmarkStart w:id="7" w:name="_Toc123900800"/>
      <w:r>
        <w:rPr>
          <w:b/>
        </w:rPr>
        <w:t>Conclusion</w:t>
      </w:r>
      <w:bookmarkEnd w:id="7"/>
    </w:p>
    <w:p w14:paraId="668E5E8E" w14:textId="77777777" w:rsidR="00FB6690" w:rsidRDefault="00000000">
      <w:pPr>
        <w:spacing w:line="3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from this study that various accounting tools and approaches assist in improving the financial performance and quality of management choices by disseminating relevant information in the most effective and efficient way. This helps to facilitate the organization's decision-making process.</w:t>
      </w:r>
    </w:p>
    <w:sectPr w:rsidR="00FB66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6BE2"/>
    <w:multiLevelType w:val="multilevel"/>
    <w:tmpl w:val="14B0F7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A65FE6"/>
    <w:multiLevelType w:val="multilevel"/>
    <w:tmpl w:val="9698E6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2300309">
    <w:abstractNumId w:val="0"/>
  </w:num>
  <w:num w:numId="2" w16cid:durableId="1215510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690"/>
    <w:rsid w:val="00657004"/>
    <w:rsid w:val="00EB5E63"/>
    <w:rsid w:val="00FB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59474"/>
  <w15:docId w15:val="{7D0CE4BB-4972-4F38-83AC-11CAE550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rPr>
      <w:tblPr/>
      <w:tcPr>
        <w:tcBorders>
          <w:top w:val="single" w:sz="4" w:space="0" w:color="ED7D31"/>
        </w:tcBorders>
      </w:tcPr>
    </w:tblStylePr>
    <w:tblStylePr w:type="firstCol">
      <w:rPr>
        <w:b/>
      </w:rPr>
    </w:tblStylePr>
    <w:tblStylePr w:type="lastCol">
      <w:rPr>
        <w:b/>
      </w:rPr>
    </w:tblStylePr>
    <w:tblStylePr w:type="band1Vert">
      <w:tblPr/>
      <w:tcPr>
        <w:shd w:val="clear" w:color="auto" w:fill="FBE5D5"/>
      </w:tcPr>
    </w:tblStylePr>
    <w:tblStylePr w:type="band1Horz">
      <w:tblPr/>
      <w:tcPr>
        <w:shd w:val="clear" w:color="auto" w:fill="FBE5D5"/>
      </w:tcPr>
    </w:tblStylePr>
  </w:style>
  <w:style w:type="table" w:customStyle="1" w:styleId="a0">
    <w:basedOn w:val="TableNormal"/>
    <w:pPr>
      <w:spacing w:after="0" w:line="240" w:lineRule="auto"/>
    </w:pPr>
    <w:tblPr>
      <w:tblStyleRowBandSize w:val="1"/>
      <w:tblStyleColBandSize w:val="1"/>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rPr>
      <w:tblPr/>
      <w:tcPr>
        <w:tcBorders>
          <w:top w:val="single" w:sz="4" w:space="0" w:color="ED7D31"/>
        </w:tcBorders>
      </w:tcPr>
    </w:tblStylePr>
    <w:tblStylePr w:type="firstCol">
      <w:rPr>
        <w:b/>
      </w:rPr>
    </w:tblStylePr>
    <w:tblStylePr w:type="lastCol">
      <w:rPr>
        <w:b/>
      </w:rPr>
    </w:tblStylePr>
    <w:tblStylePr w:type="band1Vert">
      <w:tblPr/>
      <w:tcPr>
        <w:shd w:val="clear" w:color="auto" w:fill="FBE5D5"/>
      </w:tcPr>
    </w:tblStylePr>
    <w:tblStylePr w:type="band1Horz">
      <w:tblPr/>
      <w:tcPr>
        <w:shd w:val="clear" w:color="auto" w:fill="FBE5D5"/>
      </w:tcPr>
    </w:tblStyle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657004"/>
    <w:pPr>
      <w:spacing w:after="100"/>
    </w:pPr>
  </w:style>
  <w:style w:type="paragraph" w:styleId="TOC2">
    <w:name w:val="toc 2"/>
    <w:basedOn w:val="Normal"/>
    <w:next w:val="Normal"/>
    <w:autoRedefine/>
    <w:uiPriority w:val="39"/>
    <w:unhideWhenUsed/>
    <w:rsid w:val="00657004"/>
    <w:pPr>
      <w:spacing w:after="100"/>
      <w:ind w:left="220"/>
    </w:pPr>
  </w:style>
  <w:style w:type="character" w:styleId="Hyperlink">
    <w:name w:val="Hyperlink"/>
    <w:basedOn w:val="DefaultParagraphFont"/>
    <w:uiPriority w:val="99"/>
    <w:unhideWhenUsed/>
    <w:rsid w:val="006570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968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2327</Words>
  <Characters>13269</Characters>
  <DocSecurity>0</DocSecurity>
  <Lines>110</Lines>
  <Paragraphs>31</Paragraphs>
  <ScaleCrop>false</ScaleCrop>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2023-01-06T12:33:00Z</dcterms:created>
  <dcterms:modified xsi:type="dcterms:W3CDTF">2023-01-06T15:48:00Z</dcterms:modified>
</cp:coreProperties>
</file>