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4E3E2744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262FAF">
        <w:rPr>
          <w:rFonts w:ascii="Arial" w:hAnsi="Arial" w:cs="Arial"/>
          <w:b/>
          <w:bCs/>
          <w:sz w:val="28"/>
          <w:szCs w:val="28"/>
        </w:rPr>
        <w:t>lected Studies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0CDBD08C" w:rsidR="001D13D3" w:rsidRPr="00E67B4D" w:rsidRDefault="001D13D3" w:rsidP="001D13D3">
      <w:pPr>
        <w:rPr>
          <w:rFonts w:ascii="Arial" w:hAnsi="Arial" w:cs="Arial"/>
          <w:szCs w:val="24"/>
        </w:rPr>
      </w:pPr>
      <w:r w:rsidRPr="00E67B4D">
        <w:rPr>
          <w:rFonts w:ascii="Arial" w:hAnsi="Arial" w:cs="Arial"/>
          <w:b/>
          <w:bCs/>
          <w:szCs w:val="24"/>
        </w:rPr>
        <w:t>Name of student:</w:t>
      </w:r>
      <w:r w:rsidRPr="00E67B4D">
        <w:rPr>
          <w:rFonts w:ascii="Arial" w:hAnsi="Arial" w:cs="Arial"/>
          <w:szCs w:val="24"/>
        </w:rPr>
        <w:t xml:space="preserve"> </w:t>
      </w:r>
      <w:r w:rsidR="00B11DB9">
        <w:rPr>
          <w:rFonts w:ascii="Arial" w:hAnsi="Arial" w:cs="Arial"/>
          <w:szCs w:val="24"/>
        </w:rPr>
        <w:t>Ivelina Succaria</w:t>
      </w:r>
    </w:p>
    <w:p w14:paraId="62448DDD" w14:textId="420E2A33" w:rsidR="001D13D3" w:rsidRPr="00E67B4D" w:rsidRDefault="001D13D3" w:rsidP="001D13D3">
      <w:pPr>
        <w:rPr>
          <w:rFonts w:ascii="Arial" w:hAnsi="Arial" w:cs="Arial"/>
          <w:b/>
          <w:bCs/>
          <w:szCs w:val="24"/>
        </w:rPr>
      </w:pPr>
      <w:r w:rsidRPr="00E67B4D">
        <w:rPr>
          <w:rFonts w:ascii="Arial" w:hAnsi="Arial" w:cs="Arial"/>
          <w:b/>
          <w:bCs/>
          <w:szCs w:val="24"/>
        </w:rPr>
        <w:t>Topic/aim of your research:</w:t>
      </w:r>
      <w:r w:rsidRPr="00E67B4D">
        <w:rPr>
          <w:rFonts w:ascii="Arial" w:hAnsi="Arial" w:cs="Arial"/>
          <w:szCs w:val="24"/>
        </w:rPr>
        <w:t xml:space="preserve"> </w:t>
      </w:r>
      <w:r w:rsidR="00CC6FFD">
        <w:rPr>
          <w:rFonts w:ascii="Arial" w:hAnsi="Arial" w:cs="Arial"/>
          <w:szCs w:val="24"/>
        </w:rPr>
        <w:t>Different</w:t>
      </w:r>
      <w:r w:rsidR="00B11DB9">
        <w:rPr>
          <w:rFonts w:ascii="Arial" w:hAnsi="Arial" w:cs="Arial"/>
          <w:szCs w:val="24"/>
        </w:rPr>
        <w:t xml:space="preserve"> ways of treatment </w:t>
      </w:r>
      <w:r w:rsidR="00AE1DAA">
        <w:rPr>
          <w:rFonts w:ascii="Arial" w:hAnsi="Arial" w:cs="Arial"/>
          <w:szCs w:val="24"/>
        </w:rPr>
        <w:t>of Anorexia Nervosa in adolescents in the UK.</w:t>
      </w:r>
    </w:p>
    <w:p w14:paraId="2B2F1573" w14:textId="6F86B11E" w:rsidR="001D13D3" w:rsidRDefault="001D13D3"/>
    <w:tbl>
      <w:tblPr>
        <w:tblW w:w="128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2615"/>
        <w:gridCol w:w="2504"/>
        <w:gridCol w:w="2747"/>
        <w:gridCol w:w="4467"/>
      </w:tblGrid>
      <w:tr w:rsidR="0030423D" w:rsidRPr="00113095" w14:paraId="5B717C06" w14:textId="77777777" w:rsidTr="00113095">
        <w:trPr>
          <w:trHeight w:val="821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14D0ED" w14:textId="77777777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7CC7A6D0" w14:textId="2C0280D2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Author(s), title, and year of publication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12578708" w14:textId="77777777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Aim of study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42E3EEFC" w14:textId="5EED79C2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Methods, Sample size and characteristics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3D54126A" w14:textId="77777777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Summary of main findings</w:t>
            </w:r>
          </w:p>
          <w:p w14:paraId="5D533051" w14:textId="77777777" w:rsidR="00113095" w:rsidRPr="00113095" w:rsidRDefault="00113095" w:rsidP="00113095">
            <w:pPr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30423D" w:rsidRPr="00113095" w14:paraId="10858988" w14:textId="77777777" w:rsidTr="00113095">
        <w:trPr>
          <w:trHeight w:val="457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847AF" w14:textId="3D4A7F1A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FB6B0B0" w14:textId="6823D636" w:rsidR="002479CF" w:rsidRPr="005515D8" w:rsidRDefault="005515D8" w:rsidP="005515D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515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 multi-centre cohort study of short term</w:t>
            </w:r>
            <w:r w:rsidRPr="005515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515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outcomes of hospital treatment for anorexia</w:t>
            </w:r>
            <w:r w:rsidRPr="005515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515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nervosa in the UK</w:t>
            </w:r>
          </w:p>
          <w:p w14:paraId="2B19B864" w14:textId="77777777" w:rsidR="00113095" w:rsidRPr="000B6347" w:rsidRDefault="00B94349" w:rsidP="00B94349">
            <w:pPr>
              <w:rPr>
                <w:rFonts w:ascii="Arial" w:hAnsi="Arial" w:cs="Arial"/>
                <w:sz w:val="16"/>
                <w:szCs w:val="16"/>
              </w:rPr>
            </w:pPr>
            <w:r w:rsidRPr="000B6347">
              <w:rPr>
                <w:rFonts w:ascii="Arial" w:hAnsi="Arial" w:cs="Arial"/>
                <w:sz w:val="16"/>
                <w:szCs w:val="16"/>
              </w:rPr>
              <w:t>Elizabeth Goddard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Rebecca Hibbs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Simone Raenker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Laura Salerno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Jon Arcelus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Nicky Boughton</w:t>
            </w:r>
            <w:r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B6347">
              <w:rPr>
                <w:rFonts w:ascii="Arial" w:hAnsi="Arial" w:cs="Arial"/>
                <w:sz w:val="16"/>
                <w:szCs w:val="16"/>
              </w:rPr>
              <w:t>Frances Connan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Ken Goss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Bert Laszlo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John Morgan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Kim Moore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David Robertson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Saeidi S</w:t>
            </w:r>
            <w:r w:rsidR="000000F7"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Christa Schreiber-Kounine, Sonu Sharma, Linette Whitehead</w:t>
            </w:r>
            <w:r w:rsidR="00FD288C"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Ulrike Schmidt and Janet Treasure</w:t>
            </w:r>
          </w:p>
          <w:p w14:paraId="2BAFE1E6" w14:textId="075BB0DB" w:rsidR="005515D8" w:rsidRPr="00B94349" w:rsidRDefault="00C62FAD" w:rsidP="00B943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157A07BA" w14:textId="4E94765A" w:rsidR="00113095" w:rsidRPr="00A8062D" w:rsidRDefault="00107AAD" w:rsidP="00B418A8">
            <w:pPr>
              <w:jc w:val="both"/>
              <w:rPr>
                <w:rFonts w:ascii="Arial" w:hAnsi="Arial" w:cs="Arial"/>
                <w:sz w:val="22"/>
              </w:rPr>
            </w:pPr>
            <w:r w:rsidRPr="00A8062D">
              <w:rPr>
                <w:rFonts w:ascii="Arial" w:hAnsi="Arial" w:cs="Arial"/>
                <w:sz w:val="22"/>
              </w:rPr>
              <w:t xml:space="preserve">To describe the clinical features of </w:t>
            </w:r>
            <w:r w:rsidR="00C2702D" w:rsidRPr="00A8062D">
              <w:rPr>
                <w:rFonts w:ascii="Arial" w:hAnsi="Arial" w:cs="Arial"/>
                <w:sz w:val="22"/>
              </w:rPr>
              <w:t xml:space="preserve">patients admitted </w:t>
            </w:r>
            <w:r w:rsidR="00F727D9" w:rsidRPr="00A8062D">
              <w:rPr>
                <w:rFonts w:ascii="Arial" w:hAnsi="Arial" w:cs="Arial"/>
                <w:sz w:val="22"/>
              </w:rPr>
              <w:t>for ED and the</w:t>
            </w:r>
            <w:r w:rsidR="00A8062D">
              <w:rPr>
                <w:rFonts w:ascii="Arial" w:hAnsi="Arial" w:cs="Arial"/>
                <w:sz w:val="22"/>
              </w:rPr>
              <w:t xml:space="preserve"> way </w:t>
            </w:r>
            <w:r w:rsidR="0066029D">
              <w:rPr>
                <w:rFonts w:ascii="Arial" w:hAnsi="Arial" w:cs="Arial"/>
                <w:sz w:val="22"/>
              </w:rPr>
              <w:t>c</w:t>
            </w:r>
            <w:r w:rsidR="0018267B">
              <w:rPr>
                <w:rFonts w:ascii="Arial" w:hAnsi="Arial" w:cs="Arial"/>
                <w:sz w:val="22"/>
              </w:rPr>
              <w:t xml:space="preserve">arer emotions and control and law quality of </w:t>
            </w:r>
            <w:r w:rsidR="00B418A8">
              <w:rPr>
                <w:rFonts w:ascii="Arial" w:hAnsi="Arial" w:cs="Arial"/>
                <w:sz w:val="22"/>
              </w:rPr>
              <w:t xml:space="preserve">social relations contribute negatively to the response to </w:t>
            </w:r>
            <w:r w:rsidR="00BD40C4">
              <w:rPr>
                <w:rFonts w:ascii="Arial" w:hAnsi="Arial" w:cs="Arial"/>
                <w:sz w:val="22"/>
              </w:rPr>
              <w:t>inpatient care.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58735E1" w14:textId="0CB670FD" w:rsidR="00113095" w:rsidRPr="00113095" w:rsidRDefault="00C8094C" w:rsidP="0027229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 i</w:t>
            </w:r>
            <w:r w:rsidR="0086133F">
              <w:rPr>
                <w:rFonts w:ascii="Arial" w:hAnsi="Arial" w:cs="Arial"/>
              </w:rPr>
              <w:t>np</w:t>
            </w:r>
            <w:r w:rsidR="00ED0B36">
              <w:rPr>
                <w:rFonts w:ascii="Arial" w:hAnsi="Arial" w:cs="Arial"/>
              </w:rPr>
              <w:t xml:space="preserve">atients </w:t>
            </w:r>
            <w:r w:rsidR="0086133F">
              <w:rPr>
                <w:rFonts w:ascii="Arial" w:hAnsi="Arial" w:cs="Arial"/>
              </w:rPr>
              <w:t>and day</w:t>
            </w:r>
            <w:r w:rsidR="00460105">
              <w:rPr>
                <w:rFonts w:ascii="Arial" w:hAnsi="Arial" w:cs="Arial"/>
              </w:rPr>
              <w:t xml:space="preserve"> </w:t>
            </w:r>
            <w:r w:rsidR="0086133F">
              <w:rPr>
                <w:rFonts w:ascii="Arial" w:hAnsi="Arial" w:cs="Arial"/>
              </w:rPr>
              <w:t>patien</w:t>
            </w:r>
            <w:r w:rsidR="00FB4F2A">
              <w:rPr>
                <w:rFonts w:ascii="Arial" w:hAnsi="Arial" w:cs="Arial"/>
              </w:rPr>
              <w:t>t</w:t>
            </w:r>
            <w:r w:rsidR="0086133F">
              <w:rPr>
                <w:rFonts w:ascii="Arial" w:hAnsi="Arial" w:cs="Arial"/>
              </w:rPr>
              <w:t xml:space="preserve">s </w:t>
            </w:r>
            <w:r w:rsidR="00FB4F2A">
              <w:rPr>
                <w:rFonts w:ascii="Arial" w:hAnsi="Arial" w:cs="Arial"/>
              </w:rPr>
              <w:t xml:space="preserve">admitted to </w:t>
            </w:r>
            <w:r w:rsidR="0097414B">
              <w:rPr>
                <w:rFonts w:ascii="Arial" w:hAnsi="Arial" w:cs="Arial"/>
              </w:rPr>
              <w:t xml:space="preserve">a </w:t>
            </w:r>
            <w:r w:rsidR="00FB4F2A">
              <w:rPr>
                <w:rFonts w:ascii="Arial" w:hAnsi="Arial" w:cs="Arial"/>
              </w:rPr>
              <w:t>specialist hospital for ED.</w:t>
            </w:r>
            <w:r w:rsidR="00691EC0">
              <w:rPr>
                <w:rFonts w:ascii="Arial" w:hAnsi="Arial" w:cs="Arial"/>
              </w:rPr>
              <w:t xml:space="preserve"> </w:t>
            </w:r>
            <w:r w:rsidR="00957D56">
              <w:rPr>
                <w:rFonts w:ascii="Arial" w:hAnsi="Arial" w:cs="Arial"/>
              </w:rPr>
              <w:t xml:space="preserve">Data from 14 hospitals were included in the paper. 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F2A9AE8" w14:textId="084BE5C1" w:rsidR="00113095" w:rsidRPr="00113095" w:rsidRDefault="0023206A" w:rsidP="001130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Although inpatient </w:t>
            </w:r>
            <w:r w:rsidR="000E7A9C">
              <w:rPr>
                <w:rFonts w:ascii="Arial" w:hAnsi="Arial" w:cs="Arial"/>
              </w:rPr>
              <w:t xml:space="preserve">treatment improves the physical health in the patients with AN </w:t>
            </w:r>
            <w:r w:rsidR="007B6B9A">
              <w:rPr>
                <w:rFonts w:ascii="Arial" w:hAnsi="Arial" w:cs="Arial"/>
              </w:rPr>
              <w:t xml:space="preserve">there was less improvement in other ED symptoms - mood, </w:t>
            </w:r>
            <w:r w:rsidR="0066029D">
              <w:rPr>
                <w:rFonts w:ascii="Arial" w:hAnsi="Arial" w:cs="Arial"/>
              </w:rPr>
              <w:t xml:space="preserve">emotional response to </w:t>
            </w:r>
            <w:r w:rsidR="00AD0B8D">
              <w:rPr>
                <w:rFonts w:ascii="Arial" w:hAnsi="Arial" w:cs="Arial"/>
              </w:rPr>
              <w:t xml:space="preserve">the </w:t>
            </w:r>
            <w:r w:rsidR="0066029D">
              <w:rPr>
                <w:rFonts w:ascii="Arial" w:hAnsi="Arial" w:cs="Arial"/>
              </w:rPr>
              <w:t>environment</w:t>
            </w:r>
            <w:r w:rsidR="00AD0B8D">
              <w:rPr>
                <w:rFonts w:ascii="Arial" w:hAnsi="Arial" w:cs="Arial"/>
              </w:rPr>
              <w:t xml:space="preserve">. </w:t>
            </w:r>
            <w:r w:rsidR="00E442C7">
              <w:rPr>
                <w:rFonts w:ascii="Arial" w:hAnsi="Arial" w:cs="Arial"/>
              </w:rPr>
              <w:t xml:space="preserve">Carer behaviour may influence the response to inpatient </w:t>
            </w:r>
            <w:r w:rsidR="0069570F">
              <w:rPr>
                <w:rFonts w:ascii="Arial" w:hAnsi="Arial" w:cs="Arial"/>
              </w:rPr>
              <w:t xml:space="preserve">care. Improves </w:t>
            </w:r>
            <w:r w:rsidR="002571D3">
              <w:rPr>
                <w:rFonts w:ascii="Arial" w:hAnsi="Arial" w:cs="Arial"/>
              </w:rPr>
              <w:t xml:space="preserve">social functioning is influencing the response too and may bring </w:t>
            </w:r>
            <w:r w:rsidR="00F17E69">
              <w:rPr>
                <w:rFonts w:ascii="Arial" w:hAnsi="Arial" w:cs="Arial"/>
              </w:rPr>
              <w:t xml:space="preserve">confidence and improvement. </w:t>
            </w:r>
          </w:p>
        </w:tc>
      </w:tr>
      <w:tr w:rsidR="0030423D" w:rsidRPr="00113095" w14:paraId="1E0A8FD5" w14:textId="77777777" w:rsidTr="00113095">
        <w:trPr>
          <w:trHeight w:val="42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16064" w14:textId="6DFAE188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C5325EA" w14:textId="77777777" w:rsidR="00113095" w:rsidRDefault="00EE7ADE" w:rsidP="0011309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E7AD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Intensive multi-family therapy for adolescent anorexia nervosa: adolescents’ and parents’ day-to-day experiences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3BA519F0" w14:textId="77777777" w:rsidR="00EE7ADE" w:rsidRPr="000B6347" w:rsidRDefault="00257DB8" w:rsidP="00113095">
            <w:pPr>
              <w:rPr>
                <w:rFonts w:ascii="Arial" w:hAnsi="Arial" w:cs="Arial"/>
                <w:sz w:val="16"/>
                <w:szCs w:val="16"/>
              </w:rPr>
            </w:pPr>
            <w:r w:rsidRPr="000B6347">
              <w:rPr>
                <w:rFonts w:ascii="Arial" w:hAnsi="Arial" w:cs="Arial"/>
                <w:sz w:val="16"/>
                <w:szCs w:val="16"/>
              </w:rPr>
              <w:lastRenderedPageBreak/>
              <w:t>Tatiana Voriadaki,a Mima Simic,b Jonathan Espiec and Ivan Eislerd</w:t>
            </w:r>
          </w:p>
          <w:p w14:paraId="6DF9D250" w14:textId="79059480" w:rsidR="00257DB8" w:rsidRPr="00EE7ADE" w:rsidRDefault="00257DB8" w:rsidP="001130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3E1847B8" w14:textId="77777777" w:rsidR="00417B58" w:rsidRPr="000B6347" w:rsidRDefault="0066313F" w:rsidP="000B634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B6347">
              <w:rPr>
                <w:rFonts w:ascii="Arial" w:hAnsi="Arial" w:cs="Arial"/>
                <w:sz w:val="20"/>
                <w:szCs w:val="20"/>
              </w:rPr>
              <w:lastRenderedPageBreak/>
              <w:t>To prove the following:</w:t>
            </w:r>
          </w:p>
          <w:p w14:paraId="64451820" w14:textId="45CC4901" w:rsidR="00326404" w:rsidRPr="000B6347" w:rsidRDefault="00A27932" w:rsidP="000B6347">
            <w:pPr>
              <w:pStyle w:val="ListParagraph"/>
              <w:spacing w:after="0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B6347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="00326404" w:rsidRPr="000B6347">
              <w:rPr>
                <w:rFonts w:ascii="Arial" w:hAnsi="Arial" w:cs="Arial"/>
                <w:sz w:val="20"/>
                <w:szCs w:val="20"/>
              </w:rPr>
              <w:t xml:space="preserve">Parents becoming ‘firm’ as well as </w:t>
            </w:r>
            <w:r w:rsidR="00326404" w:rsidRPr="000B6347">
              <w:rPr>
                <w:rFonts w:ascii="Arial" w:hAnsi="Arial" w:cs="Arial"/>
                <w:sz w:val="20"/>
                <w:szCs w:val="20"/>
              </w:rPr>
              <w:t>support</w:t>
            </w:r>
            <w:r w:rsidR="00326404" w:rsidRPr="000B6347">
              <w:rPr>
                <w:rFonts w:ascii="Arial" w:hAnsi="Arial" w:cs="Arial"/>
                <w:sz w:val="20"/>
                <w:szCs w:val="20"/>
              </w:rPr>
              <w:t xml:space="preserve"> with eating may be the most useful practical strategy </w:t>
            </w:r>
          </w:p>
          <w:p w14:paraId="414D4565" w14:textId="04F4FE4B" w:rsidR="00326404" w:rsidRPr="000B6347" w:rsidRDefault="00A27932" w:rsidP="000B6347">
            <w:pPr>
              <w:spacing w:after="0" w:line="240" w:lineRule="auto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B6347">
              <w:rPr>
                <w:rFonts w:ascii="Arial" w:hAnsi="Arial" w:cs="Arial"/>
                <w:sz w:val="20"/>
                <w:szCs w:val="20"/>
              </w:rPr>
              <w:lastRenderedPageBreak/>
              <w:t xml:space="preserve">2. </w:t>
            </w:r>
            <w:r w:rsidR="00417B58" w:rsidRPr="000B6347">
              <w:rPr>
                <w:rFonts w:ascii="Arial" w:hAnsi="Arial" w:cs="Arial"/>
                <w:sz w:val="20"/>
                <w:szCs w:val="20"/>
              </w:rPr>
              <w:t>R</w:t>
            </w:r>
            <w:r w:rsidR="00326404" w:rsidRPr="000B6347">
              <w:rPr>
                <w:rFonts w:ascii="Arial" w:hAnsi="Arial" w:cs="Arial"/>
                <w:sz w:val="20"/>
                <w:szCs w:val="20"/>
              </w:rPr>
              <w:t xml:space="preserve">ole plays can help increase empathy, motivation and mobilize families for action </w:t>
            </w:r>
          </w:p>
          <w:p w14:paraId="36D32C4E" w14:textId="49198953" w:rsidR="00417B58" w:rsidRPr="000B6347" w:rsidRDefault="00A27932" w:rsidP="000B6347">
            <w:pPr>
              <w:pStyle w:val="ListParagraph"/>
              <w:spacing w:after="0" w:line="240" w:lineRule="auto"/>
              <w:ind w:left="112"/>
              <w:rPr>
                <w:rFonts w:ascii="Arial" w:hAnsi="Arial" w:cs="Arial"/>
                <w:sz w:val="20"/>
                <w:szCs w:val="20"/>
              </w:rPr>
            </w:pPr>
            <w:r w:rsidRPr="000B6347"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="00326404" w:rsidRPr="000B6347">
              <w:rPr>
                <w:rFonts w:ascii="Arial" w:hAnsi="Arial" w:cs="Arial"/>
                <w:sz w:val="20"/>
                <w:szCs w:val="20"/>
              </w:rPr>
              <w:t xml:space="preserve">Open expression of feelings works positively, promotes </w:t>
            </w:r>
            <w:r w:rsidR="00417B58" w:rsidRPr="000B6347">
              <w:rPr>
                <w:rFonts w:ascii="Arial" w:hAnsi="Arial" w:cs="Arial"/>
                <w:sz w:val="20"/>
                <w:szCs w:val="20"/>
              </w:rPr>
              <w:t>cohesiveness</w:t>
            </w:r>
            <w:r w:rsidR="00326404" w:rsidRPr="000B6347">
              <w:rPr>
                <w:rFonts w:ascii="Arial" w:hAnsi="Arial" w:cs="Arial"/>
                <w:sz w:val="20"/>
                <w:szCs w:val="20"/>
              </w:rPr>
              <w:t xml:space="preserve"> in the group even when this includes difficult emotions </w:t>
            </w:r>
          </w:p>
          <w:p w14:paraId="240631D6" w14:textId="118A6297" w:rsidR="0066313F" w:rsidRPr="000B6347" w:rsidRDefault="00A27932" w:rsidP="000B634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B6347"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="00326404" w:rsidRPr="000B6347">
              <w:rPr>
                <w:rFonts w:ascii="Arial" w:hAnsi="Arial" w:cs="Arial"/>
                <w:sz w:val="20"/>
                <w:szCs w:val="20"/>
              </w:rPr>
              <w:t>MFT treatment context can be experienced as challenging but nevertheless supportive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1CB2B271" w14:textId="6AF818F0" w:rsidR="00113095" w:rsidRPr="003A306C" w:rsidRDefault="00FE1FCF" w:rsidP="00113095">
            <w:pPr>
              <w:rPr>
                <w:rFonts w:ascii="Arial" w:hAnsi="Arial" w:cs="Arial"/>
                <w:sz w:val="22"/>
              </w:rPr>
            </w:pPr>
            <w:r w:rsidRPr="003A306C">
              <w:rPr>
                <w:rFonts w:ascii="Arial" w:hAnsi="Arial" w:cs="Arial"/>
                <w:sz w:val="22"/>
              </w:rPr>
              <w:lastRenderedPageBreak/>
              <w:t xml:space="preserve">Participants were recruited from one MFT group that took place at the Child and Adolescent Eating Disorders Service at the Maudsley Hospital </w:t>
            </w:r>
            <w:r w:rsidRPr="003A306C">
              <w:rPr>
                <w:rFonts w:ascii="Arial" w:hAnsi="Arial" w:cs="Arial"/>
                <w:sz w:val="22"/>
              </w:rPr>
              <w:lastRenderedPageBreak/>
              <w:t>in London.</w:t>
            </w:r>
            <w:r w:rsidR="002D2DB6" w:rsidRPr="003A306C">
              <w:rPr>
                <w:sz w:val="22"/>
              </w:rPr>
              <w:t xml:space="preserve"> </w:t>
            </w:r>
            <w:r w:rsidR="002D2DB6" w:rsidRPr="003A306C">
              <w:rPr>
                <w:rFonts w:ascii="Arial" w:hAnsi="Arial" w:cs="Arial"/>
                <w:sz w:val="22"/>
              </w:rPr>
              <w:t xml:space="preserve">Five families were White British and one was Asian British. Four families were intact and two were </w:t>
            </w:r>
            <w:r w:rsidR="003B5CA8" w:rsidRPr="003A306C">
              <w:rPr>
                <w:rFonts w:ascii="Arial" w:hAnsi="Arial" w:cs="Arial"/>
                <w:sz w:val="22"/>
              </w:rPr>
              <w:t>single-mother</w:t>
            </w:r>
            <w:r w:rsidR="002D2DB6" w:rsidRPr="003A306C">
              <w:rPr>
                <w:rFonts w:ascii="Arial" w:hAnsi="Arial" w:cs="Arial"/>
                <w:sz w:val="22"/>
              </w:rPr>
              <w:t xml:space="preserve"> families. All families were class II and III in socioeconomic status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E744869" w14:textId="38058DA9" w:rsidR="00113095" w:rsidRPr="003A306C" w:rsidRDefault="00503E72" w:rsidP="00113095">
            <w:pPr>
              <w:rPr>
                <w:rFonts w:ascii="Arial" w:hAnsi="Arial" w:cs="Arial"/>
                <w:sz w:val="22"/>
              </w:rPr>
            </w:pPr>
            <w:r w:rsidRPr="003A306C">
              <w:rPr>
                <w:rFonts w:ascii="Arial" w:hAnsi="Arial" w:cs="Arial"/>
                <w:sz w:val="22"/>
              </w:rPr>
              <w:lastRenderedPageBreak/>
              <w:t xml:space="preserve">The findings suggest that the intensive MFT approach provided a rich learning experience that promoted profound insight into </w:t>
            </w:r>
            <w:r w:rsidR="00E9223C" w:rsidRPr="003A306C">
              <w:rPr>
                <w:rFonts w:ascii="Arial" w:hAnsi="Arial" w:cs="Arial"/>
                <w:sz w:val="22"/>
              </w:rPr>
              <w:t>the illness</w:t>
            </w:r>
            <w:r w:rsidR="00E9223C" w:rsidRPr="003A306C">
              <w:rPr>
                <w:rFonts w:ascii="Arial" w:hAnsi="Arial" w:cs="Arial"/>
                <w:sz w:val="22"/>
              </w:rPr>
              <w:t xml:space="preserve"> and the challenges involved.</w:t>
            </w:r>
          </w:p>
        </w:tc>
      </w:tr>
      <w:tr w:rsidR="0030423D" w:rsidRPr="00113095" w14:paraId="7809E8EE" w14:textId="77777777" w:rsidTr="00113095">
        <w:trPr>
          <w:trHeight w:val="42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0319AF" w14:textId="4CAB1D7C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475F06CE" w14:textId="49A926EA" w:rsidR="00ED6214" w:rsidRPr="005515D8" w:rsidRDefault="00F63B4A" w:rsidP="005515D8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5515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Enhanced cognitive behaviour therapy for adolescents with anorexia nervosa:</w:t>
            </w:r>
            <w:r w:rsidR="005515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515D8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An alternative to family therapy?</w:t>
            </w:r>
          </w:p>
          <w:p w14:paraId="50638FA3" w14:textId="77777777" w:rsidR="00113095" w:rsidRPr="000B6347" w:rsidRDefault="00AD0EF3" w:rsidP="00AD0EF3">
            <w:pPr>
              <w:rPr>
                <w:rFonts w:ascii="Arial" w:hAnsi="Arial" w:cs="Arial"/>
                <w:sz w:val="16"/>
                <w:szCs w:val="16"/>
              </w:rPr>
            </w:pPr>
            <w:r w:rsidRPr="000B6347">
              <w:rPr>
                <w:rFonts w:ascii="Arial" w:hAnsi="Arial" w:cs="Arial"/>
                <w:sz w:val="16"/>
                <w:szCs w:val="16"/>
              </w:rPr>
              <w:t>Riccardo Dalle Grave, Simona Calugi</w:t>
            </w:r>
            <w:r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Helen A. Doll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Christopher G. Fairburn</w:t>
            </w:r>
          </w:p>
          <w:p w14:paraId="163C8DE3" w14:textId="6A5EC6B2" w:rsidR="00F63B4A" w:rsidRPr="00B94349" w:rsidRDefault="008377DD" w:rsidP="00AD0E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C1BF716" w14:textId="39014D58" w:rsidR="00113095" w:rsidRPr="003A306C" w:rsidRDefault="00D626CB" w:rsidP="00042D80">
            <w:pPr>
              <w:rPr>
                <w:rFonts w:ascii="Arial" w:hAnsi="Arial" w:cs="Arial"/>
                <w:sz w:val="22"/>
              </w:rPr>
            </w:pPr>
            <w:r w:rsidRPr="003A306C">
              <w:rPr>
                <w:rFonts w:ascii="Arial" w:hAnsi="Arial" w:cs="Arial"/>
                <w:sz w:val="22"/>
              </w:rPr>
              <w:t>The aim of the present study was to establish, in</w:t>
            </w:r>
            <w:r w:rsidRPr="003A306C">
              <w:rPr>
                <w:rFonts w:ascii="Arial" w:hAnsi="Arial" w:cs="Arial"/>
                <w:sz w:val="22"/>
              </w:rPr>
              <w:t xml:space="preserve"> </w:t>
            </w:r>
            <w:r w:rsidRPr="003A306C">
              <w:rPr>
                <w:rFonts w:ascii="Arial" w:hAnsi="Arial" w:cs="Arial"/>
                <w:sz w:val="22"/>
              </w:rPr>
              <w:t>a</w:t>
            </w:r>
            <w:r w:rsidRPr="003A306C">
              <w:rPr>
                <w:rFonts w:ascii="Arial" w:hAnsi="Arial" w:cs="Arial"/>
                <w:sz w:val="22"/>
              </w:rPr>
              <w:t xml:space="preserve"> </w:t>
            </w:r>
            <w:r w:rsidRPr="003A306C">
              <w:rPr>
                <w:rFonts w:ascii="Arial" w:hAnsi="Arial" w:cs="Arial"/>
                <w:sz w:val="22"/>
              </w:rPr>
              <w:t xml:space="preserve">representative cohort of patients with marked anorexia nervosa, the immediate and </w:t>
            </w:r>
            <w:r w:rsidR="00823574" w:rsidRPr="003A306C">
              <w:rPr>
                <w:rFonts w:ascii="Arial" w:hAnsi="Arial" w:cs="Arial"/>
                <w:sz w:val="22"/>
              </w:rPr>
              <w:t>longer-term</w:t>
            </w:r>
            <w:r w:rsidRPr="003A306C">
              <w:rPr>
                <w:rFonts w:ascii="Arial" w:hAnsi="Arial" w:cs="Arial"/>
                <w:sz w:val="22"/>
              </w:rPr>
              <w:t xml:space="preserve"> </w:t>
            </w:r>
            <w:r w:rsidRPr="003A306C">
              <w:rPr>
                <w:rFonts w:ascii="Arial" w:hAnsi="Arial" w:cs="Arial"/>
                <w:sz w:val="22"/>
              </w:rPr>
              <w:t>outcome following CBT-E.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47E2D49E" w14:textId="772E09BF" w:rsidR="00113095" w:rsidRPr="003A306C" w:rsidRDefault="00042D80" w:rsidP="00042D80">
            <w:pPr>
              <w:rPr>
                <w:rFonts w:ascii="Arial" w:hAnsi="Arial" w:cs="Arial"/>
                <w:sz w:val="22"/>
              </w:rPr>
            </w:pPr>
            <w:r w:rsidRPr="003A306C">
              <w:rPr>
                <w:rFonts w:ascii="Arial" w:hAnsi="Arial" w:cs="Arial"/>
                <w:sz w:val="22"/>
              </w:rPr>
              <w:t>Forty-nine adolescent patients were recruited from consecutive referrals to</w:t>
            </w:r>
            <w:r w:rsidRPr="003A306C">
              <w:rPr>
                <w:rFonts w:ascii="Arial" w:hAnsi="Arial" w:cs="Arial"/>
                <w:sz w:val="22"/>
              </w:rPr>
              <w:t xml:space="preserve"> </w:t>
            </w:r>
            <w:r w:rsidRPr="003A306C">
              <w:rPr>
                <w:rFonts w:ascii="Arial" w:hAnsi="Arial" w:cs="Arial"/>
                <w:sz w:val="22"/>
              </w:rPr>
              <w:t>a</w:t>
            </w:r>
            <w:r w:rsidRPr="003A306C">
              <w:rPr>
                <w:rFonts w:ascii="Arial" w:hAnsi="Arial" w:cs="Arial"/>
                <w:sz w:val="22"/>
              </w:rPr>
              <w:t xml:space="preserve"> </w:t>
            </w:r>
            <w:r w:rsidRPr="003A306C">
              <w:rPr>
                <w:rFonts w:ascii="Arial" w:hAnsi="Arial" w:cs="Arial"/>
                <w:sz w:val="22"/>
              </w:rPr>
              <w:t>community-based eating disorder clinic. Each was offered 40 sessions of CBT-E over 40 weeks from</w:t>
            </w:r>
            <w:r w:rsidRPr="003A306C">
              <w:rPr>
                <w:rFonts w:ascii="Arial" w:hAnsi="Arial" w:cs="Arial"/>
                <w:sz w:val="22"/>
              </w:rPr>
              <w:t xml:space="preserve"> </w:t>
            </w:r>
            <w:r w:rsidRPr="003A306C">
              <w:rPr>
                <w:rFonts w:ascii="Arial" w:hAnsi="Arial" w:cs="Arial"/>
                <w:sz w:val="22"/>
              </w:rPr>
              <w:t>a single therapist.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64039221" w14:textId="6171D76E" w:rsidR="00113095" w:rsidRPr="003A306C" w:rsidRDefault="001F6371" w:rsidP="00113095">
            <w:pPr>
              <w:rPr>
                <w:rFonts w:ascii="Arial" w:hAnsi="Arial" w:cs="Arial"/>
                <w:sz w:val="22"/>
              </w:rPr>
            </w:pPr>
            <w:r w:rsidRPr="003A306C">
              <w:rPr>
                <w:rFonts w:ascii="Arial" w:hAnsi="Arial" w:cs="Arial"/>
                <w:sz w:val="22"/>
              </w:rPr>
              <w:t>Given the size and severity of the sample, the magnitude of the response and the fact that it was well maintained, there is now a compelling case for comparing CBT-E and FBT in randomised controlled trials. Key variables of interest would include the relative acceptability of the two approaches, their effectiveness and their ability to produce enduring change.</w:t>
            </w:r>
          </w:p>
        </w:tc>
      </w:tr>
      <w:tr w:rsidR="0030423D" w:rsidRPr="00113095" w14:paraId="02BF8F9F" w14:textId="77777777" w:rsidTr="00113095">
        <w:trPr>
          <w:trHeight w:val="42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1CA09" w14:textId="5B96FA48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5DB13DF8" w14:textId="77777777" w:rsidR="00113095" w:rsidRPr="00BC4BC4" w:rsidRDefault="00113095" w:rsidP="00823574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</w:rPr>
            </w:pPr>
            <w:r w:rsidRPr="00BC4BC4">
              <w:rPr>
                <w:rFonts w:ascii="Arial" w:hAnsi="Arial" w:cs="Arial"/>
                <w:b/>
                <w:bCs/>
                <w:i/>
                <w:iCs/>
                <w:sz w:val="22"/>
              </w:rPr>
              <w:t> </w:t>
            </w:r>
            <w:r w:rsidR="00E50A59" w:rsidRPr="00BC4BC4">
              <w:rPr>
                <w:rFonts w:ascii="Arial" w:hAnsi="Arial" w:cs="Arial"/>
                <w:b/>
                <w:bCs/>
                <w:i/>
                <w:iCs/>
                <w:sz w:val="22"/>
              </w:rPr>
              <w:t xml:space="preserve">Intensive treatment program (ITP): A case series service evaluation of the effectiveness of </w:t>
            </w:r>
            <w:r w:rsidR="00E50A59" w:rsidRPr="00BC4BC4">
              <w:rPr>
                <w:rFonts w:ascii="Arial" w:hAnsi="Arial" w:cs="Arial"/>
                <w:b/>
                <w:bCs/>
                <w:i/>
                <w:iCs/>
                <w:sz w:val="22"/>
              </w:rPr>
              <w:t>day-patient</w:t>
            </w:r>
            <w:r w:rsidR="00E50A59" w:rsidRPr="00BC4BC4">
              <w:rPr>
                <w:rFonts w:ascii="Arial" w:hAnsi="Arial" w:cs="Arial"/>
                <w:b/>
                <w:bCs/>
                <w:i/>
                <w:iCs/>
                <w:sz w:val="22"/>
              </w:rPr>
              <w:t xml:space="preserve"> treatment for adolescents with a restrictive eating </w:t>
            </w:r>
            <w:r w:rsidR="00E50A59" w:rsidRPr="00BC4BC4">
              <w:rPr>
                <w:rFonts w:ascii="Arial" w:hAnsi="Arial" w:cs="Arial"/>
                <w:b/>
                <w:bCs/>
                <w:i/>
                <w:iCs/>
                <w:sz w:val="22"/>
              </w:rPr>
              <w:t>disorder.</w:t>
            </w:r>
          </w:p>
          <w:p w14:paraId="570DA342" w14:textId="77777777" w:rsidR="00E50A59" w:rsidRPr="000B6347" w:rsidRDefault="00823574" w:rsidP="00113095">
            <w:pPr>
              <w:rPr>
                <w:rFonts w:ascii="Arial" w:hAnsi="Arial" w:cs="Arial"/>
                <w:sz w:val="16"/>
                <w:szCs w:val="16"/>
              </w:rPr>
            </w:pPr>
            <w:r w:rsidRPr="000B6347">
              <w:rPr>
                <w:rFonts w:ascii="Arial" w:hAnsi="Arial" w:cs="Arial"/>
                <w:sz w:val="16"/>
                <w:szCs w:val="16"/>
              </w:rPr>
              <w:lastRenderedPageBreak/>
              <w:t>Mima Simic</w:t>
            </w:r>
            <w:r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Catherine S. Stewart</w:t>
            </w:r>
            <w:r w:rsidRPr="000B6347">
              <w:rPr>
                <w:rFonts w:ascii="Arial" w:hAnsi="Arial" w:cs="Arial"/>
                <w:sz w:val="16"/>
                <w:szCs w:val="16"/>
              </w:rPr>
              <w:t>,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 Ivan Eisler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Julian Baudinet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Katrina Hunt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Jayne O'Brien</w:t>
            </w:r>
            <w:r w:rsidRPr="000B634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0B6347">
              <w:rPr>
                <w:rFonts w:ascii="Arial" w:hAnsi="Arial" w:cs="Arial"/>
                <w:sz w:val="16"/>
                <w:szCs w:val="16"/>
              </w:rPr>
              <w:t>Beth McDermott</w:t>
            </w:r>
          </w:p>
          <w:p w14:paraId="2F39F6B6" w14:textId="71546CF4" w:rsidR="00823574" w:rsidRPr="00BC4BC4" w:rsidRDefault="00823574" w:rsidP="00113095">
            <w:pPr>
              <w:rPr>
                <w:rFonts w:ascii="Arial" w:hAnsi="Arial" w:cs="Arial"/>
                <w:sz w:val="22"/>
              </w:rPr>
            </w:pPr>
            <w:r w:rsidRPr="00BC4BC4">
              <w:rPr>
                <w:rFonts w:ascii="Arial" w:hAnsi="Arial" w:cs="Arial"/>
                <w:sz w:val="22"/>
              </w:rPr>
              <w:t>2018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5DBA6E85" w14:textId="3BF879EA" w:rsidR="00113095" w:rsidRPr="00BC4BC4" w:rsidRDefault="003A306C" w:rsidP="00113095">
            <w:pPr>
              <w:rPr>
                <w:rFonts w:ascii="Arial" w:hAnsi="Arial" w:cs="Arial"/>
                <w:sz w:val="22"/>
              </w:rPr>
            </w:pPr>
            <w:r w:rsidRPr="00BC4BC4">
              <w:rPr>
                <w:rFonts w:ascii="Arial" w:hAnsi="Arial" w:cs="Arial"/>
                <w:sz w:val="22"/>
              </w:rPr>
              <w:lastRenderedPageBreak/>
              <w:t xml:space="preserve">This paper describes the effectiveness of </w:t>
            </w:r>
            <w:r w:rsidRPr="00BC4BC4">
              <w:rPr>
                <w:rFonts w:ascii="Arial" w:hAnsi="Arial" w:cs="Arial"/>
                <w:sz w:val="22"/>
              </w:rPr>
              <w:t>additional</w:t>
            </w:r>
            <w:r w:rsidRPr="00BC4BC4">
              <w:rPr>
                <w:rFonts w:ascii="Arial" w:hAnsi="Arial" w:cs="Arial"/>
                <w:sz w:val="22"/>
              </w:rPr>
              <w:t xml:space="preserve"> treatment for adolescents who had not responded to FT-AN, the Intensive Day Treatment Program (ITP) embedded within a comprehensive </w:t>
            </w:r>
            <w:r w:rsidRPr="00BC4BC4">
              <w:rPr>
                <w:rFonts w:ascii="Arial" w:hAnsi="Arial" w:cs="Arial"/>
                <w:sz w:val="22"/>
              </w:rPr>
              <w:lastRenderedPageBreak/>
              <w:t>outpatient service at the Maudsley Hospital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542ECC51" w14:textId="4669CC71" w:rsidR="00113095" w:rsidRPr="00BC4BC4" w:rsidRDefault="002B746D" w:rsidP="00113095">
            <w:pPr>
              <w:rPr>
                <w:rFonts w:ascii="Arial" w:hAnsi="Arial" w:cs="Arial"/>
                <w:sz w:val="22"/>
              </w:rPr>
            </w:pPr>
            <w:r w:rsidRPr="00BC4BC4">
              <w:rPr>
                <w:rFonts w:ascii="Arial" w:hAnsi="Arial" w:cs="Arial"/>
                <w:sz w:val="22"/>
              </w:rPr>
              <w:lastRenderedPageBreak/>
              <w:t>105 young people aged 11–18 with restrictive eating disorders referred to the program in the first four and a half years of its operation.</w:t>
            </w:r>
            <w:r w:rsidRPr="00BC4BC4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2611DC3" w14:textId="31ABFD12" w:rsidR="00113095" w:rsidRPr="00BC4BC4" w:rsidRDefault="00B94CCE" w:rsidP="00113095">
            <w:pPr>
              <w:rPr>
                <w:rFonts w:ascii="Arial" w:hAnsi="Arial" w:cs="Arial"/>
                <w:sz w:val="22"/>
              </w:rPr>
            </w:pPr>
            <w:r w:rsidRPr="00BC4BC4">
              <w:rPr>
                <w:rFonts w:ascii="Arial" w:hAnsi="Arial" w:cs="Arial"/>
                <w:sz w:val="22"/>
              </w:rPr>
              <w:t xml:space="preserve"> ITP can contribute to positive outcomes for young people who require intensification of treatment. ITP outcomes are discussed in </w:t>
            </w:r>
            <w:r w:rsidRPr="00BC4BC4">
              <w:rPr>
                <w:rFonts w:ascii="Arial" w:hAnsi="Arial" w:cs="Arial"/>
                <w:sz w:val="22"/>
              </w:rPr>
              <w:t>comparison</w:t>
            </w:r>
            <w:r w:rsidRPr="00BC4BC4">
              <w:rPr>
                <w:rFonts w:ascii="Arial" w:hAnsi="Arial" w:cs="Arial"/>
                <w:sz w:val="22"/>
              </w:rPr>
              <w:t xml:space="preserve"> to the published literature concerning day programs for adolescents with a diagnosis of an eating disorder</w:t>
            </w:r>
          </w:p>
        </w:tc>
      </w:tr>
      <w:tr w:rsidR="0030423D" w:rsidRPr="00113095" w14:paraId="45AF545F" w14:textId="77777777" w:rsidTr="00A360AD">
        <w:trPr>
          <w:trHeight w:val="553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B3B9A" w14:textId="4A0C8CFF" w:rsidR="00113095" w:rsidRPr="00113095" w:rsidRDefault="00113095" w:rsidP="00113095">
            <w:pPr>
              <w:jc w:val="center"/>
              <w:rPr>
                <w:rFonts w:ascii="Arial" w:hAnsi="Arial" w:cs="Arial"/>
                <w:b/>
                <w:bCs/>
              </w:rPr>
            </w:pPr>
            <w:r w:rsidRPr="00113095">
              <w:rPr>
                <w:rFonts w:ascii="Arial" w:hAnsi="Arial" w:cs="Arial"/>
                <w:b/>
                <w:bCs/>
              </w:rPr>
              <w:lastRenderedPageBreak/>
              <w:t>5</w:t>
            </w:r>
          </w:p>
        </w:tc>
        <w:tc>
          <w:tcPr>
            <w:tcW w:w="2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</w:tcPr>
          <w:p w14:paraId="3C4B8615" w14:textId="60FA5DAC" w:rsidR="0005243D" w:rsidRPr="0005243D" w:rsidRDefault="00F46B06" w:rsidP="0011309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05243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Brief early adolescent multi-family therapy (BEAM) trial for anorexia nervosa: a feasibility randomized controlled trial protocol</w:t>
            </w:r>
            <w:r w:rsidR="0005243D" w:rsidRPr="0005243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50E1C433" w14:textId="77777777" w:rsidR="00886ABF" w:rsidRPr="000B6347" w:rsidRDefault="00F46B06" w:rsidP="00113095">
            <w:pPr>
              <w:rPr>
                <w:rFonts w:ascii="Arial" w:hAnsi="Arial" w:cs="Arial"/>
                <w:sz w:val="16"/>
                <w:szCs w:val="16"/>
              </w:rPr>
            </w:pPr>
            <w:r w:rsidRPr="000B6347">
              <w:rPr>
                <w:rFonts w:ascii="Arial" w:hAnsi="Arial" w:cs="Arial"/>
                <w:sz w:val="16"/>
                <w:szCs w:val="16"/>
              </w:rPr>
              <w:t>Julian Baudinet, Ivan Eisler, Mima Simic and Ulrike Schmidt</w:t>
            </w:r>
          </w:p>
          <w:p w14:paraId="09F568B5" w14:textId="110E8F5B" w:rsidR="0005243D" w:rsidRPr="00886ABF" w:rsidRDefault="00D61517" w:rsidP="001130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</w:tcPr>
          <w:p w14:paraId="26BEA619" w14:textId="518D62D9" w:rsidR="00113095" w:rsidRPr="00BC4BC4" w:rsidRDefault="00BE103E" w:rsidP="0011309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Pr="00BE103E">
              <w:rPr>
                <w:rFonts w:ascii="Arial" w:hAnsi="Arial" w:cs="Arial"/>
                <w:sz w:val="22"/>
              </w:rPr>
              <w:t>o examine the feasibility and acceptability of adding a five-day MFT intensive week within the first two months of FT-AN using a randomised controlled design.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</w:tcPr>
          <w:p w14:paraId="7AF6DC58" w14:textId="44F3ACE2" w:rsidR="00113095" w:rsidRPr="00BC4BC4" w:rsidRDefault="00D61517" w:rsidP="00113095">
            <w:pPr>
              <w:rPr>
                <w:rFonts w:ascii="Arial" w:hAnsi="Arial" w:cs="Arial"/>
                <w:sz w:val="22"/>
              </w:rPr>
            </w:pPr>
            <w:r w:rsidRPr="00D61517">
              <w:rPr>
                <w:rFonts w:ascii="Arial" w:hAnsi="Arial" w:cs="Arial"/>
                <w:sz w:val="22"/>
              </w:rPr>
              <w:t>Sixty adolescents (age 10–17 inclusive) with anorexia nervosa or atypical anorexia nervosa and their parents will be recruited from a community-based specialist eating disorder service in London, UK.</w:t>
            </w:r>
          </w:p>
        </w:tc>
        <w:tc>
          <w:tcPr>
            <w:tcW w:w="4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</w:tcPr>
          <w:p w14:paraId="6B7013AA" w14:textId="53308DEF" w:rsidR="00D96F76" w:rsidRPr="00BC4BC4" w:rsidRDefault="000B6347" w:rsidP="00113095">
            <w:pPr>
              <w:rPr>
                <w:rFonts w:ascii="Arial" w:hAnsi="Arial" w:cs="Arial"/>
                <w:sz w:val="22"/>
              </w:rPr>
            </w:pPr>
            <w:r w:rsidRPr="000B6347">
              <w:rPr>
                <w:rFonts w:ascii="Arial" w:hAnsi="Arial" w:cs="Arial"/>
                <w:sz w:val="22"/>
              </w:rPr>
              <w:t>The five-day MFT model is less resource intensive and likely more manageable for services to offer than the current manualised 10-day model. If it is assessed as feasible and can be rigorously tested in a larger RCT it has the potential to be more broadly integrated within services and may emerge as a new, accessible intensive treatment option</w:t>
            </w:r>
            <w:r>
              <w:rPr>
                <w:rFonts w:ascii="Arial" w:hAnsi="Arial" w:cs="Arial"/>
                <w:sz w:val="22"/>
              </w:rPr>
              <w:t>.</w:t>
            </w:r>
          </w:p>
        </w:tc>
      </w:tr>
    </w:tbl>
    <w:p w14:paraId="1D45BAB8" w14:textId="77777777" w:rsidR="00113095" w:rsidRDefault="00113095"/>
    <w:sectPr w:rsidR="00113095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71AF7"/>
    <w:multiLevelType w:val="hybridMultilevel"/>
    <w:tmpl w:val="1062F6D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838C3"/>
    <w:multiLevelType w:val="hybridMultilevel"/>
    <w:tmpl w:val="E370CFDE"/>
    <w:lvl w:ilvl="0" w:tplc="06F082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Q1NbC0MDYwMjE1NDZQ0lEKTi0uzszPAykwrAUAGTeWUSwAAAA="/>
  </w:docVars>
  <w:rsids>
    <w:rsidRoot w:val="001D13D3"/>
    <w:rsid w:val="000000F7"/>
    <w:rsid w:val="00042D80"/>
    <w:rsid w:val="0005243D"/>
    <w:rsid w:val="00073C1D"/>
    <w:rsid w:val="000B6347"/>
    <w:rsid w:val="000E7A9C"/>
    <w:rsid w:val="000F731E"/>
    <w:rsid w:val="00107AAD"/>
    <w:rsid w:val="00113095"/>
    <w:rsid w:val="0018267B"/>
    <w:rsid w:val="001D13D3"/>
    <w:rsid w:val="001D2A2B"/>
    <w:rsid w:val="001F23E3"/>
    <w:rsid w:val="001F6371"/>
    <w:rsid w:val="00216C85"/>
    <w:rsid w:val="0023206A"/>
    <w:rsid w:val="002479CF"/>
    <w:rsid w:val="002571D3"/>
    <w:rsid w:val="00257DB8"/>
    <w:rsid w:val="00262FAF"/>
    <w:rsid w:val="00272298"/>
    <w:rsid w:val="00273EDD"/>
    <w:rsid w:val="002B746D"/>
    <w:rsid w:val="002C3965"/>
    <w:rsid w:val="002D2DB6"/>
    <w:rsid w:val="0030423D"/>
    <w:rsid w:val="00321C4C"/>
    <w:rsid w:val="00326404"/>
    <w:rsid w:val="00330E8A"/>
    <w:rsid w:val="003A306C"/>
    <w:rsid w:val="003B5CA8"/>
    <w:rsid w:val="00417B58"/>
    <w:rsid w:val="0045529D"/>
    <w:rsid w:val="00460105"/>
    <w:rsid w:val="00503E72"/>
    <w:rsid w:val="005515D8"/>
    <w:rsid w:val="005753DC"/>
    <w:rsid w:val="005B46F4"/>
    <w:rsid w:val="0066029D"/>
    <w:rsid w:val="0066313F"/>
    <w:rsid w:val="00691EC0"/>
    <w:rsid w:val="0069570F"/>
    <w:rsid w:val="006E3CBD"/>
    <w:rsid w:val="007B6B9A"/>
    <w:rsid w:val="007F2B32"/>
    <w:rsid w:val="00816186"/>
    <w:rsid w:val="00823574"/>
    <w:rsid w:val="008377DD"/>
    <w:rsid w:val="0086133F"/>
    <w:rsid w:val="00886ABF"/>
    <w:rsid w:val="00894F9A"/>
    <w:rsid w:val="00957D56"/>
    <w:rsid w:val="0097414B"/>
    <w:rsid w:val="009D1D1E"/>
    <w:rsid w:val="00A035FD"/>
    <w:rsid w:val="00A27932"/>
    <w:rsid w:val="00A360AD"/>
    <w:rsid w:val="00A8062D"/>
    <w:rsid w:val="00AD0B8D"/>
    <w:rsid w:val="00AD0EF3"/>
    <w:rsid w:val="00AE1DAA"/>
    <w:rsid w:val="00B11DB9"/>
    <w:rsid w:val="00B418A8"/>
    <w:rsid w:val="00B51486"/>
    <w:rsid w:val="00B94349"/>
    <w:rsid w:val="00B94CCE"/>
    <w:rsid w:val="00BC4BC4"/>
    <w:rsid w:val="00BD40C4"/>
    <w:rsid w:val="00BE103E"/>
    <w:rsid w:val="00C2702D"/>
    <w:rsid w:val="00C62FAD"/>
    <w:rsid w:val="00C8094C"/>
    <w:rsid w:val="00CC6FFD"/>
    <w:rsid w:val="00CF4B88"/>
    <w:rsid w:val="00D61517"/>
    <w:rsid w:val="00D626CB"/>
    <w:rsid w:val="00D96F76"/>
    <w:rsid w:val="00DD4303"/>
    <w:rsid w:val="00E442C7"/>
    <w:rsid w:val="00E50A59"/>
    <w:rsid w:val="00E512FA"/>
    <w:rsid w:val="00E67B4D"/>
    <w:rsid w:val="00E9223C"/>
    <w:rsid w:val="00ED0B36"/>
    <w:rsid w:val="00ED6214"/>
    <w:rsid w:val="00EE7ADE"/>
    <w:rsid w:val="00F1630E"/>
    <w:rsid w:val="00F17E69"/>
    <w:rsid w:val="00F46B06"/>
    <w:rsid w:val="00F63B4A"/>
    <w:rsid w:val="00F727D9"/>
    <w:rsid w:val="00FB4F2A"/>
    <w:rsid w:val="00FD288C"/>
    <w:rsid w:val="00FE1FCF"/>
    <w:rsid w:val="00FE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663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Ivelina Succaria (2010919)</cp:lastModifiedBy>
  <cp:revision>2</cp:revision>
  <dcterms:created xsi:type="dcterms:W3CDTF">2022-03-12T17:17:00Z</dcterms:created>
  <dcterms:modified xsi:type="dcterms:W3CDTF">2022-03-12T17:17:00Z</dcterms:modified>
</cp:coreProperties>
</file>