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445CC5" w14:textId="77777777" w:rsidR="0013518F" w:rsidRDefault="0013518F" w:rsidP="00375012">
      <w:pPr>
        <w:rPr>
          <w:rFonts w:ascii="Arial" w:hAnsi="Arial" w:cs="Arial"/>
        </w:rPr>
      </w:pPr>
      <w:r>
        <w:rPr>
          <w:rFonts w:ascii="Arial" w:hAnsi="Arial" w:cs="Arial"/>
        </w:rPr>
        <w:t>Part 2:</w:t>
      </w:r>
    </w:p>
    <w:p w14:paraId="6B6C3D4F" w14:textId="22D58462" w:rsidR="0013518F" w:rsidRDefault="0013518F" w:rsidP="00375012">
      <w:pPr>
        <w:rPr>
          <w:rFonts w:ascii="Arial" w:hAnsi="Arial" w:cs="Arial"/>
        </w:rPr>
      </w:pPr>
      <w:r>
        <w:rPr>
          <w:rFonts w:ascii="Arial" w:hAnsi="Arial" w:cs="Arial"/>
        </w:rPr>
        <w:t>Personal Reflection:</w:t>
      </w:r>
    </w:p>
    <w:p w14:paraId="0D7C7156" w14:textId="531BC548" w:rsidR="00375012" w:rsidRPr="00375012" w:rsidRDefault="00375012" w:rsidP="00375012">
      <w:pPr>
        <w:rPr>
          <w:rFonts w:ascii="Arial" w:hAnsi="Arial" w:cs="Arial"/>
        </w:rPr>
      </w:pPr>
      <w:r w:rsidRPr="00375012">
        <w:rPr>
          <w:rFonts w:ascii="Arial" w:hAnsi="Arial" w:cs="Arial"/>
        </w:rPr>
        <w:t>Good evening,</w:t>
      </w:r>
    </w:p>
    <w:p w14:paraId="7A14A13E" w14:textId="2BA7DCFA" w:rsidR="00375012" w:rsidRDefault="00375012" w:rsidP="00375012">
      <w:pPr>
        <w:rPr>
          <w:rFonts w:ascii="Arial" w:hAnsi="Arial" w:cs="Arial"/>
        </w:rPr>
      </w:pPr>
      <w:r w:rsidRPr="00375012">
        <w:rPr>
          <w:rFonts w:ascii="Arial" w:hAnsi="Arial" w:cs="Arial"/>
        </w:rPr>
        <w:t xml:space="preserve">My name is Georgia Lewis, and my student number is 2306601. This evening, I’m here to reflect on my sustainability scrapbook project, which explores the theme of regaining paradise within </w:t>
      </w:r>
      <w:r>
        <w:rPr>
          <w:rFonts w:ascii="Arial" w:hAnsi="Arial" w:cs="Arial"/>
        </w:rPr>
        <w:t>the</w:t>
      </w:r>
      <w:r w:rsidRPr="00375012">
        <w:rPr>
          <w:rFonts w:ascii="Arial" w:hAnsi="Arial" w:cs="Arial"/>
        </w:rPr>
        <w:t xml:space="preserve"> </w:t>
      </w:r>
      <w:r w:rsidRPr="00375012">
        <w:rPr>
          <w:rFonts w:ascii="Arial" w:hAnsi="Arial" w:cs="Arial"/>
        </w:rPr>
        <w:t>early year</w:t>
      </w:r>
      <w:r>
        <w:rPr>
          <w:rFonts w:ascii="Arial" w:hAnsi="Arial" w:cs="Arial"/>
        </w:rPr>
        <w:t>s</w:t>
      </w:r>
      <w:r w:rsidRPr="00375012">
        <w:rPr>
          <w:rFonts w:ascii="Arial" w:hAnsi="Arial" w:cs="Arial"/>
        </w:rPr>
        <w:t>.</w:t>
      </w:r>
    </w:p>
    <w:p w14:paraId="58DD11E0" w14:textId="6179179F" w:rsidR="00375012" w:rsidRPr="00375012" w:rsidRDefault="00375012" w:rsidP="00375012">
      <w:pPr>
        <w:rPr>
          <w:rFonts w:ascii="Arial" w:hAnsi="Arial" w:cs="Arial"/>
        </w:rPr>
      </w:pPr>
      <w:r w:rsidRPr="00375012">
        <w:rPr>
          <w:rFonts w:ascii="Arial" w:hAnsi="Arial" w:cs="Arial"/>
        </w:rPr>
        <w:t>This project has been an incredibly meaningful journey for me, both personally and professionally. It gave me the chance to explore the importance of sustainability in early childhood education</w:t>
      </w:r>
      <w:r>
        <w:rPr>
          <w:rFonts w:ascii="Arial" w:hAnsi="Arial" w:cs="Arial"/>
        </w:rPr>
        <w:t xml:space="preserve"> </w:t>
      </w:r>
      <w:r w:rsidRPr="00375012">
        <w:rPr>
          <w:rFonts w:ascii="Arial" w:hAnsi="Arial" w:cs="Arial"/>
        </w:rPr>
        <w:t>and to put that learning into action through hands-on activities, thoughtful planning, and creative reuse of materials.</w:t>
      </w:r>
    </w:p>
    <w:p w14:paraId="047ABFCA" w14:textId="4B9B8185" w:rsidR="00375012" w:rsidRPr="00375012" w:rsidRDefault="00375012" w:rsidP="00375012">
      <w:pPr>
        <w:rPr>
          <w:rFonts w:ascii="Arial" w:hAnsi="Arial" w:cs="Arial"/>
        </w:rPr>
      </w:pPr>
      <w:r w:rsidRPr="00375012">
        <w:rPr>
          <w:rFonts w:ascii="Arial" w:hAnsi="Arial" w:cs="Arial"/>
        </w:rPr>
        <w:t>This project has been an eye-opening and enjoyable journey for me. It has allowed me to dive deeply into the concept of sustainability and how small, thoughtful actions can have a lasting positive impact on both our environment and the development of young children. I’ve particularly loved discovering and implementing creative, hands-on</w:t>
      </w:r>
      <w:r>
        <w:rPr>
          <w:rFonts w:ascii="Arial" w:hAnsi="Arial" w:cs="Arial"/>
        </w:rPr>
        <w:t xml:space="preserve"> experiences</w:t>
      </w:r>
      <w:r w:rsidRPr="00375012">
        <w:rPr>
          <w:rFonts w:ascii="Arial" w:hAnsi="Arial" w:cs="Arial"/>
        </w:rPr>
        <w:t xml:space="preserve"> to promote sustainability within my setting</w:t>
      </w:r>
      <w:r>
        <w:rPr>
          <w:rFonts w:ascii="Arial" w:hAnsi="Arial" w:cs="Arial"/>
        </w:rPr>
        <w:t xml:space="preserve">, </w:t>
      </w:r>
      <w:r w:rsidRPr="00375012">
        <w:rPr>
          <w:rFonts w:ascii="Arial" w:hAnsi="Arial" w:cs="Arial"/>
        </w:rPr>
        <w:t>methods that are not only environmentally friendly but also engaging and educational for the children.</w:t>
      </w:r>
      <w:r>
        <w:rPr>
          <w:rFonts w:ascii="Arial" w:hAnsi="Arial" w:cs="Arial"/>
        </w:rPr>
        <w:t xml:space="preserve"> </w:t>
      </w:r>
      <w:r w:rsidRPr="00375012">
        <w:rPr>
          <w:rFonts w:ascii="Arial" w:hAnsi="Arial" w:cs="Arial"/>
        </w:rPr>
        <w:t>What stood out to me during this project was how much joy and learning can come from the simplest of sustainable practices.</w:t>
      </w:r>
    </w:p>
    <w:p w14:paraId="741C4A06" w14:textId="463DF5CD" w:rsidR="00375012" w:rsidRPr="00375012" w:rsidRDefault="00375012" w:rsidP="00375012">
      <w:pPr>
        <w:rPr>
          <w:rFonts w:ascii="Arial" w:hAnsi="Arial" w:cs="Arial"/>
        </w:rPr>
      </w:pPr>
      <w:r w:rsidRPr="00375012">
        <w:rPr>
          <w:rFonts w:ascii="Arial" w:hAnsi="Arial" w:cs="Arial"/>
        </w:rPr>
        <w:t>For example, I repurposed used milk bottles to create plant pots, encouraging the children to learn about growing and caring for plants while also understanding the value of reusing materials rather than throwing them away. I also used orange peels to attract beneficial insects such as butterflies and bees</w:t>
      </w:r>
      <w:r w:rsidRPr="00375012">
        <w:rPr>
          <w:rFonts w:ascii="Arial" w:hAnsi="Arial" w:cs="Arial"/>
        </w:rPr>
        <w:t xml:space="preserve">, </w:t>
      </w:r>
      <w:r w:rsidRPr="00375012">
        <w:rPr>
          <w:rFonts w:ascii="Arial" w:hAnsi="Arial" w:cs="Arial"/>
        </w:rPr>
        <w:t xml:space="preserve">essential pollinators that play a vital role in our ecosystem. These simple activities </w:t>
      </w:r>
      <w:r>
        <w:rPr>
          <w:rFonts w:ascii="Arial" w:hAnsi="Arial" w:cs="Arial"/>
        </w:rPr>
        <w:t xml:space="preserve">perform a </w:t>
      </w:r>
      <w:r w:rsidRPr="00375012">
        <w:rPr>
          <w:rFonts w:ascii="Arial" w:hAnsi="Arial" w:cs="Arial"/>
        </w:rPr>
        <w:t>dual purpose</w:t>
      </w:r>
      <w:r>
        <w:rPr>
          <w:rFonts w:ascii="Arial" w:hAnsi="Arial" w:cs="Arial"/>
        </w:rPr>
        <w:t xml:space="preserve">, as </w:t>
      </w:r>
      <w:r w:rsidRPr="00375012">
        <w:rPr>
          <w:rFonts w:ascii="Arial" w:hAnsi="Arial" w:cs="Arial"/>
        </w:rPr>
        <w:t>they help foster biodiversity in our garden while giving children a close look at nature’s processes.</w:t>
      </w:r>
    </w:p>
    <w:p w14:paraId="7C50B75F" w14:textId="27C49EB7" w:rsidR="00375012" w:rsidRPr="00375012" w:rsidRDefault="00375012" w:rsidP="00375012">
      <w:pPr>
        <w:rPr>
          <w:rFonts w:ascii="Arial" w:hAnsi="Arial" w:cs="Arial"/>
        </w:rPr>
      </w:pPr>
      <w:r w:rsidRPr="00375012">
        <w:rPr>
          <w:rFonts w:ascii="Arial" w:hAnsi="Arial" w:cs="Arial"/>
        </w:rPr>
        <w:t>Additionally, I made bird feeders from recycled egg cartons. These not only provide nourishment for local bird species but also create opportunities for birdwatching and tracking the different types of birds that visit our setting. We hung them around the garden and kept a little log of the birds we saw visiting. This turned into a brilliant opportunity for observation, discussion, and even a bit of early science. The children were so excited to notice differences in birds’ colours, sizes, and behaviours</w:t>
      </w:r>
      <w:r>
        <w:rPr>
          <w:rFonts w:ascii="Arial" w:hAnsi="Arial" w:cs="Arial"/>
        </w:rPr>
        <w:t xml:space="preserve">, </w:t>
      </w:r>
      <w:r w:rsidRPr="00375012">
        <w:rPr>
          <w:rFonts w:ascii="Arial" w:hAnsi="Arial" w:cs="Arial"/>
        </w:rPr>
        <w:t>and it opened the door for conversations about nature, seasons, and caring for living things.</w:t>
      </w:r>
    </w:p>
    <w:p w14:paraId="640C0E25" w14:textId="5A0136E6" w:rsidR="00375012" w:rsidRDefault="00375012" w:rsidP="00375012">
      <w:pPr>
        <w:rPr>
          <w:rFonts w:ascii="Arial" w:hAnsi="Arial" w:cs="Arial"/>
        </w:rPr>
      </w:pPr>
      <w:r w:rsidRPr="00375012">
        <w:rPr>
          <w:rFonts w:ascii="Arial" w:hAnsi="Arial" w:cs="Arial"/>
        </w:rPr>
        <w:t xml:space="preserve">I specifically chose my early years setting for this project because it is a newly developed space that required both practical enhancements and aesthetic improvements. The outdoor area is designed for children aged 2 to 5, and </w:t>
      </w:r>
      <w:r w:rsidRPr="00375012">
        <w:rPr>
          <w:rFonts w:ascii="Arial" w:hAnsi="Arial" w:cs="Arial"/>
        </w:rPr>
        <w:t>I</w:t>
      </w:r>
      <w:r w:rsidRPr="00375012">
        <w:rPr>
          <w:rFonts w:ascii="Arial" w:hAnsi="Arial" w:cs="Arial"/>
        </w:rPr>
        <w:t xml:space="preserve"> </w:t>
      </w:r>
      <w:r w:rsidRPr="00375012">
        <w:rPr>
          <w:rFonts w:ascii="Arial" w:hAnsi="Arial" w:cs="Arial"/>
        </w:rPr>
        <w:t>aimed</w:t>
      </w:r>
      <w:r w:rsidRPr="00375012">
        <w:rPr>
          <w:rFonts w:ascii="Arial" w:hAnsi="Arial" w:cs="Arial"/>
        </w:rPr>
        <w:t xml:space="preserve"> to transform it into a nurturing, natural environmen</w:t>
      </w:r>
      <w:r>
        <w:rPr>
          <w:rFonts w:ascii="Arial" w:hAnsi="Arial" w:cs="Arial"/>
        </w:rPr>
        <w:t>t. O</w:t>
      </w:r>
      <w:r w:rsidRPr="00375012">
        <w:rPr>
          <w:rFonts w:ascii="Arial" w:hAnsi="Arial" w:cs="Arial"/>
        </w:rPr>
        <w:t>ne that is beautiful, sustainable, and filled with opportunities for exploration and discovery</w:t>
      </w:r>
      <w:r>
        <w:rPr>
          <w:rFonts w:ascii="Arial" w:hAnsi="Arial" w:cs="Arial"/>
        </w:rPr>
        <w:t>, as used in the curriculum for Wales, non-maintained settings</w:t>
      </w:r>
      <w:r w:rsidRPr="00375012">
        <w:rPr>
          <w:rFonts w:ascii="Arial" w:hAnsi="Arial" w:cs="Arial"/>
        </w:rPr>
        <w:t>.</w:t>
      </w:r>
      <w:r>
        <w:rPr>
          <w:rFonts w:ascii="Arial" w:hAnsi="Arial" w:cs="Arial"/>
        </w:rPr>
        <w:t xml:space="preserve"> </w:t>
      </w:r>
    </w:p>
    <w:p w14:paraId="063889C6" w14:textId="6788FDC7" w:rsidR="00375012" w:rsidRDefault="00375012" w:rsidP="00375012">
      <w:pPr>
        <w:rPr>
          <w:rFonts w:ascii="Arial" w:hAnsi="Arial" w:cs="Arial"/>
        </w:rPr>
      </w:pPr>
      <w:r w:rsidRPr="00375012">
        <w:rPr>
          <w:rFonts w:ascii="Arial" w:hAnsi="Arial" w:cs="Arial"/>
        </w:rPr>
        <w:lastRenderedPageBreak/>
        <w:t>The idea of </w:t>
      </w:r>
      <w:r w:rsidRPr="00375012">
        <w:rPr>
          <w:rFonts w:ascii="Arial" w:hAnsi="Arial" w:cs="Arial"/>
          <w:i/>
          <w:iCs/>
        </w:rPr>
        <w:t>regaining paradise</w:t>
      </w:r>
      <w:r w:rsidRPr="00375012">
        <w:rPr>
          <w:rFonts w:ascii="Arial" w:hAnsi="Arial" w:cs="Arial"/>
        </w:rPr>
        <w:t> came from wanting to reintroduce a sense of wonder into children’s daily experiences. In our modern world, children often have limited access to wild outdoor spaces. By bringing elements of nature into their setting—bugs, birds, plants, and natural materials—we’re helping them rediscover a kind of paradise they might otherwise miss out on.</w:t>
      </w:r>
      <w:r>
        <w:rPr>
          <w:rFonts w:ascii="Arial" w:hAnsi="Arial" w:cs="Arial"/>
        </w:rPr>
        <w:t xml:space="preserve"> </w:t>
      </w:r>
      <w:r w:rsidRPr="00375012">
        <w:rPr>
          <w:rFonts w:ascii="Arial" w:hAnsi="Arial" w:cs="Arial"/>
        </w:rPr>
        <w:t>And for young children, this connection to nature isn’t just nice to have</w:t>
      </w:r>
      <w:r>
        <w:rPr>
          <w:rFonts w:ascii="Arial" w:hAnsi="Arial" w:cs="Arial"/>
        </w:rPr>
        <w:t xml:space="preserve">, </w:t>
      </w:r>
      <w:r w:rsidRPr="00375012">
        <w:rPr>
          <w:rFonts w:ascii="Arial" w:hAnsi="Arial" w:cs="Arial"/>
        </w:rPr>
        <w:t>it’s essential. Being outside, getting hands-on with soil, or observing a butterfly land on a flower</w:t>
      </w:r>
      <w:r>
        <w:rPr>
          <w:rFonts w:ascii="Arial" w:hAnsi="Arial" w:cs="Arial"/>
        </w:rPr>
        <w:t xml:space="preserve"> </w:t>
      </w:r>
      <w:r w:rsidRPr="00375012">
        <w:rPr>
          <w:rFonts w:ascii="Arial" w:hAnsi="Arial" w:cs="Arial"/>
        </w:rPr>
        <w:t>these are powerful learning experiences. They stimulate curiosity, support physical development, and build emotional regulation. They also help children develop empathy, responsibility, and a sense of belonging in the world around them.</w:t>
      </w:r>
    </w:p>
    <w:p w14:paraId="76C0B9BC" w14:textId="11FA54FF" w:rsidR="00375012" w:rsidRDefault="00375012" w:rsidP="00375012">
      <w:pPr>
        <w:rPr>
          <w:rFonts w:ascii="Arial" w:hAnsi="Arial" w:cs="Arial"/>
        </w:rPr>
      </w:pPr>
      <w:r w:rsidRPr="00375012">
        <w:rPr>
          <w:rFonts w:ascii="Arial" w:hAnsi="Arial" w:cs="Arial"/>
        </w:rPr>
        <w:t>Through this project, I’ve come to understand just how powerful outdoor, sustainable environments can be in supporting children’s learning. It’s not just about the activities themselves</w:t>
      </w:r>
      <w:r>
        <w:rPr>
          <w:rFonts w:ascii="Arial" w:hAnsi="Arial" w:cs="Arial"/>
        </w:rPr>
        <w:t xml:space="preserve">; </w:t>
      </w:r>
      <w:r w:rsidRPr="00375012">
        <w:rPr>
          <w:rFonts w:ascii="Arial" w:hAnsi="Arial" w:cs="Arial"/>
        </w:rPr>
        <w:t>it’s also about what they </w:t>
      </w:r>
      <w:r w:rsidRPr="00375012">
        <w:rPr>
          <w:rFonts w:ascii="Arial" w:hAnsi="Arial" w:cs="Arial"/>
          <w:i/>
          <w:iCs/>
        </w:rPr>
        <w:t>represent</w:t>
      </w:r>
      <w:r w:rsidRPr="00375012">
        <w:rPr>
          <w:rFonts w:ascii="Arial" w:hAnsi="Arial" w:cs="Arial"/>
        </w:rPr>
        <w:t>. When a child plants a seed or watches a butterfly land, they’re learning science, language, patience, and empathy</w:t>
      </w:r>
      <w:r>
        <w:rPr>
          <w:rFonts w:ascii="Arial" w:hAnsi="Arial" w:cs="Arial"/>
        </w:rPr>
        <w:t xml:space="preserve">, </w:t>
      </w:r>
      <w:r w:rsidRPr="00375012">
        <w:rPr>
          <w:rFonts w:ascii="Arial" w:hAnsi="Arial" w:cs="Arial"/>
        </w:rPr>
        <w:t>all at once. Being in nature helps them develop their senses, their social skills, and their emotional well</w:t>
      </w:r>
      <w:r>
        <w:rPr>
          <w:rFonts w:ascii="Arial" w:hAnsi="Arial" w:cs="Arial"/>
        </w:rPr>
        <w:t>-</w:t>
      </w:r>
      <w:r w:rsidRPr="00375012">
        <w:rPr>
          <w:rFonts w:ascii="Arial" w:hAnsi="Arial" w:cs="Arial"/>
        </w:rPr>
        <w:t>being. It’s an environment that supports the </w:t>
      </w:r>
      <w:r w:rsidRPr="00375012">
        <w:rPr>
          <w:rFonts w:ascii="Arial" w:hAnsi="Arial" w:cs="Arial"/>
          <w:i/>
          <w:iCs/>
        </w:rPr>
        <w:t>whole</w:t>
      </w:r>
      <w:r w:rsidRPr="00375012">
        <w:rPr>
          <w:rFonts w:ascii="Arial" w:hAnsi="Arial" w:cs="Arial"/>
        </w:rPr>
        <w:t> child.</w:t>
      </w:r>
    </w:p>
    <w:p w14:paraId="6E5D0F33" w14:textId="05BA421C" w:rsidR="00375012" w:rsidRDefault="00375012" w:rsidP="00375012">
      <w:pPr>
        <w:rPr>
          <w:rFonts w:ascii="Arial" w:hAnsi="Arial" w:cs="Arial"/>
        </w:rPr>
      </w:pPr>
      <w:r w:rsidRPr="00375012">
        <w:rPr>
          <w:rFonts w:ascii="Arial" w:hAnsi="Arial" w:cs="Arial"/>
        </w:rPr>
        <w:t>As I developed the scrapbook, I reflected a lot on how this work links to early years pedagogy. The Reggio Emilia approach really influenced me, especially its focus on the environment as the "third teacher." I began to see the outdoor space not just as a place for play, but as a living classroom. Inspired by this, I gave children real responsibilities</w:t>
      </w:r>
      <w:r>
        <w:rPr>
          <w:rFonts w:ascii="Arial" w:hAnsi="Arial" w:cs="Arial"/>
        </w:rPr>
        <w:t xml:space="preserve">, </w:t>
      </w:r>
      <w:r w:rsidRPr="00375012">
        <w:rPr>
          <w:rFonts w:ascii="Arial" w:hAnsi="Arial" w:cs="Arial"/>
        </w:rPr>
        <w:t>choosing what to grow, watering the plants, and caring for the garden. This not only taught them practical skills but also helped them feel capable, confident, and involved.</w:t>
      </w:r>
      <w:r w:rsidRPr="00375012">
        <w:rPr>
          <w:rFonts w:ascii="Arial" w:hAnsi="Arial" w:cs="Arial"/>
        </w:rPr>
        <w:t xml:space="preserve"> </w:t>
      </w:r>
    </w:p>
    <w:p w14:paraId="37E056B7" w14:textId="3FE27987" w:rsidR="00375012" w:rsidRPr="00375012" w:rsidRDefault="00375012" w:rsidP="00375012">
      <w:pPr>
        <w:rPr>
          <w:rFonts w:ascii="Arial" w:hAnsi="Arial" w:cs="Arial"/>
        </w:rPr>
      </w:pPr>
      <w:r w:rsidRPr="00375012">
        <w:rPr>
          <w:rFonts w:ascii="Arial" w:hAnsi="Arial" w:cs="Arial"/>
        </w:rPr>
        <w:t>The idea of regaining paradise in this context reflects my desire to restore a sense of wonder and connection to the natural world within the daily lives of young children. By attracting bugs, birds, and plant life, I hoped to create a living, breathing garden where children feel comfortable and curious. It’s important to me that they learn from an early age that insects and wildlife are not to be feared, but to be respected and appreciated as vital parts of our environment.</w:t>
      </w:r>
    </w:p>
    <w:p w14:paraId="7212B3B9" w14:textId="05834132" w:rsidR="00375012" w:rsidRPr="00375012" w:rsidRDefault="00375012" w:rsidP="00375012">
      <w:pPr>
        <w:rPr>
          <w:rFonts w:ascii="Arial" w:hAnsi="Arial" w:cs="Arial"/>
        </w:rPr>
      </w:pPr>
      <w:r w:rsidRPr="00375012">
        <w:rPr>
          <w:rFonts w:ascii="Arial" w:hAnsi="Arial" w:cs="Arial"/>
        </w:rPr>
        <w:t>Ultimately, this project has deepened my commitment to sustainability in early childhood education. It has shown me how powerful even the smallest actions can be when it comes to fostering environmental responsibility and helping young children develop meaningful relationships with the world around them. I look forward to continuing this work and integrating more sustainable practices into my future settings</w:t>
      </w:r>
      <w:r>
        <w:rPr>
          <w:rFonts w:ascii="Arial" w:hAnsi="Arial" w:cs="Arial"/>
        </w:rPr>
        <w:t xml:space="preserve">. </w:t>
      </w:r>
      <w:r w:rsidRPr="00375012">
        <w:rPr>
          <w:rFonts w:ascii="Arial" w:hAnsi="Arial" w:cs="Arial"/>
        </w:rPr>
        <w:t>Personally, this project has had a big impact on me as a practitioner. It’s reminded me why I chose this path. I’ve realised that sustainability isn’t just about recycling</w:t>
      </w:r>
      <w:r>
        <w:rPr>
          <w:rFonts w:ascii="Arial" w:hAnsi="Arial" w:cs="Arial"/>
        </w:rPr>
        <w:t xml:space="preserve">, </w:t>
      </w:r>
      <w:r w:rsidRPr="00375012">
        <w:rPr>
          <w:rFonts w:ascii="Arial" w:hAnsi="Arial" w:cs="Arial"/>
        </w:rPr>
        <w:t xml:space="preserve">it’s about teaching children to care, to notice, and to respect the world around them. It’s about creating spaces that invite curiosity, kindness, and connection. </w:t>
      </w:r>
    </w:p>
    <w:p w14:paraId="0579E5F5" w14:textId="77777777" w:rsidR="00375012" w:rsidRDefault="00375012"/>
    <w:p w14:paraId="06584EBC" w14:textId="35F0DA95" w:rsidR="0013518F" w:rsidRDefault="0013518F">
      <w:r>
        <w:lastRenderedPageBreak/>
        <w:t xml:space="preserve">Academic section: </w:t>
      </w:r>
    </w:p>
    <w:p w14:paraId="165493A1" w14:textId="77777777" w:rsidR="0013518F" w:rsidRPr="0013518F" w:rsidRDefault="0013518F" w:rsidP="0013518F">
      <w:r w:rsidRPr="0013518F">
        <w:t>Sustainability is broadly defined as meeting the needs of the present without compromising the ability of future generations to meet their own, encompassing environmental, economic, and social dimensions (WCED, 1987; United Nations, 2015). Within the education sector, sustainability has gained growing prominence through global initiatives such as UNESCO’s Education for Sustainable Development (ESD) and the United Nations Sustainable Development Goals (SDGs), particularly SDG 4.7, which calls for embedding global citizenship and sustainable practices in learner outcomes (UNESCO, 2017). Introducing sustainability early in childhood education positions young learners as active participants in shaping a more just and environmentally responsible world (Barrable, 2019; Ernst &amp; Burcak, 2019).</w:t>
      </w:r>
    </w:p>
    <w:p w14:paraId="45B0466E" w14:textId="20FA42C6" w:rsidR="0013518F" w:rsidRPr="0013518F" w:rsidRDefault="0013518F" w:rsidP="0013518F">
      <w:r w:rsidRPr="0013518F">
        <w:t>The integration of sustainability in early childhood education extends far beyond mere environmental awareness; it fosters holistic development. For instance, recent evaluations of the Learning in Nature Program highlight that Early Childhood Education for Sustainability (ECEfS) promotes emotional resilience, empathy, social skills, and pro-environmental behavio</w:t>
      </w:r>
      <w:r>
        <w:t>u</w:t>
      </w:r>
      <w:r w:rsidRPr="0013518F">
        <w:t>rs</w:t>
      </w:r>
      <w:r>
        <w:t xml:space="preserve">, </w:t>
      </w:r>
      <w:r w:rsidRPr="0013518F">
        <w:t>demonstrating significant cognitive and affective benefits (Watt &amp; Frydenberg, 2024). Similarly, studies from Sweden show that everyday sustainability practices such as nature play, gardening, and animal care enhance children’s curiosity, sense of agency, and self-regulation (Kahriman Pamuk &amp; Pramling Samuelsson, 2024; Watt &amp; Frydenberg, 2024; MDPI, 2024).</w:t>
      </w:r>
    </w:p>
    <w:p w14:paraId="168AB39E" w14:textId="47A2A99E" w:rsidR="0013518F" w:rsidRPr="0013518F" w:rsidRDefault="0013518F" w:rsidP="0013518F">
      <w:r w:rsidRPr="0013518F">
        <w:t>However, authentic and meaningful embedding of sustainability in early years settings requires more than isolated activities. It demands intentional pedagogy that encourages children’s agency, nurtures reflective dialogue, and fosters connections to broader communities (Hedefalk et al., 2024; Garcia Manas, 2024). Research indicates that effective ECEfS involves democratic and transformative teaching approaches that challenge existing norms and integrate sustainability into everyday practice</w:t>
      </w:r>
      <w:r>
        <w:t xml:space="preserve">, </w:t>
      </w:r>
      <w:r w:rsidRPr="0013518F">
        <w:t xml:space="preserve">often through outdoor “living classrooms” (Hedefalk et al., 2024; Children &amp; Nature Network, 2024). Despite these insights, barriers </w:t>
      </w:r>
      <w:r w:rsidRPr="0013518F">
        <w:t>persist</w:t>
      </w:r>
      <w:r w:rsidRPr="0013518F">
        <w:t xml:space="preserve"> many educators report feeling underprepared or limited by constraints such as time, resources, and professional development (Grava &amp; Pole, 2021; Hedefalk et al., 2024). Hence, realising the full potential of sustainable early education calls for systemic support, ongoing professional training, and the cultivation of a whole-setting culture, rather than sporadic “eco” projects.</w:t>
      </w:r>
    </w:p>
    <w:p w14:paraId="62197D14" w14:textId="5F68198D" w:rsidR="0013518F" w:rsidRPr="0013518F" w:rsidRDefault="0013518F" w:rsidP="0013518F">
      <w:r w:rsidRPr="0013518F">
        <w:t xml:space="preserve">Sustainability in early years education also resonates strongly with the principles enshrined in the United Nations Convention on the Rights of the Child (UNCRC). Article 29 </w:t>
      </w:r>
      <w:r>
        <w:t>emphasises</w:t>
      </w:r>
      <w:r w:rsidRPr="0013518F">
        <w:t xml:space="preserve"> children’s right to an education that promotes respect for the natural environment, while Article 12 emphasi</w:t>
      </w:r>
      <w:r>
        <w:t>s</w:t>
      </w:r>
      <w:r w:rsidRPr="0013518F">
        <w:t>es their right to be heard in matters affecting them (UNCRC, 1989). Educat</w:t>
      </w:r>
      <w:r>
        <w:t>io</w:t>
      </w:r>
      <w:r w:rsidRPr="0013518F">
        <w:t xml:space="preserve">n for sustainability empowers children to express their views on pressing issues such as pollution, climate change, and biodiversity loss, </w:t>
      </w:r>
      <w:r w:rsidRPr="0013518F">
        <w:lastRenderedPageBreak/>
        <w:t>positioning them as active contributors to solutions. This rights-based perspective reinforces that children are not merely future citizens but current stakeholders with agency and insight (Quennerstedt, 2016). Thus, embedding sustainability within early years respects children’s rights to participation, information, and contribution</w:t>
      </w:r>
      <w:r>
        <w:t xml:space="preserve">, </w:t>
      </w:r>
      <w:r w:rsidRPr="0013518F">
        <w:t>core principles that underpin both sustainability and child-centred pedagogy.</w:t>
      </w:r>
    </w:p>
    <w:p w14:paraId="06E04974" w14:textId="77777777" w:rsidR="0013518F" w:rsidRPr="0013518F" w:rsidRDefault="0013518F" w:rsidP="0013518F">
      <w:r w:rsidRPr="0013518F">
        <w:t>In addition, embedding sustainability aligns closely with the Well-being of Future Generations (Wales) Act 2015, which mandates public bodies in Wales to adopt a long-term, joined-up, and sustainable approach to decision-making. One of the Act’s seven well-being goals is to create “a globally responsible Wales,” fostering environmental awareness and action from the earliest years (Welsh Government, 2015). Early childhood educators play a vital role in realising this vision by weaving sustainability into daily learning and promoting values such as stewardship, fairness, and interdependence. By instilling these values from the foundation years, the early years sector contributes directly to nurturing future citizens who comprehend their role in building a sustainable and equitable society (Future Generations Commissioner for Wales, 2022).</w:t>
      </w:r>
    </w:p>
    <w:p w14:paraId="656E8ACE" w14:textId="546C306E" w:rsidR="0013518F" w:rsidRPr="0013518F" w:rsidRDefault="0013518F" w:rsidP="0013518F">
      <w:r w:rsidRPr="0013518F">
        <w:t>Education for Sustainable Development and Global Citizenship (ESDGC) has long been embedded in Welsh education policy, promoting justice, equity, and responsibility towards local and global communities (Welsh Assembly Government, 2008). The current Curriculum for Wales deeply integrates these values within its four purposes, which aim to develop “ethical, informed citizens ready to participate as citizens of Wales and the world” (Welsh Government, 2020). For non-maintained early years settings, the concept of </w:t>
      </w:r>
      <w:r w:rsidRPr="0013518F">
        <w:rPr>
          <w:i/>
          <w:iCs/>
        </w:rPr>
        <w:t>Cynefin</w:t>
      </w:r>
      <w:r>
        <w:t xml:space="preserve"> </w:t>
      </w:r>
      <w:r w:rsidRPr="0013518F">
        <w:t>a child’s sense of place, belonging, and identity</w:t>
      </w:r>
      <w:r>
        <w:t xml:space="preserve">, </w:t>
      </w:r>
      <w:r w:rsidRPr="0013518F">
        <w:t>is central. Through sustainable activities like outdoor exploration, gardening, and learning about local ecosystems, children cultivate respect for their immediate environment while developing empathy for wider global challenges. This dual focus on local roots and global responsibility reflects the complementary goals of ESD and the Welsh curriculum: fostering confident individuals with a strong sense of identity alongside compassionate citizens who contribute positively to their communities and beyond.</w:t>
      </w:r>
    </w:p>
    <w:p w14:paraId="5CCFEC5B" w14:textId="75FD9B1B" w:rsidR="0013518F" w:rsidRPr="0013518F" w:rsidRDefault="0013518F" w:rsidP="0013518F">
      <w:r w:rsidRPr="0013518F">
        <w:t>A key strength of sustainability education in the early years lies in its emphasis on active, hands-on, and child-led learning. These approaches align naturally with ESD principles, which encourage participatory, experiential learning grounded in real-life contexts (UNESCO, 2017). Practically, this means providing children with opportunities to grow plants, explore natural habitats, compost waste, and observe seasonal changes</w:t>
      </w:r>
      <w:r>
        <w:t xml:space="preserve">, </w:t>
      </w:r>
      <w:r w:rsidRPr="0013518F">
        <w:t>learning by doing rather than passive instruction. These experiences support problem-solving, curiosity, and responsibility, inviting children to critically reflect on their environment and their role within it (Barrable, 2019). When children initiate and lead their learning</w:t>
      </w:r>
      <w:r>
        <w:t xml:space="preserve">, </w:t>
      </w:r>
      <w:r w:rsidRPr="0013518F">
        <w:t>choosing what to plant, building bug hotels, or deciding how to care for animals</w:t>
      </w:r>
      <w:r>
        <w:t xml:space="preserve">, </w:t>
      </w:r>
      <w:r w:rsidRPr="0013518F">
        <w:t xml:space="preserve">they begin to see themselves as capable agents of change, embodying a </w:t>
      </w:r>
      <w:r w:rsidRPr="0013518F">
        <w:lastRenderedPageBreak/>
        <w:t>central value of ESD. Such ownership and purpose bridge theory and action while fostering values that extend far beyond the classroom.</w:t>
      </w:r>
    </w:p>
    <w:p w14:paraId="2FAB5200" w14:textId="383940B1" w:rsidR="0013518F" w:rsidRPr="0013518F" w:rsidRDefault="0013518F" w:rsidP="0013518F">
      <w:r w:rsidRPr="0013518F">
        <w:t>Experiences such as participating in the John Muir Award provide rich, experiential learning opportunities that closely align with the themes of ESD. Developing a connection with nature fosters emotional attachment, empathy, and responsibility towards the environment (Barrable, 2019; Chawla, 2020). Activities like creating sustainable plant plots from reused materials, building bug hotels, and observing birds through homemade feeders embody ESD’s focus on interdependence</w:t>
      </w:r>
      <w:r>
        <w:t xml:space="preserve">, </w:t>
      </w:r>
      <w:r w:rsidRPr="0013518F">
        <w:t>recognising the mutual reliance of all living beings (UNESCO, 2017). The Award also promotes reflective practice through journaling or scrapbooking, deepening children’s awareness of their environmental impact and helping them internalise sustainable values. Crucially, these experiences empower children to act; when learners take responsibility for improving gardens or tracking biodiversity, they develop ecological literacy and grow into confident, ethical citizens. Yet, for lasting impact, such initiatives must be part of a broader, sustained approach to environmental education that integrates community involvement and systemic support.</w:t>
      </w:r>
    </w:p>
    <w:p w14:paraId="5A7595E7" w14:textId="04878A05" w:rsidR="0013518F" w:rsidRPr="0013518F" w:rsidRDefault="0013518F" w:rsidP="0013518F">
      <w:r w:rsidRPr="0013518F">
        <w:t>Learning from nature plays an essential role in early years education, supporting the core aims of ESD. Nature serves not only as a setting but as a teacher, offering rich, sensory, and unpredictable experiences that spark curiosity and deepen understanding (Barrable, 2019). Through direct interaction</w:t>
      </w:r>
      <w:r>
        <w:t xml:space="preserve">, </w:t>
      </w:r>
      <w:r w:rsidRPr="0013518F">
        <w:t>observing weather patterns, tracking animal behaviour, or exploring textures</w:t>
      </w:r>
      <w:r>
        <w:t xml:space="preserve">, </w:t>
      </w:r>
      <w:r w:rsidRPr="0013518F">
        <w:t>children develop scientific thinking, emotional regulation, and a sense of wonder. This kind of place-based learning strengthens children’s connection to their local environment, fostering stewardship and eco-literacy (Sobel, 2008). By understanding ecological cycles and systems, children build knowledge, attitudes, and values central to sustainability and global citizenship (UNESCO, 2017). Additionally, nature supports wellbeing by providing space for calm, movement, and imagination</w:t>
      </w:r>
      <w:r>
        <w:t xml:space="preserve">, </w:t>
      </w:r>
      <w:r w:rsidRPr="0013518F">
        <w:t>critical in today’s digital age. Embedding nature-based experiences in early years settings enhances cognitive and emotional development while laying foundations for lifelong environmental responsibility.</w:t>
      </w:r>
    </w:p>
    <w:p w14:paraId="6C0498D4" w14:textId="0667000F" w:rsidR="0013518F" w:rsidRPr="0013518F" w:rsidRDefault="0013518F" w:rsidP="0013518F">
      <w:r w:rsidRPr="0013518F">
        <w:t>Futures thinking is another vital element of ESD that encourages learners to explore how today’s actions influence tomorrow’s world (UNESCO, 2017). Though often associated with older learners, futures thinking can be introduced to young children through age-appropriate play, storytelling, and imaginative activities. Children naturally engage with future concepts by asking “what if?” and imagining alternative scenarios. Educators can build on this curiosity by discussing care for the planet, seasonal changes, or hypothetical animal habitats. This nurtures children’s agency and critical thinking, helping them understand that their choices</w:t>
      </w:r>
      <w:r>
        <w:t xml:space="preserve">, </w:t>
      </w:r>
      <w:r w:rsidRPr="0013518F">
        <w:t>like saving water or protecting insects</w:t>
      </w:r>
      <w:r>
        <w:t xml:space="preserve">, </w:t>
      </w:r>
      <w:r w:rsidRPr="0013518F">
        <w:t xml:space="preserve">affect future outcomes. Despite concerns about its abstractness, research shows that concrete, meaningful experiences enable young children to engage with </w:t>
      </w:r>
      <w:r w:rsidRPr="0013518F">
        <w:lastRenderedPageBreak/>
        <w:t xml:space="preserve">futures thinking thoughtfully and optimistically (Bamford &amp; </w:t>
      </w:r>
      <w:proofErr w:type="spellStart"/>
      <w:r w:rsidRPr="0013518F">
        <w:t>Lagunju</w:t>
      </w:r>
      <w:proofErr w:type="spellEnd"/>
      <w:r w:rsidRPr="0013518F">
        <w:t>, 2023). Embedding futures thinking fosters responsibility, hope, and purpose</w:t>
      </w:r>
      <w:r>
        <w:t xml:space="preserve">, </w:t>
      </w:r>
      <w:r w:rsidRPr="0013518F">
        <w:t>core to a sustainable future.</w:t>
      </w:r>
    </w:p>
    <w:p w14:paraId="0767FC06" w14:textId="77777777" w:rsidR="0013518F" w:rsidRPr="0013518F" w:rsidRDefault="0013518F" w:rsidP="0013518F">
      <w:r w:rsidRPr="0013518F">
        <w:t>The foundational early childhood theories of Froebel, Montessori, and Malaguzzi underpin many ESD principles. Froebel, who founded kindergarten, stressed the importance of nature in child development, viewing outdoor play as vital for holistic learning and moral growth (Knight, 2013). Montessori’s approach emphasises respect for the child, environment, and others, promoting independence, agency, and hands-on learning with natural materials (Montessori, 1967). Malaguzzi’s Reggio Emilia philosophy regards children as competent agents, emphasising collaboration, rights, and environment as “the third teacher,” fostering inquiry, care, and responsibility (Edwards, Gandini &amp; Forman, 2012). Together, these theorists provide a strong pedagogical foundation for embedding sustainability through experiential, child-led learning that connects self, others, and nature.</w:t>
      </w:r>
    </w:p>
    <w:p w14:paraId="3B3C2129" w14:textId="77777777" w:rsidR="0013518F" w:rsidRPr="0013518F" w:rsidRDefault="0013518F" w:rsidP="0013518F">
      <w:r w:rsidRPr="0013518F">
        <w:t>These philosophies offer numerous opportunities for sustainability education, including nature walks that encourage observation and belonging, creative exploration with natural materials, and fostering curiosity and collaboration. However, significant challenges remain, including limited outdoor space, time constraints, safety concerns, and insufficient teacher training (Parry et al., 2022). Curriculum demands and standardised assessments often deprioritise open-ended exploration and creativity, critical to ESD. Institutional barriers and resource shortages further limit consistent sustainability education. Therefore, realising its full potential requires systemic change, investment in training, and policies prioritising environmental and holistic learning alongside academic outcomes.</w:t>
      </w:r>
    </w:p>
    <w:p w14:paraId="0CD0F777" w14:textId="126C9DD1" w:rsidR="0013518F" w:rsidRPr="0013518F" w:rsidRDefault="0013518F" w:rsidP="0013518F">
      <w:r w:rsidRPr="0013518F">
        <w:t>In conclusion, embedding sustainability within early years education presents rich opportunities to nurture children’s connection to nature, develop agency, and instil values of respect and responsibility aligned with Education for Sustainable Development. Foundational theories from Froebel, Montessori, and Malaguzzi support experiential, child-led, and nature-based learning that sparks curiosity and ethical citizenship early on. Practical experiences such as the John Muir Award exemplify how environmental engagement fosters stewardship and reflective learning, though often focused on local concerns and less on broader social and global dimensions. Challenges</w:t>
      </w:r>
      <w:r>
        <w:t>,</w:t>
      </w:r>
      <w:r w:rsidRPr="0013518F">
        <w:t xml:space="preserve"> including curriculum pressures, resource limitations, and training gaps</w:t>
      </w:r>
      <w:r>
        <w:t>,</w:t>
      </w:r>
      <w:r w:rsidRPr="0013518F">
        <w:t xml:space="preserve"> restrict consistent implementation. Expanding sustainability learning to encompass global citizenship and social justice is essential for preparing children</w:t>
      </w:r>
    </w:p>
    <w:p w14:paraId="704FEC0D" w14:textId="66F4B4F5" w:rsidR="0013518F" w:rsidRDefault="0013518F"/>
    <w:p w14:paraId="382F2C80" w14:textId="7B94CDB9" w:rsidR="0013518F" w:rsidRDefault="0013518F"/>
    <w:p w14:paraId="58D10BCE" w14:textId="77777777" w:rsidR="0013518F" w:rsidRDefault="0013518F"/>
    <w:p w14:paraId="4B1D175B" w14:textId="234FDCF6" w:rsidR="0013518F" w:rsidRDefault="0013518F">
      <w:r>
        <w:lastRenderedPageBreak/>
        <w:t>References:</w:t>
      </w:r>
    </w:p>
    <w:p w14:paraId="3625BE21" w14:textId="77777777" w:rsidR="0013518F" w:rsidRPr="00D509F0" w:rsidRDefault="0013518F" w:rsidP="0013518F">
      <w:r w:rsidRPr="00D509F0">
        <w:t xml:space="preserve">Bamford, C. &amp; </w:t>
      </w:r>
      <w:proofErr w:type="spellStart"/>
      <w:r w:rsidRPr="00D509F0">
        <w:t>Lagunju</w:t>
      </w:r>
      <w:proofErr w:type="spellEnd"/>
      <w:r w:rsidRPr="00D509F0">
        <w:t>, M. (2023) ‘Futures Thinking in Early Childhood: Imagination and Sustainability’, </w:t>
      </w:r>
      <w:r w:rsidRPr="00D509F0">
        <w:rPr>
          <w:i/>
          <w:iCs/>
        </w:rPr>
        <w:t>International Journal of Early Years Education</w:t>
      </w:r>
      <w:r w:rsidRPr="00D509F0">
        <w:t>.</w:t>
      </w:r>
    </w:p>
    <w:p w14:paraId="60FBBD72" w14:textId="77777777" w:rsidR="0013518F" w:rsidRPr="00D509F0" w:rsidRDefault="0013518F" w:rsidP="0013518F">
      <w:r w:rsidRPr="00D509F0">
        <w:t>Barrable, A. (2019</w:t>
      </w:r>
      <w:proofErr w:type="gramStart"/>
      <w:r w:rsidRPr="00D509F0">
        <w:t>) </w:t>
      </w:r>
      <w:r>
        <w:t>.</w:t>
      </w:r>
      <w:proofErr w:type="gramEnd"/>
      <w:r>
        <w:t xml:space="preserve"> </w:t>
      </w:r>
      <w:r w:rsidRPr="00D509F0">
        <w:rPr>
          <w:i/>
          <w:iCs/>
        </w:rPr>
        <w:t>Refocusing environmental education in the early years: A pedagogy for connection</w:t>
      </w:r>
      <w:r w:rsidRPr="00D509F0">
        <w:t>.</w:t>
      </w:r>
    </w:p>
    <w:p w14:paraId="349FA6DD" w14:textId="77777777" w:rsidR="0013518F" w:rsidRPr="00D509F0" w:rsidRDefault="0013518F" w:rsidP="0013518F">
      <w:r w:rsidRPr="00D509F0">
        <w:t>Chawla, L. (2020) ‘Childhood nature connection and constructive hope: A review of research on connecting with nature and coping with environmental change’, </w:t>
      </w:r>
      <w:r w:rsidRPr="00D509F0">
        <w:rPr>
          <w:i/>
          <w:iCs/>
        </w:rPr>
        <w:t>People and Nature</w:t>
      </w:r>
      <w:r w:rsidRPr="00D509F0">
        <w:t>, 2(3), pp. 619–642.</w:t>
      </w:r>
    </w:p>
    <w:p w14:paraId="6BD14E10" w14:textId="77777777" w:rsidR="0013518F" w:rsidRPr="00D509F0" w:rsidRDefault="0013518F" w:rsidP="0013518F">
      <w:r w:rsidRPr="00D509F0">
        <w:t>Children &amp; Nature Network (2024). </w:t>
      </w:r>
      <w:r w:rsidRPr="00D509F0">
        <w:rPr>
          <w:i/>
          <w:iCs/>
        </w:rPr>
        <w:t>Research Digest: Early Childhood Education for Sustainability (ECEfS)</w:t>
      </w:r>
      <w:r w:rsidRPr="00D509F0">
        <w:t>.</w:t>
      </w:r>
    </w:p>
    <w:p w14:paraId="57ACBD96" w14:textId="77777777" w:rsidR="0013518F" w:rsidRPr="00D509F0" w:rsidRDefault="0013518F" w:rsidP="0013518F">
      <w:r w:rsidRPr="00D509F0">
        <w:t>Edwards, C., Gandini, L. &amp; Forman, G. (2012) </w:t>
      </w:r>
      <w:r w:rsidRPr="00D509F0">
        <w:rPr>
          <w:i/>
          <w:iCs/>
        </w:rPr>
        <w:t>The Hundred Languages of Children: The Reggio Emilia Experience in Transformation</w:t>
      </w:r>
      <w:r w:rsidRPr="00D509F0">
        <w:t xml:space="preserve">. 3rd </w:t>
      </w:r>
      <w:proofErr w:type="spellStart"/>
      <w:r w:rsidRPr="00D509F0">
        <w:t>edn</w:t>
      </w:r>
      <w:proofErr w:type="spellEnd"/>
      <w:r w:rsidRPr="00D509F0">
        <w:t>. Santa Barbara, CA: Praeger.</w:t>
      </w:r>
    </w:p>
    <w:p w14:paraId="18F21469" w14:textId="77777777" w:rsidR="0013518F" w:rsidRDefault="0013518F" w:rsidP="0013518F">
      <w:r>
        <w:t>Future Generations Commissioner for Wales (2022)</w:t>
      </w:r>
      <w:r w:rsidRPr="00D509F0">
        <w:rPr>
          <w:rStyle w:val="apple-converted-space"/>
          <w:rFonts w:eastAsiaTheme="majorEastAsia"/>
        </w:rPr>
        <w:t> </w:t>
      </w:r>
      <w:r w:rsidRPr="00D509F0">
        <w:rPr>
          <w:rStyle w:val="Emphasis"/>
          <w:rFonts w:eastAsiaTheme="majorEastAsia"/>
        </w:rPr>
        <w:t>Cymru Can: The Future Generations Report 2022</w:t>
      </w:r>
      <w:r>
        <w:t>. Available at:</w:t>
      </w:r>
      <w:r w:rsidRPr="00D509F0">
        <w:rPr>
          <w:rStyle w:val="apple-converted-space"/>
          <w:rFonts w:eastAsiaTheme="majorEastAsia"/>
        </w:rPr>
        <w:t> </w:t>
      </w:r>
      <w:hyperlink r:id="rId5" w:history="1">
        <w:r w:rsidRPr="00EC3B63">
          <w:rPr>
            <w:rStyle w:val="Hyperlink"/>
          </w:rPr>
          <w:t>https://www.futuregenerations.wales/resources_posts/future-generations-report-2022/</w:t>
        </w:r>
      </w:hyperlink>
      <w:r>
        <w:t xml:space="preserve"> [Accessed: 8</w:t>
      </w:r>
      <w:r w:rsidRPr="00D509F0">
        <w:rPr>
          <w:vertAlign w:val="superscript"/>
        </w:rPr>
        <w:t>th</w:t>
      </w:r>
      <w:r>
        <w:t xml:space="preserve"> July 2025]</w:t>
      </w:r>
    </w:p>
    <w:p w14:paraId="1A05CFB9" w14:textId="77777777" w:rsidR="0013518F" w:rsidRPr="00D509F0" w:rsidRDefault="0013518F" w:rsidP="0013518F">
      <w:r w:rsidRPr="00D509F0">
        <w:t>Garcia Manas, C. (2024). </w:t>
      </w:r>
      <w:r w:rsidRPr="00D509F0">
        <w:rPr>
          <w:i/>
          <w:iCs/>
        </w:rPr>
        <w:t>Education for social sustainability in early years: literature review</w:t>
      </w:r>
      <w:r w:rsidRPr="00D509F0">
        <w:t>. </w:t>
      </w:r>
      <w:r w:rsidRPr="00D509F0">
        <w:rPr>
          <w:i/>
          <w:iCs/>
        </w:rPr>
        <w:t>The Living Lab</w:t>
      </w:r>
      <w:r w:rsidRPr="00D509F0">
        <w:t>, 1(1), 108–121.</w:t>
      </w:r>
    </w:p>
    <w:p w14:paraId="6BFE9BEF" w14:textId="77777777" w:rsidR="0013518F" w:rsidRPr="00D509F0" w:rsidRDefault="0013518F" w:rsidP="0013518F">
      <w:r w:rsidRPr="00D509F0">
        <w:t xml:space="preserve">Hedefalk, M., et al. (2024). ‘Implementing education for sustainability in preschool: Teaching strategies and learning </w:t>
      </w:r>
      <w:proofErr w:type="gramStart"/>
      <w:r w:rsidRPr="00D509F0">
        <w:t>environments’</w:t>
      </w:r>
      <w:proofErr w:type="gramEnd"/>
      <w:r w:rsidRPr="00D509F0">
        <w:t>. </w:t>
      </w:r>
      <w:r w:rsidRPr="00D509F0">
        <w:rPr>
          <w:i/>
          <w:iCs/>
        </w:rPr>
        <w:t>Journal of Outdoor and Environmental Education</w:t>
      </w:r>
      <w:r w:rsidRPr="00D509F0">
        <w:t>.</w:t>
      </w:r>
    </w:p>
    <w:p w14:paraId="21B114B7" w14:textId="77777777" w:rsidR="0013518F" w:rsidRPr="00D509F0" w:rsidRDefault="0013518F" w:rsidP="0013518F">
      <w:r w:rsidRPr="00D509F0">
        <w:t>Kahriman</w:t>
      </w:r>
      <w:r w:rsidRPr="00D509F0">
        <w:noBreakHyphen/>
        <w:t>Pamuk, D. &amp; Pramling Samuelsson, I. (2024). ‘Nurturing Sustainability in Toddlerhood: Swedish Preschool Study’, </w:t>
      </w:r>
      <w:r w:rsidRPr="00D509F0">
        <w:rPr>
          <w:i/>
          <w:iCs/>
        </w:rPr>
        <w:t>Children</w:t>
      </w:r>
      <w:r w:rsidRPr="00D509F0">
        <w:t>, 11(12).</w:t>
      </w:r>
    </w:p>
    <w:p w14:paraId="217471BF" w14:textId="77777777" w:rsidR="0013518F" w:rsidRPr="00D509F0" w:rsidRDefault="0013518F" w:rsidP="0013518F">
      <w:r w:rsidRPr="00D509F0">
        <w:t>Knight, S. (2013) </w:t>
      </w:r>
      <w:r w:rsidRPr="00D509F0">
        <w:rPr>
          <w:i/>
          <w:iCs/>
        </w:rPr>
        <w:t>Friedrich Froebel and the Education of the Young Child</w:t>
      </w:r>
      <w:r w:rsidRPr="00D509F0">
        <w:t>. Routledge.</w:t>
      </w:r>
    </w:p>
    <w:p w14:paraId="0B3C67E2" w14:textId="77777777" w:rsidR="0013518F" w:rsidRPr="00D509F0" w:rsidRDefault="0013518F" w:rsidP="0013518F">
      <w:r w:rsidRPr="00D509F0">
        <w:t>Montessori, M. (1967) </w:t>
      </w:r>
      <w:r w:rsidRPr="00D509F0">
        <w:rPr>
          <w:i/>
          <w:iCs/>
        </w:rPr>
        <w:t>The Absorbent Mind</w:t>
      </w:r>
      <w:r w:rsidRPr="00D509F0">
        <w:t>. New York: Holt, Rinehart &amp; Winston.</w:t>
      </w:r>
    </w:p>
    <w:p w14:paraId="276A051F" w14:textId="77777777" w:rsidR="0013518F" w:rsidRDefault="0013518F" w:rsidP="0013518F">
      <w:r w:rsidRPr="00D509F0">
        <w:t>Montessori, M. (1967) </w:t>
      </w:r>
      <w:r w:rsidRPr="00D509F0">
        <w:rPr>
          <w:i/>
          <w:iCs/>
        </w:rPr>
        <w:t>The Absorbent Mind</w:t>
      </w:r>
      <w:r w:rsidRPr="00D509F0">
        <w:t>. New York: Holt</w:t>
      </w:r>
      <w:r>
        <w:t>.</w:t>
      </w:r>
    </w:p>
    <w:p w14:paraId="29533CB2" w14:textId="77777777" w:rsidR="0013518F" w:rsidRPr="00D509F0" w:rsidRDefault="0013518F" w:rsidP="0013518F">
      <w:r w:rsidRPr="00D509F0">
        <w:t>Quennerstedt, A. (2016) ‘Children’s rights research moving into the future – challenges on the way forward’, </w:t>
      </w:r>
      <w:r w:rsidRPr="00D509F0">
        <w:rPr>
          <w:i/>
          <w:iCs/>
        </w:rPr>
        <w:t>International Journal of Children’s Rights</w:t>
      </w:r>
      <w:r w:rsidRPr="00D509F0">
        <w:t>, 24(2), pp. 233–247.</w:t>
      </w:r>
    </w:p>
    <w:p w14:paraId="794C489C" w14:textId="77777777" w:rsidR="0013518F" w:rsidRDefault="0013518F" w:rsidP="0013518F">
      <w:pPr>
        <w:rPr>
          <w:i/>
          <w:iCs/>
        </w:rPr>
      </w:pPr>
      <w:r w:rsidRPr="00D509F0">
        <w:t>Rinehart &amp; Winston. Parry, et al. (2022) ‘Barriers to learning for sustainability: a teacher perspective’, </w:t>
      </w:r>
      <w:r w:rsidRPr="00D509F0">
        <w:rPr>
          <w:i/>
          <w:iCs/>
        </w:rPr>
        <w:t>Sustainable Earth Reviews</w:t>
      </w:r>
    </w:p>
    <w:p w14:paraId="7E8A819A" w14:textId="77777777" w:rsidR="0013518F" w:rsidRPr="00D509F0" w:rsidRDefault="0013518F" w:rsidP="0013518F">
      <w:r w:rsidRPr="00D509F0">
        <w:t>Sobel, D. (2008) </w:t>
      </w:r>
      <w:r w:rsidRPr="00D509F0">
        <w:rPr>
          <w:i/>
          <w:iCs/>
        </w:rPr>
        <w:t>Childhood and Nature: Design Principles for Educators</w:t>
      </w:r>
      <w:r w:rsidRPr="00D509F0">
        <w:t>. Portland, ME: Stenhouse Publishers.</w:t>
      </w:r>
    </w:p>
    <w:p w14:paraId="229AF798" w14:textId="77777777" w:rsidR="0013518F" w:rsidRDefault="0013518F" w:rsidP="0013518F">
      <w:r w:rsidRPr="00D509F0">
        <w:lastRenderedPageBreak/>
        <w:t>UNCRC (United Nations Convention on the Rights of the Child) (1989) </w:t>
      </w:r>
      <w:r w:rsidRPr="00D509F0">
        <w:rPr>
          <w:i/>
          <w:iCs/>
        </w:rPr>
        <w:t>Convention on the Rights of the Child</w:t>
      </w:r>
      <w:r w:rsidRPr="00D509F0">
        <w:t>. United Nations General Assembly. Available at: </w:t>
      </w:r>
      <w:hyperlink r:id="rId6" w:history="1">
        <w:r w:rsidRPr="00D509F0">
          <w:rPr>
            <w:rStyle w:val="Hyperlink"/>
          </w:rPr>
          <w:t>https://www.unicef.org.uk/what-we-do/un-convention-child-rights/</w:t>
        </w:r>
      </w:hyperlink>
      <w:r>
        <w:t xml:space="preserve"> [Accessed: 8</w:t>
      </w:r>
      <w:r w:rsidRPr="00D509F0">
        <w:rPr>
          <w:vertAlign w:val="superscript"/>
        </w:rPr>
        <w:t>th</w:t>
      </w:r>
      <w:r>
        <w:t xml:space="preserve"> July 2025]</w:t>
      </w:r>
    </w:p>
    <w:p w14:paraId="2E19456E" w14:textId="77777777" w:rsidR="0013518F" w:rsidRPr="00D509F0" w:rsidRDefault="0013518F" w:rsidP="0013518F">
      <w:r w:rsidRPr="00D509F0">
        <w:t>UNESCO (2017) </w:t>
      </w:r>
      <w:r w:rsidRPr="00D509F0">
        <w:rPr>
          <w:i/>
          <w:iCs/>
        </w:rPr>
        <w:t>Education for Sustainable Development: Learning Objectives</w:t>
      </w:r>
      <w:r w:rsidRPr="00D509F0">
        <w:t>.</w:t>
      </w:r>
    </w:p>
    <w:p w14:paraId="1A89642E" w14:textId="77777777" w:rsidR="0013518F" w:rsidRDefault="0013518F" w:rsidP="0013518F">
      <w:r w:rsidRPr="00D509F0">
        <w:t>United Nations (2015). </w:t>
      </w:r>
      <w:r w:rsidRPr="00D509F0">
        <w:rPr>
          <w:i/>
          <w:iCs/>
        </w:rPr>
        <w:t>Transforming our world: the 2030 Agenda for Sustainable Development</w:t>
      </w:r>
      <w:r w:rsidRPr="00D509F0">
        <w:t>.</w:t>
      </w:r>
    </w:p>
    <w:p w14:paraId="23D4FCAC" w14:textId="77777777" w:rsidR="0013518F" w:rsidRPr="00D509F0" w:rsidRDefault="0013518F" w:rsidP="0013518F">
      <w:r w:rsidRPr="00D509F0">
        <w:t>Watt, B. &amp; Frydenberg, E. (2024). ‘Early childhood education for sustainability: Outcomes for social and emotional learning’, </w:t>
      </w:r>
      <w:r w:rsidRPr="00D509F0">
        <w:rPr>
          <w:i/>
          <w:iCs/>
        </w:rPr>
        <w:t>Journal of Education for Sustainable Development</w:t>
      </w:r>
      <w:r w:rsidRPr="00D509F0">
        <w:t>.</w:t>
      </w:r>
    </w:p>
    <w:p w14:paraId="3CEE22A8" w14:textId="77777777" w:rsidR="0013518F" w:rsidRDefault="0013518F" w:rsidP="0013518F">
      <w:r w:rsidRPr="00D509F0">
        <w:t>WCED (World Commission on Environment and Development) (1987). </w:t>
      </w:r>
      <w:r w:rsidRPr="00D509F0">
        <w:rPr>
          <w:i/>
          <w:iCs/>
        </w:rPr>
        <w:t>Our Common Future</w:t>
      </w:r>
      <w:r w:rsidRPr="00D509F0">
        <w:t xml:space="preserve">. Oxford University </w:t>
      </w:r>
      <w:proofErr w:type="spellStart"/>
      <w:r w:rsidRPr="00D509F0">
        <w:t>Press.UNESCO</w:t>
      </w:r>
      <w:proofErr w:type="spellEnd"/>
      <w:r w:rsidRPr="00D509F0">
        <w:t xml:space="preserve"> (2017). </w:t>
      </w:r>
      <w:r w:rsidRPr="00D509F0">
        <w:rPr>
          <w:i/>
          <w:iCs/>
        </w:rPr>
        <w:t>Education for Sustainable Development: Learning Objectives</w:t>
      </w:r>
      <w:r w:rsidRPr="00D509F0">
        <w:t>.</w:t>
      </w:r>
    </w:p>
    <w:p w14:paraId="16B46E83" w14:textId="77777777" w:rsidR="0013518F" w:rsidRPr="00D509F0" w:rsidRDefault="0013518F" w:rsidP="0013518F">
      <w:r w:rsidRPr="00D509F0">
        <w:t>Welsh Assembly Government (2008) </w:t>
      </w:r>
      <w:r w:rsidRPr="00D509F0">
        <w:rPr>
          <w:i/>
          <w:iCs/>
        </w:rPr>
        <w:t>Education for Sustainable Development and Global Citizenship: A Strategy for Action</w:t>
      </w:r>
      <w:r w:rsidRPr="00D509F0">
        <w:t>.</w:t>
      </w:r>
    </w:p>
    <w:p w14:paraId="23004526" w14:textId="77777777" w:rsidR="0013518F" w:rsidRDefault="0013518F" w:rsidP="0013518F">
      <w:r>
        <w:t>Welsh Government (2015)</w:t>
      </w:r>
      <w:r>
        <w:rPr>
          <w:rStyle w:val="apple-converted-space"/>
        </w:rPr>
        <w:t> </w:t>
      </w:r>
      <w:r>
        <w:rPr>
          <w:rStyle w:val="Emphasis"/>
        </w:rPr>
        <w:t>Well-being of Future Generations (Wales) Act 2015</w:t>
      </w:r>
      <w:r>
        <w:t>. Available at:</w:t>
      </w:r>
      <w:r>
        <w:rPr>
          <w:rStyle w:val="apple-converted-space"/>
        </w:rPr>
        <w:t> </w:t>
      </w:r>
      <w:hyperlink r:id="rId7" w:history="1">
        <w:r w:rsidRPr="00EC3B63">
          <w:rPr>
            <w:rStyle w:val="Hyperlink"/>
          </w:rPr>
          <w:t>https://www.legislation.gov.uk/anaw/2015/2/contents/enacted</w:t>
        </w:r>
      </w:hyperlink>
      <w:r>
        <w:t xml:space="preserve"> [Accessed: 8</w:t>
      </w:r>
      <w:r w:rsidRPr="00D509F0">
        <w:rPr>
          <w:vertAlign w:val="superscript"/>
        </w:rPr>
        <w:t>th</w:t>
      </w:r>
      <w:r>
        <w:t xml:space="preserve"> July 2025]</w:t>
      </w:r>
    </w:p>
    <w:p w14:paraId="5C698710" w14:textId="77777777" w:rsidR="0013518F" w:rsidRPr="00D509F0" w:rsidRDefault="0013518F" w:rsidP="0013518F">
      <w:r w:rsidRPr="00D509F0">
        <w:t>Welsh Government (2020) </w:t>
      </w:r>
      <w:r w:rsidRPr="00D509F0">
        <w:rPr>
          <w:i/>
          <w:iCs/>
        </w:rPr>
        <w:t>Curriculum for Wales: Framework Guidance</w:t>
      </w:r>
      <w:r w:rsidRPr="00D509F0">
        <w:t>. Available at: </w:t>
      </w:r>
      <w:hyperlink r:id="rId8" w:history="1">
        <w:r w:rsidRPr="00D509F0">
          <w:rPr>
            <w:rStyle w:val="Hyperlink"/>
          </w:rPr>
          <w:t>https://hwb.gov.wales/curriculum-for-wales</w:t>
        </w:r>
      </w:hyperlink>
      <w:r>
        <w:t xml:space="preserve"> [Accessed: 8</w:t>
      </w:r>
      <w:r w:rsidRPr="00D509F0">
        <w:rPr>
          <w:vertAlign w:val="superscript"/>
        </w:rPr>
        <w:t>th</w:t>
      </w:r>
      <w:r>
        <w:t xml:space="preserve"> July 2025]</w:t>
      </w:r>
    </w:p>
    <w:p w14:paraId="576F5CDC" w14:textId="77777777" w:rsidR="0013518F" w:rsidRDefault="0013518F" w:rsidP="0013518F">
      <w:r w:rsidRPr="00D509F0">
        <w:t>Welsh Government (2022) </w:t>
      </w:r>
      <w:r w:rsidRPr="00D509F0">
        <w:rPr>
          <w:i/>
          <w:iCs/>
        </w:rPr>
        <w:t>Curriculum for funded non-maintained nursery settings</w:t>
      </w:r>
      <w:r w:rsidRPr="00D509F0">
        <w:t>. Available at: </w:t>
      </w:r>
      <w:hyperlink r:id="rId9" w:history="1">
        <w:r w:rsidRPr="00D509F0">
          <w:rPr>
            <w:rStyle w:val="Hyperlink"/>
          </w:rPr>
          <w:t>https://www.gov.wales/curriculum-funded-non-maintained-nursery-settings-guidance-html</w:t>
        </w:r>
      </w:hyperlink>
      <w:r>
        <w:t xml:space="preserve"> [Accessed: 8</w:t>
      </w:r>
      <w:r w:rsidRPr="00D509F0">
        <w:rPr>
          <w:vertAlign w:val="superscript"/>
        </w:rPr>
        <w:t>th</w:t>
      </w:r>
      <w:r>
        <w:t xml:space="preserve"> July 2025]</w:t>
      </w:r>
    </w:p>
    <w:p w14:paraId="41B26A51" w14:textId="77777777" w:rsidR="0013518F" w:rsidRDefault="0013518F"/>
    <w:p w14:paraId="2E7F902C" w14:textId="77777777" w:rsidR="0013518F" w:rsidRPr="00375012" w:rsidRDefault="0013518F"/>
    <w:sectPr w:rsidR="0013518F" w:rsidRPr="00375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E5C3C"/>
    <w:multiLevelType w:val="multilevel"/>
    <w:tmpl w:val="8BB4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F29D0"/>
    <w:multiLevelType w:val="hybridMultilevel"/>
    <w:tmpl w:val="A470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4083988">
    <w:abstractNumId w:val="1"/>
  </w:num>
  <w:num w:numId="2" w16cid:durableId="65707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012"/>
    <w:rsid w:val="00117908"/>
    <w:rsid w:val="0013518F"/>
    <w:rsid w:val="00375012"/>
    <w:rsid w:val="00753C75"/>
    <w:rsid w:val="007C0BDA"/>
    <w:rsid w:val="00EF1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6083"/>
  <w15:chartTrackingRefBased/>
  <w15:docId w15:val="{720BED5E-174A-4941-8351-109CF602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0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0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0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0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0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0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0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0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0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0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0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0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0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0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0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0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0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012"/>
    <w:rPr>
      <w:rFonts w:eastAsiaTheme="majorEastAsia" w:cstheme="majorBidi"/>
      <w:color w:val="272727" w:themeColor="text1" w:themeTint="D8"/>
    </w:rPr>
  </w:style>
  <w:style w:type="paragraph" w:styleId="Title">
    <w:name w:val="Title"/>
    <w:basedOn w:val="Normal"/>
    <w:next w:val="Normal"/>
    <w:link w:val="TitleChar"/>
    <w:uiPriority w:val="10"/>
    <w:qFormat/>
    <w:rsid w:val="00375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0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0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0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012"/>
    <w:pPr>
      <w:spacing w:before="160"/>
      <w:jc w:val="center"/>
    </w:pPr>
    <w:rPr>
      <w:i/>
      <w:iCs/>
      <w:color w:val="404040" w:themeColor="text1" w:themeTint="BF"/>
    </w:rPr>
  </w:style>
  <w:style w:type="character" w:customStyle="1" w:styleId="QuoteChar">
    <w:name w:val="Quote Char"/>
    <w:basedOn w:val="DefaultParagraphFont"/>
    <w:link w:val="Quote"/>
    <w:uiPriority w:val="29"/>
    <w:rsid w:val="00375012"/>
    <w:rPr>
      <w:i/>
      <w:iCs/>
      <w:color w:val="404040" w:themeColor="text1" w:themeTint="BF"/>
    </w:rPr>
  </w:style>
  <w:style w:type="paragraph" w:styleId="ListParagraph">
    <w:name w:val="List Paragraph"/>
    <w:basedOn w:val="Normal"/>
    <w:uiPriority w:val="34"/>
    <w:qFormat/>
    <w:rsid w:val="00375012"/>
    <w:pPr>
      <w:ind w:left="720"/>
      <w:contextualSpacing/>
    </w:pPr>
  </w:style>
  <w:style w:type="character" w:styleId="IntenseEmphasis">
    <w:name w:val="Intense Emphasis"/>
    <w:basedOn w:val="DefaultParagraphFont"/>
    <w:uiPriority w:val="21"/>
    <w:qFormat/>
    <w:rsid w:val="00375012"/>
    <w:rPr>
      <w:i/>
      <w:iCs/>
      <w:color w:val="0F4761" w:themeColor="accent1" w:themeShade="BF"/>
    </w:rPr>
  </w:style>
  <w:style w:type="paragraph" w:styleId="IntenseQuote">
    <w:name w:val="Intense Quote"/>
    <w:basedOn w:val="Normal"/>
    <w:next w:val="Normal"/>
    <w:link w:val="IntenseQuoteChar"/>
    <w:uiPriority w:val="30"/>
    <w:qFormat/>
    <w:rsid w:val="00375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012"/>
    <w:rPr>
      <w:i/>
      <w:iCs/>
      <w:color w:val="0F4761" w:themeColor="accent1" w:themeShade="BF"/>
    </w:rPr>
  </w:style>
  <w:style w:type="character" w:styleId="IntenseReference">
    <w:name w:val="Intense Reference"/>
    <w:basedOn w:val="DefaultParagraphFont"/>
    <w:uiPriority w:val="32"/>
    <w:qFormat/>
    <w:rsid w:val="00375012"/>
    <w:rPr>
      <w:b/>
      <w:bCs/>
      <w:smallCaps/>
      <w:color w:val="0F4761" w:themeColor="accent1" w:themeShade="BF"/>
      <w:spacing w:val="5"/>
    </w:rPr>
  </w:style>
  <w:style w:type="character" w:styleId="Hyperlink">
    <w:name w:val="Hyperlink"/>
    <w:basedOn w:val="DefaultParagraphFont"/>
    <w:uiPriority w:val="99"/>
    <w:unhideWhenUsed/>
    <w:rsid w:val="00375012"/>
    <w:rPr>
      <w:color w:val="467886" w:themeColor="hyperlink"/>
      <w:u w:val="single"/>
    </w:rPr>
  </w:style>
  <w:style w:type="character" w:styleId="UnresolvedMention">
    <w:name w:val="Unresolved Mention"/>
    <w:basedOn w:val="DefaultParagraphFont"/>
    <w:uiPriority w:val="99"/>
    <w:semiHidden/>
    <w:unhideWhenUsed/>
    <w:rsid w:val="00375012"/>
    <w:rPr>
      <w:color w:val="605E5C"/>
      <w:shd w:val="clear" w:color="auto" w:fill="E1DFDD"/>
    </w:rPr>
  </w:style>
  <w:style w:type="character" w:customStyle="1" w:styleId="apple-converted-space">
    <w:name w:val="apple-converted-space"/>
    <w:basedOn w:val="DefaultParagraphFont"/>
    <w:rsid w:val="0013518F"/>
  </w:style>
  <w:style w:type="character" w:styleId="Emphasis">
    <w:name w:val="Emphasis"/>
    <w:basedOn w:val="DefaultParagraphFont"/>
    <w:uiPriority w:val="20"/>
    <w:qFormat/>
    <w:rsid w:val="001351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85123">
      <w:bodyDiv w:val="1"/>
      <w:marLeft w:val="0"/>
      <w:marRight w:val="0"/>
      <w:marTop w:val="0"/>
      <w:marBottom w:val="0"/>
      <w:divBdr>
        <w:top w:val="none" w:sz="0" w:space="0" w:color="auto"/>
        <w:left w:val="none" w:sz="0" w:space="0" w:color="auto"/>
        <w:bottom w:val="none" w:sz="0" w:space="0" w:color="auto"/>
        <w:right w:val="none" w:sz="0" w:space="0" w:color="auto"/>
      </w:divBdr>
    </w:div>
    <w:div w:id="249969473">
      <w:bodyDiv w:val="1"/>
      <w:marLeft w:val="0"/>
      <w:marRight w:val="0"/>
      <w:marTop w:val="0"/>
      <w:marBottom w:val="0"/>
      <w:divBdr>
        <w:top w:val="none" w:sz="0" w:space="0" w:color="auto"/>
        <w:left w:val="none" w:sz="0" w:space="0" w:color="auto"/>
        <w:bottom w:val="none" w:sz="0" w:space="0" w:color="auto"/>
        <w:right w:val="none" w:sz="0" w:space="0" w:color="auto"/>
      </w:divBdr>
    </w:div>
    <w:div w:id="253393554">
      <w:bodyDiv w:val="1"/>
      <w:marLeft w:val="0"/>
      <w:marRight w:val="0"/>
      <w:marTop w:val="0"/>
      <w:marBottom w:val="0"/>
      <w:divBdr>
        <w:top w:val="none" w:sz="0" w:space="0" w:color="auto"/>
        <w:left w:val="none" w:sz="0" w:space="0" w:color="auto"/>
        <w:bottom w:val="none" w:sz="0" w:space="0" w:color="auto"/>
        <w:right w:val="none" w:sz="0" w:space="0" w:color="auto"/>
      </w:divBdr>
    </w:div>
    <w:div w:id="329795607">
      <w:bodyDiv w:val="1"/>
      <w:marLeft w:val="0"/>
      <w:marRight w:val="0"/>
      <w:marTop w:val="0"/>
      <w:marBottom w:val="0"/>
      <w:divBdr>
        <w:top w:val="none" w:sz="0" w:space="0" w:color="auto"/>
        <w:left w:val="none" w:sz="0" w:space="0" w:color="auto"/>
        <w:bottom w:val="none" w:sz="0" w:space="0" w:color="auto"/>
        <w:right w:val="none" w:sz="0" w:space="0" w:color="auto"/>
      </w:divBdr>
    </w:div>
    <w:div w:id="839390842">
      <w:bodyDiv w:val="1"/>
      <w:marLeft w:val="0"/>
      <w:marRight w:val="0"/>
      <w:marTop w:val="0"/>
      <w:marBottom w:val="0"/>
      <w:divBdr>
        <w:top w:val="none" w:sz="0" w:space="0" w:color="auto"/>
        <w:left w:val="none" w:sz="0" w:space="0" w:color="auto"/>
        <w:bottom w:val="none" w:sz="0" w:space="0" w:color="auto"/>
        <w:right w:val="none" w:sz="0" w:space="0" w:color="auto"/>
      </w:divBdr>
    </w:div>
    <w:div w:id="1063484407">
      <w:bodyDiv w:val="1"/>
      <w:marLeft w:val="0"/>
      <w:marRight w:val="0"/>
      <w:marTop w:val="0"/>
      <w:marBottom w:val="0"/>
      <w:divBdr>
        <w:top w:val="none" w:sz="0" w:space="0" w:color="auto"/>
        <w:left w:val="none" w:sz="0" w:space="0" w:color="auto"/>
        <w:bottom w:val="none" w:sz="0" w:space="0" w:color="auto"/>
        <w:right w:val="none" w:sz="0" w:space="0" w:color="auto"/>
      </w:divBdr>
    </w:div>
    <w:div w:id="1231111129">
      <w:bodyDiv w:val="1"/>
      <w:marLeft w:val="0"/>
      <w:marRight w:val="0"/>
      <w:marTop w:val="0"/>
      <w:marBottom w:val="0"/>
      <w:divBdr>
        <w:top w:val="none" w:sz="0" w:space="0" w:color="auto"/>
        <w:left w:val="none" w:sz="0" w:space="0" w:color="auto"/>
        <w:bottom w:val="none" w:sz="0" w:space="0" w:color="auto"/>
        <w:right w:val="none" w:sz="0" w:space="0" w:color="auto"/>
      </w:divBdr>
    </w:div>
    <w:div w:id="1278487274">
      <w:bodyDiv w:val="1"/>
      <w:marLeft w:val="0"/>
      <w:marRight w:val="0"/>
      <w:marTop w:val="0"/>
      <w:marBottom w:val="0"/>
      <w:divBdr>
        <w:top w:val="none" w:sz="0" w:space="0" w:color="auto"/>
        <w:left w:val="none" w:sz="0" w:space="0" w:color="auto"/>
        <w:bottom w:val="none" w:sz="0" w:space="0" w:color="auto"/>
        <w:right w:val="none" w:sz="0" w:space="0" w:color="auto"/>
      </w:divBdr>
    </w:div>
    <w:div w:id="1349260854">
      <w:bodyDiv w:val="1"/>
      <w:marLeft w:val="0"/>
      <w:marRight w:val="0"/>
      <w:marTop w:val="0"/>
      <w:marBottom w:val="0"/>
      <w:divBdr>
        <w:top w:val="none" w:sz="0" w:space="0" w:color="auto"/>
        <w:left w:val="none" w:sz="0" w:space="0" w:color="auto"/>
        <w:bottom w:val="none" w:sz="0" w:space="0" w:color="auto"/>
        <w:right w:val="none" w:sz="0" w:space="0" w:color="auto"/>
      </w:divBdr>
    </w:div>
    <w:div w:id="1524320464">
      <w:bodyDiv w:val="1"/>
      <w:marLeft w:val="0"/>
      <w:marRight w:val="0"/>
      <w:marTop w:val="0"/>
      <w:marBottom w:val="0"/>
      <w:divBdr>
        <w:top w:val="none" w:sz="0" w:space="0" w:color="auto"/>
        <w:left w:val="none" w:sz="0" w:space="0" w:color="auto"/>
        <w:bottom w:val="none" w:sz="0" w:space="0" w:color="auto"/>
        <w:right w:val="none" w:sz="0" w:space="0" w:color="auto"/>
      </w:divBdr>
    </w:div>
    <w:div w:id="1685208269">
      <w:bodyDiv w:val="1"/>
      <w:marLeft w:val="0"/>
      <w:marRight w:val="0"/>
      <w:marTop w:val="0"/>
      <w:marBottom w:val="0"/>
      <w:divBdr>
        <w:top w:val="none" w:sz="0" w:space="0" w:color="auto"/>
        <w:left w:val="none" w:sz="0" w:space="0" w:color="auto"/>
        <w:bottom w:val="none" w:sz="0" w:space="0" w:color="auto"/>
        <w:right w:val="none" w:sz="0" w:space="0" w:color="auto"/>
      </w:divBdr>
    </w:div>
    <w:div w:id="1840074134">
      <w:bodyDiv w:val="1"/>
      <w:marLeft w:val="0"/>
      <w:marRight w:val="0"/>
      <w:marTop w:val="0"/>
      <w:marBottom w:val="0"/>
      <w:divBdr>
        <w:top w:val="none" w:sz="0" w:space="0" w:color="auto"/>
        <w:left w:val="none" w:sz="0" w:space="0" w:color="auto"/>
        <w:bottom w:val="none" w:sz="0" w:space="0" w:color="auto"/>
        <w:right w:val="none" w:sz="0" w:space="0" w:color="auto"/>
      </w:divBdr>
    </w:div>
    <w:div w:id="1858732954">
      <w:bodyDiv w:val="1"/>
      <w:marLeft w:val="0"/>
      <w:marRight w:val="0"/>
      <w:marTop w:val="0"/>
      <w:marBottom w:val="0"/>
      <w:divBdr>
        <w:top w:val="none" w:sz="0" w:space="0" w:color="auto"/>
        <w:left w:val="none" w:sz="0" w:space="0" w:color="auto"/>
        <w:bottom w:val="none" w:sz="0" w:space="0" w:color="auto"/>
        <w:right w:val="none" w:sz="0" w:space="0" w:color="auto"/>
      </w:divBdr>
    </w:div>
    <w:div w:id="200785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 TargetMode="External"/><Relationship Id="rId3" Type="http://schemas.openxmlformats.org/officeDocument/2006/relationships/settings" Target="settings.xml"/><Relationship Id="rId7" Type="http://schemas.openxmlformats.org/officeDocument/2006/relationships/hyperlink" Target="https://www.legislation.gov.uk/anaw/2015/2/contents/enac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uk/what-we-do/un-convention-child-rights/" TargetMode="External"/><Relationship Id="rId11" Type="http://schemas.openxmlformats.org/officeDocument/2006/relationships/theme" Target="theme/theme1.xml"/><Relationship Id="rId5" Type="http://schemas.openxmlformats.org/officeDocument/2006/relationships/hyperlink" Target="https://www.futuregenerations.wales/resources_posts/future-generations-report-202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wales/curriculum-funded-non-maintained-nursery-settings-guid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3265</Words>
  <Characters>18612</Characters>
  <Application>Microsoft Office Word</Application>
  <DocSecurity>0</DocSecurity>
  <Lines>155</Lines>
  <Paragraphs>43</Paragraphs>
  <ScaleCrop>false</ScaleCrop>
  <Company/>
  <LinksUpToDate>false</LinksUpToDate>
  <CharactersWithSpaces>21834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2</cp:revision>
  <dcterms:created xsi:type="dcterms:W3CDTF">2025-07-08T21:08:00Z</dcterms:created>
  <dcterms:modified xsi:type="dcterms:W3CDTF">2025-07-08T21:08:00Z</dcterms:modified>
</cp:coreProperties>
</file>