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1E4F2" w14:textId="2385F0F6" w:rsidR="00AB5465" w:rsidRPr="00243265" w:rsidRDefault="00AB5465" w:rsidP="0094617A">
      <w:pPr>
        <w:pStyle w:val="Heading1"/>
        <w:spacing w:line="360" w:lineRule="auto"/>
        <w:jc w:val="both"/>
        <w:rPr>
          <w:rFonts w:ascii="Arial" w:hAnsi="Arial" w:cs="Arial"/>
          <w:b/>
          <w:bCs/>
          <w:color w:val="auto"/>
          <w:sz w:val="24"/>
          <w:szCs w:val="24"/>
        </w:rPr>
      </w:pPr>
      <w:bookmarkStart w:id="0" w:name="coronary-heart-disease"/>
      <w:r w:rsidRPr="00243265">
        <w:rPr>
          <w:rFonts w:ascii="Arial" w:hAnsi="Arial" w:cs="Arial"/>
          <w:b/>
          <w:bCs/>
          <w:color w:val="auto"/>
          <w:sz w:val="24"/>
          <w:szCs w:val="24"/>
        </w:rPr>
        <w:t xml:space="preserve">Student Name: </w:t>
      </w:r>
      <w:r w:rsidRPr="00243265">
        <w:rPr>
          <w:rFonts w:ascii="Arial" w:hAnsi="Arial" w:cs="Arial"/>
          <w:color w:val="auto"/>
          <w:sz w:val="24"/>
          <w:szCs w:val="24"/>
        </w:rPr>
        <w:t>Tatiana Xavier</w:t>
      </w:r>
    </w:p>
    <w:p w14:paraId="49BDFEF0" w14:textId="2BE0EFE6" w:rsidR="00AB5465" w:rsidRPr="00243265" w:rsidRDefault="00AB5465" w:rsidP="0094617A">
      <w:pPr>
        <w:pStyle w:val="BodyText"/>
        <w:jc w:val="both"/>
        <w:rPr>
          <w:rFonts w:ascii="Arial" w:hAnsi="Arial" w:cs="Arial"/>
          <w:b/>
          <w:bCs/>
        </w:rPr>
      </w:pPr>
      <w:r w:rsidRPr="00243265">
        <w:rPr>
          <w:rFonts w:ascii="Arial" w:hAnsi="Arial" w:cs="Arial"/>
          <w:b/>
          <w:bCs/>
        </w:rPr>
        <w:t xml:space="preserve">Student Number: </w:t>
      </w:r>
      <w:r w:rsidR="0094617A" w:rsidRPr="00243265">
        <w:rPr>
          <w:rFonts w:ascii="Arial" w:hAnsi="Arial" w:cs="Arial"/>
        </w:rPr>
        <w:t>2511488</w:t>
      </w:r>
    </w:p>
    <w:p w14:paraId="0B0EC8F7" w14:textId="7560AAE6" w:rsidR="00AB5465" w:rsidRPr="00243265" w:rsidRDefault="00AB5465" w:rsidP="0094617A">
      <w:pPr>
        <w:pStyle w:val="BodyText"/>
        <w:jc w:val="both"/>
        <w:rPr>
          <w:rFonts w:ascii="Arial" w:hAnsi="Arial" w:cs="Arial"/>
          <w:b/>
          <w:bCs/>
        </w:rPr>
      </w:pPr>
      <w:r w:rsidRPr="00243265">
        <w:rPr>
          <w:rFonts w:ascii="Arial" w:hAnsi="Arial" w:cs="Arial"/>
          <w:b/>
          <w:bCs/>
        </w:rPr>
        <w:t xml:space="preserve">Module Code: </w:t>
      </w:r>
      <w:r w:rsidRPr="00243265">
        <w:rPr>
          <w:rFonts w:ascii="Arial" w:hAnsi="Arial" w:cs="Arial"/>
        </w:rPr>
        <w:t>LCHS4008</w:t>
      </w:r>
    </w:p>
    <w:p w14:paraId="16741F90" w14:textId="40168303" w:rsidR="00AB5465" w:rsidRPr="00243265" w:rsidRDefault="00AB5465" w:rsidP="0094617A">
      <w:pPr>
        <w:pStyle w:val="BodyText"/>
        <w:jc w:val="both"/>
        <w:rPr>
          <w:rFonts w:ascii="Arial" w:hAnsi="Arial" w:cs="Arial"/>
          <w:b/>
          <w:bCs/>
        </w:rPr>
      </w:pPr>
      <w:r w:rsidRPr="00243265">
        <w:rPr>
          <w:rFonts w:ascii="Arial" w:hAnsi="Arial" w:cs="Arial"/>
          <w:b/>
          <w:bCs/>
        </w:rPr>
        <w:t xml:space="preserve">Module Title: </w:t>
      </w:r>
      <w:r w:rsidRPr="00243265">
        <w:rPr>
          <w:rFonts w:ascii="Arial" w:hAnsi="Arial" w:cs="Arial"/>
          <w:bCs/>
        </w:rPr>
        <w:t>Introduction to Public Health</w:t>
      </w:r>
    </w:p>
    <w:p w14:paraId="2DF8A010" w14:textId="0AE1B8C9" w:rsidR="00AB5465" w:rsidRPr="00243265" w:rsidRDefault="00AB5465" w:rsidP="0094617A">
      <w:pPr>
        <w:pStyle w:val="BodyText"/>
        <w:jc w:val="both"/>
        <w:rPr>
          <w:rFonts w:ascii="Arial" w:hAnsi="Arial" w:cs="Arial"/>
          <w:b/>
          <w:bCs/>
        </w:rPr>
      </w:pPr>
      <w:r w:rsidRPr="00243265">
        <w:rPr>
          <w:rFonts w:ascii="Arial" w:hAnsi="Arial" w:cs="Arial"/>
          <w:b/>
          <w:bCs/>
        </w:rPr>
        <w:t>Lecturer</w:t>
      </w:r>
      <w:r w:rsidRPr="00243265">
        <w:rPr>
          <w:rFonts w:ascii="Arial" w:hAnsi="Arial" w:cs="Arial"/>
        </w:rPr>
        <w:t xml:space="preserve">: </w:t>
      </w:r>
      <w:proofErr w:type="spellStart"/>
      <w:r w:rsidR="0094617A" w:rsidRPr="00243265">
        <w:rPr>
          <w:rFonts w:ascii="Arial" w:hAnsi="Arial" w:cs="Arial"/>
        </w:rPr>
        <w:t>Tsiwani</w:t>
      </w:r>
      <w:proofErr w:type="spellEnd"/>
      <w:r w:rsidR="0094617A" w:rsidRPr="00243265">
        <w:rPr>
          <w:rFonts w:ascii="Arial" w:hAnsi="Arial" w:cs="Arial"/>
        </w:rPr>
        <w:t xml:space="preserve"> Khumalo</w:t>
      </w:r>
    </w:p>
    <w:p w14:paraId="6FAE9DB1" w14:textId="62745123" w:rsidR="00AB5465" w:rsidRPr="00243265" w:rsidRDefault="00AB5465" w:rsidP="00243265">
      <w:pPr>
        <w:pStyle w:val="TableParagraph"/>
        <w:spacing w:line="252" w:lineRule="exact"/>
        <w:ind w:left="40"/>
        <w:jc w:val="both"/>
        <w:rPr>
          <w:sz w:val="24"/>
          <w:szCs w:val="24"/>
        </w:rPr>
      </w:pPr>
      <w:r w:rsidRPr="00243265">
        <w:rPr>
          <w:b/>
          <w:bCs/>
          <w:sz w:val="24"/>
          <w:szCs w:val="24"/>
        </w:rPr>
        <w:t xml:space="preserve">Assignment Title: </w:t>
      </w:r>
      <w:r w:rsidRPr="00243265">
        <w:rPr>
          <w:sz w:val="24"/>
          <w:szCs w:val="24"/>
        </w:rPr>
        <w:t>Assessment</w:t>
      </w:r>
      <w:r w:rsidRPr="00243265">
        <w:rPr>
          <w:spacing w:val="-9"/>
          <w:sz w:val="24"/>
          <w:szCs w:val="24"/>
        </w:rPr>
        <w:t xml:space="preserve"> </w:t>
      </w:r>
      <w:r w:rsidRPr="00243265">
        <w:rPr>
          <w:sz w:val="24"/>
          <w:szCs w:val="24"/>
        </w:rPr>
        <w:t>2</w:t>
      </w:r>
      <w:r w:rsidRPr="00243265">
        <w:rPr>
          <w:spacing w:val="-11"/>
          <w:sz w:val="24"/>
          <w:szCs w:val="24"/>
        </w:rPr>
        <w:t xml:space="preserve"> </w:t>
      </w:r>
      <w:r w:rsidRPr="00243265">
        <w:rPr>
          <w:spacing w:val="-10"/>
          <w:sz w:val="24"/>
          <w:szCs w:val="24"/>
        </w:rPr>
        <w:t>-</w:t>
      </w:r>
      <w:r w:rsidR="0094617A" w:rsidRPr="00243265">
        <w:rPr>
          <w:spacing w:val="-10"/>
          <w:sz w:val="24"/>
          <w:szCs w:val="24"/>
        </w:rPr>
        <w:t xml:space="preserve"> </w:t>
      </w:r>
      <w:r w:rsidRPr="00243265">
        <w:rPr>
          <w:spacing w:val="-2"/>
          <w:sz w:val="24"/>
          <w:szCs w:val="24"/>
        </w:rPr>
        <w:t>Report on a Health Issue (CORONARY HEART DISEASE)</w:t>
      </w:r>
    </w:p>
    <w:p w14:paraId="3026EE06" w14:textId="77777777" w:rsidR="00AB5465" w:rsidRDefault="00AB5465" w:rsidP="00AB5465">
      <w:pPr>
        <w:pStyle w:val="BodyText"/>
      </w:pPr>
    </w:p>
    <w:p w14:paraId="4996F53C" w14:textId="77777777" w:rsidR="0094617A" w:rsidRDefault="0094617A" w:rsidP="00AB5465">
      <w:pPr>
        <w:pStyle w:val="BodyText"/>
      </w:pPr>
    </w:p>
    <w:p w14:paraId="355FF725" w14:textId="77777777" w:rsidR="0094617A" w:rsidRDefault="0094617A" w:rsidP="00AB5465">
      <w:pPr>
        <w:pStyle w:val="BodyText"/>
      </w:pPr>
    </w:p>
    <w:p w14:paraId="37A32E61" w14:textId="77777777" w:rsidR="0094617A" w:rsidRDefault="0094617A" w:rsidP="00AB5465">
      <w:pPr>
        <w:pStyle w:val="BodyText"/>
      </w:pPr>
    </w:p>
    <w:p w14:paraId="7DBBB217" w14:textId="77777777" w:rsidR="0094617A" w:rsidRDefault="0094617A" w:rsidP="00AB5465">
      <w:pPr>
        <w:pStyle w:val="BodyText"/>
      </w:pPr>
    </w:p>
    <w:p w14:paraId="7A4EE601" w14:textId="77777777" w:rsidR="0094617A" w:rsidRDefault="0094617A" w:rsidP="00AB5465">
      <w:pPr>
        <w:pStyle w:val="BodyText"/>
      </w:pPr>
    </w:p>
    <w:p w14:paraId="411AB55B" w14:textId="77777777" w:rsidR="0094617A" w:rsidRDefault="0094617A" w:rsidP="00AB5465">
      <w:pPr>
        <w:pStyle w:val="BodyText"/>
      </w:pPr>
    </w:p>
    <w:p w14:paraId="429E946D" w14:textId="77777777" w:rsidR="0094617A" w:rsidRDefault="0094617A" w:rsidP="00AB5465">
      <w:pPr>
        <w:pStyle w:val="BodyText"/>
      </w:pPr>
    </w:p>
    <w:p w14:paraId="1666CDA6" w14:textId="77777777" w:rsidR="0094617A" w:rsidRDefault="0094617A" w:rsidP="00AB5465">
      <w:pPr>
        <w:pStyle w:val="BodyText"/>
      </w:pPr>
    </w:p>
    <w:p w14:paraId="7BCFB986" w14:textId="77777777" w:rsidR="0094617A" w:rsidRDefault="0094617A" w:rsidP="00AB5465">
      <w:pPr>
        <w:pStyle w:val="BodyText"/>
      </w:pPr>
    </w:p>
    <w:p w14:paraId="7420CB1E" w14:textId="77777777" w:rsidR="0094617A" w:rsidRDefault="0094617A" w:rsidP="00AB5465">
      <w:pPr>
        <w:pStyle w:val="BodyText"/>
      </w:pPr>
    </w:p>
    <w:p w14:paraId="5F211D01" w14:textId="77777777" w:rsidR="0094617A" w:rsidRDefault="0094617A" w:rsidP="00AB5465">
      <w:pPr>
        <w:pStyle w:val="BodyText"/>
      </w:pPr>
    </w:p>
    <w:p w14:paraId="26A31A1F" w14:textId="77777777" w:rsidR="0094617A" w:rsidRDefault="0094617A" w:rsidP="00AB5465">
      <w:pPr>
        <w:pStyle w:val="BodyText"/>
      </w:pPr>
    </w:p>
    <w:p w14:paraId="2B121776" w14:textId="77777777" w:rsidR="0094617A" w:rsidRDefault="0094617A" w:rsidP="00AB5465">
      <w:pPr>
        <w:pStyle w:val="BodyText"/>
      </w:pPr>
    </w:p>
    <w:p w14:paraId="5084E09C" w14:textId="77777777" w:rsidR="0094617A" w:rsidRPr="00243265" w:rsidRDefault="0094617A" w:rsidP="00AB5465">
      <w:pPr>
        <w:pStyle w:val="BodyText"/>
        <w:rPr>
          <w:rFonts w:ascii="Arial" w:hAnsi="Arial" w:cs="Arial"/>
        </w:rPr>
      </w:pPr>
    </w:p>
    <w:p w14:paraId="41D5BB97" w14:textId="77777777" w:rsidR="00F651CA" w:rsidRPr="00F651CA" w:rsidRDefault="00F651CA" w:rsidP="00F651CA">
      <w:pPr>
        <w:pStyle w:val="BodyText"/>
        <w:spacing w:line="360" w:lineRule="auto"/>
        <w:rPr>
          <w:rFonts w:ascii="Arial" w:hAnsi="Arial" w:cs="Arial"/>
          <w:sz w:val="22"/>
          <w:szCs w:val="22"/>
        </w:rPr>
      </w:pPr>
    </w:p>
    <w:p w14:paraId="409072E9" w14:textId="408E9464" w:rsidR="00243265" w:rsidRPr="00243265" w:rsidRDefault="00243265" w:rsidP="00243265">
      <w:pPr>
        <w:pStyle w:val="Heading2"/>
        <w:spacing w:line="360" w:lineRule="auto"/>
        <w:jc w:val="center"/>
        <w:rPr>
          <w:rFonts w:ascii="Arial" w:hAnsi="Arial" w:cs="Arial"/>
          <w:b/>
          <w:bCs/>
          <w:color w:val="auto"/>
        </w:rPr>
      </w:pPr>
      <w:bookmarkStart w:id="1" w:name="introduction-approximately-150-words"/>
      <w:r w:rsidRPr="00243265">
        <w:rPr>
          <w:rFonts w:ascii="Arial" w:hAnsi="Arial" w:cs="Arial"/>
          <w:b/>
          <w:bCs/>
          <w:color w:val="auto"/>
        </w:rPr>
        <w:t>Coronary Heart Disease</w:t>
      </w:r>
    </w:p>
    <w:p w14:paraId="3A0E3C23" w14:textId="77777777" w:rsidR="00243265" w:rsidRDefault="00243265" w:rsidP="00243265">
      <w:pPr>
        <w:pStyle w:val="BodyText"/>
      </w:pPr>
    </w:p>
    <w:p w14:paraId="7AD237DC" w14:textId="77777777" w:rsidR="00243265" w:rsidRPr="00243265" w:rsidRDefault="00243265" w:rsidP="00243265">
      <w:pPr>
        <w:pStyle w:val="BodyText"/>
      </w:pPr>
    </w:p>
    <w:p w14:paraId="54D92ED5" w14:textId="356D638A" w:rsidR="003F0757" w:rsidRPr="00243265" w:rsidRDefault="00000000" w:rsidP="00F651CA">
      <w:pPr>
        <w:pStyle w:val="Heading2"/>
        <w:spacing w:line="360" w:lineRule="auto"/>
        <w:rPr>
          <w:rFonts w:ascii="Arial" w:hAnsi="Arial" w:cs="Arial"/>
          <w:color w:val="auto"/>
          <w:sz w:val="22"/>
          <w:szCs w:val="22"/>
        </w:rPr>
      </w:pPr>
      <w:r w:rsidRPr="00243265">
        <w:rPr>
          <w:rFonts w:ascii="Arial" w:hAnsi="Arial" w:cs="Arial"/>
          <w:b/>
          <w:bCs/>
          <w:color w:val="auto"/>
          <w:sz w:val="22"/>
          <w:szCs w:val="22"/>
        </w:rPr>
        <w:lastRenderedPageBreak/>
        <w:t xml:space="preserve">Introduction </w:t>
      </w:r>
    </w:p>
    <w:p w14:paraId="2AE6955F" w14:textId="77777777" w:rsidR="003F0757" w:rsidRPr="00F651CA" w:rsidRDefault="00000000" w:rsidP="00F651CA">
      <w:pPr>
        <w:pStyle w:val="FirstParagraph"/>
        <w:spacing w:line="360" w:lineRule="auto"/>
        <w:rPr>
          <w:rFonts w:ascii="Arial" w:hAnsi="Arial" w:cs="Arial"/>
          <w:sz w:val="22"/>
          <w:szCs w:val="22"/>
        </w:rPr>
      </w:pPr>
      <w:r w:rsidRPr="00F651CA">
        <w:rPr>
          <w:rFonts w:ascii="Arial" w:hAnsi="Arial" w:cs="Arial"/>
          <w:sz w:val="22"/>
          <w:szCs w:val="22"/>
        </w:rPr>
        <w:t>Coronary heart disease (CHD), also known as ischaemic heart disease, is a cardiovascular condition that occurs when the coronary arteries become narrowed or blocked by a build-up of fatty deposits known as atherosclerotic plaques. This process reduces the blood supply to the heart muscle, limiting oxygen delivery and increasing the risk of angina, myocardial infarction (heart attack), heart failure and sudden cardiac death.</w:t>
      </w:r>
    </w:p>
    <w:p w14:paraId="6AFD17E1" w14:textId="77777777" w:rsidR="003F0757" w:rsidRPr="00F651CA" w:rsidRDefault="00000000" w:rsidP="00F651CA">
      <w:pPr>
        <w:pStyle w:val="BodyText"/>
        <w:spacing w:line="360" w:lineRule="auto"/>
        <w:rPr>
          <w:rFonts w:ascii="Arial" w:hAnsi="Arial" w:cs="Arial"/>
          <w:sz w:val="22"/>
          <w:szCs w:val="22"/>
        </w:rPr>
      </w:pPr>
      <w:r w:rsidRPr="00F651CA">
        <w:rPr>
          <w:rFonts w:ascii="Arial" w:hAnsi="Arial" w:cs="Arial"/>
          <w:sz w:val="22"/>
          <w:szCs w:val="22"/>
        </w:rPr>
        <w:t>Common signs and symptoms include chest pain (angina), shortness of breath, fatigue, dizziness, nausea and pain radiating to the neck, jaw, shoulders or arms. Some individuals, particularly people with diabetes, may experience few or no symptoms until a heart attack occurs.</w:t>
      </w:r>
    </w:p>
    <w:p w14:paraId="0A89FFB0" w14:textId="77777777" w:rsidR="003F0757" w:rsidRPr="00F651CA" w:rsidRDefault="00000000" w:rsidP="00F651CA">
      <w:pPr>
        <w:pStyle w:val="BodyText"/>
        <w:spacing w:line="360" w:lineRule="auto"/>
        <w:rPr>
          <w:rFonts w:ascii="Arial" w:hAnsi="Arial" w:cs="Arial"/>
          <w:sz w:val="22"/>
          <w:szCs w:val="22"/>
        </w:rPr>
      </w:pPr>
      <w:r w:rsidRPr="00F651CA">
        <w:rPr>
          <w:rFonts w:ascii="Arial" w:hAnsi="Arial" w:cs="Arial"/>
          <w:sz w:val="22"/>
          <w:szCs w:val="22"/>
        </w:rPr>
        <w:t>Coronary heart disease remains one of the world’s leading public health concerns. According to the World Health Organization (WHO), cardiovascular diseases are the leading cause of death globally, accounting for approximately 17.9 million deaths annually, with coronary heart disease representing the largest proportion. In the United Kingdom, CHD causes approximately 66,000 deaths each year, while around 2.3 million people are currently living with the condition, demonstrating its significant burden on individuals, families and healthcare services.</w:t>
      </w:r>
    </w:p>
    <w:p w14:paraId="6B22BA9B" w14:textId="79C3451D" w:rsidR="003F0757" w:rsidRPr="00F651CA" w:rsidRDefault="003F0757" w:rsidP="00F651CA">
      <w:pPr>
        <w:spacing w:line="360" w:lineRule="auto"/>
        <w:rPr>
          <w:rFonts w:ascii="Arial" w:hAnsi="Arial" w:cs="Arial"/>
          <w:sz w:val="22"/>
          <w:szCs w:val="22"/>
        </w:rPr>
      </w:pPr>
    </w:p>
    <w:p w14:paraId="017A6C40" w14:textId="77777777" w:rsidR="00911749" w:rsidRPr="00243265" w:rsidRDefault="00000000" w:rsidP="00911749">
      <w:pPr>
        <w:pStyle w:val="Heading1"/>
        <w:spacing w:line="360" w:lineRule="auto"/>
        <w:rPr>
          <w:rFonts w:ascii="Arial" w:hAnsi="Arial" w:cs="Arial"/>
          <w:color w:val="auto"/>
          <w:sz w:val="22"/>
          <w:szCs w:val="22"/>
        </w:rPr>
      </w:pPr>
      <w:bookmarkStart w:id="2" w:name="main-body"/>
      <w:bookmarkEnd w:id="0"/>
      <w:bookmarkEnd w:id="1"/>
      <w:r w:rsidRPr="00243265">
        <w:rPr>
          <w:rFonts w:ascii="Arial" w:hAnsi="Arial" w:cs="Arial"/>
          <w:b/>
          <w:bCs/>
          <w:color w:val="auto"/>
          <w:sz w:val="22"/>
          <w:szCs w:val="22"/>
        </w:rPr>
        <w:lastRenderedPageBreak/>
        <w:t>Main Body</w:t>
      </w:r>
      <w:bookmarkStart w:id="3" w:name="conclusion-approximately-150-words"/>
      <w:bookmarkEnd w:id="2"/>
    </w:p>
    <w:p w14:paraId="4E2896A2" w14:textId="77777777" w:rsidR="00AB5465" w:rsidRPr="00AB5465" w:rsidRDefault="00AB5465" w:rsidP="00AB5465">
      <w:pPr>
        <w:pStyle w:val="Heading1"/>
        <w:spacing w:line="360" w:lineRule="auto"/>
        <w:rPr>
          <w:rFonts w:ascii="Arial" w:hAnsi="Arial" w:cs="Arial"/>
          <w:b/>
          <w:bCs/>
          <w:color w:val="auto"/>
          <w:sz w:val="22"/>
          <w:szCs w:val="22"/>
          <w:lang w:val="en-GB"/>
        </w:rPr>
      </w:pPr>
      <w:r w:rsidRPr="00AB5465">
        <w:rPr>
          <w:rFonts w:ascii="Arial" w:hAnsi="Arial" w:cs="Arial"/>
          <w:b/>
          <w:bCs/>
          <w:color w:val="auto"/>
          <w:sz w:val="22"/>
          <w:szCs w:val="22"/>
          <w:lang w:val="en-GB"/>
        </w:rPr>
        <w:t>1. Approaches to Measuring and Monitoring Coronary Heart Disease</w:t>
      </w:r>
    </w:p>
    <w:p w14:paraId="0627A391" w14:textId="77777777" w:rsidR="00AB5465" w:rsidRPr="00AB5465" w:rsidRDefault="00AB5465" w:rsidP="00AB5465">
      <w:pPr>
        <w:pStyle w:val="Heading1"/>
        <w:spacing w:line="360" w:lineRule="auto"/>
        <w:rPr>
          <w:rFonts w:ascii="Arial" w:hAnsi="Arial" w:cs="Arial"/>
          <w:color w:val="auto"/>
          <w:sz w:val="22"/>
          <w:szCs w:val="22"/>
          <w:lang w:val="en-GB"/>
        </w:rPr>
      </w:pPr>
      <w:r w:rsidRPr="00AB5465">
        <w:rPr>
          <w:rFonts w:ascii="Arial" w:hAnsi="Arial" w:cs="Arial"/>
          <w:color w:val="auto"/>
          <w:sz w:val="22"/>
          <w:szCs w:val="22"/>
          <w:lang w:val="en-GB"/>
        </w:rPr>
        <w:t>Accurate measurement and surveillance form the foundation of effective public health planning for coronary heart disease (CHD), enabling trends to be identified, interventions evaluated, and resources allocated appropriately. The primary method used globally is epidemiological surveillance, which analyses the distribution and determinants of disease by tracking incidence, prevalence, mortality, and survival rates to identify disparities linked to age, gender, ethnicity, and socioeconomic status (NHS England, 2024). The World Health Organization (WHO, 2023) operates international surveillance systems that compare mortality data across nations, informing global policy and demonstrating that cardiovascular diseases remain the leading cause of death worldwide, responsible for 17.9 million fatalities annually.</w:t>
      </w:r>
    </w:p>
    <w:p w14:paraId="39BAA108" w14:textId="77777777" w:rsidR="00AB5465" w:rsidRPr="00AB5465" w:rsidRDefault="00AB5465" w:rsidP="00AB5465">
      <w:pPr>
        <w:pStyle w:val="Heading1"/>
        <w:spacing w:line="360" w:lineRule="auto"/>
        <w:rPr>
          <w:rFonts w:ascii="Arial" w:hAnsi="Arial" w:cs="Arial"/>
          <w:color w:val="auto"/>
          <w:sz w:val="22"/>
          <w:szCs w:val="22"/>
          <w:lang w:val="en-GB"/>
        </w:rPr>
      </w:pPr>
      <w:r w:rsidRPr="00AB5465">
        <w:rPr>
          <w:rFonts w:ascii="Arial" w:hAnsi="Arial" w:cs="Arial"/>
          <w:color w:val="auto"/>
          <w:sz w:val="22"/>
          <w:szCs w:val="22"/>
          <w:lang w:val="en-GB"/>
        </w:rPr>
        <w:t>In the UK, multiple bodies contribute to national monitoring. The Office for National Statistics (ONS, 2024) records mortality figures, while NHS Digital and the Quality and Outcomes Framework (QOF) extract data from primary care records, and Hospital Episode Statistics (HES) track admissions for myocardial infarction, angioplasty, and coronary artery bypass grafting (British Heart Foundation [BHF], 2023). Combined analysis shows approximately 2.3 million people in the UK live with CHD, with around 25,000 premature deaths occurring annually in those under 75 years (BHF, 2023). The BHF (2023) further notes that CHD causes 66,000 deaths each year – equivalent to one death every eight minutes – and represents the UK’s third leading cause of mortality.</w:t>
      </w:r>
    </w:p>
    <w:p w14:paraId="47C081F4" w14:textId="77777777" w:rsidR="00AB5465" w:rsidRPr="00AB5465" w:rsidRDefault="00AB5465" w:rsidP="00AB5465">
      <w:pPr>
        <w:pStyle w:val="Heading1"/>
        <w:spacing w:line="360" w:lineRule="auto"/>
        <w:rPr>
          <w:rFonts w:ascii="Arial" w:hAnsi="Arial" w:cs="Arial"/>
          <w:color w:val="auto"/>
          <w:sz w:val="22"/>
          <w:szCs w:val="22"/>
          <w:lang w:val="en-GB"/>
        </w:rPr>
      </w:pPr>
      <w:r w:rsidRPr="00AB5465">
        <w:rPr>
          <w:rFonts w:ascii="Arial" w:hAnsi="Arial" w:cs="Arial"/>
          <w:color w:val="auto"/>
          <w:sz w:val="22"/>
          <w:szCs w:val="22"/>
          <w:lang w:val="en-GB"/>
        </w:rPr>
        <w:t>Surveillance also extends to modifiable risk factors. Hypertension affects 15 million UK adults and is the single largest preventable contributor to CHD, while nearly half the population has cholesterol levels exceeding recommended limits (BHF, 2023; Yusuf et al., 2020). The NHS Health Check Programme, offered to adults aged 40–74, screens for these risks alongside obesity, smoking status, and diabetes, allowing early intervention before clinical disease develops (NICE, 2023). Such comprehensive monitoring ensures public health strategies are evidence-based and responsive to emerging patterns of risk and disease.</w:t>
      </w:r>
    </w:p>
    <w:p w14:paraId="3F464382" w14:textId="77777777" w:rsidR="00AB5465" w:rsidRPr="00243265" w:rsidRDefault="00AB5465" w:rsidP="00AB5465">
      <w:pPr>
        <w:pStyle w:val="Heading1"/>
        <w:spacing w:line="360" w:lineRule="auto"/>
        <w:rPr>
          <w:rFonts w:ascii="Arial" w:hAnsi="Arial" w:cs="Arial"/>
          <w:b/>
          <w:bCs/>
          <w:color w:val="auto"/>
          <w:sz w:val="22"/>
          <w:szCs w:val="22"/>
          <w:lang w:val="en-GB"/>
        </w:rPr>
      </w:pPr>
      <w:r w:rsidRPr="00243265">
        <w:rPr>
          <w:rFonts w:ascii="Arial" w:hAnsi="Arial" w:cs="Arial"/>
          <w:b/>
          <w:bCs/>
          <w:color w:val="auto"/>
          <w:sz w:val="22"/>
          <w:szCs w:val="22"/>
          <w:lang w:val="en-GB"/>
        </w:rPr>
        <w:t>2. Control of Coronary Heart Disease</w:t>
      </w:r>
    </w:p>
    <w:p w14:paraId="0598B237" w14:textId="77777777" w:rsidR="00AB5465" w:rsidRPr="00AB5465" w:rsidRDefault="00AB5465" w:rsidP="00AB5465">
      <w:pPr>
        <w:pStyle w:val="Heading1"/>
        <w:spacing w:line="360" w:lineRule="auto"/>
        <w:rPr>
          <w:rFonts w:ascii="Arial" w:hAnsi="Arial" w:cs="Arial"/>
          <w:color w:val="auto"/>
          <w:sz w:val="22"/>
          <w:szCs w:val="22"/>
          <w:lang w:val="en-GB"/>
        </w:rPr>
      </w:pPr>
      <w:r w:rsidRPr="00AB5465">
        <w:rPr>
          <w:rFonts w:ascii="Arial" w:hAnsi="Arial" w:cs="Arial"/>
          <w:color w:val="auto"/>
          <w:sz w:val="22"/>
          <w:szCs w:val="22"/>
          <w:lang w:val="en-GB"/>
        </w:rPr>
        <w:lastRenderedPageBreak/>
        <w:t>Control of CHD relies on three complementary pillars: primary prevention, secondary prevention, and clinical intervention. Primary prevention targets individuals without diagnosed disease to reduce future risk, with lifestyle modification central to this approach. Smoking cessation is particularly impactful, as tobacco damages vascular endothelium, elevates blood pressure, and accelerates atherosclerotic progression; policy measures including public place bans, taxation, and dedicated NHS services have successfully reduced prevalence (NICE, 2023). Dietary advice focuses on limiting saturated fat, salt, and refined sugar while increasing intake of fruit, vegetables, whole grains, and oily fish to improve lipid profiles and blood pressure (Yusuf et al., 2020). Physical activity guidelines recommend 150 minutes of moderate exercise weekly, which reduces CHD risk by up to 35% through improved weight management, insulin sensitivity, and cardiovascular function (BHF, 2023). Additional measures include maintaining a healthy weight, moderating alcohol consumption, and managing psychological stress.</w:t>
      </w:r>
    </w:p>
    <w:p w14:paraId="4DF98F3E" w14:textId="77777777" w:rsidR="00AB5465" w:rsidRPr="00AB5465" w:rsidRDefault="00AB5465" w:rsidP="00AB5465">
      <w:pPr>
        <w:pStyle w:val="Heading1"/>
        <w:spacing w:line="360" w:lineRule="auto"/>
        <w:rPr>
          <w:rFonts w:ascii="Arial" w:hAnsi="Arial" w:cs="Arial"/>
          <w:color w:val="auto"/>
          <w:sz w:val="22"/>
          <w:szCs w:val="22"/>
          <w:lang w:val="en-GB"/>
        </w:rPr>
      </w:pPr>
      <w:r w:rsidRPr="00AB5465">
        <w:rPr>
          <w:rFonts w:ascii="Arial" w:hAnsi="Arial" w:cs="Arial"/>
          <w:color w:val="auto"/>
          <w:sz w:val="22"/>
          <w:szCs w:val="22"/>
          <w:lang w:val="en-GB"/>
        </w:rPr>
        <w:t>Secondary prevention aims to prevent recurrent events and complications in those already diagnosed. This involves regular clinical monitoring of blood pressure, lipids, glycaemic control, and renal function, alongside sustained lifestyle changes (NHS England, 2024). Pharmacological therapy is standardised in line with NICE guidance: statins lower low-density lipoprotein (LDL) cholesterol and stabilise plaques; antiplatelet agents such as aspirin reduce thrombotic risk; beta-blockers reduce cardiac workload; and angiotensin-converting enzyme (ACE) inhibitors improve cardiac function and reduce heart failure risk following myocardial infarction (NICE, 2023).</w:t>
      </w:r>
    </w:p>
    <w:p w14:paraId="79F91E41" w14:textId="77777777" w:rsidR="00AB5465" w:rsidRPr="00AB5465" w:rsidRDefault="00AB5465" w:rsidP="00AB5465">
      <w:pPr>
        <w:pStyle w:val="Heading1"/>
        <w:spacing w:line="360" w:lineRule="auto"/>
        <w:rPr>
          <w:rFonts w:ascii="Arial" w:hAnsi="Arial" w:cs="Arial"/>
          <w:color w:val="auto"/>
          <w:sz w:val="22"/>
          <w:szCs w:val="22"/>
          <w:lang w:val="en-GB"/>
        </w:rPr>
      </w:pPr>
      <w:r w:rsidRPr="00AB5465">
        <w:rPr>
          <w:rFonts w:ascii="Arial" w:hAnsi="Arial" w:cs="Arial"/>
          <w:color w:val="auto"/>
          <w:sz w:val="22"/>
          <w:szCs w:val="22"/>
          <w:lang w:val="en-GB"/>
        </w:rPr>
        <w:t>For advanced disease, interventional or surgical treatment may be required. Percutaneous coronary intervention (PCI) with stent placement restores blood flow in narrowed arteries, while coronary artery bypass grafting (CABG) is used for complex multi-vessel disease (NHS England, 2024). Post-procedure, patients are referred to cardiac rehabilitation – a multidisciplinary programme combining supervised exercise, dietary counselling, smoking cessation support, medication education, and mental health input – which reduces mortality, lowers readmission rates, and enhances quality of life (BHF, 2023). Effective control therefore requires integrated action across population policy, clinical practice, and patient self-management.</w:t>
      </w:r>
    </w:p>
    <w:p w14:paraId="650A908F" w14:textId="77777777" w:rsidR="00AB5465" w:rsidRPr="00243265" w:rsidRDefault="00AB5465" w:rsidP="00AB5465">
      <w:pPr>
        <w:pStyle w:val="Heading1"/>
        <w:spacing w:line="360" w:lineRule="auto"/>
        <w:rPr>
          <w:rFonts w:ascii="Arial" w:hAnsi="Arial" w:cs="Arial"/>
          <w:b/>
          <w:bCs/>
          <w:color w:val="auto"/>
          <w:sz w:val="22"/>
          <w:szCs w:val="22"/>
          <w:lang w:val="en-GB"/>
        </w:rPr>
      </w:pPr>
      <w:r w:rsidRPr="00243265">
        <w:rPr>
          <w:rFonts w:ascii="Arial" w:hAnsi="Arial" w:cs="Arial"/>
          <w:b/>
          <w:bCs/>
          <w:color w:val="auto"/>
          <w:sz w:val="22"/>
          <w:szCs w:val="22"/>
          <w:lang w:val="en-GB"/>
        </w:rPr>
        <w:t>3. Consequences of Coronary Heart Disease in the Community</w:t>
      </w:r>
    </w:p>
    <w:p w14:paraId="61589BFC" w14:textId="77777777" w:rsidR="00AB5465" w:rsidRPr="00AB5465" w:rsidRDefault="00AB5465" w:rsidP="00AB5465">
      <w:pPr>
        <w:pStyle w:val="Heading1"/>
        <w:spacing w:line="360" w:lineRule="auto"/>
        <w:rPr>
          <w:rFonts w:ascii="Arial" w:hAnsi="Arial" w:cs="Arial"/>
          <w:color w:val="auto"/>
          <w:sz w:val="22"/>
          <w:szCs w:val="22"/>
          <w:lang w:val="en-GB"/>
        </w:rPr>
      </w:pPr>
      <w:r w:rsidRPr="00AB5465">
        <w:rPr>
          <w:rFonts w:ascii="Arial" w:hAnsi="Arial" w:cs="Arial"/>
          <w:color w:val="auto"/>
          <w:sz w:val="22"/>
          <w:szCs w:val="22"/>
          <w:lang w:val="en-GB"/>
        </w:rPr>
        <w:lastRenderedPageBreak/>
        <w:t>CHD imposes wide-ranging physical, psychological, social, and economic burdens across individuals, families, and wider society. Physically, the disease causes chronic symptoms including angina, breathlessness, fatigue, and reduced functional capacity, while severe presentations lead to myocardial infarction, heart failure, or sudden cardiac death (WHO, 2023). Many survivors experience permanent disability that limits employment and independent living; the BHF (2023) estimates 1.4 million people in the UK have survived a heart attack, with a significant proportion living with long-term impairment.</w:t>
      </w:r>
    </w:p>
    <w:p w14:paraId="1F64EAD1" w14:textId="77777777" w:rsidR="00AB5465" w:rsidRPr="00AB5465" w:rsidRDefault="00AB5465" w:rsidP="00AB5465">
      <w:pPr>
        <w:pStyle w:val="Heading1"/>
        <w:spacing w:line="360" w:lineRule="auto"/>
        <w:rPr>
          <w:rFonts w:ascii="Arial" w:hAnsi="Arial" w:cs="Arial"/>
          <w:color w:val="auto"/>
          <w:sz w:val="22"/>
          <w:szCs w:val="22"/>
          <w:lang w:val="en-GB"/>
        </w:rPr>
      </w:pPr>
      <w:r w:rsidRPr="00AB5465">
        <w:rPr>
          <w:rFonts w:ascii="Arial" w:hAnsi="Arial" w:cs="Arial"/>
          <w:color w:val="auto"/>
          <w:sz w:val="22"/>
          <w:szCs w:val="22"/>
          <w:lang w:val="en-GB"/>
        </w:rPr>
        <w:t>Psychologically, diagnosis or acute events commonly trigger anxiety, depression, and fear of future incidents. These conditions reduce adherence to medication and rehabilitation, increasing the likelihood of further complications (Yusuf et al., 2020). Socially, CHD often disrupts family roles, with patients becoming dependent on relatives for care and financial support, and many experiencing social isolation due to restricted mobility or reduced confidence (NHS England, 2024). Informal carers frequently report high levels of emotional distress and financial strain as they take on additional responsibilities.</w:t>
      </w:r>
    </w:p>
    <w:p w14:paraId="7D910659" w14:textId="77777777" w:rsidR="00AB5465" w:rsidRPr="00AB5465" w:rsidRDefault="00AB5465" w:rsidP="00AB5465">
      <w:pPr>
        <w:pStyle w:val="Heading1"/>
        <w:spacing w:line="360" w:lineRule="auto"/>
        <w:rPr>
          <w:rFonts w:ascii="Arial" w:hAnsi="Arial" w:cs="Arial"/>
          <w:color w:val="auto"/>
          <w:sz w:val="22"/>
          <w:szCs w:val="22"/>
          <w:lang w:val="en-GB"/>
        </w:rPr>
      </w:pPr>
      <w:r w:rsidRPr="00AB5465">
        <w:rPr>
          <w:rFonts w:ascii="Arial" w:hAnsi="Arial" w:cs="Arial"/>
          <w:color w:val="auto"/>
          <w:sz w:val="22"/>
          <w:szCs w:val="22"/>
          <w:lang w:val="en-GB"/>
        </w:rPr>
        <w:t>Economically, the impact is substantial: direct healthcare costs for CHD and related conditions total approximately £9 billion annually in the UK, while indirect costs from lost productivity, premature mortality, and unpaid care exceed £19 billion each year (BHF, 2023). Health services face growing demand as population ageing and improved survival increase the number of people living with chronic disease. These burdens are unequally distributed: premature CHD death rates in deprived areas such as Glasgow City and Blackpool are three times higher than in affluent regions like Mid Sussex, reflecting persistent socioeconomic inequalities in risk exposure and access to care (BHF, 2023).</w:t>
      </w:r>
    </w:p>
    <w:p w14:paraId="3FAD8DE7" w14:textId="77777777" w:rsidR="00AB5465" w:rsidRPr="00243265" w:rsidRDefault="00AB5465" w:rsidP="00AB5465">
      <w:pPr>
        <w:pStyle w:val="Heading1"/>
        <w:spacing w:line="360" w:lineRule="auto"/>
        <w:rPr>
          <w:rFonts w:ascii="Arial" w:hAnsi="Arial" w:cs="Arial"/>
          <w:b/>
          <w:bCs/>
          <w:color w:val="auto"/>
          <w:sz w:val="22"/>
          <w:szCs w:val="22"/>
          <w:lang w:val="en-GB"/>
        </w:rPr>
      </w:pPr>
      <w:r w:rsidRPr="00243265">
        <w:rPr>
          <w:rFonts w:ascii="Arial" w:hAnsi="Arial" w:cs="Arial"/>
          <w:b/>
          <w:bCs/>
          <w:color w:val="auto"/>
          <w:sz w:val="22"/>
          <w:szCs w:val="22"/>
          <w:lang w:val="en-GB"/>
        </w:rPr>
        <w:t>4. Health and Social Care Support Services</w:t>
      </w:r>
    </w:p>
    <w:p w14:paraId="00299D48" w14:textId="77777777" w:rsidR="00AB5465" w:rsidRPr="00AB5465" w:rsidRDefault="00AB5465" w:rsidP="00AB5465">
      <w:pPr>
        <w:pStyle w:val="Heading1"/>
        <w:spacing w:line="360" w:lineRule="auto"/>
        <w:rPr>
          <w:rFonts w:ascii="Arial" w:hAnsi="Arial" w:cs="Arial"/>
          <w:color w:val="auto"/>
          <w:sz w:val="22"/>
          <w:szCs w:val="22"/>
          <w:lang w:val="en-GB"/>
        </w:rPr>
      </w:pPr>
      <w:r w:rsidRPr="00AB5465">
        <w:rPr>
          <w:rFonts w:ascii="Arial" w:hAnsi="Arial" w:cs="Arial"/>
          <w:color w:val="auto"/>
          <w:sz w:val="22"/>
          <w:szCs w:val="22"/>
          <w:lang w:val="en-GB"/>
        </w:rPr>
        <w:t>Addressing the multifaceted needs of people with CHD requires coordinated, multidisciplinary care across health and social care settings. General practitioners and practice nurses provide ongoing monitoring, medication reviews, risk assessment, and health promotion, acting as the primary point of contact and gateway to specialist services (NHS England, 2024). Hospital cardiology teams deliver diagnostic investigations including electrocardiography, echocardiography, exercise testing, and coronary angiography, alongside medical and surgical treatment; specialist nurses provide education, discharge planning, and ongoing clinical support.</w:t>
      </w:r>
    </w:p>
    <w:p w14:paraId="578375C6" w14:textId="77777777" w:rsidR="00AB5465" w:rsidRPr="00AB5465" w:rsidRDefault="00AB5465" w:rsidP="00AB5465">
      <w:pPr>
        <w:pStyle w:val="Heading1"/>
        <w:spacing w:line="360" w:lineRule="auto"/>
        <w:rPr>
          <w:rFonts w:ascii="Arial" w:hAnsi="Arial" w:cs="Arial"/>
          <w:color w:val="auto"/>
          <w:sz w:val="22"/>
          <w:szCs w:val="22"/>
          <w:lang w:val="en-GB"/>
        </w:rPr>
      </w:pPr>
      <w:r w:rsidRPr="00AB5465">
        <w:rPr>
          <w:rFonts w:ascii="Arial" w:hAnsi="Arial" w:cs="Arial"/>
          <w:color w:val="auto"/>
          <w:sz w:val="22"/>
          <w:szCs w:val="22"/>
          <w:lang w:val="en-GB"/>
        </w:rPr>
        <w:lastRenderedPageBreak/>
        <w:t>Community-based services are equally vital. Cardiac rehabilitation teams include physiotherapists who design individualised exercise plans, dietitians who deliver evidence-based nutritional advice, and pharmacists who promote medication adherence and monitor for adverse effects (NICE, 2023). Psychological support from clinical psychologists and NHS Talking Therapies addresses anxiety and depression, while occupational therapists help patients regain independence, adapt daily tasks, and return to work where possible. Social workers assess care needs, arrange home support, and signpost to financial and practical assistance (NHS England, 2024).</w:t>
      </w:r>
    </w:p>
    <w:p w14:paraId="694A039F" w14:textId="77777777" w:rsidR="00AB5465" w:rsidRPr="00AB5465" w:rsidRDefault="00AB5465" w:rsidP="00AB5465">
      <w:pPr>
        <w:pStyle w:val="Heading1"/>
        <w:spacing w:line="360" w:lineRule="auto"/>
        <w:rPr>
          <w:rFonts w:ascii="Arial" w:hAnsi="Arial" w:cs="Arial"/>
          <w:color w:val="auto"/>
          <w:sz w:val="22"/>
          <w:szCs w:val="22"/>
          <w:lang w:val="en-GB"/>
        </w:rPr>
      </w:pPr>
      <w:r w:rsidRPr="00AB5465">
        <w:rPr>
          <w:rFonts w:ascii="Arial" w:hAnsi="Arial" w:cs="Arial"/>
          <w:color w:val="auto"/>
          <w:sz w:val="22"/>
          <w:szCs w:val="22"/>
          <w:lang w:val="en-GB"/>
        </w:rPr>
        <w:t>Voluntary sector organisations such as the BHF complement statutory services by producing patient information, running support groups, funding research, and raising public awareness. This collaborative approach ensures biological, psychological, and social needs are addressed holistically, aligning with best practice principles and improving long-term outcomes for people affected by CHD.</w:t>
      </w:r>
    </w:p>
    <w:p w14:paraId="0B25604F" w14:textId="21BDD106" w:rsidR="003F0757" w:rsidRPr="00243265" w:rsidRDefault="00000000" w:rsidP="00F651CA">
      <w:pPr>
        <w:pStyle w:val="Heading1"/>
        <w:spacing w:line="360" w:lineRule="auto"/>
        <w:rPr>
          <w:rFonts w:ascii="Arial" w:hAnsi="Arial" w:cs="Arial"/>
          <w:b/>
          <w:bCs/>
          <w:color w:val="auto"/>
          <w:sz w:val="22"/>
          <w:szCs w:val="22"/>
        </w:rPr>
      </w:pPr>
      <w:r w:rsidRPr="00243265">
        <w:rPr>
          <w:rFonts w:ascii="Arial" w:hAnsi="Arial" w:cs="Arial"/>
          <w:b/>
          <w:bCs/>
          <w:color w:val="auto"/>
          <w:sz w:val="22"/>
          <w:szCs w:val="22"/>
        </w:rPr>
        <w:t>Conclusion</w:t>
      </w:r>
    </w:p>
    <w:p w14:paraId="33EC7C15" w14:textId="77777777" w:rsidR="003F0757" w:rsidRPr="00F651CA" w:rsidRDefault="00000000" w:rsidP="00F651CA">
      <w:pPr>
        <w:pStyle w:val="FirstParagraph"/>
        <w:spacing w:line="360" w:lineRule="auto"/>
        <w:rPr>
          <w:rFonts w:ascii="Arial" w:hAnsi="Arial" w:cs="Arial"/>
          <w:sz w:val="22"/>
          <w:szCs w:val="22"/>
        </w:rPr>
      </w:pPr>
      <w:r w:rsidRPr="00F651CA">
        <w:rPr>
          <w:rFonts w:ascii="Arial" w:hAnsi="Arial" w:cs="Arial"/>
          <w:sz w:val="22"/>
          <w:szCs w:val="22"/>
        </w:rPr>
        <w:t>Coronary heart disease remains one of the leading causes of illness and premature death worldwide and continues to present a significant public health challenge within the United Kingdom. Although advances in diagnosis, treatment and prevention have substantially reduced mortality, increasing numbers of people are living with chronic cardiovascular disease because of population ageing and improved survival.</w:t>
      </w:r>
    </w:p>
    <w:p w14:paraId="1261131D" w14:textId="77777777" w:rsidR="003F0757" w:rsidRPr="00F651CA" w:rsidRDefault="00000000" w:rsidP="00F651CA">
      <w:pPr>
        <w:pStyle w:val="BodyText"/>
        <w:spacing w:line="360" w:lineRule="auto"/>
        <w:rPr>
          <w:rFonts w:ascii="Arial" w:hAnsi="Arial" w:cs="Arial"/>
          <w:sz w:val="22"/>
          <w:szCs w:val="22"/>
        </w:rPr>
      </w:pPr>
      <w:r w:rsidRPr="00F651CA">
        <w:rPr>
          <w:rFonts w:ascii="Arial" w:hAnsi="Arial" w:cs="Arial"/>
          <w:sz w:val="22"/>
          <w:szCs w:val="22"/>
        </w:rPr>
        <w:t>Effective monitoring through epidemiological surveillance, national health databases and screening programmes enables healthcare organisations to identify high-risk populations and evaluate prevention strategies. Control of CHD depends upon reducing modifiable risk factors through healthy lifestyles, evidence-based medication, timely medical intervention and comprehensive cardiac rehabilitation.</w:t>
      </w:r>
    </w:p>
    <w:p w14:paraId="3126FF13" w14:textId="77777777" w:rsidR="003F0757" w:rsidRPr="00F651CA" w:rsidRDefault="00000000" w:rsidP="00F651CA">
      <w:pPr>
        <w:pStyle w:val="BodyText"/>
        <w:spacing w:line="360" w:lineRule="auto"/>
        <w:rPr>
          <w:rFonts w:ascii="Arial" w:hAnsi="Arial" w:cs="Arial"/>
          <w:sz w:val="22"/>
          <w:szCs w:val="22"/>
        </w:rPr>
      </w:pPr>
      <w:r w:rsidRPr="00F651CA">
        <w:rPr>
          <w:rFonts w:ascii="Arial" w:hAnsi="Arial" w:cs="Arial"/>
          <w:sz w:val="22"/>
          <w:szCs w:val="22"/>
        </w:rPr>
        <w:t>The physical, psychological, social and economic consequences of CHD highlight the need for coordinated multidisciplinary care. Health professionals, social care practitioners and voluntary organisations all play vital roles in supporting individuals throughout diagnosis, treatment and long-term recovery. Continued investment in prevention, early detection and integrated community-based services will be essential to reducing the burden of coronary heart disease and improving population health outcomes.</w:t>
      </w:r>
    </w:p>
    <w:p w14:paraId="401456F1" w14:textId="3A100EAF" w:rsidR="003F0757" w:rsidRPr="00243265" w:rsidRDefault="00000000" w:rsidP="00F651CA">
      <w:pPr>
        <w:pStyle w:val="Heading1"/>
        <w:spacing w:line="360" w:lineRule="auto"/>
        <w:rPr>
          <w:rFonts w:ascii="Arial" w:hAnsi="Arial" w:cs="Arial"/>
          <w:color w:val="auto"/>
          <w:sz w:val="22"/>
          <w:szCs w:val="22"/>
        </w:rPr>
      </w:pPr>
      <w:bookmarkStart w:id="4" w:name="reference-list-harvard-style"/>
      <w:bookmarkEnd w:id="3"/>
      <w:r w:rsidRPr="00243265">
        <w:rPr>
          <w:rFonts w:ascii="Arial" w:hAnsi="Arial" w:cs="Arial"/>
          <w:b/>
          <w:bCs/>
          <w:color w:val="auto"/>
          <w:sz w:val="22"/>
          <w:szCs w:val="22"/>
        </w:rPr>
        <w:lastRenderedPageBreak/>
        <w:t xml:space="preserve">Reference </w:t>
      </w:r>
    </w:p>
    <w:p w14:paraId="675829A0" w14:textId="77777777" w:rsidR="003F0757" w:rsidRPr="00F651CA" w:rsidRDefault="00000000" w:rsidP="00F651CA">
      <w:pPr>
        <w:pStyle w:val="FirstParagraph"/>
        <w:spacing w:line="360" w:lineRule="auto"/>
        <w:rPr>
          <w:rFonts w:ascii="Arial" w:hAnsi="Arial" w:cs="Arial"/>
          <w:sz w:val="22"/>
          <w:szCs w:val="22"/>
        </w:rPr>
      </w:pPr>
      <w:r w:rsidRPr="00F651CA">
        <w:rPr>
          <w:rFonts w:ascii="Arial" w:hAnsi="Arial" w:cs="Arial"/>
          <w:sz w:val="22"/>
          <w:szCs w:val="22"/>
        </w:rPr>
        <w:t xml:space="preserve">British Heart Foundation (2023) </w:t>
      </w:r>
      <w:r w:rsidRPr="00F651CA">
        <w:rPr>
          <w:rFonts w:ascii="Arial" w:hAnsi="Arial" w:cs="Arial"/>
          <w:i/>
          <w:iCs/>
          <w:sz w:val="22"/>
          <w:szCs w:val="22"/>
        </w:rPr>
        <w:t>UK Factsheet: Heart and Circulatory Disease Statistics</w:t>
      </w:r>
      <w:r w:rsidRPr="00F651CA">
        <w:rPr>
          <w:rFonts w:ascii="Arial" w:hAnsi="Arial" w:cs="Arial"/>
          <w:sz w:val="22"/>
          <w:szCs w:val="22"/>
        </w:rPr>
        <w:t>. London: British Heart Foundation.</w:t>
      </w:r>
    </w:p>
    <w:p w14:paraId="3C41C34E" w14:textId="77777777" w:rsidR="003F0757" w:rsidRPr="00F651CA" w:rsidRDefault="00000000" w:rsidP="00F651CA">
      <w:pPr>
        <w:pStyle w:val="BodyText"/>
        <w:spacing w:line="360" w:lineRule="auto"/>
        <w:rPr>
          <w:rFonts w:ascii="Arial" w:hAnsi="Arial" w:cs="Arial"/>
          <w:sz w:val="22"/>
          <w:szCs w:val="22"/>
        </w:rPr>
      </w:pPr>
      <w:r w:rsidRPr="00F651CA">
        <w:rPr>
          <w:rFonts w:ascii="Arial" w:hAnsi="Arial" w:cs="Arial"/>
          <w:sz w:val="22"/>
          <w:szCs w:val="22"/>
        </w:rPr>
        <w:t xml:space="preserve">National Institute for Health and Care Excellence (2023) </w:t>
      </w:r>
      <w:r w:rsidRPr="00F651CA">
        <w:rPr>
          <w:rFonts w:ascii="Arial" w:hAnsi="Arial" w:cs="Arial"/>
          <w:i/>
          <w:iCs/>
          <w:sz w:val="22"/>
          <w:szCs w:val="22"/>
        </w:rPr>
        <w:t>Cardiovascular Disease: Risk Assessment and Reduction</w:t>
      </w:r>
      <w:r w:rsidRPr="00F651CA">
        <w:rPr>
          <w:rFonts w:ascii="Arial" w:hAnsi="Arial" w:cs="Arial"/>
          <w:sz w:val="22"/>
          <w:szCs w:val="22"/>
        </w:rPr>
        <w:t>. London: NICE.</w:t>
      </w:r>
    </w:p>
    <w:p w14:paraId="41EE5B8E" w14:textId="77777777" w:rsidR="003F0757" w:rsidRPr="00F651CA" w:rsidRDefault="00000000" w:rsidP="00F651CA">
      <w:pPr>
        <w:pStyle w:val="BodyText"/>
        <w:spacing w:line="360" w:lineRule="auto"/>
        <w:rPr>
          <w:rFonts w:ascii="Arial" w:hAnsi="Arial" w:cs="Arial"/>
          <w:sz w:val="22"/>
          <w:szCs w:val="22"/>
        </w:rPr>
      </w:pPr>
      <w:r w:rsidRPr="00F651CA">
        <w:rPr>
          <w:rFonts w:ascii="Arial" w:hAnsi="Arial" w:cs="Arial"/>
          <w:sz w:val="22"/>
          <w:szCs w:val="22"/>
        </w:rPr>
        <w:t xml:space="preserve">NHS England (2024) </w:t>
      </w:r>
      <w:r w:rsidRPr="00F651CA">
        <w:rPr>
          <w:rFonts w:ascii="Arial" w:hAnsi="Arial" w:cs="Arial"/>
          <w:i/>
          <w:iCs/>
          <w:sz w:val="22"/>
          <w:szCs w:val="22"/>
        </w:rPr>
        <w:t>Coronary Heart Disease</w:t>
      </w:r>
      <w:r w:rsidRPr="00F651CA">
        <w:rPr>
          <w:rFonts w:ascii="Arial" w:hAnsi="Arial" w:cs="Arial"/>
          <w:sz w:val="22"/>
          <w:szCs w:val="22"/>
        </w:rPr>
        <w:t>. London: NHS England.</w:t>
      </w:r>
    </w:p>
    <w:p w14:paraId="703B36B7" w14:textId="77777777" w:rsidR="003F0757" w:rsidRPr="00F651CA" w:rsidRDefault="00000000" w:rsidP="00F651CA">
      <w:pPr>
        <w:pStyle w:val="BodyText"/>
        <w:spacing w:line="360" w:lineRule="auto"/>
        <w:rPr>
          <w:rFonts w:ascii="Arial" w:hAnsi="Arial" w:cs="Arial"/>
          <w:sz w:val="22"/>
          <w:szCs w:val="22"/>
        </w:rPr>
      </w:pPr>
      <w:r w:rsidRPr="00F651CA">
        <w:rPr>
          <w:rFonts w:ascii="Arial" w:hAnsi="Arial" w:cs="Arial"/>
          <w:sz w:val="22"/>
          <w:szCs w:val="22"/>
        </w:rPr>
        <w:t xml:space="preserve">Office for National Statistics (2024) </w:t>
      </w:r>
      <w:r w:rsidRPr="00F651CA">
        <w:rPr>
          <w:rFonts w:ascii="Arial" w:hAnsi="Arial" w:cs="Arial"/>
          <w:i/>
          <w:iCs/>
          <w:sz w:val="22"/>
          <w:szCs w:val="22"/>
        </w:rPr>
        <w:t>Deaths Registered in England and Wales</w:t>
      </w:r>
      <w:r w:rsidRPr="00F651CA">
        <w:rPr>
          <w:rFonts w:ascii="Arial" w:hAnsi="Arial" w:cs="Arial"/>
          <w:sz w:val="22"/>
          <w:szCs w:val="22"/>
        </w:rPr>
        <w:t>. Newport: ONS.</w:t>
      </w:r>
    </w:p>
    <w:p w14:paraId="2AAF0C68" w14:textId="77777777" w:rsidR="003F0757" w:rsidRPr="00F651CA" w:rsidRDefault="00000000" w:rsidP="00F651CA">
      <w:pPr>
        <w:pStyle w:val="BodyText"/>
        <w:spacing w:line="360" w:lineRule="auto"/>
        <w:rPr>
          <w:rFonts w:ascii="Arial" w:hAnsi="Arial" w:cs="Arial"/>
          <w:sz w:val="22"/>
          <w:szCs w:val="22"/>
        </w:rPr>
      </w:pPr>
      <w:r w:rsidRPr="00F651CA">
        <w:rPr>
          <w:rFonts w:ascii="Arial" w:hAnsi="Arial" w:cs="Arial"/>
          <w:sz w:val="22"/>
          <w:szCs w:val="22"/>
        </w:rPr>
        <w:t xml:space="preserve">World Health Organization (2023) </w:t>
      </w:r>
      <w:r w:rsidRPr="00F651CA">
        <w:rPr>
          <w:rFonts w:ascii="Arial" w:hAnsi="Arial" w:cs="Arial"/>
          <w:i/>
          <w:iCs/>
          <w:sz w:val="22"/>
          <w:szCs w:val="22"/>
        </w:rPr>
        <w:t>Cardiovascular Diseases (CVDs) Fact Sheet</w:t>
      </w:r>
      <w:r w:rsidRPr="00F651CA">
        <w:rPr>
          <w:rFonts w:ascii="Arial" w:hAnsi="Arial" w:cs="Arial"/>
          <w:sz w:val="22"/>
          <w:szCs w:val="22"/>
        </w:rPr>
        <w:t>. Geneva: WHO.</w:t>
      </w:r>
    </w:p>
    <w:p w14:paraId="187BCA6D" w14:textId="77777777" w:rsidR="003F0757" w:rsidRPr="00F651CA" w:rsidRDefault="00000000" w:rsidP="00F651CA">
      <w:pPr>
        <w:pStyle w:val="BodyText"/>
        <w:spacing w:line="360" w:lineRule="auto"/>
        <w:rPr>
          <w:rFonts w:ascii="Arial" w:hAnsi="Arial" w:cs="Arial"/>
          <w:sz w:val="22"/>
          <w:szCs w:val="22"/>
        </w:rPr>
      </w:pPr>
      <w:r w:rsidRPr="00F651CA">
        <w:rPr>
          <w:rFonts w:ascii="Arial" w:hAnsi="Arial" w:cs="Arial"/>
          <w:sz w:val="22"/>
          <w:szCs w:val="22"/>
        </w:rPr>
        <w:t xml:space="preserve">Yusuf, S., Joseph, P., Rangarajan, S. </w:t>
      </w:r>
      <w:r w:rsidRPr="00F651CA">
        <w:rPr>
          <w:rFonts w:ascii="Arial" w:hAnsi="Arial" w:cs="Arial"/>
          <w:i/>
          <w:iCs/>
          <w:sz w:val="22"/>
          <w:szCs w:val="22"/>
        </w:rPr>
        <w:t>et al.</w:t>
      </w:r>
      <w:r w:rsidRPr="00F651CA">
        <w:rPr>
          <w:rFonts w:ascii="Arial" w:hAnsi="Arial" w:cs="Arial"/>
          <w:sz w:val="22"/>
          <w:szCs w:val="22"/>
        </w:rPr>
        <w:t xml:space="preserve"> (2020) ‘Modifiable risk factors, cardiovascular disease and mortality’, </w:t>
      </w:r>
      <w:r w:rsidRPr="00F651CA">
        <w:rPr>
          <w:rFonts w:ascii="Arial" w:hAnsi="Arial" w:cs="Arial"/>
          <w:i/>
          <w:iCs/>
          <w:sz w:val="22"/>
          <w:szCs w:val="22"/>
        </w:rPr>
        <w:t>The Lancet</w:t>
      </w:r>
      <w:r w:rsidRPr="00F651CA">
        <w:rPr>
          <w:rFonts w:ascii="Arial" w:hAnsi="Arial" w:cs="Arial"/>
          <w:sz w:val="22"/>
          <w:szCs w:val="22"/>
        </w:rPr>
        <w:t>, 395(10226), pp. 795–808.</w:t>
      </w:r>
      <w:bookmarkEnd w:id="4"/>
    </w:p>
    <w:sectPr w:rsidR="003F0757" w:rsidRPr="00F651CA">
      <w:footnotePr>
        <w:numRestart w:val="eachSect"/>
      </w:footnotePr>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A990"/>
    <w:multiLevelType w:val="multilevel"/>
    <w:tmpl w:val="0C44D9EC"/>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 w16cid:durableId="13436241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stylePaneFormatFilter w:val="0004" w:allStyles="0" w:customStyles="0" w:latentStyles="1" w:stylesInUse="0" w:headingStyles="0" w:numberingStyles="0" w:tableStyles="0" w:directFormattingOnRuns="0" w:directFormattingOnParagraphs="0" w:directFormattingOnNumbering="0" w:directFormattingOnTables="0" w:clearFormatting="0" w:top3HeadingStyles="0" w:visibleStyles="0" w:alternateStyleNames="0"/>
  <w:doNotTrackMoves/>
  <w:defaultTabStop w:val="720"/>
  <w:drawingGridHorizontalSpacing w:val="360"/>
  <w:drawingGridVerticalSpacing w:val="360"/>
  <w:displayHorizontalDrawingGridEvery w:val="0"/>
  <w:displayVerticalDrawingGridEvery w:val="0"/>
  <w:characterSpacingControl w:val="doNotCompress"/>
  <w:footnotePr>
    <w:numRestart w:val="eachSect"/>
  </w:footnotePr>
  <w:compat>
    <w:compatSetting w:name="compatibilityMode" w:uri="http://schemas.microsoft.com/office/word" w:val="12"/>
    <w:compatSetting w:name="useWord2013TrackBottomHyphenation" w:uri="http://schemas.microsoft.com/office/word" w:val="1"/>
  </w:compat>
  <w:rsids>
    <w:rsidRoot w:val="003F0757"/>
    <w:rsid w:val="00243265"/>
    <w:rsid w:val="003351C6"/>
    <w:rsid w:val="003F0757"/>
    <w:rsid w:val="00911749"/>
    <w:rsid w:val="0094617A"/>
    <w:rsid w:val="009A1844"/>
    <w:rsid w:val="00AB5465"/>
    <w:rsid w:val="00F651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CF61B5"/>
  <w15:docId w15:val="{2B61BE54-C4E5-40BE-B330-95EE4B16DC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pPr>
        <w:spacing w:after="200"/>
      </w:pPr>
    </w:pPrDefault>
  </w:docDefaults>
  <w:latentStyles w:defLockedState="0" w:defUIPriority="0" w:defSemiHidden="0" w:defUnhideWhenUsed="0" w:defQFormat="0" w:count="376">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style>
  <w:style w:type="paragraph" w:styleId="Heading1">
    <w:name w:val="heading 1"/>
    <w:basedOn w:val="Normal"/>
    <w:next w:val="BodyText"/>
    <w:link w:val="Heading1Char"/>
    <w:uiPriority w:val="9"/>
    <w:qFormat/>
    <w:rsid w:val="00A10F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BodyText"/>
    <w:link w:val="Heading2Char"/>
    <w:uiPriority w:val="9"/>
    <w:semiHidden/>
    <w:unhideWhenUsed/>
    <w:qFormat/>
    <w:rsid w:val="00A10F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BodyText"/>
    <w:link w:val="Heading3Char"/>
    <w:uiPriority w:val="9"/>
    <w:semiHidden/>
    <w:unhideWhenUsed/>
    <w:qFormat/>
    <w:rsid w:val="00A10F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BodyText"/>
    <w:link w:val="Heading4Char"/>
    <w:uiPriority w:val="9"/>
    <w:semiHidden/>
    <w:unhideWhenUsed/>
    <w:qFormat/>
    <w:rsid w:val="00A10F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BodyText"/>
    <w:link w:val="Heading5Char"/>
    <w:uiPriority w:val="9"/>
    <w:semiHidden/>
    <w:unhideWhenUsed/>
    <w:qFormat/>
    <w:rsid w:val="00A10F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BodyText"/>
    <w:link w:val="Heading6Char"/>
    <w:uiPriority w:val="9"/>
    <w:semiHidden/>
    <w:unhideWhenUsed/>
    <w:qFormat/>
    <w:rsid w:val="00A10F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BodyText"/>
    <w:link w:val="Heading7Char"/>
    <w:uiPriority w:val="9"/>
    <w:semiHidden/>
    <w:unhideWhenUsed/>
    <w:qFormat/>
    <w:rsid w:val="00A10F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BodyText"/>
    <w:link w:val="Heading8Char"/>
    <w:uiPriority w:val="9"/>
    <w:semiHidden/>
    <w:unhideWhenUsed/>
    <w:qFormat/>
    <w:rsid w:val="00A10F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BodyText"/>
    <w:link w:val="Heading9Char"/>
    <w:uiPriority w:val="9"/>
    <w:semiHidden/>
    <w:unhideWhenUsed/>
    <w:qFormat/>
    <w:rsid w:val="00A10F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qFormat/>
    <w:pPr>
      <w:spacing w:before="180" w:after="180"/>
    </w:pPr>
  </w:style>
  <w:style w:type="paragraph" w:customStyle="1" w:styleId="FirstParagraph">
    <w:name w:val="First Paragraph"/>
    <w:basedOn w:val="BodyText"/>
    <w:next w:val="BodyText"/>
    <w:qFormat/>
  </w:style>
  <w:style w:type="paragraph" w:customStyle="1" w:styleId="Compact">
    <w:name w:val="Compact"/>
    <w:basedOn w:val="BodyText"/>
    <w:qFormat/>
    <w:pPr>
      <w:spacing w:before="36" w:after="36"/>
    </w:pPr>
  </w:style>
  <w:style w:type="paragraph" w:styleId="Title">
    <w:name w:val="Title"/>
    <w:basedOn w:val="Normal"/>
    <w:next w:val="BodyText"/>
    <w:link w:val="TitleChar"/>
    <w:uiPriority w:val="10"/>
    <w:qFormat/>
    <w:rsid w:val="00A10FD9"/>
    <w:pPr>
      <w:spacing w:after="80"/>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0FD9"/>
    <w:rPr>
      <w:rFonts w:asciiTheme="majorHAnsi" w:eastAsiaTheme="majorEastAsia" w:hAnsiTheme="majorHAnsi" w:cstheme="majorBidi"/>
      <w:spacing w:val="-10"/>
      <w:kern w:val="28"/>
      <w:sz w:val="56"/>
      <w:szCs w:val="56"/>
    </w:rPr>
  </w:style>
  <w:style w:type="paragraph" w:styleId="Subtitle">
    <w:name w:val="Subtitle"/>
    <w:basedOn w:val="Title"/>
    <w:next w:val="BodyText"/>
    <w:link w:val="SubtitleChar"/>
    <w:uiPriority w:val="11"/>
    <w:qFormat/>
    <w:rsid w:val="00A10FD9"/>
    <w:pPr>
      <w:numPr>
        <w:ilvl w:val="1"/>
      </w:numPr>
    </w:pPr>
    <w:rPr>
      <w:spacing w:val="15"/>
      <w:sz w:val="28"/>
      <w:szCs w:val="28"/>
    </w:rPr>
  </w:style>
  <w:style w:type="character" w:customStyle="1" w:styleId="SubtitleChar">
    <w:name w:val="Subtitle Char"/>
    <w:basedOn w:val="DefaultParagraphFont"/>
    <w:link w:val="Subtitle"/>
    <w:uiPriority w:val="11"/>
    <w:rsid w:val="00A10FD9"/>
    <w:rPr>
      <w:rFonts w:eastAsiaTheme="majorEastAsia" w:cstheme="majorBidi"/>
      <w:color w:val="595959" w:themeColor="text1" w:themeTint="A6"/>
      <w:spacing w:val="15"/>
      <w:sz w:val="28"/>
      <w:szCs w:val="28"/>
    </w:rPr>
  </w:style>
  <w:style w:type="paragraph" w:customStyle="1" w:styleId="Author">
    <w:name w:val="Author"/>
    <w:next w:val="BodyText"/>
    <w:qFormat/>
    <w:pPr>
      <w:keepNext/>
      <w:keepLines/>
      <w:jc w:val="center"/>
    </w:pPr>
  </w:style>
  <w:style w:type="paragraph" w:styleId="Date">
    <w:name w:val="Date"/>
    <w:next w:val="BodyText"/>
    <w:qFormat/>
    <w:pPr>
      <w:keepNext/>
      <w:keepLines/>
      <w:jc w:val="center"/>
    </w:pPr>
  </w:style>
  <w:style w:type="paragraph" w:customStyle="1" w:styleId="AbstractTitle">
    <w:name w:val="Abstract Title"/>
    <w:basedOn w:val="Normal"/>
    <w:next w:val="Abstract"/>
    <w:qFormat/>
    <w:pPr>
      <w:keepNext/>
      <w:keepLines/>
      <w:spacing w:before="300" w:after="0"/>
      <w:jc w:val="center"/>
    </w:pPr>
    <w:rPr>
      <w:b/>
      <w:sz w:val="20"/>
      <w:szCs w:val="20"/>
    </w:rPr>
  </w:style>
  <w:style w:type="paragraph" w:customStyle="1" w:styleId="Abstract">
    <w:name w:val="Abstract"/>
    <w:basedOn w:val="Normal"/>
    <w:next w:val="BodyText"/>
    <w:qFormat/>
    <w:pPr>
      <w:keepNext/>
      <w:keepLines/>
      <w:spacing w:before="100" w:after="300"/>
    </w:pPr>
    <w:rPr>
      <w:sz w:val="20"/>
      <w:szCs w:val="20"/>
    </w:rPr>
  </w:style>
  <w:style w:type="paragraph" w:styleId="Bibliography">
    <w:name w:val="Bibliography"/>
    <w:basedOn w:val="Normal"/>
    <w:qFormat/>
  </w:style>
  <w:style w:type="character" w:customStyle="1" w:styleId="Heading1Char">
    <w:name w:val="Heading 1 Char"/>
    <w:basedOn w:val="DefaultParagraphFont"/>
    <w:link w:val="Heading1"/>
    <w:uiPriority w:val="9"/>
    <w:rsid w:val="00A10F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0F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0F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0F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0F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0F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0F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0F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0FD9"/>
    <w:rPr>
      <w:rFonts w:eastAsiaTheme="majorEastAsia" w:cstheme="majorBidi"/>
      <w:color w:val="272727" w:themeColor="text1" w:themeTint="D8"/>
    </w:rPr>
  </w:style>
  <w:style w:type="paragraph" w:styleId="BlockText">
    <w:name w:val="Block Text"/>
    <w:basedOn w:val="BodyText"/>
    <w:next w:val="BodyText"/>
    <w:uiPriority w:val="9"/>
    <w:unhideWhenUsed/>
    <w:qFormat/>
    <w:pPr>
      <w:spacing w:before="100" w:after="100"/>
      <w:ind w:left="480" w:right="480"/>
    </w:pPr>
  </w:style>
  <w:style w:type="paragraph" w:styleId="FootnoteText">
    <w:name w:val="footnote text"/>
    <w:basedOn w:val="Normal"/>
    <w:uiPriority w:val="9"/>
    <w:unhideWhenUsed/>
    <w:qFormat/>
  </w:style>
  <w:style w:type="paragraph" w:customStyle="1" w:styleId="FootnoteBlockText">
    <w:name w:val="Footnote Block Text"/>
    <w:basedOn w:val="FootnoteText"/>
    <w:next w:val="FootnoteText"/>
    <w:uiPriority w:val="9"/>
    <w:unhideWhenUsed/>
    <w:qFormat/>
    <w:pPr>
      <w:spacing w:before="100" w:after="100"/>
      <w:ind w:left="480" w:right="480"/>
    </w:pPr>
  </w:style>
  <w:style w:type="table" w:customStyle="1" w:styleId="Table">
    <w:name w:val="Table"/>
    <w:semiHidden/>
    <w:unhideWhenUsed/>
    <w:qFormat/>
    <w:tblPr>
      <w:tblInd w:w="0" w:type="dxa"/>
      <w:tblCellMar>
        <w:top w:w="0" w:type="dxa"/>
        <w:left w:w="108" w:type="dxa"/>
        <w:bottom w:w="0" w:type="dxa"/>
        <w:right w:w="108" w:type="dxa"/>
      </w:tblCellMar>
    </w:tblPr>
    <w:tblStylePr w:type="firstRow">
      <w:tblPr>
        <w:jc w:val="left"/>
      </w:tblPr>
      <w:trPr>
        <w:jc w:val="left"/>
      </w:trPr>
      <w:tcPr>
        <w:tcBorders>
          <w:bottom w:val="single" w:sz="0" w:space="0" w:color="auto"/>
        </w:tcBorders>
        <w:vAlign w:val="bottom"/>
      </w:tcPr>
    </w:tblStylePr>
  </w:style>
  <w:style w:type="paragraph" w:customStyle="1" w:styleId="DefinitionTerm">
    <w:name w:val="Definition Term"/>
    <w:basedOn w:val="Normal"/>
    <w:next w:val="Definition"/>
    <w:pPr>
      <w:keepNext/>
      <w:keepLines/>
      <w:spacing w:after="0"/>
    </w:pPr>
    <w:rPr>
      <w:b/>
    </w:rPr>
  </w:style>
  <w:style w:type="paragraph" w:customStyle="1" w:styleId="Definition">
    <w:name w:val="Definition"/>
    <w:basedOn w:val="Normal"/>
  </w:style>
  <w:style w:type="paragraph" w:styleId="Caption">
    <w:name w:val="caption"/>
    <w:basedOn w:val="Normal"/>
    <w:link w:val="CaptionChar"/>
    <w:pPr>
      <w:spacing w:after="120"/>
    </w:pPr>
    <w:rPr>
      <w:i/>
    </w:rPr>
  </w:style>
  <w:style w:type="paragraph" w:customStyle="1" w:styleId="TableCaption">
    <w:name w:val="Table Caption"/>
    <w:basedOn w:val="Caption"/>
    <w:pPr>
      <w:keepNext/>
    </w:pPr>
  </w:style>
  <w:style w:type="paragraph" w:customStyle="1" w:styleId="ImageCaption">
    <w:name w:val="Image Caption"/>
    <w:basedOn w:val="Caption"/>
  </w:style>
  <w:style w:type="paragraph" w:customStyle="1" w:styleId="Figure">
    <w:name w:val="Figure"/>
    <w:basedOn w:val="Normal"/>
  </w:style>
  <w:style w:type="paragraph" w:customStyle="1" w:styleId="CaptionedFigure">
    <w:name w:val="Captioned Figure"/>
    <w:basedOn w:val="Figure"/>
    <w:pPr>
      <w:keepNext/>
    </w:pPr>
  </w:style>
  <w:style w:type="character" w:customStyle="1" w:styleId="CaptionChar">
    <w:name w:val="Caption Char"/>
    <w:basedOn w:val="DefaultParagraphFont"/>
    <w:link w:val="Caption"/>
  </w:style>
  <w:style w:type="character" w:customStyle="1" w:styleId="VerbatimChar">
    <w:name w:val="Verbatim Char"/>
    <w:basedOn w:val="CaptionChar"/>
    <w:link w:val="SourceCode"/>
    <w:rPr>
      <w:rFonts w:ascii="Consolas" w:hAnsi="Consolas"/>
      <w:sz w:val="22"/>
    </w:rPr>
  </w:style>
  <w:style w:type="character" w:customStyle="1" w:styleId="SectionNumber">
    <w:name w:val="Section Number"/>
    <w:basedOn w:val="CaptionChar"/>
  </w:style>
  <w:style w:type="character" w:styleId="FootnoteReference">
    <w:name w:val="footnote reference"/>
    <w:basedOn w:val="CaptionChar"/>
    <w:rPr>
      <w:vertAlign w:val="superscript"/>
    </w:rPr>
  </w:style>
  <w:style w:type="character" w:styleId="Hyperlink">
    <w:name w:val="Hyperlink"/>
    <w:basedOn w:val="CaptionChar"/>
    <w:rPr>
      <w:color w:val="156082" w:themeColor="accent1"/>
    </w:rPr>
  </w:style>
  <w:style w:type="paragraph" w:styleId="TOCHeading">
    <w:name w:val="TOC Heading"/>
    <w:basedOn w:val="Heading1"/>
    <w:next w:val="BodyText"/>
    <w:uiPriority w:val="39"/>
    <w:unhideWhenUsed/>
    <w:qFormat/>
    <w:pPr>
      <w:spacing w:before="240" w:line="259" w:lineRule="auto"/>
      <w:outlineLvl w:val="9"/>
    </w:pPr>
  </w:style>
  <w:style w:type="paragraph" w:customStyle="1" w:styleId="SourceCode">
    <w:name w:val="Source Code"/>
    <w:basedOn w:val="Normal"/>
    <w:link w:val="VerbatimChar"/>
    <w:pPr>
      <w:wordWrap w:val="0"/>
    </w:pPr>
  </w:style>
  <w:style w:type="character" w:customStyle="1" w:styleId="KeywordTok">
    <w:name w:val="KeywordTok"/>
    <w:basedOn w:val="VerbatimChar"/>
    <w:rPr>
      <w:rFonts w:ascii="Consolas" w:hAnsi="Consolas"/>
      <w:b/>
      <w:color w:val="007020"/>
      <w:sz w:val="22"/>
    </w:rPr>
  </w:style>
  <w:style w:type="character" w:customStyle="1" w:styleId="DataTypeTok">
    <w:name w:val="DataTypeTok"/>
    <w:basedOn w:val="VerbatimChar"/>
    <w:rPr>
      <w:rFonts w:ascii="Consolas" w:hAnsi="Consolas"/>
      <w:color w:val="902000"/>
      <w:sz w:val="22"/>
    </w:rPr>
  </w:style>
  <w:style w:type="character" w:customStyle="1" w:styleId="DecValTok">
    <w:name w:val="DecValTok"/>
    <w:basedOn w:val="VerbatimChar"/>
    <w:rPr>
      <w:rFonts w:ascii="Consolas" w:hAnsi="Consolas"/>
      <w:color w:val="40A070"/>
      <w:sz w:val="22"/>
    </w:rPr>
  </w:style>
  <w:style w:type="character" w:customStyle="1" w:styleId="BaseNTok">
    <w:name w:val="BaseNTok"/>
    <w:basedOn w:val="VerbatimChar"/>
    <w:rPr>
      <w:rFonts w:ascii="Consolas" w:hAnsi="Consolas"/>
      <w:color w:val="40A070"/>
      <w:sz w:val="22"/>
    </w:rPr>
  </w:style>
  <w:style w:type="character" w:customStyle="1" w:styleId="FloatTok">
    <w:name w:val="FloatTok"/>
    <w:basedOn w:val="VerbatimChar"/>
    <w:rPr>
      <w:rFonts w:ascii="Consolas" w:hAnsi="Consolas"/>
      <w:color w:val="40A070"/>
      <w:sz w:val="22"/>
    </w:rPr>
  </w:style>
  <w:style w:type="character" w:customStyle="1" w:styleId="ConstantTok">
    <w:name w:val="ConstantTok"/>
    <w:basedOn w:val="VerbatimChar"/>
    <w:rPr>
      <w:rFonts w:ascii="Consolas" w:hAnsi="Consolas"/>
      <w:color w:val="880000"/>
      <w:sz w:val="22"/>
    </w:rPr>
  </w:style>
  <w:style w:type="character" w:customStyle="1" w:styleId="CharTok">
    <w:name w:val="CharTok"/>
    <w:basedOn w:val="VerbatimChar"/>
    <w:rPr>
      <w:rFonts w:ascii="Consolas" w:hAnsi="Consolas"/>
      <w:color w:val="4070A0"/>
      <w:sz w:val="22"/>
    </w:rPr>
  </w:style>
  <w:style w:type="character" w:customStyle="1" w:styleId="SpecialCharTok">
    <w:name w:val="SpecialCharTok"/>
    <w:basedOn w:val="VerbatimChar"/>
    <w:rPr>
      <w:rFonts w:ascii="Consolas" w:hAnsi="Consolas"/>
      <w:color w:val="4070A0"/>
      <w:sz w:val="22"/>
    </w:rPr>
  </w:style>
  <w:style w:type="character" w:customStyle="1" w:styleId="StringTok">
    <w:name w:val="StringTok"/>
    <w:basedOn w:val="VerbatimChar"/>
    <w:rPr>
      <w:rFonts w:ascii="Consolas" w:hAnsi="Consolas"/>
      <w:color w:val="4070A0"/>
      <w:sz w:val="22"/>
    </w:rPr>
  </w:style>
  <w:style w:type="character" w:customStyle="1" w:styleId="VerbatimStringTok">
    <w:name w:val="VerbatimStringTok"/>
    <w:basedOn w:val="VerbatimChar"/>
    <w:rPr>
      <w:rFonts w:ascii="Consolas" w:hAnsi="Consolas"/>
      <w:color w:val="4070A0"/>
      <w:sz w:val="22"/>
    </w:rPr>
  </w:style>
  <w:style w:type="character" w:customStyle="1" w:styleId="SpecialStringTok">
    <w:name w:val="SpecialStringTok"/>
    <w:basedOn w:val="VerbatimChar"/>
    <w:rPr>
      <w:rFonts w:ascii="Consolas" w:hAnsi="Consolas"/>
      <w:color w:val="BB6688"/>
      <w:sz w:val="22"/>
    </w:rPr>
  </w:style>
  <w:style w:type="character" w:customStyle="1" w:styleId="ImportTok">
    <w:name w:val="ImportTok"/>
    <w:basedOn w:val="VerbatimChar"/>
    <w:rPr>
      <w:rFonts w:ascii="Consolas" w:hAnsi="Consolas"/>
      <w:b/>
      <w:color w:val="008000"/>
      <w:sz w:val="22"/>
    </w:rPr>
  </w:style>
  <w:style w:type="character" w:customStyle="1" w:styleId="CommentTok">
    <w:name w:val="CommentTok"/>
    <w:basedOn w:val="VerbatimChar"/>
    <w:rPr>
      <w:rFonts w:ascii="Consolas" w:hAnsi="Consolas"/>
      <w:i/>
      <w:color w:val="60A0B0"/>
      <w:sz w:val="22"/>
    </w:rPr>
  </w:style>
  <w:style w:type="character" w:customStyle="1" w:styleId="DocumentationTok">
    <w:name w:val="DocumentationTok"/>
    <w:basedOn w:val="VerbatimChar"/>
    <w:rPr>
      <w:rFonts w:ascii="Consolas" w:hAnsi="Consolas"/>
      <w:i/>
      <w:color w:val="BA2121"/>
      <w:sz w:val="22"/>
    </w:rPr>
  </w:style>
  <w:style w:type="character" w:customStyle="1" w:styleId="AnnotationTok">
    <w:name w:val="AnnotationTok"/>
    <w:basedOn w:val="VerbatimChar"/>
    <w:rPr>
      <w:rFonts w:ascii="Consolas" w:hAnsi="Consolas"/>
      <w:b/>
      <w:i/>
      <w:color w:val="60A0B0"/>
      <w:sz w:val="22"/>
    </w:rPr>
  </w:style>
  <w:style w:type="character" w:customStyle="1" w:styleId="CommentVarTok">
    <w:name w:val="CommentVarTok"/>
    <w:basedOn w:val="VerbatimChar"/>
    <w:rPr>
      <w:rFonts w:ascii="Consolas" w:hAnsi="Consolas"/>
      <w:b/>
      <w:i/>
      <w:color w:val="60A0B0"/>
      <w:sz w:val="22"/>
    </w:rPr>
  </w:style>
  <w:style w:type="character" w:customStyle="1" w:styleId="OtherTok">
    <w:name w:val="OtherTok"/>
    <w:basedOn w:val="VerbatimChar"/>
    <w:rPr>
      <w:rFonts w:ascii="Consolas" w:hAnsi="Consolas"/>
      <w:color w:val="007020"/>
      <w:sz w:val="22"/>
    </w:rPr>
  </w:style>
  <w:style w:type="character" w:customStyle="1" w:styleId="FunctionTok">
    <w:name w:val="FunctionTok"/>
    <w:basedOn w:val="VerbatimChar"/>
    <w:rPr>
      <w:rFonts w:ascii="Consolas" w:hAnsi="Consolas"/>
      <w:color w:val="06287E"/>
      <w:sz w:val="22"/>
    </w:rPr>
  </w:style>
  <w:style w:type="character" w:customStyle="1" w:styleId="VariableTok">
    <w:name w:val="VariableTok"/>
    <w:basedOn w:val="VerbatimChar"/>
    <w:rPr>
      <w:rFonts w:ascii="Consolas" w:hAnsi="Consolas"/>
      <w:color w:val="19177C"/>
      <w:sz w:val="22"/>
    </w:rPr>
  </w:style>
  <w:style w:type="character" w:customStyle="1" w:styleId="ControlFlowTok">
    <w:name w:val="ControlFlowTok"/>
    <w:basedOn w:val="VerbatimChar"/>
    <w:rPr>
      <w:rFonts w:ascii="Consolas" w:hAnsi="Consolas"/>
      <w:b/>
      <w:color w:val="007020"/>
      <w:sz w:val="22"/>
    </w:rPr>
  </w:style>
  <w:style w:type="character" w:customStyle="1" w:styleId="OperatorTok">
    <w:name w:val="OperatorTok"/>
    <w:basedOn w:val="VerbatimChar"/>
    <w:rPr>
      <w:rFonts w:ascii="Consolas" w:hAnsi="Consolas"/>
      <w:color w:val="666666"/>
      <w:sz w:val="22"/>
    </w:rPr>
  </w:style>
  <w:style w:type="character" w:customStyle="1" w:styleId="BuiltInTok">
    <w:name w:val="BuiltInTok"/>
    <w:basedOn w:val="VerbatimChar"/>
    <w:rPr>
      <w:rFonts w:ascii="Consolas" w:hAnsi="Consolas"/>
      <w:color w:val="008000"/>
      <w:sz w:val="22"/>
    </w:rPr>
  </w:style>
  <w:style w:type="character" w:customStyle="1" w:styleId="ExtensionTok">
    <w:name w:val="ExtensionTok"/>
    <w:basedOn w:val="VerbatimChar"/>
    <w:rPr>
      <w:rFonts w:ascii="Consolas" w:hAnsi="Consolas"/>
      <w:sz w:val="22"/>
    </w:rPr>
  </w:style>
  <w:style w:type="character" w:customStyle="1" w:styleId="PreprocessorTok">
    <w:name w:val="PreprocessorTok"/>
    <w:basedOn w:val="VerbatimChar"/>
    <w:rPr>
      <w:rFonts w:ascii="Consolas" w:hAnsi="Consolas"/>
      <w:color w:val="BC7A00"/>
      <w:sz w:val="22"/>
    </w:rPr>
  </w:style>
  <w:style w:type="character" w:customStyle="1" w:styleId="AttributeTok">
    <w:name w:val="AttributeTok"/>
    <w:basedOn w:val="VerbatimChar"/>
    <w:rPr>
      <w:rFonts w:ascii="Consolas" w:hAnsi="Consolas"/>
      <w:color w:val="7D9029"/>
      <w:sz w:val="22"/>
    </w:rPr>
  </w:style>
  <w:style w:type="character" w:customStyle="1" w:styleId="RegionMarkerTok">
    <w:name w:val="RegionMarkerTok"/>
    <w:basedOn w:val="VerbatimChar"/>
    <w:rPr>
      <w:rFonts w:ascii="Consolas" w:hAnsi="Consolas"/>
      <w:sz w:val="22"/>
    </w:rPr>
  </w:style>
  <w:style w:type="character" w:customStyle="1" w:styleId="InformationTok">
    <w:name w:val="InformationTok"/>
    <w:basedOn w:val="VerbatimChar"/>
    <w:rPr>
      <w:rFonts w:ascii="Consolas" w:hAnsi="Consolas"/>
      <w:b/>
      <w:i/>
      <w:color w:val="60A0B0"/>
      <w:sz w:val="22"/>
    </w:rPr>
  </w:style>
  <w:style w:type="character" w:customStyle="1" w:styleId="WarningTok">
    <w:name w:val="WarningTok"/>
    <w:basedOn w:val="VerbatimChar"/>
    <w:rPr>
      <w:rFonts w:ascii="Consolas" w:hAnsi="Consolas"/>
      <w:b/>
      <w:i/>
      <w:color w:val="60A0B0"/>
      <w:sz w:val="22"/>
    </w:rPr>
  </w:style>
  <w:style w:type="character" w:customStyle="1" w:styleId="AlertTok">
    <w:name w:val="AlertTok"/>
    <w:basedOn w:val="VerbatimChar"/>
    <w:rPr>
      <w:rFonts w:ascii="Consolas" w:hAnsi="Consolas"/>
      <w:b/>
      <w:color w:val="FF0000"/>
      <w:sz w:val="22"/>
    </w:rPr>
  </w:style>
  <w:style w:type="character" w:customStyle="1" w:styleId="ErrorTok">
    <w:name w:val="ErrorTok"/>
    <w:basedOn w:val="VerbatimChar"/>
    <w:rPr>
      <w:rFonts w:ascii="Consolas" w:hAnsi="Consolas"/>
      <w:b/>
      <w:color w:val="FF0000"/>
      <w:sz w:val="22"/>
    </w:rPr>
  </w:style>
  <w:style w:type="character" w:customStyle="1" w:styleId="NormalTok">
    <w:name w:val="NormalTok"/>
    <w:basedOn w:val="VerbatimChar"/>
    <w:rPr>
      <w:rFonts w:ascii="Consolas" w:hAnsi="Consolas"/>
      <w:sz w:val="22"/>
    </w:rPr>
  </w:style>
  <w:style w:type="paragraph" w:styleId="Header">
    <w:name w:val="header"/>
    <w:basedOn w:val="Normal"/>
    <w:link w:val="HeaderChar"/>
    <w:rsid w:val="00AB5465"/>
    <w:pPr>
      <w:tabs>
        <w:tab w:val="center" w:pos="4153"/>
        <w:tab w:val="right" w:pos="8306"/>
      </w:tabs>
      <w:spacing w:after="0"/>
    </w:pPr>
    <w:rPr>
      <w:rFonts w:ascii="Times New Roman" w:eastAsia="Times New Roman" w:hAnsi="Times New Roman" w:cs="Times New Roman"/>
      <w:sz w:val="20"/>
      <w:szCs w:val="20"/>
      <w:lang w:val="en-GB" w:eastAsia="en-GB"/>
    </w:rPr>
  </w:style>
  <w:style w:type="character" w:customStyle="1" w:styleId="HeaderChar">
    <w:name w:val="Header Char"/>
    <w:basedOn w:val="DefaultParagraphFont"/>
    <w:link w:val="Header"/>
    <w:rsid w:val="00AB5465"/>
    <w:rPr>
      <w:rFonts w:ascii="Times New Roman" w:eastAsia="Times New Roman" w:hAnsi="Times New Roman" w:cs="Times New Roman"/>
      <w:sz w:val="20"/>
      <w:szCs w:val="20"/>
      <w:lang w:val="en-GB" w:eastAsia="en-GB"/>
    </w:rPr>
  </w:style>
  <w:style w:type="paragraph" w:customStyle="1" w:styleId="TableParagraph">
    <w:name w:val="Table Paragraph"/>
    <w:basedOn w:val="Normal"/>
    <w:uiPriority w:val="1"/>
    <w:qFormat/>
    <w:rsid w:val="00AB5465"/>
    <w:pPr>
      <w:widowControl w:val="0"/>
      <w:autoSpaceDE w:val="0"/>
      <w:autoSpaceDN w:val="0"/>
      <w:spacing w:after="0"/>
    </w:pPr>
    <w:rPr>
      <w:rFonts w:ascii="Arial" w:eastAsia="Arial" w:hAnsi="Arial" w:cs="Arial"/>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57</TotalTime>
  <Pages>7</Pages>
  <Words>1797</Words>
  <Characters>10244</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cp:lastModifiedBy>Tatiana Xavier Jimenez</cp:lastModifiedBy>
  <cp:revision>3</cp:revision>
  <dcterms:created xsi:type="dcterms:W3CDTF">2026-07-23T04:41:00Z</dcterms:created>
  <dcterms:modified xsi:type="dcterms:W3CDTF">2026-07-23T12:19:00Z</dcterms:modified>
</cp:coreProperties>
</file>