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3D6CB7">
      <w:pPr>
        <w:jc w:val="center"/>
        <w:rPr>
          <w:b/>
          <w:bCs/>
          <w:sz w:val="32"/>
          <w:szCs w:val="32"/>
          <w:lang w:val="en-GB"/>
        </w:rPr>
      </w:pPr>
    </w:p>
    <w:p w14:paraId="2A806B8B">
      <w:pPr>
        <w:jc w:val="center"/>
        <w:rPr>
          <w:b/>
          <w:bCs/>
          <w:sz w:val="32"/>
          <w:szCs w:val="32"/>
          <w:lang w:val="en-GB"/>
        </w:rPr>
      </w:pPr>
    </w:p>
    <w:p w14:paraId="1BAA7CC7">
      <w:pPr>
        <w:jc w:val="center"/>
        <w:rPr>
          <w:b/>
          <w:bCs/>
          <w:sz w:val="32"/>
          <w:szCs w:val="32"/>
          <w:lang w:val="en-GB"/>
        </w:rPr>
      </w:pPr>
    </w:p>
    <w:p w14:paraId="7681AA7E">
      <w:pPr>
        <w:jc w:val="center"/>
        <w:rPr>
          <w:b/>
          <w:bCs/>
          <w:sz w:val="32"/>
          <w:szCs w:val="32"/>
          <w:lang w:val="en-GB"/>
        </w:rPr>
      </w:pPr>
    </w:p>
    <w:p w14:paraId="6776998F">
      <w:pPr>
        <w:jc w:val="center"/>
        <w:rPr>
          <w:b/>
          <w:bCs/>
          <w:sz w:val="32"/>
          <w:szCs w:val="32"/>
          <w:lang w:val="en-GB"/>
        </w:rPr>
      </w:pPr>
    </w:p>
    <w:p w14:paraId="3C691888">
      <w:pPr>
        <w:jc w:val="center"/>
        <w:rPr>
          <w:b/>
          <w:bCs/>
          <w:sz w:val="32"/>
          <w:szCs w:val="32"/>
          <w:lang w:val="en-GB"/>
        </w:rPr>
      </w:pPr>
    </w:p>
    <w:p w14:paraId="7DA23778">
      <w:pPr>
        <w:jc w:val="center"/>
        <w:rPr>
          <w:rFonts w:hint="default" w:ascii="Sitka Banner Semibold" w:hAnsi="Sitka Banner Semibold" w:cs="Sitka Banner Semibold"/>
          <w:sz w:val="32"/>
          <w:szCs w:val="32"/>
          <w:lang w:val="en-GB"/>
        </w:rPr>
      </w:pPr>
      <w:r>
        <w:rPr>
          <w:rFonts w:hint="default" w:ascii="Sitka Banner Semibold" w:hAnsi="Sitka Banner Semibold" w:cs="Sitka Banner Semibold"/>
          <w:sz w:val="32"/>
          <w:szCs w:val="32"/>
          <w:lang w:val="en-GB"/>
        </w:rPr>
        <w:t>Module Code-BMMB7005D</w:t>
      </w:r>
    </w:p>
    <w:p w14:paraId="373C6901">
      <w:pPr>
        <w:jc w:val="center"/>
        <w:rPr>
          <w:rFonts w:hint="default" w:ascii="Sitka Banner Semibold" w:hAnsi="Sitka Banner Semibold" w:cs="Sitka Banner Semibold"/>
          <w:sz w:val="32"/>
          <w:szCs w:val="32"/>
          <w:lang w:val="en-GB"/>
        </w:rPr>
      </w:pPr>
      <w:r>
        <w:rPr>
          <w:rFonts w:hint="default" w:ascii="Sitka Banner Semibold" w:hAnsi="Sitka Banner Semibold" w:cs="Sitka Banner Semibold"/>
          <w:sz w:val="32"/>
          <w:szCs w:val="32"/>
          <w:lang w:val="en-GB"/>
        </w:rPr>
        <w:t xml:space="preserve">Module Name- Finance For Business Manager </w:t>
      </w:r>
    </w:p>
    <w:p w14:paraId="41B616CA">
      <w:pPr>
        <w:jc w:val="center"/>
        <w:rPr>
          <w:rFonts w:hint="default" w:ascii="Sitka Banner Semibold" w:hAnsi="Sitka Banner Semibold" w:cs="Sitka Banner Semibold"/>
          <w:sz w:val="32"/>
          <w:szCs w:val="32"/>
          <w:lang w:val="en-GB"/>
        </w:rPr>
      </w:pPr>
      <w:r>
        <w:rPr>
          <w:rFonts w:hint="default" w:ascii="Sitka Banner Semibold" w:hAnsi="Sitka Banner Semibold" w:cs="Sitka Banner Semibold"/>
          <w:sz w:val="32"/>
          <w:szCs w:val="32"/>
          <w:lang w:val="en-GB"/>
        </w:rPr>
        <w:t xml:space="preserve">Month and Year - January </w:t>
      </w:r>
    </w:p>
    <w:p w14:paraId="280E2368">
      <w:pPr>
        <w:jc w:val="center"/>
        <w:rPr>
          <w:rFonts w:hint="default" w:ascii="Sitka Banner Semibold" w:hAnsi="Sitka Banner Semibold" w:cs="Sitka Banner Semibold"/>
          <w:sz w:val="32"/>
          <w:szCs w:val="32"/>
          <w:lang w:val="en-GB"/>
        </w:rPr>
      </w:pPr>
      <w:r>
        <w:rPr>
          <w:rFonts w:hint="default" w:ascii="Sitka Banner Semibold" w:hAnsi="Sitka Banner Semibold" w:cs="Sitka Banner Semibold"/>
          <w:sz w:val="32"/>
          <w:szCs w:val="32"/>
          <w:lang w:val="en-GB"/>
        </w:rPr>
        <w:t xml:space="preserve">Student Name -Mahedi Hasan </w:t>
      </w:r>
    </w:p>
    <w:p w14:paraId="02555F5D">
      <w:pPr>
        <w:jc w:val="center"/>
        <w:rPr>
          <w:b/>
          <w:bCs/>
          <w:color w:val="222222"/>
          <w:sz w:val="32"/>
          <w:szCs w:val="32"/>
          <w:highlight w:val="white"/>
          <w:lang w:val="en-GB"/>
        </w:rPr>
      </w:pPr>
      <w:r>
        <w:rPr>
          <w:rFonts w:hint="default" w:ascii="Sitka Banner Semibold" w:hAnsi="Sitka Banner Semibold" w:cs="Sitka Banner Semibold"/>
          <w:sz w:val="32"/>
          <w:szCs w:val="32"/>
          <w:lang w:val="en-GB"/>
        </w:rPr>
        <w:t>Student ID-2506430</w:t>
      </w:r>
      <w:r>
        <w:rPr>
          <w:lang w:val="en-GB"/>
        </w:rPr>
        <w:br w:type="page"/>
      </w:r>
    </w:p>
    <w:p w14:paraId="2038334D">
      <w:pPr>
        <w:jc w:val="center"/>
        <w:rPr>
          <w:b/>
          <w:bCs/>
          <w:lang w:val="en-GB"/>
        </w:rPr>
      </w:pPr>
      <w:r>
        <w:rPr>
          <w:b/>
          <w:bCs/>
          <w:lang w:val="en-GB"/>
        </w:rPr>
        <w:t>Executive Summary</w:t>
      </w:r>
    </w:p>
    <w:p w14:paraId="2714D383">
      <w:pPr>
        <w:rPr>
          <w:lang w:val="en-GB"/>
        </w:rPr>
      </w:pPr>
      <w:r>
        <w:rPr>
          <w:lang w:val="en-GB"/>
        </w:rPr>
        <w:t>This report analyses the financial performance of a FTSE 100 company, GSK Plc  over the last two years using key financial ratios. Profitability, liquidity, efficiency, gearing, and investor ratios were calculated to understand business performance. The results show changes in profit levels, cash position, and financial risk, leading to clear recommendations to improve cost control, cash management, and debt use. The report also evaluates three investment options for Westward Plc using the Net Present Value method. All options are profitable, but developing internet sales shows the highest NPV and IRR. Therefore, this option is recommended as it gives the highest return, lower risk, and strong future growth potential.</w:t>
      </w:r>
      <w:r>
        <w:rPr>
          <w:lang w:val="en-GB"/>
        </w:rPr>
        <w:br w:type="page"/>
      </w:r>
    </w:p>
    <w:p w14:paraId="65031E75">
      <w:pPr>
        <w:jc w:val="center"/>
        <w:rPr>
          <w:b/>
          <w:bCs/>
          <w:lang w:val="en-GB"/>
        </w:rPr>
      </w:pPr>
      <w:r>
        <w:rPr>
          <w:b/>
          <w:bCs/>
          <w:lang w:val="en-GB"/>
        </w:rPr>
        <w:t xml:space="preserve">Table of Contents </w:t>
      </w:r>
    </w:p>
    <w:sdt>
      <w:sdtPr>
        <w:rPr>
          <w:lang w:val="en-GB"/>
        </w:rPr>
        <w:id w:val="-1788292130"/>
        <w:docPartObj>
          <w:docPartGallery w:val="Table of Contents"/>
          <w:docPartUnique/>
        </w:docPartObj>
      </w:sdtPr>
      <w:sdtEndPr>
        <w:rPr>
          <w:lang w:val="en-GB"/>
        </w:rPr>
      </w:sdtEndPr>
      <w:sdtContent>
        <w:p w14:paraId="61546174">
          <w:pPr>
            <w:pStyle w:val="16"/>
            <w:tabs>
              <w:tab w:val="right" w:leader="dot" w:pos="9350"/>
            </w:tabs>
            <w:rPr>
              <w:rFonts w:asciiTheme="minorHAnsi" w:hAnsiTheme="minorHAnsi" w:eastAsiaTheme="minorEastAsia" w:cstheme="minorBidi"/>
              <w:kern w:val="2"/>
              <w:lang w:val="en-IN"/>
              <w14:ligatures w14:val="standardContextual"/>
            </w:rPr>
          </w:pPr>
          <w:r>
            <w:rPr>
              <w:lang w:val="en-GB"/>
            </w:rPr>
            <w:fldChar w:fldCharType="begin"/>
          </w:r>
          <w:r>
            <w:rPr>
              <w:lang w:val="en-GB"/>
            </w:rPr>
            <w:instrText xml:space="preserve"> TOC \h \u \z \t "Heading 1,1,Heading 2,2,Heading 3,3,Heading 4,4,Heading 5,5,Heading 6,6,"</w:instrText>
          </w:r>
          <w:r>
            <w:rPr>
              <w:lang w:val="en-GB"/>
            </w:rPr>
            <w:fldChar w:fldCharType="separate"/>
          </w:r>
          <w:r>
            <w:fldChar w:fldCharType="begin"/>
          </w:r>
          <w:r>
            <w:instrText xml:space="preserve"> HYPERLINK \l "_Toc218683288" </w:instrText>
          </w:r>
          <w:r>
            <w:fldChar w:fldCharType="separate"/>
          </w:r>
          <w:r>
            <w:rPr>
              <w:rStyle w:val="12"/>
              <w:lang w:val="en-GB"/>
            </w:rPr>
            <w:t>1. Introduction</w:t>
          </w:r>
          <w:r>
            <w:tab/>
          </w:r>
          <w:r>
            <w:fldChar w:fldCharType="begin"/>
          </w:r>
          <w:r>
            <w:instrText xml:space="preserve"> PAGEREF _Toc218683288 \h </w:instrText>
          </w:r>
          <w:r>
            <w:fldChar w:fldCharType="separate"/>
          </w:r>
          <w:r>
            <w:t>4</w:t>
          </w:r>
          <w:r>
            <w:fldChar w:fldCharType="end"/>
          </w:r>
          <w:r>
            <w:fldChar w:fldCharType="end"/>
          </w:r>
        </w:p>
        <w:p w14:paraId="7D2B967F">
          <w:pPr>
            <w:pStyle w:val="16"/>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"_Toc218683289" </w:instrText>
          </w:r>
          <w:r>
            <w:fldChar w:fldCharType="separate"/>
          </w:r>
          <w:r>
            <w:rPr>
              <w:rStyle w:val="12"/>
              <w:lang w:val="en-GB"/>
            </w:rPr>
            <w:t>2. Part 1</w:t>
          </w:r>
          <w:r>
            <w:tab/>
          </w:r>
          <w:r>
            <w:fldChar w:fldCharType="begin"/>
          </w:r>
          <w:r>
            <w:instrText xml:space="preserve"> PAGEREF _Toc218683289 \h </w:instrText>
          </w:r>
          <w:r>
            <w:fldChar w:fldCharType="separate"/>
          </w:r>
          <w:r>
            <w:t>4</w:t>
          </w:r>
          <w:r>
            <w:fldChar w:fldCharType="end"/>
          </w:r>
          <w:r>
            <w:fldChar w:fldCharType="end"/>
          </w:r>
        </w:p>
        <w:p w14:paraId="0C3993E8">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"_Toc218683290" </w:instrText>
          </w:r>
          <w:r>
            <w:fldChar w:fldCharType="separate"/>
          </w:r>
          <w:r>
            <w:rPr>
              <w:rStyle w:val="12"/>
              <w:lang w:val="en-GB"/>
            </w:rPr>
            <w:t>2.1 Financial Ratios Calculation</w:t>
          </w:r>
          <w:r>
            <w:tab/>
          </w:r>
          <w:r>
            <w:fldChar w:fldCharType="begin"/>
          </w:r>
          <w:r>
            <w:instrText xml:space="preserve"> PAGEREF _Toc218683290 \h </w:instrText>
          </w:r>
          <w:r>
            <w:fldChar w:fldCharType="separate"/>
          </w:r>
          <w:r>
            <w:t>4</w:t>
          </w:r>
          <w:r>
            <w:fldChar w:fldCharType="end"/>
          </w:r>
          <w:r>
            <w:fldChar w:fldCharType="end"/>
          </w:r>
        </w:p>
        <w:p w14:paraId="17EBD1DF">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"_Toc218683291" </w:instrText>
          </w:r>
          <w:r>
            <w:fldChar w:fldCharType="separate"/>
          </w:r>
          <w:r>
            <w:rPr>
              <w:rStyle w:val="12"/>
              <w:lang w:val="en-GB"/>
            </w:rPr>
            <w:t>2.2 Evaluation of Ratios</w:t>
          </w:r>
          <w:r>
            <w:tab/>
          </w:r>
          <w:r>
            <w:fldChar w:fldCharType="begin"/>
          </w:r>
          <w:r>
            <w:instrText xml:space="preserve"> PAGEREF _Toc218683291 \h </w:instrText>
          </w:r>
          <w:r>
            <w:fldChar w:fldCharType="separate"/>
          </w:r>
          <w:r>
            <w:t>4</w:t>
          </w:r>
          <w:r>
            <w:fldChar w:fldCharType="end"/>
          </w:r>
          <w:r>
            <w:fldChar w:fldCharType="end"/>
          </w:r>
        </w:p>
        <w:p w14:paraId="4CDF2064">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"_Toc218683292" </w:instrText>
          </w:r>
          <w:r>
            <w:fldChar w:fldCharType="separate"/>
          </w:r>
          <w:r>
            <w:rPr>
              <w:rStyle w:val="12"/>
              <w:lang w:val="en-GB"/>
            </w:rPr>
            <w:t>2.3 Recommendation for improving Performance</w:t>
          </w:r>
          <w:r>
            <w:tab/>
          </w:r>
          <w:r>
            <w:fldChar w:fldCharType="begin"/>
          </w:r>
          <w:r>
            <w:instrText xml:space="preserve"> PAGEREF _Toc218683292 \h </w:instrText>
          </w:r>
          <w:r>
            <w:fldChar w:fldCharType="separate"/>
          </w:r>
          <w:r>
            <w:t>5</w:t>
          </w:r>
          <w:r>
            <w:fldChar w:fldCharType="end"/>
          </w:r>
          <w:r>
            <w:fldChar w:fldCharType="end"/>
          </w:r>
        </w:p>
        <w:p w14:paraId="26EA8800">
          <w:pPr>
            <w:pStyle w:val="16"/>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"_Toc218683293" </w:instrText>
          </w:r>
          <w:r>
            <w:fldChar w:fldCharType="separate"/>
          </w:r>
          <w:r>
            <w:rPr>
              <w:rStyle w:val="12"/>
              <w:lang w:val="en-GB"/>
            </w:rPr>
            <w:t>3. Part 2</w:t>
          </w:r>
          <w:r>
            <w:tab/>
          </w:r>
          <w:r>
            <w:fldChar w:fldCharType="begin"/>
          </w:r>
          <w:r>
            <w:instrText xml:space="preserve"> PAGEREF _Toc218683293 \h </w:instrText>
          </w:r>
          <w:r>
            <w:fldChar w:fldCharType="separate"/>
          </w:r>
          <w:r>
            <w:t>5</w:t>
          </w:r>
          <w:r>
            <w:fldChar w:fldCharType="end"/>
          </w:r>
          <w:r>
            <w:fldChar w:fldCharType="end"/>
          </w:r>
        </w:p>
        <w:p w14:paraId="0E704284">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"_Toc218683294" </w:instrText>
          </w:r>
          <w:r>
            <w:fldChar w:fldCharType="separate"/>
          </w:r>
          <w:r>
            <w:rPr>
              <w:rStyle w:val="12"/>
              <w:lang w:val="en-GB"/>
            </w:rPr>
            <w:t>3.1 Evaluation of three investment options</w:t>
          </w:r>
          <w:r>
            <w:tab/>
          </w:r>
          <w:r>
            <w:fldChar w:fldCharType="begin"/>
          </w:r>
          <w:r>
            <w:instrText xml:space="preserve"> PAGEREF _Toc218683294 \h </w:instrText>
          </w:r>
          <w:r>
            <w:fldChar w:fldCharType="separate"/>
          </w:r>
          <w:r>
            <w:t>5</w:t>
          </w:r>
          <w:r>
            <w:fldChar w:fldCharType="end"/>
          </w:r>
          <w:r>
            <w:fldChar w:fldCharType="end"/>
          </w:r>
        </w:p>
        <w:p w14:paraId="03B4859E">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"_Toc218683295" </w:instrText>
          </w:r>
          <w:r>
            <w:fldChar w:fldCharType="separate"/>
          </w:r>
          <w:r>
            <w:rPr>
              <w:rStyle w:val="12"/>
              <w:lang w:val="en-GB"/>
            </w:rPr>
            <w:t>3.2 Internal Rate of Return (IRR)</w:t>
          </w:r>
          <w:r>
            <w:tab/>
          </w:r>
          <w:r>
            <w:fldChar w:fldCharType="begin"/>
          </w:r>
          <w:r>
            <w:instrText xml:space="preserve"> PAGEREF _Toc218683295 \h </w:instrText>
          </w:r>
          <w:r>
            <w:fldChar w:fldCharType="separate"/>
          </w:r>
          <w:r>
            <w:t>6</w:t>
          </w:r>
          <w:r>
            <w:fldChar w:fldCharType="end"/>
          </w:r>
          <w:r>
            <w:fldChar w:fldCharType="end"/>
          </w:r>
        </w:p>
        <w:p w14:paraId="3F76B2B3">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"_Toc218683296" </w:instrText>
          </w:r>
          <w:r>
            <w:fldChar w:fldCharType="separate"/>
          </w:r>
          <w:r>
            <w:rPr>
              <w:rStyle w:val="12"/>
              <w:lang w:val="en-GB"/>
            </w:rPr>
            <w:t>3.3 Interpretation of Results</w:t>
          </w:r>
          <w:r>
            <w:tab/>
          </w:r>
          <w:r>
            <w:fldChar w:fldCharType="begin"/>
          </w:r>
          <w:r>
            <w:instrText xml:space="preserve"> PAGEREF _Toc218683296 \h </w:instrText>
          </w:r>
          <w:r>
            <w:fldChar w:fldCharType="separate"/>
          </w:r>
          <w:r>
            <w:t>6</w:t>
          </w:r>
          <w:r>
            <w:fldChar w:fldCharType="end"/>
          </w:r>
          <w:r>
            <w:fldChar w:fldCharType="end"/>
          </w:r>
        </w:p>
        <w:p w14:paraId="47B24EA0">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"_Toc218683297" </w:instrText>
          </w:r>
          <w:r>
            <w:fldChar w:fldCharType="separate"/>
          </w:r>
          <w:r>
            <w:rPr>
              <w:rStyle w:val="12"/>
              <w:lang w:val="en-GB"/>
            </w:rPr>
            <w:t>3.4 Optimal investment policy and the resulting total NPV</w:t>
          </w:r>
          <w:r>
            <w:tab/>
          </w:r>
          <w:r>
            <w:fldChar w:fldCharType="begin"/>
          </w:r>
          <w:r>
            <w:instrText xml:space="preserve"> PAGEREF _Toc218683297 \h </w:instrText>
          </w:r>
          <w:r>
            <w:fldChar w:fldCharType="separate"/>
          </w:r>
          <w:r>
            <w:t>6</w:t>
          </w:r>
          <w:r>
            <w:fldChar w:fldCharType="end"/>
          </w:r>
          <w:r>
            <w:fldChar w:fldCharType="end"/>
          </w:r>
        </w:p>
        <w:p w14:paraId="1E7F228C">
          <w:pPr>
            <w:pStyle w:val="16"/>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"_Toc218683298" </w:instrText>
          </w:r>
          <w:r>
            <w:fldChar w:fldCharType="separate"/>
          </w:r>
          <w:r>
            <w:rPr>
              <w:rStyle w:val="12"/>
              <w:lang w:val="en-GB"/>
            </w:rPr>
            <w:t>4. Conclusion</w:t>
          </w:r>
          <w:r>
            <w:tab/>
          </w:r>
          <w:r>
            <w:fldChar w:fldCharType="begin"/>
          </w:r>
          <w:r>
            <w:instrText xml:space="preserve"> PAGEREF _Toc218683298 \h </w:instrText>
          </w:r>
          <w:r>
            <w:fldChar w:fldCharType="separate"/>
          </w:r>
          <w:r>
            <w:t>7</w:t>
          </w:r>
          <w:r>
            <w:fldChar w:fldCharType="end"/>
          </w:r>
          <w:r>
            <w:fldChar w:fldCharType="end"/>
          </w:r>
        </w:p>
        <w:p w14:paraId="0E5D2735">
          <w:pPr>
            <w:pStyle w:val="16"/>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"_Toc218683299" </w:instrText>
          </w:r>
          <w:r>
            <w:fldChar w:fldCharType="separate"/>
          </w:r>
          <w:r>
            <w:rPr>
              <w:rStyle w:val="12"/>
              <w:lang w:val="en-GB"/>
            </w:rPr>
            <w:t>References</w:t>
          </w:r>
          <w:r>
            <w:tab/>
          </w:r>
          <w:r>
            <w:fldChar w:fldCharType="begin"/>
          </w:r>
          <w:r>
            <w:instrText xml:space="preserve"> PAGEREF _Toc218683299 \h </w:instrText>
          </w:r>
          <w:r>
            <w:fldChar w:fldCharType="separate"/>
          </w:r>
          <w:r>
            <w:t>8</w:t>
          </w:r>
          <w:r>
            <w:fldChar w:fldCharType="end"/>
          </w:r>
          <w:r>
            <w:fldChar w:fldCharType="end"/>
          </w:r>
        </w:p>
        <w:p w14:paraId="26B5E7A2">
          <w:pPr>
            <w:pStyle w:val="16"/>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"_Toc218683300" </w:instrText>
          </w:r>
          <w:r>
            <w:fldChar w:fldCharType="separate"/>
          </w:r>
          <w:r>
            <w:rPr>
              <w:rStyle w:val="12"/>
              <w:lang w:val="en-GB"/>
            </w:rPr>
            <w:t>Appendices</w:t>
          </w:r>
          <w:r>
            <w:tab/>
          </w:r>
          <w:r>
            <w:fldChar w:fldCharType="begin"/>
          </w:r>
          <w:r>
            <w:instrText xml:space="preserve"> PAGEREF _Toc218683300 \h </w:instrText>
          </w:r>
          <w:r>
            <w:fldChar w:fldCharType="separate"/>
          </w:r>
          <w:r>
            <w:t>9</w:t>
          </w:r>
          <w:r>
            <w:fldChar w:fldCharType="end"/>
          </w:r>
          <w:r>
            <w:fldChar w:fldCharType="end"/>
          </w:r>
        </w:p>
        <w:p w14:paraId="2B84015A">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"_Toc218683301" </w:instrText>
          </w:r>
          <w:r>
            <w:fldChar w:fldCharType="separate"/>
          </w:r>
          <w:r>
            <w:rPr>
              <w:rStyle w:val="12"/>
              <w:lang w:val="en-GB"/>
            </w:rPr>
            <w:t>Appendix 1: Financial Statements of GSK Plc</w:t>
          </w:r>
          <w:r>
            <w:tab/>
          </w:r>
          <w:r>
            <w:fldChar w:fldCharType="begin"/>
          </w:r>
          <w:r>
            <w:instrText xml:space="preserve"> PAGEREF _Toc218683301 \h </w:instrText>
          </w:r>
          <w:r>
            <w:fldChar w:fldCharType="separate"/>
          </w:r>
          <w:r>
            <w:t>9</w:t>
          </w:r>
          <w:r>
            <w:fldChar w:fldCharType="end"/>
          </w:r>
          <w:r>
            <w:fldChar w:fldCharType="end"/>
          </w:r>
        </w:p>
        <w:p w14:paraId="0234A8D3">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"_Toc218683302" </w:instrText>
          </w:r>
          <w:r>
            <w:fldChar w:fldCharType="separate"/>
          </w:r>
          <w:r>
            <w:rPr>
              <w:rStyle w:val="12"/>
              <w:lang w:val="en-GB"/>
            </w:rPr>
            <w:t>Appendix 2: Financial Ratios of GSK Plc</w:t>
          </w:r>
          <w:r>
            <w:tab/>
          </w:r>
          <w:r>
            <w:fldChar w:fldCharType="begin"/>
          </w:r>
          <w:r>
            <w:instrText xml:space="preserve"> PAGEREF _Toc218683302 \h </w:instrText>
          </w:r>
          <w:r>
            <w:fldChar w:fldCharType="separate"/>
          </w:r>
          <w:r>
            <w:t>11</w:t>
          </w:r>
          <w:r>
            <w:fldChar w:fldCharType="end"/>
          </w:r>
          <w:r>
            <w:fldChar w:fldCharType="end"/>
          </w:r>
        </w:p>
        <w:p w14:paraId="393D52F0">
          <w:pPr>
            <w:pStyle w:val="17"/>
            <w:tabs>
              <w:tab w:val="right" w:leader="dot" w:pos="9350"/>
            </w:tabs>
            <w:rPr>
              <w:rFonts w:asciiTheme="minorHAnsi" w:hAnsiTheme="minorHAnsi" w:eastAsiaTheme="minorEastAsia" w:cstheme="minorBidi"/>
              <w:kern w:val="2"/>
              <w:lang w:val="en-IN"/>
              <w14:ligatures w14:val="standardContextual"/>
            </w:rPr>
          </w:pPr>
          <w:r>
            <w:fldChar w:fldCharType="begin"/>
          </w:r>
          <w:r>
            <w:instrText xml:space="preserve"> HYPERLINK \l "_Toc218683303" </w:instrText>
          </w:r>
          <w:r>
            <w:fldChar w:fldCharType="separate"/>
          </w:r>
          <w:r>
            <w:rPr>
              <w:rStyle w:val="12"/>
              <w:lang w:val="en-GB"/>
            </w:rPr>
            <w:t>Appendix 3: Calculation of NPV</w:t>
          </w:r>
          <w:r>
            <w:tab/>
          </w:r>
          <w:r>
            <w:fldChar w:fldCharType="begin"/>
          </w:r>
          <w:r>
            <w:instrText xml:space="preserve"> PAGEREF _Toc218683303 \h </w:instrText>
          </w:r>
          <w:r>
            <w:fldChar w:fldCharType="separate"/>
          </w:r>
          <w:r>
            <w:t>13</w:t>
          </w:r>
          <w:r>
            <w:fldChar w:fldCharType="end"/>
          </w:r>
          <w:r>
            <w:fldChar w:fldCharType="end"/>
          </w:r>
        </w:p>
        <w:p w14:paraId="10323838">
          <w:pPr>
            <w:widowControl w:val="0"/>
            <w:tabs>
              <w:tab w:val="right" w:leader="dot" w:pos="12000"/>
            </w:tabs>
            <w:spacing w:before="60" w:line="240" w:lineRule="auto"/>
            <w:ind w:left="360"/>
            <w:jc w:val="left"/>
            <w:rPr>
              <w:color w:val="000000"/>
              <w:lang w:val="en-GB"/>
            </w:rPr>
          </w:pPr>
          <w:r>
            <w:rPr>
              <w:lang w:val="en-GB"/>
            </w:rPr>
            <w:fldChar w:fldCharType="end"/>
          </w:r>
        </w:p>
      </w:sdtContent>
    </w:sdt>
    <w:p w14:paraId="71A36C5F">
      <w:pPr>
        <w:rPr>
          <w:lang w:val="en-GB"/>
        </w:rPr>
      </w:pPr>
      <w:r>
        <w:rPr>
          <w:lang w:val="en-GB"/>
        </w:rPr>
        <w:br w:type="page"/>
      </w:r>
    </w:p>
    <w:p w14:paraId="258162E9">
      <w:pPr>
        <w:pStyle w:val="2"/>
        <w:rPr>
          <w:lang w:val="en-GB"/>
        </w:rPr>
      </w:pPr>
      <w:bookmarkStart w:id="0" w:name="_Toc218683288"/>
      <w:r>
        <w:rPr>
          <w:lang w:val="en-GB"/>
        </w:rPr>
        <w:t>1. Introduction</w:t>
      </w:r>
      <w:bookmarkEnd w:id="0"/>
      <w:r>
        <w:rPr>
          <w:lang w:val="en-GB"/>
        </w:rPr>
        <w:t xml:space="preserve"> </w:t>
      </w:r>
    </w:p>
    <w:p w14:paraId="6FBC5BC9">
      <w:pPr>
        <w:rPr>
          <w:color w:val="FF0000"/>
          <w:lang w:val="en-GB"/>
        </w:rPr>
      </w:pPr>
      <w:r>
        <w:rPr>
          <w:lang w:val="en-GB"/>
        </w:rPr>
        <w:t xml:space="preserve">This section evaluates the financial performance of GSK Plc using ratios and investment options for Westward Plc using financial appraisal techniques to support effective decision-making and identify the most profitable use of limited financial resources. </w:t>
      </w:r>
      <w:r>
        <w:t>The analysis will help better understand the way GSK Plc will control its profits, costs, and general financial posture over a period of time. Using the essential financial ratios, such as profitability, liquidity and efficiency ratios, the research clearly demonstrates the strengths and weaknesses of the financial performance of the company. Such ratios will help in comparison of GSK plc, industry standards and previous performance, hence making more informed decisions. At the same time, the investment appraisal of Westward plc involves choosing the best project among the available financial limits. The widely used and standard methods including, payback period, net present value and internal rate of return are used to determine the expected returns and risk of each alternative. These techniques help decision makers to have a feel of the most likely investment that would create more value and cost recovery within a reasonable period. On the whole, financial ratio analysis and investment appraisal represent an effective and clear basis of decision-making. It makes sure that a small amount of financial resources are used wisely, risk is averted and long-term financial goals are undertaken in a realistic and understandable sense.</w:t>
      </w:r>
    </w:p>
    <w:p w14:paraId="281A1160">
      <w:pPr>
        <w:pStyle w:val="2"/>
        <w:rPr>
          <w:lang w:val="en-GB"/>
        </w:rPr>
      </w:pPr>
      <w:bookmarkStart w:id="1" w:name="_Toc218683289"/>
      <w:r>
        <w:rPr>
          <w:lang w:val="en-GB"/>
        </w:rPr>
        <w:t>2. Part 1</w:t>
      </w:r>
      <w:bookmarkEnd w:id="1"/>
    </w:p>
    <w:p w14:paraId="0B196453">
      <w:pPr>
        <w:pStyle w:val="3"/>
        <w:rPr>
          <w:lang w:val="en-GB"/>
        </w:rPr>
      </w:pPr>
      <w:bookmarkStart w:id="2" w:name="_Toc218683290"/>
      <w:r>
        <w:rPr>
          <w:lang w:val="en-GB"/>
        </w:rPr>
        <w:t>2.1 Financial Ratios Calculation</w:t>
      </w:r>
      <w:bookmarkEnd w:id="2"/>
      <w:r>
        <w:rPr>
          <w:lang w:val="en-GB"/>
        </w:rPr>
        <w:t xml:space="preserve"> </w:t>
      </w:r>
    </w:p>
    <w:p w14:paraId="03E66CD9">
      <w:pPr>
        <w:rPr>
          <w:b/>
          <w:i/>
          <w:u w:val="single"/>
          <w:lang w:val="en-GB"/>
        </w:rPr>
      </w:pPr>
      <w:r>
        <w:rPr>
          <w:b/>
          <w:i/>
          <w:u w:val="single"/>
          <w:lang w:val="en-GB"/>
        </w:rPr>
        <w:t xml:space="preserve">Profitability Ratios </w:t>
      </w:r>
    </w:p>
    <w:p w14:paraId="39EA79B4">
      <w:pPr>
        <w:rPr>
          <w:lang w:val="en-GB"/>
        </w:rPr>
      </w:pPr>
      <w:r>
        <w:rPr>
          <w:lang w:val="en-GB"/>
        </w:rPr>
        <w:drawing>
          <wp:inline distT="0" distB="0" distL="0" distR="0">
            <wp:extent cx="5943600" cy="26650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943600" cy="2665095"/>
                    </a:xfrm>
                    <a:prstGeom prst="rect">
                      <a:avLst/>
                    </a:prstGeom>
                  </pic:spPr>
                </pic:pic>
              </a:graphicData>
            </a:graphic>
          </wp:inline>
        </w:drawing>
      </w:r>
    </w:p>
    <w:p w14:paraId="734BC30F">
      <w:pPr>
        <w:jc w:val="center"/>
        <w:rPr>
          <w:b/>
          <w:lang w:val="en-GB"/>
        </w:rPr>
      </w:pPr>
      <w:r>
        <w:rPr>
          <w:b/>
          <w:lang w:val="en-GB"/>
        </w:rPr>
        <w:t>Figure 1: Profitability Ratios of GlaxoSmithKline</w:t>
      </w:r>
    </w:p>
    <w:p w14:paraId="3C86FA08">
      <w:pPr>
        <w:jc w:val="center"/>
        <w:rPr>
          <w:lang w:val="en-GB"/>
        </w:rPr>
      </w:pPr>
      <w:r>
        <w:rPr>
          <w:lang w:val="en-GB"/>
        </w:rPr>
        <w:t>(Source: Created using excel)</w:t>
      </w:r>
    </w:p>
    <w:p w14:paraId="2132C7D2">
      <w:pPr>
        <w:rPr>
          <w:lang w:val="en-GB"/>
        </w:rPr>
      </w:pPr>
      <w:r>
        <w:rPr>
          <w:lang w:val="en-GB"/>
        </w:rPr>
        <w:t>The profitability ratios show the ability of a firm to create profit out of sales and operations. As per the table and statistics, gross profit margin is strong with its current figure at 71% with 2024 and 72% with 2023, which is indisputable signs of solid control over the costs of production. Yet, operating profit margin of 22% will not reduce to 13% in 2023 and 2024, indicating the deterioration of operating performance. The average net profit margin dropped as well to 9% as compared to 18%. On the whole, even though the company is still profitable, it has deteriorated in terms of performance compared to 2023.</w:t>
      </w:r>
    </w:p>
    <w:p w14:paraId="34287EA2">
      <w:pPr>
        <w:rPr>
          <w:b/>
          <w:i/>
          <w:u w:val="single"/>
          <w:lang w:val="en-GB"/>
        </w:rPr>
      </w:pPr>
      <w:r>
        <w:rPr>
          <w:b/>
          <w:i/>
          <w:u w:val="single"/>
          <w:lang w:val="en-GB"/>
        </w:rPr>
        <w:t>Liquidity Ratios</w:t>
      </w:r>
    </w:p>
    <w:p w14:paraId="108EE14D">
      <w:pPr>
        <w:rPr>
          <w:lang w:val="en-GB"/>
        </w:rPr>
      </w:pPr>
      <w:r>
        <w:rPr>
          <w:lang w:val="en-GB"/>
        </w:rPr>
        <w:drawing>
          <wp:inline distT="0" distB="0" distL="0" distR="0">
            <wp:extent cx="5943600" cy="2679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5943600" cy="2679700"/>
                    </a:xfrm>
                    <a:prstGeom prst="rect">
                      <a:avLst/>
                    </a:prstGeom>
                  </pic:spPr>
                </pic:pic>
              </a:graphicData>
            </a:graphic>
          </wp:inline>
        </w:drawing>
      </w:r>
    </w:p>
    <w:p w14:paraId="5465EF48">
      <w:pPr>
        <w:jc w:val="center"/>
        <w:rPr>
          <w:b/>
          <w:lang w:val="en-GB"/>
        </w:rPr>
      </w:pPr>
      <w:r>
        <w:rPr>
          <w:b/>
          <w:lang w:val="en-GB"/>
        </w:rPr>
        <w:t>Figure 2: Liquidity Ratios of GlaxoSmithKline</w:t>
      </w:r>
    </w:p>
    <w:p w14:paraId="659992B7">
      <w:pPr>
        <w:jc w:val="center"/>
        <w:rPr>
          <w:lang w:val="en-GB"/>
        </w:rPr>
      </w:pPr>
      <w:r>
        <w:rPr>
          <w:lang w:val="en-GB"/>
        </w:rPr>
        <w:t>(Source: Created using excel)</w:t>
      </w:r>
    </w:p>
    <w:p w14:paraId="4F9E7675">
      <w:pPr>
        <w:rPr>
          <w:lang w:val="en-GB"/>
        </w:rPr>
      </w:pPr>
      <w:r>
        <w:rPr>
          <w:lang w:val="en-GB"/>
        </w:rPr>
        <w:t>The liquidity ratios indicate how a company is able to fulfill its short term debts with its current assets. The table and the statistics indicate that the current ratio has improved in comparison to the 2024 value of 0.78 because it is 0.88 in 2023, representing that it has an increased ability to cover short-term obligations in 2023. On the same note, the quick ratio rose by 0.76 in 2024 to 0.87 in 2023, which shows greater liquidity in the short term. Overall, it can be concluded that the liquidity status of the company was poorer in 2024, yet relatively better and more stable in 2023.</w:t>
      </w:r>
    </w:p>
    <w:p w14:paraId="0D3349A3">
      <w:pPr>
        <w:rPr>
          <w:b/>
          <w:i/>
          <w:u w:val="single"/>
          <w:lang w:val="en-GB"/>
        </w:rPr>
      </w:pPr>
      <w:r>
        <w:rPr>
          <w:b/>
          <w:i/>
          <w:u w:val="single"/>
          <w:lang w:val="en-GB"/>
        </w:rPr>
        <w:t xml:space="preserve">Gearing Ratios </w:t>
      </w:r>
    </w:p>
    <w:p w14:paraId="039CB19C">
      <w:pPr>
        <w:jc w:val="center"/>
        <w:rPr>
          <w:lang w:val="en-GB"/>
        </w:rPr>
      </w:pPr>
      <w:r>
        <w:rPr>
          <w:lang w:val="en-GB"/>
        </w:rPr>
        <w:drawing>
          <wp:inline distT="0" distB="0" distL="0" distR="0">
            <wp:extent cx="5048885" cy="3038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tretch>
                      <a:fillRect/>
                    </a:stretch>
                  </pic:blipFill>
                  <pic:spPr>
                    <a:xfrm>
                      <a:off x="0" y="0"/>
                      <a:ext cx="5048955" cy="3038899"/>
                    </a:xfrm>
                    <a:prstGeom prst="rect">
                      <a:avLst/>
                    </a:prstGeom>
                  </pic:spPr>
                </pic:pic>
              </a:graphicData>
            </a:graphic>
          </wp:inline>
        </w:drawing>
      </w:r>
    </w:p>
    <w:p w14:paraId="2D565469">
      <w:pPr>
        <w:jc w:val="center"/>
        <w:rPr>
          <w:b/>
          <w:lang w:val="en-GB"/>
        </w:rPr>
      </w:pPr>
      <w:r>
        <w:rPr>
          <w:b/>
          <w:lang w:val="en-GB"/>
        </w:rPr>
        <w:t>Figure 3: Gearing Ratios of GlaxoSmithKline</w:t>
      </w:r>
    </w:p>
    <w:p w14:paraId="63F11676">
      <w:pPr>
        <w:jc w:val="center"/>
        <w:rPr>
          <w:lang w:val="en-GB"/>
        </w:rPr>
      </w:pPr>
      <w:r>
        <w:rPr>
          <w:lang w:val="en-GB"/>
        </w:rPr>
        <w:t>(Source: Created using Excel)</w:t>
      </w:r>
    </w:p>
    <w:p w14:paraId="32F7904C">
      <w:pPr>
        <w:rPr>
          <w:lang w:val="en-GB"/>
        </w:rPr>
      </w:pPr>
      <w:r>
        <w:rPr>
          <w:lang w:val="en-GB"/>
        </w:rPr>
        <w:t>The ratios of gearing indicate the degree at which a firm depends on debt, as compared to its asset and equity. The figures suggest that not much has changed in the debt-to-asset ratio of both years except that the ratio has increased by a margin to 0.43 in 2023 as compared to 0.42, which reveals that the usage of debt has remained steady. The debt to equity ratio rose against 1.89 in 2024 to 1.96 in 2023 indicating more use of borrowed capital in 2023. Overall, the gearing level of the company is high but not very fluctuating in both years (Fatihah, 2023).</w:t>
      </w:r>
    </w:p>
    <w:p w14:paraId="5E678EDF">
      <w:pPr>
        <w:rPr>
          <w:b/>
          <w:i/>
          <w:u w:val="single"/>
          <w:lang w:val="en-GB"/>
        </w:rPr>
      </w:pPr>
      <w:r>
        <w:rPr>
          <w:b/>
          <w:i/>
          <w:u w:val="single"/>
          <w:lang w:val="en-GB"/>
        </w:rPr>
        <w:t xml:space="preserve">Efficiency Ratios  </w:t>
      </w:r>
    </w:p>
    <w:p w14:paraId="45E0E3FE">
      <w:pPr>
        <w:jc w:val="center"/>
        <w:rPr>
          <w:lang w:val="en-GB"/>
        </w:rPr>
      </w:pPr>
      <w:r>
        <w:rPr>
          <w:lang w:val="en-GB"/>
        </w:rPr>
        <w:drawing>
          <wp:inline distT="0" distB="0" distL="0" distR="0">
            <wp:extent cx="5601335" cy="2686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1"/>
                    <a:stretch>
                      <a:fillRect/>
                    </a:stretch>
                  </pic:blipFill>
                  <pic:spPr>
                    <a:xfrm>
                      <a:off x="0" y="0"/>
                      <a:ext cx="5601482" cy="2686425"/>
                    </a:xfrm>
                    <a:prstGeom prst="rect">
                      <a:avLst/>
                    </a:prstGeom>
                  </pic:spPr>
                </pic:pic>
              </a:graphicData>
            </a:graphic>
          </wp:inline>
        </w:drawing>
      </w:r>
    </w:p>
    <w:p w14:paraId="5F975F16">
      <w:pPr>
        <w:jc w:val="center"/>
        <w:rPr>
          <w:b/>
          <w:lang w:val="en-GB"/>
        </w:rPr>
      </w:pPr>
      <w:r>
        <w:rPr>
          <w:b/>
          <w:lang w:val="en-GB"/>
        </w:rPr>
        <w:t>Figure 4: Gearing Ratios of GlaxoSmithKline</w:t>
      </w:r>
    </w:p>
    <w:p w14:paraId="4D27CAB3">
      <w:pPr>
        <w:jc w:val="center"/>
        <w:rPr>
          <w:lang w:val="en-GB"/>
        </w:rPr>
      </w:pPr>
      <w:r>
        <w:rPr>
          <w:lang w:val="en-GB"/>
        </w:rPr>
        <w:t>(Source: Created using Excel)</w:t>
      </w:r>
    </w:p>
    <w:p w14:paraId="0A980A99">
      <w:pPr>
        <w:rPr>
          <w:lang w:val="en-GB"/>
        </w:rPr>
      </w:pPr>
      <w:r>
        <w:rPr>
          <w:lang w:val="en-GB"/>
        </w:rPr>
        <w:t>The efficiency ratios are used to explain the way the firm is utilizing its assets to make sales and run the business. These figures indicate that the receivable turnover ratio reduced in 2024 to 4.11 in 2023 thus indicating slower collection of customer payments in 2023. On the other hand, the inventory turnover ratio rose by itself as in 2024 (18.50) and 2023 (22.96) with 2023 being higher and this means that the inventory sale rate in 2023 is faster. The efficiency overall is mixed as there is better inventory management in 2023 but slight weaker receivable collection as compared to 2024 (Yuyan, 2023).</w:t>
      </w:r>
    </w:p>
    <w:p w14:paraId="05DB53B2">
      <w:pPr>
        <w:rPr>
          <w:b/>
          <w:i/>
          <w:u w:val="single"/>
          <w:lang w:val="en-GB"/>
        </w:rPr>
      </w:pPr>
      <w:r>
        <w:rPr>
          <w:b/>
          <w:i/>
          <w:u w:val="single"/>
          <w:lang w:val="en-GB"/>
        </w:rPr>
        <w:t xml:space="preserve">Investors Ratios </w:t>
      </w:r>
    </w:p>
    <w:p w14:paraId="4A268B69">
      <w:pPr>
        <w:jc w:val="center"/>
        <w:rPr>
          <w:lang w:val="en-GB"/>
        </w:rPr>
      </w:pPr>
      <w:r>
        <w:rPr>
          <w:lang w:val="en-GB"/>
        </w:rPr>
        <w:drawing>
          <wp:inline distT="0" distB="0" distL="0" distR="0">
            <wp:extent cx="5306060" cy="320992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2"/>
                    <a:stretch>
                      <a:fillRect/>
                    </a:stretch>
                  </pic:blipFill>
                  <pic:spPr>
                    <a:xfrm>
                      <a:off x="0" y="0"/>
                      <a:ext cx="5306165" cy="3210373"/>
                    </a:xfrm>
                    <a:prstGeom prst="rect">
                      <a:avLst/>
                    </a:prstGeom>
                  </pic:spPr>
                </pic:pic>
              </a:graphicData>
            </a:graphic>
          </wp:inline>
        </w:drawing>
      </w:r>
    </w:p>
    <w:p w14:paraId="43BF1A61">
      <w:pPr>
        <w:jc w:val="center"/>
        <w:rPr>
          <w:b/>
          <w:lang w:val="en-GB"/>
        </w:rPr>
      </w:pPr>
      <w:r>
        <w:rPr>
          <w:b/>
          <w:lang w:val="en-GB"/>
        </w:rPr>
        <w:t>Figure 5: Investors Ratios of GlaxoSmithKline</w:t>
      </w:r>
    </w:p>
    <w:p w14:paraId="1563CFE9">
      <w:pPr>
        <w:jc w:val="center"/>
        <w:rPr>
          <w:lang w:val="en-GB"/>
        </w:rPr>
      </w:pPr>
      <w:r>
        <w:rPr>
          <w:lang w:val="en-GB"/>
        </w:rPr>
        <w:t>(Source: Created using Excel)</w:t>
      </w:r>
    </w:p>
    <w:p w14:paraId="39C8BAF6">
      <w:pPr>
        <w:rPr>
          <w:lang w:val="en-GB"/>
        </w:rPr>
      </w:pPr>
      <w:r>
        <w:rPr>
          <w:lang w:val="en-GB"/>
        </w:rPr>
        <w:t>The investor ratios show the appeal of a given company to both the existing and the potential investors. As indicated in the table and the statistics, the price-earnings ratio is increased to 5.67 in 2024, as compared to 3.15 in 2023, which means that investors are ready to pay more per unit revenue in 2024. The earnings per share were however lower in 2024 when it reached about 2.2, compared to 3.94 in the year 2023 and means reduced profit available to the shareholders. Finally, the confidence of the markets in 2024 was better than in 2023, yet the performance of the shares to the shareholders deteriorated (Brackney and Downen, 2022).</w:t>
      </w:r>
    </w:p>
    <w:p w14:paraId="3E8FE06E">
      <w:pPr>
        <w:pStyle w:val="3"/>
        <w:rPr>
          <w:lang w:val="en-GB"/>
        </w:rPr>
      </w:pPr>
      <w:bookmarkStart w:id="3" w:name="_Toc218683291"/>
      <w:r>
        <w:rPr>
          <w:lang w:val="en-GB"/>
        </w:rPr>
        <w:t>2.2 Evaluation of Ratios</w:t>
      </w:r>
      <w:bookmarkEnd w:id="3"/>
      <w:r>
        <w:rPr>
          <w:lang w:val="en-GB"/>
        </w:rPr>
        <w:t xml:space="preserve"> </w:t>
      </w:r>
    </w:p>
    <w:p w14:paraId="11874BB4">
      <w:pPr>
        <w:rPr>
          <w:lang w:val="en-IN"/>
        </w:rPr>
      </w:pPr>
      <w:r>
        <w:rPr>
          <w:b/>
          <w:bCs/>
          <w:i/>
          <w:iCs/>
          <w:u w:val="single"/>
          <w:lang w:val="en-IN"/>
        </w:rPr>
        <w:t>Evaluation of Profitability</w:t>
      </w:r>
      <w:r>
        <w:rPr>
          <w:lang w:val="en-IN"/>
        </w:rPr>
        <w:t> </w:t>
      </w:r>
    </w:p>
    <w:p w14:paraId="0E6FEE6B">
      <w:pPr>
        <w:rPr>
          <w:lang w:val="en-IN"/>
        </w:rPr>
      </w:pPr>
      <w:r>
        <w:rPr>
          <w:b/>
          <w:bCs/>
          <w:i/>
          <w:iCs/>
          <w:u w:val="single"/>
          <w:lang w:val="en-IN"/>
        </w:rPr>
        <w:t>Gross Profit Margin</w:t>
      </w:r>
    </w:p>
    <w:p w14:paraId="771A30EC">
      <w:pPr>
        <w:rPr>
          <w:lang w:val="en-IN"/>
        </w:rPr>
      </w:pPr>
      <w:r>
        <w:rPr>
          <w:lang w:val="en-IN"/>
        </w:rPr>
        <w:t>GSK “gross profit margin declined by a small percentage of 72% to 71% between the years 2023 and 2024 respectively. This negligible decrease means that the cost of producing goods or services somewhat rises in 2024 and this could be caused by the rising cost of raw-material, rising manufacturing expenses or inflation (Umoh, 2025). However, the decrease is minimal indicating that GSK is competent in controlling its production costs.</w:t>
      </w:r>
    </w:p>
    <w:p w14:paraId="42D3B476">
      <w:pPr>
        <w:rPr>
          <w:lang w:val="en-IN"/>
        </w:rPr>
      </w:pPr>
      <w:r>
        <w:rPr>
          <w:b/>
          <w:bCs/>
          <w:i/>
          <w:iCs/>
          <w:u w:val="single"/>
          <w:lang w:val="en-IN"/>
        </w:rPr>
        <w:t>Operating Profit Margin</w:t>
      </w:r>
    </w:p>
    <w:p w14:paraId="4EBEEDE8">
      <w:pPr>
        <w:rPr>
          <w:lang w:val="en-IN"/>
        </w:rPr>
      </w:pPr>
      <w:r>
        <w:rPr>
          <w:lang w:val="en-IN"/>
        </w:rPr>
        <w:t xml:space="preserve">The operating profit margin reduced drastically, dropping to 13% as against 22%. Such a huge decline is an indication of a massive increase in operating costs of 2024 that include increased research and development costs, administrative expenses, marketing costs and restructuring expenses (Wibowo </w:t>
      </w:r>
      <w:r>
        <w:rPr>
          <w:i/>
          <w:iCs/>
          <w:lang w:val="en-IN"/>
        </w:rPr>
        <w:t>et al.,</w:t>
      </w:r>
      <w:r>
        <w:rPr>
          <w:lang w:val="en-IN"/>
        </w:rPr>
        <w:t>2024). In the case of a pharmaceutical company like GSK, it is common when significant amounts of money are spent on research and development in the case of novel drugs and innovation.</w:t>
      </w:r>
    </w:p>
    <w:p w14:paraId="0DB9AB5C">
      <w:pPr>
        <w:rPr>
          <w:lang w:val="en-IN"/>
        </w:rPr>
      </w:pPr>
      <w:r>
        <w:rPr>
          <w:b/>
          <w:bCs/>
          <w:i/>
          <w:iCs/>
          <w:u w:val="single"/>
          <w:lang w:val="en-IN"/>
        </w:rPr>
        <w:t>Net Profit Margin</w:t>
      </w:r>
    </w:p>
    <w:p w14:paraId="5A827EEB">
      <w:pPr>
        <w:rPr>
          <w:lang w:val="en-IN"/>
        </w:rPr>
      </w:pPr>
      <w:r>
        <w:rPr>
          <w:lang w:val="en-IN"/>
        </w:rPr>
        <w:t xml:space="preserve">The net profit margin dropped to 9% as of 2024 compared to 18% as of 2023 showing a significant drop in profitability in general. Although the sales have increased, the company has been left with relatively low profit after the deduction of all the expenses, interest, and taxes (Nasir </w:t>
      </w:r>
      <w:r>
        <w:rPr>
          <w:i/>
          <w:iCs/>
          <w:lang w:val="en-IN"/>
        </w:rPr>
        <w:t>et al.,</w:t>
      </w:r>
      <w:r>
        <w:rPr>
          <w:lang w:val="en-IN"/>
        </w:rPr>
        <w:t>2025). Some of the factors that could have led to this decline could be higher cost of operation, inflationary pressures, or additional interests, that include one off exceptional item during the year.</w:t>
      </w:r>
    </w:p>
    <w:p w14:paraId="5437B100">
      <w:pPr>
        <w:rPr>
          <w:lang w:val="en-GB"/>
        </w:rPr>
      </w:pPr>
      <w:r>
        <w:rPr>
          <w:lang w:val="en-GB"/>
        </w:rPr>
        <w:t>Importantly, profitability ratios of GSK Plc have decreased as we shift to 2024/2023. The gross profit margin decreased slightly by a margin of 72% to 71% that suggests that there was minimal growth in production or input cost. With the operation profit margin, however, it sharply declined as compared to 22% to 13% whereas the net profit margin declined to 18% to 9%. This significant loss is probably due to high operating costs, increased research and development expenses, inflation or the expenses of reorganization incurred in the year 2024. As a result, the overall profitability declined although a slight increase in turnover was also witnessed.</w:t>
      </w:r>
    </w:p>
    <w:p w14:paraId="09978EFA">
      <w:pPr>
        <w:rPr>
          <w:lang w:val="en-IN"/>
        </w:rPr>
      </w:pPr>
      <w:r>
        <w:rPr>
          <w:b/>
          <w:bCs/>
          <w:i/>
          <w:iCs/>
          <w:u w:val="single"/>
          <w:lang w:val="en-IN"/>
        </w:rPr>
        <w:t>Evaluation of Liquidity</w:t>
      </w:r>
    </w:p>
    <w:p w14:paraId="1654D355">
      <w:pPr>
        <w:rPr>
          <w:lang w:val="en-IN"/>
        </w:rPr>
      </w:pPr>
      <w:r>
        <w:rPr>
          <w:b/>
          <w:bCs/>
          <w:i/>
          <w:iCs/>
          <w:u w:val="single"/>
          <w:lang w:val="en-IN"/>
        </w:rPr>
        <w:t>Current Ratio</w:t>
      </w:r>
    </w:p>
    <w:p w14:paraId="4F3C146F">
      <w:pPr>
        <w:rPr>
          <w:lang w:val="en-IN"/>
        </w:rPr>
      </w:pPr>
      <w:r>
        <w:rPr>
          <w:lang w:val="en-IN"/>
        </w:rPr>
        <w:t xml:space="preserve">The current ratio decreased in 2024, as compared to 2023, which was 0.88. The current ratio is less than one which implies that current liabilities are higher than the current assets which implies that GSK cannot manage to meet short term liabilities as they fall due (Tulum </w:t>
      </w:r>
      <w:r>
        <w:rPr>
          <w:i/>
          <w:iCs/>
          <w:lang w:val="en-IN"/>
        </w:rPr>
        <w:t>et al.,</w:t>
      </w:r>
      <w:r>
        <w:rPr>
          <w:lang w:val="en-IN"/>
        </w:rPr>
        <w:t>2022).</w:t>
      </w:r>
    </w:p>
    <w:p w14:paraId="4EE8B4C6">
      <w:pPr>
        <w:rPr>
          <w:lang w:val="en-IN"/>
        </w:rPr>
      </w:pPr>
      <w:r>
        <w:rPr>
          <w:b/>
          <w:bCs/>
          <w:i/>
          <w:iCs/>
          <w:u w:val="single"/>
          <w:lang w:val="en-IN"/>
        </w:rPr>
        <w:t>Quick Ratio</w:t>
      </w:r>
    </w:p>
    <w:p w14:paraId="26465752">
      <w:pPr>
        <w:rPr>
          <w:lang w:val="en-IN"/>
        </w:rPr>
      </w:pPr>
      <w:r>
        <w:rPr>
          <w:lang w:val="en-IN"/>
        </w:rPr>
        <w:t>The quick ratio went down as well to 0.76 as compared to 0.87. The use of inventories removal and emphasis on the most liquid assets like cash and receivables indicate that the ability of GSK to pay off short-term debts without having to move the inventory was even worse in 2024 (Potharla, 2025). In general, there was a worsening of the liquidity status of GSK. This can either be through expansion in short-term borrowings or through growth in trade payables, or reduction in cash balances. Even though the large companies such as GSK can still obtain external capital, poor liquidity ratios increase the risk of short-term finances. </w:t>
      </w:r>
    </w:p>
    <w:p w14:paraId="7269DE5D">
      <w:pPr>
        <w:rPr>
          <w:lang w:val="en-IN"/>
        </w:rPr>
      </w:pPr>
      <w:r>
        <w:rPr>
          <w:b/>
          <w:bCs/>
          <w:i/>
          <w:iCs/>
          <w:u w:val="single"/>
          <w:lang w:val="en-IN"/>
        </w:rPr>
        <w:t>Evaluation of Gearing</w:t>
      </w:r>
    </w:p>
    <w:p w14:paraId="62849C48">
      <w:pPr>
        <w:rPr>
          <w:lang w:val="en-IN"/>
        </w:rPr>
      </w:pPr>
      <w:r>
        <w:rPr>
          <w:b/>
          <w:bCs/>
          <w:i/>
          <w:iCs/>
          <w:u w:val="single"/>
          <w:lang w:val="en-IN"/>
        </w:rPr>
        <w:t>Debt</w:t>
      </w:r>
      <w:r>
        <w:rPr>
          <w:b/>
          <w:bCs/>
          <w:i/>
          <w:iCs/>
          <w:u w:val="single"/>
          <w:lang w:val="en-IN"/>
        </w:rPr>
        <w:noBreakHyphen/>
      </w:r>
      <w:r>
        <w:rPr>
          <w:b/>
          <w:bCs/>
          <w:i/>
          <w:iCs/>
          <w:u w:val="single"/>
          <w:lang w:val="en-IN"/>
        </w:rPr>
        <w:t>Equity Ratio</w:t>
      </w:r>
    </w:p>
    <w:p w14:paraId="146C51CC">
      <w:pPr>
        <w:rPr>
          <w:lang w:val="en-IN"/>
        </w:rPr>
      </w:pPr>
      <w:r>
        <w:rPr>
          <w:lang w:val="en-IN"/>
        </w:rPr>
        <w:t>Debt-field comparisons were reduced slightly, and thus, the debt-equity ratio was reduced by the margin of 1.96 – 1.89 which showed that the company became slightly less dependent on debts. A reduced ratio implies reduced risk to the finances because the company will be marginally less reliant on debt.</w:t>
      </w:r>
    </w:p>
    <w:p w14:paraId="1A8AB835">
      <w:pPr>
        <w:rPr>
          <w:lang w:val="en-IN"/>
        </w:rPr>
      </w:pPr>
      <w:r>
        <w:rPr>
          <w:b/>
          <w:bCs/>
          <w:i/>
          <w:iCs/>
          <w:u w:val="single"/>
          <w:lang w:val="en-IN"/>
        </w:rPr>
        <w:t>Debt</w:t>
      </w:r>
      <w:r>
        <w:rPr>
          <w:b/>
          <w:bCs/>
          <w:i/>
          <w:iCs/>
          <w:u w:val="single"/>
          <w:lang w:val="en-IN"/>
        </w:rPr>
        <w:noBreakHyphen/>
      </w:r>
      <w:r>
        <w:rPr>
          <w:b/>
          <w:bCs/>
          <w:i/>
          <w:iCs/>
          <w:u w:val="single"/>
          <w:lang w:val="en-IN"/>
        </w:rPr>
        <w:t>Asset Ratio</w:t>
      </w:r>
    </w:p>
    <w:p w14:paraId="49E69B11">
      <w:pPr>
        <w:rPr>
          <w:lang w:val="en-IN"/>
        </w:rPr>
      </w:pPr>
      <w:r>
        <w:rPr>
          <w:lang w:val="en-IN"/>
        </w:rPr>
        <w:t>The “debt-asset ratio” also decreased as the result of 0.43 to 0.42 signified that a slightly lower proportion of total assets is being funded by debt. In general, the gearing ratios slightly improved in 2024, which suggests that GSK is operating its capital structure better and reduces the financial risk (George, 2025). However, the company is very much leveraged, that is, the utilization of debt in the company still plays a major finance source. </w:t>
      </w:r>
    </w:p>
    <w:p w14:paraId="3EBC7F51">
      <w:pPr>
        <w:rPr>
          <w:lang w:val="en-IN"/>
        </w:rPr>
      </w:pPr>
      <w:r>
        <w:rPr>
          <w:b/>
          <w:bCs/>
          <w:i/>
          <w:iCs/>
          <w:u w:val="single"/>
          <w:lang w:val="en-IN"/>
        </w:rPr>
        <w:t>Evaluation of Efficiency </w:t>
      </w:r>
    </w:p>
    <w:p w14:paraId="606D27FB">
      <w:pPr>
        <w:rPr>
          <w:lang w:val="en-IN"/>
        </w:rPr>
      </w:pPr>
      <w:r>
        <w:rPr>
          <w:b/>
          <w:bCs/>
          <w:i/>
          <w:iCs/>
          <w:u w:val="single"/>
          <w:lang w:val="en-IN"/>
        </w:rPr>
        <w:t>Receivables Turnover Ratio</w:t>
      </w:r>
    </w:p>
    <w:p w14:paraId="56A3B50E">
      <w:pPr>
        <w:rPr>
          <w:lang w:val="en-IN"/>
        </w:rPr>
      </w:pPr>
      <w:r>
        <w:rPr>
          <w:lang w:val="en-IN"/>
        </w:rPr>
        <w:t>The realization of receivables turned out to increase to 4.59 against 4.11, which signifies that in 2024, GSK was able to collect its payments at a faster pace. It is a positive change in terms of greater credit control and improved cash collection, which would benefit liquidity.</w:t>
      </w:r>
    </w:p>
    <w:p w14:paraId="6165B100">
      <w:pPr>
        <w:rPr>
          <w:lang w:val="en-IN"/>
        </w:rPr>
      </w:pPr>
      <w:r>
        <w:rPr>
          <w:b/>
          <w:bCs/>
          <w:i/>
          <w:iCs/>
          <w:u w:val="single"/>
          <w:lang w:val="en-IN"/>
        </w:rPr>
        <w:t>Inventory Turnover Ratio</w:t>
      </w:r>
    </w:p>
    <w:p w14:paraId="154441D1">
      <w:pPr>
        <w:rPr>
          <w:lang w:val="en-IN"/>
        </w:rPr>
      </w:pPr>
      <w:r>
        <w:rPr>
          <w:lang w:val="en-IN"/>
        </w:rPr>
        <w:t xml:space="preserve">The inventory turnover ratio decreased to 18.50 against the figure of 22.96 in 2024, and this indicates that 2024 saw inventory operate at a low rate. It may be an overstocking strategy, lower demand, or delays in the production and sales. The reduction of inventory breakdown increases the cost of holding and may lead to wastages particularly in the pharmaceutical industry where inventory may go to waste (Hasan </w:t>
      </w:r>
      <w:r>
        <w:rPr>
          <w:i/>
          <w:iCs/>
          <w:lang w:val="en-IN"/>
        </w:rPr>
        <w:t>et al.,</w:t>
      </w:r>
      <w:r>
        <w:rPr>
          <w:lang w:val="en-IN"/>
        </w:rPr>
        <w:t>2023).</w:t>
      </w:r>
    </w:p>
    <w:p w14:paraId="769DA938">
      <w:pPr>
        <w:rPr>
          <w:lang w:val="en-IN"/>
        </w:rPr>
      </w:pPr>
      <w:r>
        <w:rPr>
          <w:b/>
          <w:bCs/>
          <w:i/>
          <w:iCs/>
          <w:u w:val="single"/>
          <w:lang w:val="en-IN"/>
        </w:rPr>
        <w:t>Evaluation of Investor</w:t>
      </w:r>
    </w:p>
    <w:p w14:paraId="1971AF53">
      <w:pPr>
        <w:rPr>
          <w:lang w:val="en-IN"/>
        </w:rPr>
      </w:pPr>
      <w:r>
        <w:rPr>
          <w:b/>
          <w:bCs/>
          <w:i/>
          <w:iCs/>
          <w:u w:val="single"/>
          <w:lang w:val="en-IN"/>
        </w:rPr>
        <w:t>Earnings Per Share (EPS)</w:t>
      </w:r>
    </w:p>
    <w:p w14:paraId="395FBEDF">
      <w:pPr>
        <w:rPr>
          <w:lang w:val="en-IN"/>
        </w:rPr>
      </w:pPr>
      <w:r>
        <w:rPr>
          <w:lang w:val="en-IN"/>
        </w:rPr>
        <w:t>EPS fell sharply from 3.94 to 2.19. The net profit decrease is reflected through this significant decrease and indicates the reduction of the volume of returns to the shareholders and may result in weakening investor confidence.</w:t>
      </w:r>
    </w:p>
    <w:p w14:paraId="292A41F0">
      <w:pPr>
        <w:rPr>
          <w:lang w:val="en-IN"/>
        </w:rPr>
      </w:pPr>
      <w:r>
        <w:rPr>
          <w:b/>
          <w:bCs/>
          <w:i/>
          <w:iCs/>
          <w:u w:val="single"/>
          <w:lang w:val="en-IN"/>
        </w:rPr>
        <w:t>Price</w:t>
      </w:r>
      <w:r>
        <w:rPr>
          <w:b/>
          <w:bCs/>
          <w:i/>
          <w:iCs/>
          <w:u w:val="single"/>
          <w:lang w:val="en-IN"/>
        </w:rPr>
        <w:noBreakHyphen/>
      </w:r>
      <w:r>
        <w:rPr>
          <w:b/>
          <w:bCs/>
          <w:i/>
          <w:iCs/>
          <w:u w:val="single"/>
          <w:lang w:val="en-IN"/>
        </w:rPr>
        <w:t>Earnings (P/E) Ratio</w:t>
      </w:r>
    </w:p>
    <w:p w14:paraId="55304E42">
      <w:pPr>
        <w:rPr>
          <w:lang w:val="en-IN"/>
        </w:rPr>
      </w:pPr>
      <w:r>
        <w:rPr>
          <w:lang w:val="en-IN"/>
        </w:rPr>
        <w:t>P/E ratio also rose during the period where EPS went down, to 5.67. This implies that the market has no doubt about the future performance of GSK, as they expect them to increase profits because of new product launches, cost management, or new strategic moves.</w:t>
      </w:r>
    </w:p>
    <w:p w14:paraId="39370B0D">
      <w:pPr>
        <w:rPr>
          <w:lang w:val="en-IN"/>
        </w:rPr>
      </w:pPr>
      <w:r>
        <w:rPr>
          <w:b/>
          <w:bCs/>
          <w:i/>
          <w:iCs/>
          <w:u w:val="single"/>
          <w:lang w:val="en-IN"/>
        </w:rPr>
        <w:t>Limitations of Ratio Analysis </w:t>
      </w:r>
    </w:p>
    <w:p w14:paraId="0FAFB9BB">
      <w:pPr>
        <w:numPr>
          <w:ilvl w:val="0"/>
          <w:numId w:val="1"/>
        </w:numPr>
        <w:rPr>
          <w:lang w:val="en-IN"/>
        </w:rPr>
      </w:pPr>
      <w:r>
        <w:rPr>
          <w:lang w:val="en-IN"/>
        </w:rPr>
        <w:t>Ratios relate to the past data. They depict the performance of the past and do not assure the future as the business environment is prone to change because of competition, changes in regulations, or economic changes (Arvidsson and Dumay, 2022).</w:t>
      </w:r>
    </w:p>
    <w:p w14:paraId="637503C3">
      <w:pPr>
        <w:numPr>
          <w:ilvl w:val="0"/>
          <w:numId w:val="1"/>
        </w:numPr>
        <w:rPr>
          <w:lang w:val="en-IN"/>
        </w:rPr>
      </w:pPr>
      <w:r>
        <w:rPr>
          <w:lang w:val="en-IN"/>
        </w:rPr>
        <w:t>Ratios do not pay attention to inflation. The increase in prices may mislead financial values, which will decrease comparability of the ratios between years.</w:t>
      </w:r>
    </w:p>
    <w:p w14:paraId="1B1E3EF6">
      <w:pPr>
        <w:numPr>
          <w:ilvl w:val="0"/>
          <w:numId w:val="1"/>
        </w:numPr>
        <w:rPr>
          <w:lang w:val="en-IN"/>
        </w:rPr>
      </w:pPr>
      <w:r>
        <w:rPr>
          <w:lang w:val="en-IN"/>
        </w:rPr>
        <w:t>The qualitative aspects like quality of management, employee level of expertise, brand name and loyalty of customers is ignored (Abd-El-Salam, 2023). These aspects are crucial to a long-term success which is not reflected in quantitative ratios.</w:t>
      </w:r>
    </w:p>
    <w:p w14:paraId="72622527">
      <w:pPr>
        <w:numPr>
          <w:ilvl w:val="0"/>
          <w:numId w:val="1"/>
        </w:numPr>
        <w:rPr>
          <w:lang w:val="en-IN"/>
        </w:rPr>
      </w:pPr>
      <w:r>
        <w:rPr>
          <w:lang w:val="en-IN"/>
        </w:rPr>
        <w:t>Ratios could be affected by accounting policies. Various companies can use different accounting processes making it difficult to compare them.</w:t>
      </w:r>
    </w:p>
    <w:p w14:paraId="09700000">
      <w:pPr>
        <w:numPr>
          <w:ilvl w:val="0"/>
          <w:numId w:val="1"/>
        </w:numPr>
        <w:rPr>
          <w:lang w:val="en-IN"/>
        </w:rPr>
      </w:pPr>
      <w:r>
        <w:rPr>
          <w:lang w:val="en-IN"/>
        </w:rPr>
        <w:t xml:space="preserve">The ratios do not offer a full picture. They are to be implemented with the help of other analytical means like the cash-flow analysis, the industry benchmarking and the strategic analysis. </w:t>
      </w:r>
      <w:r>
        <w:rPr>
          <w:lang w:val="en-GB"/>
        </w:rPr>
        <w:t xml:space="preserve">(Ali </w:t>
      </w:r>
      <w:r>
        <w:rPr>
          <w:i/>
          <w:iCs/>
          <w:lang w:val="en-GB"/>
        </w:rPr>
        <w:t>et al.,</w:t>
      </w:r>
      <w:r>
        <w:rPr>
          <w:lang w:val="en-GB"/>
        </w:rPr>
        <w:t xml:space="preserve">2025). </w:t>
      </w:r>
    </w:p>
    <w:p w14:paraId="28BCAFF5">
      <w:pPr>
        <w:pStyle w:val="3"/>
        <w:rPr>
          <w:lang w:val="en-GB"/>
        </w:rPr>
      </w:pPr>
      <w:bookmarkStart w:id="4" w:name="_Toc218683292"/>
      <w:r>
        <w:rPr>
          <w:lang w:val="en-GB"/>
        </w:rPr>
        <w:t>2.3 Recommendation for improving Performance</w:t>
      </w:r>
      <w:bookmarkEnd w:id="4"/>
      <w:r>
        <w:rPr>
          <w:lang w:val="en-GB"/>
        </w:rPr>
        <w:t xml:space="preserve"> </w:t>
      </w:r>
    </w:p>
    <w:p w14:paraId="69B70711">
      <w:pPr>
        <w:numPr>
          <w:ilvl w:val="0"/>
          <w:numId w:val="2"/>
        </w:numPr>
        <w:rPr>
          <w:lang w:val="en-GB"/>
        </w:rPr>
      </w:pPr>
      <w:r>
        <w:rPr>
          <w:lang w:val="en-GB"/>
        </w:rPr>
        <w:t>It is necessary to have the company to control its costs better in the first position. The expenses have been excessive, as has been seen in a decline in profitability even when the sales have gone up. The management should reduce unnecessary operating expenses, put the administrative expenses on tight, and reconsider administrative and research spending in order to increase the profit margin (Dawood, 2024).</w:t>
      </w:r>
    </w:p>
    <w:p w14:paraId="2D9718CE">
      <w:pPr>
        <w:numPr>
          <w:ilvl w:val="0"/>
          <w:numId w:val="2"/>
        </w:numPr>
        <w:rPr>
          <w:lang w:val="en-GB"/>
        </w:rPr>
      </w:pPr>
      <w:r>
        <w:rPr>
          <w:lang w:val="en-GB"/>
        </w:rPr>
        <w:t>Secondly, the company has to enhance its cash-management. The current and quick ratios below one are a risk. The company ought to quicken the process of collecting the receivables, discourage the late payment and give early-payment discounts. Similarly, where possible there should be reduction in short-term debt.</w:t>
      </w:r>
    </w:p>
    <w:p w14:paraId="189F5375">
      <w:pPr>
        <w:numPr>
          <w:ilvl w:val="0"/>
          <w:numId w:val="2"/>
        </w:numPr>
        <w:rPr>
          <w:lang w:val="en-GB"/>
        </w:rPr>
      </w:pPr>
      <w:r>
        <w:rPr>
          <w:lang w:val="en-GB"/>
        </w:rPr>
        <w:t>Thirdly, management should be more concerned about inventory. The reduction in inventory turnover indicates slow moving of goods; the organization must not have stagnant stock, nor should they lack stock demand forecasting to enable them not to have capital carried by the inventory stock (Qi, 2025).</w:t>
      </w:r>
    </w:p>
    <w:p w14:paraId="335160F5">
      <w:pPr>
        <w:numPr>
          <w:ilvl w:val="0"/>
          <w:numId w:val="2"/>
        </w:numPr>
        <w:rPr>
          <w:lang w:val="en-GB"/>
        </w:rPr>
      </w:pPr>
      <w:r>
        <w:rPr>
          <w:lang w:val="en-GB"/>
        </w:rPr>
        <w:t xml:space="preserve">Fourthly, the company is supposed to effectively deal with debt. Despite the increase in gearing to a small extent, the level of debt is high. The company must avoid the negative habit of obtaining extra financing through loans and instead explore the use of retained earnings to fund the company operations. </w:t>
      </w:r>
    </w:p>
    <w:p w14:paraId="54016C59">
      <w:pPr>
        <w:numPr>
          <w:ilvl w:val="0"/>
          <w:numId w:val="2"/>
        </w:numPr>
        <w:rPr>
          <w:lang w:val="en-GB"/>
        </w:rPr>
      </w:pPr>
      <w:r>
        <w:rPr>
          <w:lang w:val="en-GB"/>
        </w:rPr>
        <w:t xml:space="preserve">The company should strive to achieve consistent earnings growth in order to strengthen the confidence of the investors. Increasing profits will boost the earnings per share and also make the company attractive to the investors (Gharaibeh </w:t>
      </w:r>
      <w:r>
        <w:rPr>
          <w:i/>
          <w:iCs/>
          <w:lang w:val="en-GB"/>
        </w:rPr>
        <w:t>et al.,</w:t>
      </w:r>
      <w:r>
        <w:rPr>
          <w:lang w:val="en-GB"/>
        </w:rPr>
        <w:t>2022).</w:t>
      </w:r>
    </w:p>
    <w:p w14:paraId="49784D87">
      <w:pPr>
        <w:rPr>
          <w:lang w:val="en-GB"/>
        </w:rPr>
      </w:pPr>
      <w:r>
        <w:rPr>
          <w:b/>
          <w:bCs/>
          <w:color w:val="000000"/>
        </w:rPr>
        <w:t>2.3 Recommendation for improving Performance</w:t>
      </w:r>
    </w:p>
    <w:p w14:paraId="1C8DB703">
      <w:pPr>
        <w:rPr>
          <w:lang w:val="en-GB"/>
        </w:rPr>
      </w:pPr>
      <w:r>
        <w:rPr>
          <w:lang w:val="en-GB"/>
        </w:rPr>
        <w:t>The company should focus on improvement on profitability so that its overall performance can be improved. Even though the gross profit margin is still good, operating and net profit margin decreased which means that more control over operating costs is required. The management ought to check on the administrative, marketing, and production expenses cutting off unnecessary expenses. Operation efficiency can be improved so that sales pressure does not have to be increased more (Gsk, 2025). Secondly, the liquidity should be reinforced. Current and quick ratios are below the most favourable level, especially in 2024. The company can use working capital in a better way by improving the speed of collecting receivables and preventing the occurrence of excess inventory. The enhanced cash-flow planning will help the firm to settle the short-term liabilities with ease as well as financial strain.</w:t>
      </w:r>
    </w:p>
    <w:p w14:paraId="09B2E5CA">
      <w:pPr>
        <w:rPr>
          <w:lang w:val="en-GB"/>
        </w:rPr>
      </w:pPr>
      <w:r>
        <w:rPr>
          <w:lang w:val="en-GB"/>
        </w:rPr>
        <w:t>Thirdly, the company should also be wise in controlling the level of its debts. Gearing ratios show that it highly depends on borrowed capital. Debt plays a constructive role in enhancing growth but when it is too high it increases financial risk. The company can also offer the idea to reduce long-term borrowings or refinancing at lower rates of interest which will reduce the interest cost and increase stability in the long-term (Yuyan, 2023). There should be optimisation on receivable and inventory management in terms of efficiency. Improved operation efficiency and getting the tied-up capital free by faster collection of the customers and better inventory planning. This goal can be supported with the help of simple forecasting techniques and implementation of clear credit policy. Lastly, the company needs to emphasize on the earnings per share with a view to enhancing investor confidence. This is possible through enhancing profitability and cost control. Trust will also be enhanced by clear communication to the investors on the future plans and financial performance.</w:t>
      </w:r>
    </w:p>
    <w:p w14:paraId="55A667E6">
      <w:pPr>
        <w:pStyle w:val="2"/>
        <w:rPr>
          <w:lang w:val="en-GB"/>
        </w:rPr>
      </w:pPr>
      <w:bookmarkStart w:id="5" w:name="_Toc218683293"/>
      <w:r>
        <w:rPr>
          <w:lang w:val="en-GB"/>
        </w:rPr>
        <w:t>3. Part 2</w:t>
      </w:r>
      <w:bookmarkEnd w:id="5"/>
    </w:p>
    <w:p w14:paraId="6BECCD07">
      <w:pPr>
        <w:pStyle w:val="3"/>
        <w:rPr>
          <w:lang w:val="en-GB"/>
        </w:rPr>
      </w:pPr>
      <w:bookmarkStart w:id="6" w:name="_Toc218683294"/>
      <w:r>
        <w:rPr>
          <w:lang w:val="en-GB"/>
        </w:rPr>
        <w:t>3.1 Evaluation of three investment options</w:t>
      </w:r>
      <w:bookmarkEnd w:id="6"/>
      <w:r>
        <w:rPr>
          <w:lang w:val="en-GB"/>
        </w:rPr>
        <w:t xml:space="preserve"> </w:t>
      </w:r>
    </w:p>
    <w:p w14:paraId="45B97C0A">
      <w:pPr>
        <w:rPr>
          <w:lang w:val="en-GB"/>
        </w:rPr>
      </w:pPr>
      <w:r>
        <w:rPr>
          <w:lang w:val="en-GB"/>
        </w:rPr>
        <w:t>The findings of the Net Present Value (NPV) show that all these three investment sources will be viable since they all have a positive NPV value thus they add value to the business. The first option or expansion of the retail outlet is associated with an NPV of £643,000 which represents consistent but relatively low returns. Option C that involves the manufacturing of wooden and roman blinds has a higher NPV of £742,000 but it has the greatest capital investment hence the risk is increased. The highest NPV of £792,000, meaning the largest financial advantage, is registered in option B, which is more concentrated on the development of the sales of the internet. Therefore, Option B can be considered as the best option, as it would create the highest value Besides the NPV outcomes, it is very important to analyse other sources that may have an effect on the ultimate investment decision. All of them can be discussed as financially viable; nevertheless, they vary in terms of risk profiles, cost structures, and long-term benefits (Geltner et al., 2023). The growth of the retail store offers steady and stable returns which can be of interest to a business that appreciates low risk and steady growth. However, the low NPV implies that this alternative is not necessarily the best way of exploring the growth potential of the company, especially in a competitive market. The manufacturing of wooden and Roman blinds under option C is a better NPV than option A because it will require a significantly larger amount of initial investment. This increases the financial risk particularly when demand fails to improve as it is expected (Kourtis et al., 2022). High costs of production, supply chain interruptions, and changes in customer preferences can also be experienced in the future cash flows. Even though this alternative has the potential of producing healthy returns, it requires careful planning and proper cost containment to prevent losses.</w:t>
      </w:r>
    </w:p>
    <w:p w14:paraId="768263A6">
      <w:pPr>
        <w:rPr>
          <w:b/>
          <w:bCs/>
          <w:i/>
          <w:iCs/>
          <w:lang w:val="en-GB"/>
        </w:rPr>
      </w:pPr>
      <w:r>
        <w:rPr>
          <w:lang w:val="en-GB"/>
        </w:rPr>
        <w:t xml:space="preserve">The most convincing alternative is option B that is based on the expansion of online sales. This has the highest NPV thus generating maximum value of the business. When compared to the physical stores and manufacturing premises, the online sales usually have fewer fixed costs. This alternative is also a better flexibility and scalability that would allow the company to access a larger clientele base without having to spend a lot of capital. In addition, web services are easy to use in gathering customer information, customizing marketing approaches and when it comes to reacting quickly to the market trends (Unanah and Mbanugo, 2025). Moreover, B also maintains a long-term business growth with its adaptation to the modern consumer behaviour trends as more and more customers are inclined to prefer online shopping. It also makes physical locations and inventory storage unnecessary. All in all, all three options are viable but Option B will represent the best balance between the return, risk and future growth and it will therefore be the most suitable choice of investment </w:t>
      </w:r>
      <w:r>
        <w:rPr>
          <w:b/>
          <w:bCs/>
          <w:i/>
          <w:iCs/>
          <w:lang w:val="en-GB"/>
        </w:rPr>
        <w:t>[Refer to Appendix 3].</w:t>
      </w:r>
    </w:p>
    <w:p w14:paraId="0335DCE8">
      <w:pPr>
        <w:pStyle w:val="3"/>
        <w:rPr>
          <w:lang w:val="en-GB"/>
        </w:rPr>
      </w:pPr>
      <w:bookmarkStart w:id="7" w:name="_Toc218683295"/>
      <w:r>
        <w:rPr>
          <w:lang w:val="en-GB"/>
        </w:rPr>
        <w:t>3.2 Internal Rate of Return (IRR)</w:t>
      </w:r>
      <w:bookmarkEnd w:id="7"/>
    </w:p>
    <w:tbl>
      <w:tblPr>
        <w:tblStyle w:val="19"/>
        <w:tblW w:w="5000"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2002"/>
        <w:gridCol w:w="7558"/>
      </w:tblGrid>
      <w:tr w14:paraId="730463F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15" w:hRule="atLeast"/>
          <w:jc w:val="center"/>
        </w:trPr>
        <w:tc>
          <w:tcPr>
            <w:tcW w:w="5000" w:type="pct"/>
            <w:gridSpan w:val="2"/>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44685EA9">
            <w:pPr>
              <w:jc w:val="center"/>
              <w:rPr>
                <w:b/>
                <w:bCs/>
                <w:lang w:val="en-GB"/>
              </w:rPr>
            </w:pPr>
            <w:r>
              <w:rPr>
                <w:b/>
                <w:bCs/>
                <w:lang w:val="en-GB"/>
              </w:rPr>
              <w:t>B: Develop into internet sales</w:t>
            </w:r>
          </w:p>
        </w:tc>
      </w:tr>
      <w:tr w14:paraId="7EA8956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A7B10A3">
            <w:pPr>
              <w:jc w:val="center"/>
              <w:rPr>
                <w:b/>
                <w:bCs/>
                <w:i/>
                <w:iCs/>
                <w:lang w:val="en-GB"/>
              </w:rPr>
            </w:pPr>
            <w:r>
              <w:rPr>
                <w:b/>
                <w:bCs/>
                <w:i/>
                <w:iCs/>
                <w:lang w:val="en-GB"/>
              </w:rPr>
              <w:t>Year</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2E39E8E6">
            <w:pPr>
              <w:jc w:val="center"/>
              <w:rPr>
                <w:b/>
                <w:bCs/>
                <w:i/>
                <w:iCs/>
                <w:lang w:val="en-GB"/>
              </w:rPr>
            </w:pPr>
            <w:r>
              <w:rPr>
                <w:b/>
                <w:bCs/>
                <w:i/>
                <w:iCs/>
                <w:lang w:val="en-GB"/>
              </w:rPr>
              <w:t>Cash Flow after Tax (£'000)</w:t>
            </w:r>
          </w:p>
        </w:tc>
      </w:tr>
      <w:tr w14:paraId="02C467B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4793038">
            <w:pPr>
              <w:jc w:val="right"/>
              <w:rPr>
                <w:lang w:val="en-GB"/>
              </w:rPr>
            </w:pPr>
            <w:r>
              <w:rPr>
                <w:lang w:val="en-GB"/>
              </w:rPr>
              <w:t>0</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583BA20B">
            <w:pPr>
              <w:jc w:val="right"/>
              <w:rPr>
                <w:lang w:val="en-GB"/>
              </w:rPr>
            </w:pPr>
            <w:r>
              <w:rPr>
                <w:lang w:val="en-GB"/>
              </w:rPr>
              <w:t>-1600</w:t>
            </w:r>
          </w:p>
        </w:tc>
      </w:tr>
      <w:tr w14:paraId="3FBA394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3CB007D">
            <w:pPr>
              <w:jc w:val="right"/>
              <w:rPr>
                <w:lang w:val="en-GB"/>
              </w:rPr>
            </w:pPr>
            <w:r>
              <w:rPr>
                <w:lang w:val="en-GB"/>
              </w:rPr>
              <w:t>1</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5DDE99AC">
            <w:pPr>
              <w:jc w:val="right"/>
              <w:rPr>
                <w:lang w:val="en-GB"/>
              </w:rPr>
            </w:pPr>
            <w:r>
              <w:rPr>
                <w:lang w:val="en-GB"/>
              </w:rPr>
              <w:t>417.5</w:t>
            </w:r>
          </w:p>
        </w:tc>
      </w:tr>
      <w:tr w14:paraId="14AEB8F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634DBF8">
            <w:pPr>
              <w:jc w:val="right"/>
              <w:rPr>
                <w:lang w:val="en-GB"/>
              </w:rPr>
            </w:pPr>
            <w:r>
              <w:rPr>
                <w:lang w:val="en-GB"/>
              </w:rPr>
              <w:t>2</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14E79E40">
            <w:pPr>
              <w:jc w:val="right"/>
              <w:rPr>
                <w:lang w:val="en-GB"/>
              </w:rPr>
            </w:pPr>
            <w:r>
              <w:rPr>
                <w:lang w:val="en-GB"/>
              </w:rPr>
              <w:t>605</w:t>
            </w:r>
          </w:p>
        </w:tc>
      </w:tr>
      <w:tr w14:paraId="03C0758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DFAD305">
            <w:pPr>
              <w:jc w:val="right"/>
              <w:rPr>
                <w:lang w:val="en-GB"/>
              </w:rPr>
            </w:pPr>
            <w:r>
              <w:rPr>
                <w:lang w:val="en-GB"/>
              </w:rPr>
              <w:t>3</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6A7E20E2">
            <w:pPr>
              <w:jc w:val="right"/>
              <w:rPr>
                <w:lang w:val="en-GB"/>
              </w:rPr>
            </w:pPr>
            <w:r>
              <w:rPr>
                <w:lang w:val="en-GB"/>
              </w:rPr>
              <w:t>755</w:t>
            </w:r>
          </w:p>
        </w:tc>
      </w:tr>
      <w:tr w14:paraId="0C05FB6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969F724">
            <w:pPr>
              <w:jc w:val="right"/>
              <w:rPr>
                <w:lang w:val="en-GB"/>
              </w:rPr>
            </w:pPr>
            <w:r>
              <w:rPr>
                <w:lang w:val="en-GB"/>
              </w:rPr>
              <w:t>4</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413AE8E9">
            <w:pPr>
              <w:jc w:val="right"/>
              <w:rPr>
                <w:lang w:val="en-GB"/>
              </w:rPr>
            </w:pPr>
            <w:r>
              <w:rPr>
                <w:lang w:val="en-GB"/>
              </w:rPr>
              <w:t>980</w:t>
            </w:r>
          </w:p>
        </w:tc>
      </w:tr>
      <w:tr w14:paraId="7648EBC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1047" w:type="pct"/>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C8A6034">
            <w:pPr>
              <w:jc w:val="center"/>
              <w:rPr>
                <w:b/>
                <w:bCs/>
                <w:lang w:val="en-GB"/>
              </w:rPr>
            </w:pPr>
            <w:r>
              <w:rPr>
                <w:b/>
                <w:bCs/>
                <w:lang w:val="en-GB"/>
              </w:rPr>
              <w:t>IRR</w:t>
            </w:r>
          </w:p>
        </w:tc>
        <w:tc>
          <w:tcPr>
            <w:tcW w:w="3953" w:type="pct"/>
            <w:tcBorders>
              <w:top w:val="nil"/>
              <w:left w:val="nil"/>
              <w:bottom w:val="single" w:color="000000" w:sz="4" w:space="0"/>
              <w:right w:val="single" w:color="000000" w:sz="4" w:space="0"/>
            </w:tcBorders>
            <w:tcMar>
              <w:top w:w="0" w:type="dxa"/>
              <w:left w:w="100" w:type="dxa"/>
              <w:bottom w:w="0" w:type="dxa"/>
              <w:right w:w="100" w:type="dxa"/>
            </w:tcMar>
          </w:tcPr>
          <w:p w14:paraId="4399972A">
            <w:pPr>
              <w:jc w:val="center"/>
              <w:rPr>
                <w:b/>
                <w:bCs/>
                <w:lang w:val="en-GB"/>
              </w:rPr>
            </w:pPr>
            <w:r>
              <w:rPr>
                <w:b/>
                <w:bCs/>
                <w:lang w:val="en-GB"/>
              </w:rPr>
              <w:t>22%</w:t>
            </w:r>
          </w:p>
        </w:tc>
      </w:tr>
    </w:tbl>
    <w:p w14:paraId="668A93CD">
      <w:pPr>
        <w:jc w:val="center"/>
        <w:rPr>
          <w:b/>
          <w:bCs/>
          <w:lang w:val="en-GB"/>
        </w:rPr>
      </w:pPr>
      <w:r>
        <w:rPr>
          <w:b/>
          <w:bCs/>
          <w:lang w:val="en-GB"/>
        </w:rPr>
        <w:t>Table 1: IRR of Option B</w:t>
      </w:r>
    </w:p>
    <w:p w14:paraId="6D54FD35">
      <w:pPr>
        <w:jc w:val="center"/>
        <w:rPr>
          <w:lang w:val="en-GB"/>
        </w:rPr>
      </w:pPr>
      <w:r>
        <w:rPr>
          <w:lang w:val="en-GB"/>
        </w:rPr>
        <w:t>(Source: Created by the author)</w:t>
      </w:r>
    </w:p>
    <w:p w14:paraId="6BF0E253">
      <w:pPr>
        <w:rPr>
          <w:lang w:val="en-US" w:eastAsia="en-US"/>
        </w:rPr>
      </w:pPr>
      <w:r>
        <w:rPr>
          <w:color w:val="000000"/>
          <w:lang w:val="en-US" w:eastAsia="en-US"/>
        </w:rPr>
        <w:t>Another outcome to support the use of Option B is the Internal Rate of Return (IRR) in addition to the NPV outcomes. An IRR of 22 is shown here to indicate the rate whereby the discounting factor of the future cash inflows would have the initial investment (Hemel and Ouellette, 2023). Since this is a higher yield than the usual cost of money of most businesses, this project can be considered as a financially appealing one. A greater IRR implies that the project pays its strong returns against the capital invested. Cash-flow profile of option B also justifies its choice. Although the initial investment of the project in year 0 was high of -1600, it still begins to produce positive cash flows in the years after year 1. These cash flows increase consistent with the following pattern, taking off with a figure of 417.5 in year 1 and increasing to a figure of 980 in year 4 (Dansky</w:t>
      </w:r>
      <w:r>
        <w:rPr>
          <w:i/>
          <w:iCs/>
          <w:color w:val="000000"/>
          <w:lang w:val="en-US" w:eastAsia="en-US"/>
        </w:rPr>
        <w:t xml:space="preserve"> et al.,</w:t>
      </w:r>
      <w:r>
        <w:rPr>
          <w:color w:val="000000"/>
          <w:lang w:val="en-US" w:eastAsia="en-US"/>
        </w:rPr>
        <w:t xml:space="preserve"> 2025). These growth trends indicate that the online sales concept has significant potential in earning the business and will be even more lucrative in the future as the company increases its online sales capacity.</w:t>
      </w:r>
    </w:p>
    <w:p w14:paraId="74B1858A">
      <w:pPr>
        <w:rPr>
          <w:lang w:val="en-GB"/>
        </w:rPr>
      </w:pPr>
      <w:r>
        <w:rPr>
          <w:color w:val="000000"/>
          <w:lang w:val="en-US" w:eastAsia="en-US"/>
        </w:rPr>
        <w:t>Another advantage of 22% IRR is that the prudent margin of safety is provided. The project can still turn out to be profitable even in the case the actual cash flows are slightly lower than projected. This type of cushion reduces the overall risk of said investment compared to those that have lower values in the IRR (Panchal</w:t>
      </w:r>
      <w:r>
        <w:rPr>
          <w:i/>
          <w:iCs/>
          <w:color w:val="000000"/>
          <w:lang w:val="en-US" w:eastAsia="en-US"/>
        </w:rPr>
        <w:t xml:space="preserve"> et al., </w:t>
      </w:r>
      <w:r>
        <w:rPr>
          <w:color w:val="000000"/>
          <w:lang w:val="en-US" w:eastAsia="en-US"/>
        </w:rPr>
        <w:t>2025). Such margin is required in unstable market conditions that enable sound decision management. The operating risk in option B is also less than both the physical expansion and manufacturing option. Online sales are usually associated with low fixed costs, less staffing needs, and inventory costs. These help maintain levels of steady cash flows and improve the total payback. With the continued growth in the use of internet and online shops, the project is expected to yield or even exceed the expected returns. Overall, IRR analysis gives a unanimous support to option B as a solid investment decision. The significant IRR, growth NTCF, and reduced risk profile make it suitable in terms of growth in its long-term (Naim, 2024). A combination of the NPV outcomes and the results of the analysis of the answer to the question shows that Option B will be the most profitable and realistic investment in the company.</w:t>
      </w:r>
    </w:p>
    <w:p w14:paraId="7082BD02">
      <w:pPr>
        <w:pStyle w:val="3"/>
        <w:rPr>
          <w:lang w:val="en-GB"/>
        </w:rPr>
      </w:pPr>
      <w:bookmarkStart w:id="8" w:name="_Toc218683296"/>
      <w:r>
        <w:rPr>
          <w:lang w:val="en-GB"/>
        </w:rPr>
        <w:t>3.3 Interpretation of Results</w:t>
      </w:r>
      <w:bookmarkEnd w:id="8"/>
    </w:p>
    <w:p w14:paraId="6299DF26">
      <w:pPr>
        <w:rPr>
          <w:lang w:val="en-GB"/>
        </w:rPr>
      </w:pPr>
      <w:r>
        <w:rPr>
          <w:lang w:val="en-GB"/>
        </w:rPr>
        <w:t>The Net Present Value (NPV) is the most superior approach to the investment appraisals since it has the ability of quantifying benefits that a project brings to the business. It also takes into consideration time value of money hence appreciating the fact that money today would be of greater value than money tomorrow. NPV also considers all cash flows within the life of the project and uses the cost of capital which makes the management choose the option which maximises the shareholder wealth (Arjunan, 2022)</w:t>
      </w:r>
      <w:r>
        <w:rPr>
          <w:i/>
          <w:iCs/>
          <w:lang w:val="en-GB"/>
        </w:rPr>
        <w:t>,</w:t>
      </w:r>
      <w:r>
        <w:rPr>
          <w:lang w:val="en-GB"/>
        </w:rPr>
        <w:t xml:space="preserve"> High NPV will thus result in a good project.</w:t>
      </w:r>
    </w:p>
    <w:p w14:paraId="4412A486">
      <w:pPr>
        <w:rPr>
          <w:lang w:val="en-GB"/>
        </w:rPr>
      </w:pPr>
      <w:r>
        <w:rPr>
          <w:lang w:val="en-GB"/>
        </w:rPr>
        <w:t xml:space="preserve">However, the payback period is among the non-discounting techniques that are still popular with the managers (Eferakeya </w:t>
      </w:r>
      <w:r>
        <w:rPr>
          <w:i/>
          <w:iCs/>
          <w:lang w:val="en-GB"/>
        </w:rPr>
        <w:t>et al.,</w:t>
      </w:r>
      <w:r>
        <w:rPr>
          <w:lang w:val="en-GB"/>
        </w:rPr>
        <w:t>2022). They can be easily understood and calculated, and their beauty is that they show how quickly one can break-even on the initial investment, which is especially significant in a situation where a firm is in liquidity problems and liquidity requirements. Managers thus incline to simple ways in cases where quick decisions must be made.</w:t>
      </w:r>
    </w:p>
    <w:p w14:paraId="1A3E7BDA">
      <w:pPr>
        <w:rPr>
          <w:lang w:val="en-GB"/>
        </w:rPr>
      </w:pPr>
      <w:r>
        <w:rPr>
          <w:lang w:val="en-GB"/>
        </w:rPr>
        <w:t>These are some of the considerations that the management should also consider before making a final decision on an investment. These include the risk amount, access to finance, employee effects, demand in the market, competition and compatibility with the long-term strategic needs. There are also non-financial elements that can be mentioned such as brand image and customer satisfaction.</w:t>
      </w:r>
    </w:p>
    <w:p w14:paraId="1F8060CE">
      <w:pPr>
        <w:rPr>
          <w:lang w:val="en-GB"/>
        </w:rPr>
      </w:pPr>
      <w:r>
        <w:rPr>
          <w:lang w:val="en-GB"/>
        </w:rPr>
        <w:t>In addition to the NPV and payback period, the Internal rate of return (IRR) also plays a very important role in the interpretation of outcomes of investments. IRR displays the expected percentage yield of a project and enables managers to make comparisons on diverse investment projects. A project whose IRR is more than the cost of capital is normally accepted since it indicates that the project would provide a higher return than the cost (Khajavi et al., 2024). The IRR is therefore useful in prioritizing projects especially in situations where there is a constraint in regard to capital resources. Though NPV is considered as being the best approach, it does prove at times difficult to understand by managers who do not deal in monetary terms. On the contrary, the IRR, as well as the payback period are easier and more intuitive (Panahi et al., 2023). Payback period measures speed of payback cash, which is paramount in times of pressures facing businesses due to the lack of cash flow. It, however, ignores the cash flows outside the payback period and fails to factor in the time value of money which limits its accuracy.</w:t>
      </w:r>
    </w:p>
    <w:p w14:paraId="1B0E7A42">
      <w:pPr>
        <w:rPr>
          <w:lang w:val="en-GB"/>
        </w:rPr>
      </w:pPr>
      <w:r>
        <w:rPr>
          <w:lang w:val="en-GB"/>
        </w:rPr>
        <w:t xml:space="preserve">IRR has not got its limitations. It also assumes that cash flows in future can be reinvested using the same rate which is not always realistic. The NPV and IRR may show divergent results in the projects of different scales in some cases. This is where NPV must be given true significance, which easily measures value creation (Blankenagel et al., 2022). The management should therefore, use a mixture of the appraisal techniques, and not rely on one technique. The outcomes of finances have to be measured in relation to the strategy and reality. An example is where a project with a high NPV might be inappropriate in case it requires a significant risk or the resources are exceeding those of the company. The source of capable staff, technology and other long term business purposes should also be put into consideration. </w:t>
      </w:r>
    </w:p>
    <w:p w14:paraId="6ED6D819">
      <w:pPr>
        <w:rPr>
          <w:lang w:val="en-GB"/>
        </w:rPr>
      </w:pPr>
      <w:r>
        <w:rPr>
          <w:lang w:val="en-GB"/>
        </w:rPr>
        <w:t>The demand and competition as well as consumer behaviour are also significant in the market. A venture must support the forthcoming expansion and retail visibility of the firm. Non-financial benefits such as customer satisfaction, innovation and environmental impact may not be quantitative but still influence the overall success in the long term (Khan and Obiosa, 2024). On the whole, the process of investment decision making should be based on financial performance and the larger business interests. Through the use of NPV as the main decision tool with the assistance of IRR and payback period, the management will be able to come up with level-headed and informed investment decisions capable of creating long-term value.</w:t>
      </w:r>
    </w:p>
    <w:p w14:paraId="6A22257F">
      <w:pPr>
        <w:pStyle w:val="3"/>
        <w:rPr>
          <w:lang w:val="en-GB"/>
        </w:rPr>
      </w:pPr>
      <w:bookmarkStart w:id="9" w:name="_Toc218683297"/>
      <w:r>
        <w:rPr>
          <w:lang w:val="en-GB"/>
        </w:rPr>
        <w:t>3.4 Optimal investment policy and the resulting total NPV</w:t>
      </w:r>
      <w:bookmarkEnd w:id="9"/>
    </w:p>
    <w:p w14:paraId="3B056808">
      <w:pPr>
        <w:rPr>
          <w:lang w:val="en-GB"/>
        </w:rPr>
      </w:pPr>
      <w:r>
        <w:rPr>
          <w:lang w:val="en-GB"/>
        </w:rPr>
        <w:t xml:space="preserve">Considering the given context, funds are limited to £2,500,000 and the projects are divisible. In this situation Profitability Index (PI) is the best approach which can be helpful for the management of Westward Plc in terms of  selecting projects that give the highest NPV.   </w:t>
      </w:r>
    </w:p>
    <w:p w14:paraId="5974CE26">
      <w:pPr>
        <w:rPr>
          <w:b/>
          <w:bCs/>
          <w:i/>
          <w:iCs/>
          <w:u w:val="single"/>
          <w:lang w:val="en-GB"/>
        </w:rPr>
      </w:pPr>
      <w:r>
        <w:rPr>
          <w:b/>
          <w:bCs/>
          <w:i/>
          <w:iCs/>
          <w:u w:val="single"/>
          <w:lang w:val="en-GB"/>
        </w:rPr>
        <w:t>Step 1: Profitability Intext</w:t>
      </w:r>
    </w:p>
    <w:p w14:paraId="71158070">
      <w:pPr>
        <w:rPr>
          <w:lang w:val="en-GB"/>
        </w:rPr>
      </w:pPr>
      <w:r>
        <w:rPr>
          <w:lang w:val="en-GB"/>
        </w:rPr>
        <w:t>PI = (NPV/ Initial Investment)</w:t>
      </w:r>
    </w:p>
    <w:p w14:paraId="60ED3375">
      <w:pPr>
        <w:numPr>
          <w:ilvl w:val="0"/>
          <w:numId w:val="3"/>
        </w:numPr>
        <w:rPr>
          <w:lang w:val="en-GB"/>
        </w:rPr>
      </w:pPr>
      <w:r>
        <w:rPr>
          <w:lang w:val="en-GB"/>
        </w:rPr>
        <w:t>Option A: 643 ÷ 600 = 1.07</w:t>
      </w:r>
    </w:p>
    <w:p w14:paraId="06DC0991">
      <w:pPr>
        <w:numPr>
          <w:ilvl w:val="0"/>
          <w:numId w:val="3"/>
        </w:numPr>
        <w:rPr>
          <w:lang w:val="en-GB"/>
        </w:rPr>
      </w:pPr>
      <w:r>
        <w:rPr>
          <w:lang w:val="en-GB"/>
        </w:rPr>
        <w:t>Option B: 792 ÷ 1,000 = 0.79</w:t>
      </w:r>
    </w:p>
    <w:p w14:paraId="4267AF08">
      <w:pPr>
        <w:numPr>
          <w:ilvl w:val="0"/>
          <w:numId w:val="3"/>
        </w:numPr>
        <w:rPr>
          <w:lang w:val="en-GB"/>
        </w:rPr>
      </w:pPr>
      <w:r>
        <w:rPr>
          <w:lang w:val="en-GB"/>
        </w:rPr>
        <w:t>Option C: 742 ÷ 1,600 = 0.46</w:t>
      </w:r>
    </w:p>
    <w:p w14:paraId="1EB297F5">
      <w:pPr>
        <w:rPr>
          <w:b/>
          <w:bCs/>
          <w:i/>
          <w:iCs/>
          <w:u w:val="single"/>
          <w:lang w:val="en-GB"/>
        </w:rPr>
      </w:pPr>
      <w:r>
        <w:rPr>
          <w:b/>
          <w:bCs/>
          <w:i/>
          <w:iCs/>
          <w:u w:val="single"/>
          <w:lang w:val="en-GB"/>
        </w:rPr>
        <w:t>Step 2: Rank Projects (Highest PI first)</w:t>
      </w:r>
    </w:p>
    <w:p w14:paraId="447C4182">
      <w:pPr>
        <w:rPr>
          <w:lang w:val="en-GB"/>
        </w:rPr>
      </w:pPr>
      <w:r>
        <w:rPr>
          <w:lang w:val="en-GB"/>
        </w:rPr>
        <w:t>(i)OptionA</w:t>
      </w:r>
      <w:r>
        <w:rPr>
          <w:lang w:val="en-GB"/>
        </w:rPr>
        <w:br w:type="textWrapping"/>
      </w:r>
      <w:r>
        <w:rPr>
          <w:lang w:val="en-GB"/>
        </w:rPr>
        <w:t>(ii)OptionB</w:t>
      </w:r>
      <w:r>
        <w:rPr>
          <w:lang w:val="en-GB"/>
        </w:rPr>
        <w:br w:type="textWrapping"/>
      </w:r>
      <w:r>
        <w:rPr>
          <w:lang w:val="en-GB"/>
        </w:rPr>
        <w:t>(iii) Option C</w:t>
      </w:r>
    </w:p>
    <w:p w14:paraId="6DE9F835">
      <w:pPr>
        <w:rPr>
          <w:b/>
          <w:bCs/>
          <w:i/>
          <w:iCs/>
          <w:u w:val="single"/>
          <w:lang w:val="en-GB"/>
        </w:rPr>
      </w:pPr>
      <w:r>
        <w:rPr>
          <w:b/>
          <w:bCs/>
          <w:i/>
          <w:iCs/>
          <w:u w:val="single"/>
          <w:lang w:val="en-GB"/>
        </w:rPr>
        <w:t>Step 3: Allocate the £2,500,000</w:t>
      </w:r>
    </w:p>
    <w:p w14:paraId="43E3FD3E">
      <w:pPr>
        <w:numPr>
          <w:ilvl w:val="0"/>
          <w:numId w:val="4"/>
        </w:numPr>
        <w:rPr>
          <w:lang w:val="en-GB"/>
        </w:rPr>
      </w:pPr>
      <w:r>
        <w:rPr>
          <w:lang w:val="en-GB"/>
        </w:rPr>
        <w:t xml:space="preserve">Take </w:t>
      </w:r>
      <w:r>
        <w:rPr>
          <w:b/>
          <w:bCs/>
          <w:lang w:val="en-GB"/>
        </w:rPr>
        <w:t>Option A fully</w:t>
      </w:r>
      <w:r>
        <w:rPr>
          <w:rFonts w:ascii="Cardo" w:hAnsi="Cardo" w:eastAsia="Cardo" w:cs="Cardo"/>
          <w:lang w:val="en-GB"/>
        </w:rPr>
        <w:t xml:space="preserve"> → £600,000 (NPV = £643,000)</w:t>
      </w:r>
    </w:p>
    <w:p w14:paraId="1C771442">
      <w:pPr>
        <w:numPr>
          <w:ilvl w:val="0"/>
          <w:numId w:val="4"/>
        </w:numPr>
        <w:rPr>
          <w:lang w:val="en-GB"/>
        </w:rPr>
      </w:pPr>
      <w:r>
        <w:rPr>
          <w:lang w:val="en-GB"/>
        </w:rPr>
        <w:t xml:space="preserve">Take </w:t>
      </w:r>
      <w:r>
        <w:rPr>
          <w:b/>
          <w:bCs/>
          <w:lang w:val="en-GB"/>
        </w:rPr>
        <w:t>Option B fully</w:t>
      </w:r>
      <w:r>
        <w:rPr>
          <w:rFonts w:ascii="Cardo" w:hAnsi="Cardo" w:eastAsia="Cardo" w:cs="Cardo"/>
          <w:lang w:val="en-GB"/>
        </w:rPr>
        <w:t xml:space="preserve"> → £1,000,000 (NPV = £792,000)</w:t>
      </w:r>
    </w:p>
    <w:p w14:paraId="1F50EE90">
      <w:pPr>
        <w:numPr>
          <w:ilvl w:val="0"/>
          <w:numId w:val="4"/>
        </w:numPr>
        <w:rPr>
          <w:lang w:val="en-GB"/>
        </w:rPr>
      </w:pPr>
      <w:r>
        <w:rPr>
          <w:lang w:val="en-GB"/>
        </w:rPr>
        <w:t>Remaining funds =  (£2,500,000 - £1,600,000) = £900,000</w:t>
      </w:r>
    </w:p>
    <w:p w14:paraId="7EDCC1D5">
      <w:pPr>
        <w:rPr>
          <w:lang w:val="en-GB"/>
        </w:rPr>
      </w:pPr>
      <w:r>
        <w:rPr>
          <w:lang w:val="en-GB"/>
        </w:rPr>
        <w:t>Invest £900,000 in Option C (900/1,600 = 56.25%)</w:t>
      </w:r>
    </w:p>
    <w:p w14:paraId="7604F911">
      <w:pPr>
        <w:numPr>
          <w:ilvl w:val="0"/>
          <w:numId w:val="5"/>
        </w:numPr>
        <w:rPr>
          <w:lang w:val="en-GB"/>
        </w:rPr>
      </w:pPr>
      <w:r>
        <w:rPr>
          <w:lang w:val="en-GB"/>
        </w:rPr>
        <w:t>NPV from Option C portion: (742×56.25%) =£417,000</w:t>
      </w:r>
    </w:p>
    <w:p w14:paraId="37D40892">
      <w:pPr>
        <w:numPr>
          <w:ilvl w:val="0"/>
          <w:numId w:val="5"/>
        </w:numPr>
        <w:rPr>
          <w:lang w:val="en-GB"/>
        </w:rPr>
      </w:pPr>
      <w:r>
        <w:rPr>
          <w:lang w:val="en-GB"/>
        </w:rPr>
        <w:t xml:space="preserve">Resulting Total NPV = (643+792+417)=£1,852,000 </w:t>
      </w:r>
    </w:p>
    <w:p w14:paraId="3FE1F465">
      <w:pPr>
        <w:rPr>
          <w:b/>
          <w:bCs/>
          <w:i/>
          <w:iCs/>
          <w:u w:val="single"/>
          <w:lang w:val="en-GB"/>
        </w:rPr>
      </w:pPr>
      <w:r>
        <w:rPr>
          <w:b/>
          <w:bCs/>
          <w:i/>
          <w:iCs/>
          <w:u w:val="single"/>
          <w:lang w:val="en-GB"/>
        </w:rPr>
        <w:t>Optimal Investment Policy</w:t>
      </w:r>
    </w:p>
    <w:p w14:paraId="5C59AB92">
      <w:pPr>
        <w:rPr>
          <w:lang w:val="en-GB"/>
        </w:rPr>
      </w:pPr>
      <w:r>
        <w:rPr>
          <w:lang w:val="en-GB"/>
        </w:rPr>
        <w:t>The optimal policy is to fully invest in Options A and B and partly invest in Option C. This gives the maximum total NPV of £1,852,000, making the best use of the limited funds.</w:t>
      </w:r>
    </w:p>
    <w:p w14:paraId="0A473DF3">
      <w:pPr>
        <w:rPr>
          <w:lang w:val="en-GB"/>
        </w:rPr>
      </w:pPr>
      <w:r>
        <w:rPr>
          <w:lang w:val="en-GB"/>
        </w:rPr>
        <w:t>Along with the calculation, the use of the Profitability Index (PI) gives the unquestionable support to the successful rationing of capital under the conditions of limited funds. Since the projects can be broken down, the PI allows the management to decide on the manner in which to utilize the available budget to create maximum value (Roy, 2023). An increased PI is an indication that more value is created on every pound invested and this is especially mesmeric when the company cannot fully fund all the projects. An option A has the first position of highest PI at 1.07. By this, a pound of money spent in the project is equivalent to a value of 1.07 pounds. This makes the choice of Option A very appealing despite the fact that it has a negative net present value as compared to the choice option B (Johansen et al., 2025). Even though Option B has the highest individual NPV, its PI of 0.79 is less and this points to the realization that it does not generate as much value per pound of investment as compared to Option A. However, it has significant total value and, hence, is to be accepted in full.</w:t>
      </w:r>
    </w:p>
    <w:p w14:paraId="6A203EE2">
      <w:pPr>
        <w:rPr>
          <w:lang w:val="en-GB"/>
        </w:rPr>
      </w:pPr>
      <w:r>
        <w:rPr>
          <w:lang w:val="en-GB"/>
        </w:rPr>
        <w:t>Option B has the least PI of 0. 46, which implies that it is least efficient in creating the value when the amount of investment is increased. However, considering the fact that the projects can be partitioned and the residual funds that are left after investing in the Options  A and  B, it is still beneficial to invest partially in the Option  C instead of halting the excess funds. The option of a partial allocation to Option C is advantageous to the aggregate (NPV Woods et al., 2022). This option would ensure that the limited budget estimate of £2 500,000 is utilized best. Instead of only focusing on the project NPV of the individual projects, the PI methodology allows the management to optimize the overall shareholder wealth by choosing an appropriate project mix. It excludes the allocation of resources inefficiency and it is also essential to make certain that all budgetary allocations produce good returns.</w:t>
      </w:r>
    </w:p>
    <w:p w14:paraId="02663D3B">
      <w:pPr>
        <w:rPr>
          <w:lang w:val="en-GB"/>
        </w:rPr>
      </w:pPr>
      <w:r>
        <w:rPr>
          <w:lang w:val="en-GB"/>
        </w:rPr>
        <w:t>In addition, this is the best policy in investments as it is balanced in terms of risk and return. The company has reduced the overall investment risk due to its diversification of capital through funding several projects, rather than focusing on only one of them, which would result in a concentration risk. Part of the investment to option C also allows the company to introduce the project through a smaller scale first to enable them to fully invest in the future. All in all, the use of the PI results in an appropriate and sensible decision regarding investment (Potier et al., 2022). When fully investing in Option A and B, with part percent investment of Option C, the aggregate yield is maximum in terms of NPV, which is 1852000. This policy ensures maximisation of use of scarce funds besides promoting the creation of value and sustainability in finances of Westward plc in the long run.</w:t>
      </w:r>
    </w:p>
    <w:p w14:paraId="7717D468">
      <w:pPr>
        <w:pStyle w:val="2"/>
        <w:rPr>
          <w:lang w:val="en-GB"/>
        </w:rPr>
      </w:pPr>
      <w:bookmarkStart w:id="10" w:name="_Toc218683298"/>
      <w:r>
        <w:rPr>
          <w:lang w:val="en-GB"/>
        </w:rPr>
        <w:t>4. Conclusion</w:t>
      </w:r>
      <w:bookmarkEnd w:id="10"/>
    </w:p>
    <w:p w14:paraId="683C87D9">
      <w:pPr>
        <w:rPr>
          <w:lang w:val="en-GB"/>
        </w:rPr>
      </w:pPr>
      <w:r>
        <w:rPr>
          <w:lang w:val="en-GB"/>
        </w:rPr>
        <w:t>In conclusion it can be stated that the financial performance of GSK plc is overall good however, several improvements are required. The analysis shows that selecting projects based on profitability maximises total NPV, ensuring efficient use of limited funds and supporting value creation and long-term financial performance. The ratio analysis sheds light on the financial position of GSK plc illuminating the weakness as well as strength. Strong gross profit and gross profit margin ratios indicate efficiency in controlling the key costs but decline in operating and net profit margin ratios shows the need to better manage operating expenses. Liquidity ratios also show pressure in the short run, therefore, indicating that the company is required to focus on any given cash-flow and the effectiveness of the working capital. Financial risk will be curbed by managing the level of debts in a careful manner that will boost long-term stability. In the investment-decision standpoint, the application of the appraisal methods such as NPV, IRR, payback period, and profitability index provide a very clear and organised application in decision-making. The methods help in determination of projects that give maximum value and also ensure that scarce financial resources are used in a manner that is prudent.  The choice of projects based on the profitability index within the capital limits allows the management to realise a high level of aggregate returns as opposed to focusing on a single project. To conclude, employing appropriate investment-appraisal techniques and mechanisms, cost management, liquidity management, and efficiency management, GSK plc and Westward plc can empower financial results, cut down risks, as well as achieve long-term growth sustainability.</w:t>
      </w:r>
    </w:p>
    <w:p w14:paraId="75348996">
      <w:pPr>
        <w:pStyle w:val="2"/>
        <w:rPr>
          <w:lang w:val="en-GB"/>
        </w:rPr>
      </w:pPr>
      <w:bookmarkStart w:id="11" w:name="_a6u8ctj1i3my" w:colFirst="0" w:colLast="0"/>
      <w:bookmarkEnd w:id="11"/>
      <w:r>
        <w:rPr>
          <w:lang w:val="en-GB"/>
        </w:rPr>
        <w:br w:type="page"/>
      </w:r>
    </w:p>
    <w:p w14:paraId="7B8F460F">
      <w:pPr>
        <w:pStyle w:val="2"/>
        <w:rPr>
          <w:lang w:val="en-GB"/>
        </w:rPr>
      </w:pPr>
      <w:bookmarkStart w:id="12" w:name="_Toc218683299"/>
      <w:r>
        <w:rPr>
          <w:lang w:val="en-GB"/>
        </w:rPr>
        <w:t>References</w:t>
      </w:r>
      <w:bookmarkEnd w:id="12"/>
      <w:r>
        <w:rPr>
          <w:lang w:val="en-GB"/>
        </w:rPr>
        <w:t xml:space="preserve"> </w:t>
      </w:r>
    </w:p>
    <w:p w14:paraId="7CF5FEF9">
      <w:pPr>
        <w:rPr>
          <w:lang w:val="en-IN"/>
        </w:rPr>
      </w:pPr>
      <w:r>
        <w:rPr>
          <w:lang w:val="en-IN"/>
        </w:rPr>
        <w:t xml:space="preserve">Abd-El-Salam, E.M., 2023. Exploring factors affecting Employee Loyalty through the relationship between Service Quality and Management Commitment a case study analysis in the iron and steel industry Al Ezz Dekheila Steel Company in Egypt. </w:t>
      </w:r>
      <w:r>
        <w:rPr>
          <w:i/>
          <w:iCs/>
          <w:lang w:val="en-IN"/>
        </w:rPr>
        <w:t>Cogent Business &amp; Management</w:t>
      </w:r>
      <w:r>
        <w:rPr>
          <w:lang w:val="en-IN"/>
        </w:rPr>
        <w:t xml:space="preserve">, </w:t>
      </w:r>
      <w:r>
        <w:rPr>
          <w:i/>
          <w:iCs/>
          <w:lang w:val="en-IN"/>
        </w:rPr>
        <w:t>10</w:t>
      </w:r>
      <w:r>
        <w:rPr>
          <w:lang w:val="en-IN"/>
        </w:rPr>
        <w:t>(2), p.2212492.</w:t>
      </w:r>
    </w:p>
    <w:p w14:paraId="0443808F">
      <w:pPr>
        <w:rPr>
          <w:lang w:val="en-GB"/>
        </w:rPr>
      </w:pPr>
      <w:r>
        <w:rPr>
          <w:lang w:val="en-GB"/>
        </w:rPr>
        <w:t xml:space="preserve">Ali, A., Umrani, Z. and Jadoon, A.K., 2025. Macroeconomic and Financial Determinants of Equity Market Value: Evidence from the UK Listed Firms. </w:t>
      </w:r>
      <w:r>
        <w:rPr>
          <w:i/>
          <w:iCs/>
          <w:lang w:val="en-GB"/>
        </w:rPr>
        <w:t>Journal of Social Signs Review</w:t>
      </w:r>
      <w:r>
        <w:rPr>
          <w:lang w:val="en-GB"/>
        </w:rPr>
        <w:t xml:space="preserve">, </w:t>
      </w:r>
      <w:r>
        <w:rPr>
          <w:i/>
          <w:iCs/>
          <w:lang w:val="en-GB"/>
        </w:rPr>
        <w:t>3</w:t>
      </w:r>
      <w:r>
        <w:rPr>
          <w:lang w:val="en-GB"/>
        </w:rPr>
        <w:t>(4), pp.304-320.</w:t>
      </w:r>
    </w:p>
    <w:p w14:paraId="2CA7A938">
      <w:pPr>
        <w:rPr>
          <w:lang w:val="en-GB"/>
        </w:rPr>
      </w:pPr>
      <w:r>
        <w:rPr>
          <w:lang w:val="en-GB"/>
        </w:rPr>
        <w:t xml:space="preserve">Arjunan, K., 2022. A new method to estimate NPV and IRR from the capital amortization schedule and the advantages of the new method. </w:t>
      </w:r>
      <w:r>
        <w:rPr>
          <w:i/>
          <w:iCs/>
          <w:lang w:val="en-GB"/>
        </w:rPr>
        <w:t>Australasian Accounting, Business and Finance Journal</w:t>
      </w:r>
      <w:r>
        <w:rPr>
          <w:lang w:val="en-GB"/>
        </w:rPr>
        <w:t xml:space="preserve">, </w:t>
      </w:r>
      <w:r>
        <w:rPr>
          <w:i/>
          <w:iCs/>
          <w:lang w:val="en-GB"/>
        </w:rPr>
        <w:t>16</w:t>
      </w:r>
      <w:r>
        <w:rPr>
          <w:lang w:val="en-GB"/>
        </w:rPr>
        <w:t>(6).</w:t>
      </w:r>
    </w:p>
    <w:p w14:paraId="371396D2">
      <w:pPr>
        <w:rPr>
          <w:lang w:val="en-IN"/>
        </w:rPr>
      </w:pPr>
      <w:r>
        <w:rPr>
          <w:lang w:val="en-IN"/>
        </w:rPr>
        <w:t xml:space="preserve">Arvidsson, S. and Dumay, J., 2022. Corporate ESG reporting quantity, quality and performance: Where to now for environmental policy and practice?. </w:t>
      </w:r>
      <w:r>
        <w:rPr>
          <w:i/>
          <w:iCs/>
          <w:lang w:val="en-IN"/>
        </w:rPr>
        <w:t>Business strategy and the environment</w:t>
      </w:r>
      <w:r>
        <w:rPr>
          <w:lang w:val="en-IN"/>
        </w:rPr>
        <w:t xml:space="preserve">, </w:t>
      </w:r>
      <w:r>
        <w:rPr>
          <w:i/>
          <w:iCs/>
          <w:lang w:val="en-IN"/>
        </w:rPr>
        <w:t>31</w:t>
      </w:r>
      <w:r>
        <w:rPr>
          <w:lang w:val="en-IN"/>
        </w:rPr>
        <w:t>(3), pp.1091-1110.</w:t>
      </w:r>
    </w:p>
    <w:p w14:paraId="058DC917">
      <w:pPr>
        <w:rPr>
          <w:lang w:val="en-IN"/>
        </w:rPr>
      </w:pPr>
      <w:r>
        <w:rPr>
          <w:lang w:val="en-IN"/>
        </w:rPr>
        <w:t xml:space="preserve">Blankenagel, M., Canci, J.K. and Mekler, P., 2022. Value creation, valuation and business models in the pharmaceutical sector. In </w:t>
      </w:r>
      <w:r>
        <w:rPr>
          <w:i/>
          <w:iCs/>
          <w:lang w:val="en-IN"/>
        </w:rPr>
        <w:t>Quantitative Models in Life Science Business: From Value Creation to Business Processes</w:t>
      </w:r>
      <w:r>
        <w:rPr>
          <w:lang w:val="en-IN"/>
        </w:rPr>
        <w:t xml:space="preserve"> (pp. 3-16). Cham: Springer International Publishing.</w:t>
      </w:r>
    </w:p>
    <w:p w14:paraId="2B681FD1">
      <w:pPr>
        <w:rPr>
          <w:lang w:val="en-IN"/>
        </w:rPr>
      </w:pPr>
      <w:r>
        <w:rPr>
          <w:lang w:val="en-IN"/>
        </w:rPr>
        <w:t>Brackney, K.S. and Downen, T., 2022. GlaxoSmithKline PLC: Identifying And Analyzing IFRS Vs. US GAAP Differences.</w:t>
      </w:r>
    </w:p>
    <w:p w14:paraId="54997210">
      <w:pPr>
        <w:rPr>
          <w:lang w:val="en-IN"/>
        </w:rPr>
      </w:pPr>
      <w:r>
        <w:rPr>
          <w:lang w:val="en-IN"/>
        </w:rPr>
        <w:t xml:space="preserve">Dansky, S., Cudmore, B.A. and Dutta, A.S., 2025. Experimental evidence of Prospect Theory within a project-financing context. </w:t>
      </w:r>
      <w:r>
        <w:rPr>
          <w:i/>
          <w:iCs/>
          <w:lang w:val="en-IN"/>
        </w:rPr>
        <w:t>Managerial Finance</w:t>
      </w:r>
      <w:r>
        <w:rPr>
          <w:lang w:val="en-IN"/>
        </w:rPr>
        <w:t>.</w:t>
      </w:r>
    </w:p>
    <w:p w14:paraId="1DB9A130">
      <w:pPr>
        <w:rPr>
          <w:lang w:val="en-GB"/>
        </w:rPr>
      </w:pPr>
      <w:r>
        <w:rPr>
          <w:lang w:val="en-GB"/>
        </w:rPr>
        <w:t xml:space="preserve">Dawood, A.M., 2024. Impact of administration and production expenses on profit. </w:t>
      </w:r>
      <w:r>
        <w:rPr>
          <w:i/>
          <w:iCs/>
          <w:lang w:val="en-GB"/>
        </w:rPr>
        <w:t>Journal of Finance, Accounting and Management</w:t>
      </w:r>
      <w:r>
        <w:rPr>
          <w:lang w:val="en-GB"/>
        </w:rPr>
        <w:t xml:space="preserve">, </w:t>
      </w:r>
      <w:r>
        <w:rPr>
          <w:i/>
          <w:iCs/>
          <w:lang w:val="en-GB"/>
        </w:rPr>
        <w:t>15</w:t>
      </w:r>
      <w:r>
        <w:rPr>
          <w:lang w:val="en-GB"/>
        </w:rPr>
        <w:t>(1), pp.14-31.</w:t>
      </w:r>
    </w:p>
    <w:p w14:paraId="75696BF3">
      <w:pPr>
        <w:rPr>
          <w:lang w:val="en-GB"/>
        </w:rPr>
      </w:pPr>
      <w:r>
        <w:rPr>
          <w:lang w:val="en-GB"/>
        </w:rPr>
        <w:t>Eferakeya, I., Enakirerhi, L.I. and Erhijakpor, A.E., 2022. Do SMEs Engage in Capital Budgeting Practices and Risk Analysis Techniques in Nigeria? Exploring the Evidence.</w:t>
      </w:r>
    </w:p>
    <w:p w14:paraId="685F4E59">
      <w:pPr>
        <w:rPr>
          <w:lang w:val="en-IN"/>
        </w:rPr>
      </w:pPr>
      <w:r>
        <w:rPr>
          <w:lang w:val="en-IN"/>
        </w:rPr>
        <w:t>Fatihah, N.A., 2023. Industrial training report: GlaxoSmithKline (GSK). Special project: determinants of profitability in pharmaceutical industry at Malaysia.</w:t>
      </w:r>
    </w:p>
    <w:p w14:paraId="2B4D9CF3">
      <w:pPr>
        <w:rPr>
          <w:lang w:val="en-IN"/>
        </w:rPr>
      </w:pPr>
      <w:r>
        <w:rPr>
          <w:lang w:val="en-IN"/>
        </w:rPr>
        <w:t xml:space="preserve">Geltner, D., Kumar, A. and Van de Minne, A.M., 2023. Is there super-normal profit in real estate development?. </w:t>
      </w:r>
      <w:r>
        <w:rPr>
          <w:i/>
          <w:iCs/>
          <w:lang w:val="en-IN"/>
        </w:rPr>
        <w:t>Journal of Real Estate Research</w:t>
      </w:r>
      <w:r>
        <w:rPr>
          <w:lang w:val="en-IN"/>
        </w:rPr>
        <w:t xml:space="preserve">, </w:t>
      </w:r>
      <w:r>
        <w:rPr>
          <w:i/>
          <w:iCs/>
          <w:lang w:val="en-IN"/>
        </w:rPr>
        <w:t>45</w:t>
      </w:r>
      <w:r>
        <w:rPr>
          <w:lang w:val="en-IN"/>
        </w:rPr>
        <w:t>(2), pp.160-187.</w:t>
      </w:r>
    </w:p>
    <w:p w14:paraId="5B8AF057">
      <w:pPr>
        <w:rPr>
          <w:lang w:val="en-IN"/>
        </w:rPr>
      </w:pPr>
      <w:r>
        <w:rPr>
          <w:lang w:val="en-IN"/>
        </w:rPr>
        <w:t xml:space="preserve">George, A.S., 2025. Why Medical Schools Fail to Prepare Doctors for Financial Management and Self-Protection. </w:t>
      </w:r>
      <w:r>
        <w:rPr>
          <w:i/>
          <w:iCs/>
          <w:lang w:val="en-IN"/>
        </w:rPr>
        <w:t>Partners Universal Innovative Research Publication</w:t>
      </w:r>
      <w:r>
        <w:rPr>
          <w:lang w:val="en-IN"/>
        </w:rPr>
        <w:t xml:space="preserve">, </w:t>
      </w:r>
      <w:r>
        <w:rPr>
          <w:i/>
          <w:iCs/>
          <w:lang w:val="en-IN"/>
        </w:rPr>
        <w:t>3</w:t>
      </w:r>
      <w:r>
        <w:rPr>
          <w:lang w:val="en-IN"/>
        </w:rPr>
        <w:t>(5), pp.25-61.</w:t>
      </w:r>
    </w:p>
    <w:p w14:paraId="7C33202E">
      <w:pPr>
        <w:rPr>
          <w:lang w:val="en-GB"/>
        </w:rPr>
      </w:pPr>
      <w:r>
        <w:rPr>
          <w:lang w:val="en-GB"/>
        </w:rPr>
        <w:t xml:space="preserve">Gharaibeh, A.T., Saleh, M.H., Jawabreh, O. and Ali, B.J., 2022. An empirical study of the relationship between earnings per share, net income, and stock price. </w:t>
      </w:r>
      <w:r>
        <w:rPr>
          <w:i/>
          <w:iCs/>
          <w:lang w:val="en-GB"/>
        </w:rPr>
        <w:t>Appl. Math</w:t>
      </w:r>
      <w:r>
        <w:rPr>
          <w:lang w:val="en-GB"/>
        </w:rPr>
        <w:t xml:space="preserve">, </w:t>
      </w:r>
      <w:r>
        <w:rPr>
          <w:i/>
          <w:iCs/>
          <w:lang w:val="en-GB"/>
        </w:rPr>
        <w:t>16</w:t>
      </w:r>
      <w:r>
        <w:rPr>
          <w:lang w:val="en-GB"/>
        </w:rPr>
        <w:t>(5), pp.673-679.</w:t>
      </w:r>
    </w:p>
    <w:p w14:paraId="5066781A">
      <w:pPr>
        <w:rPr>
          <w:lang w:val="en-GB"/>
        </w:rPr>
      </w:pPr>
      <w:r>
        <w:rPr>
          <w:lang w:val="en-GB"/>
        </w:rPr>
        <w:t>GSK Plc, 2024. Glaxosmithkline plc - AnnualReports.com. Www.annualreports.com. https://www.annualreports.com/Company/glaxosmithkline-plc</w:t>
      </w:r>
    </w:p>
    <w:p w14:paraId="061A4CCC">
      <w:pPr>
        <w:rPr>
          <w:lang w:val="en-IN"/>
        </w:rPr>
      </w:pPr>
      <w:r>
        <w:rPr>
          <w:lang w:val="en-IN"/>
        </w:rPr>
        <w:t xml:space="preserve">Gsk, (2025). Company. Available at: </w:t>
      </w:r>
      <w:r>
        <w:fldChar w:fldCharType="begin"/>
      </w:r>
      <w:r>
        <w:instrText xml:space="preserve"> HYPERLINK "https://www.gsk.com/en-gb/company/" </w:instrText>
      </w:r>
      <w:r>
        <w:fldChar w:fldCharType="separate"/>
      </w:r>
      <w:r>
        <w:rPr>
          <w:rStyle w:val="12"/>
          <w:lang w:val="en-IN"/>
        </w:rPr>
        <w:t>https://www.gsk.com/en-gb/company/</w:t>
      </w:r>
      <w:r>
        <w:rPr>
          <w:rStyle w:val="12"/>
          <w:lang w:val="en-IN"/>
        </w:rPr>
        <w:fldChar w:fldCharType="end"/>
      </w:r>
      <w:r>
        <w:rPr>
          <w:lang w:val="en-IN"/>
        </w:rPr>
        <w:t xml:space="preserve"> [Accessed on: 10.01.2026]</w:t>
      </w:r>
    </w:p>
    <w:p w14:paraId="3A00EF4C">
      <w:pPr>
        <w:rPr>
          <w:lang w:val="en-IN"/>
        </w:rPr>
      </w:pPr>
      <w:r>
        <w:rPr>
          <w:lang w:val="en-IN"/>
        </w:rPr>
        <w:t xml:space="preserve">Hasan, S.M., Khan, S., Hakam, A. and Shah, S., 2023. Reduction in packaging wastes through identification of lean wastes to deliver efficient waste controlling techniques for a Pharmaceutical Industry. </w:t>
      </w:r>
      <w:r>
        <w:rPr>
          <w:i/>
          <w:iCs/>
          <w:lang w:val="en-IN"/>
        </w:rPr>
        <w:t>International Journal of Chemical Engineering and Materials</w:t>
      </w:r>
      <w:r>
        <w:rPr>
          <w:lang w:val="en-IN"/>
        </w:rPr>
        <w:t xml:space="preserve">, </w:t>
      </w:r>
      <w:r>
        <w:rPr>
          <w:i/>
          <w:iCs/>
          <w:lang w:val="en-IN"/>
        </w:rPr>
        <w:t>2</w:t>
      </w:r>
      <w:r>
        <w:rPr>
          <w:lang w:val="en-IN"/>
        </w:rPr>
        <w:t>, pp.25-36.</w:t>
      </w:r>
    </w:p>
    <w:p w14:paraId="50E9117F">
      <w:pPr>
        <w:rPr>
          <w:lang w:val="en-IN"/>
        </w:rPr>
      </w:pPr>
      <w:r>
        <w:rPr>
          <w:lang w:val="en-IN"/>
        </w:rPr>
        <w:t xml:space="preserve">Hemel, D.J. and Ouellette, L.L., 2023. Valuing medical innovation. </w:t>
      </w:r>
      <w:r>
        <w:rPr>
          <w:i/>
          <w:iCs/>
          <w:lang w:val="en-IN"/>
        </w:rPr>
        <w:t>Stan. L. Rev.</w:t>
      </w:r>
      <w:r>
        <w:rPr>
          <w:lang w:val="en-IN"/>
        </w:rPr>
        <w:t xml:space="preserve">, </w:t>
      </w:r>
      <w:r>
        <w:rPr>
          <w:i/>
          <w:iCs/>
          <w:lang w:val="en-IN"/>
        </w:rPr>
        <w:t>75</w:t>
      </w:r>
      <w:r>
        <w:rPr>
          <w:lang w:val="en-IN"/>
        </w:rPr>
        <w:t>, p.517.</w:t>
      </w:r>
    </w:p>
    <w:p w14:paraId="18511BA4">
      <w:pPr>
        <w:rPr>
          <w:lang w:val="en-IN"/>
        </w:rPr>
      </w:pPr>
      <w:r>
        <w:rPr>
          <w:lang w:val="en-IN"/>
        </w:rPr>
        <w:t xml:space="preserve">Johansen, A.B., Geiger, S. and Wadmann, S., 2025. Temporal Layering: How past, future and present intersect in the valuation of pharmaceutical innovation. </w:t>
      </w:r>
      <w:r>
        <w:rPr>
          <w:i/>
          <w:iCs/>
          <w:lang w:val="en-IN"/>
        </w:rPr>
        <w:t>Valuation Studies</w:t>
      </w:r>
      <w:r>
        <w:rPr>
          <w:lang w:val="en-IN"/>
        </w:rPr>
        <w:t xml:space="preserve">, </w:t>
      </w:r>
      <w:r>
        <w:rPr>
          <w:i/>
          <w:iCs/>
          <w:lang w:val="en-IN"/>
        </w:rPr>
        <w:t>12</w:t>
      </w:r>
      <w:r>
        <w:rPr>
          <w:lang w:val="en-IN"/>
        </w:rPr>
        <w:t>(1), pp.143-170.</w:t>
      </w:r>
    </w:p>
    <w:p w14:paraId="7A9E28A2">
      <w:pPr>
        <w:rPr>
          <w:lang w:val="en-IN"/>
        </w:rPr>
      </w:pPr>
      <w:r>
        <w:rPr>
          <w:lang w:val="en-IN"/>
        </w:rPr>
        <w:t xml:space="preserve">Khajavi, S., Etemedy Jooriaby, M. and Kermani, E., 2024. Budgeting in healthcare. In </w:t>
      </w:r>
      <w:r>
        <w:rPr>
          <w:i/>
          <w:iCs/>
          <w:lang w:val="en-IN"/>
        </w:rPr>
        <w:t>Decision Making in Healthcare Systems</w:t>
      </w:r>
      <w:r>
        <w:rPr>
          <w:lang w:val="en-IN"/>
        </w:rPr>
        <w:t xml:space="preserve"> (pp. 213-255). Cham: Springer International Publishing.</w:t>
      </w:r>
    </w:p>
    <w:p w14:paraId="2089C8B0">
      <w:pPr>
        <w:rPr>
          <w:lang w:val="en-IN"/>
        </w:rPr>
      </w:pPr>
      <w:r>
        <w:rPr>
          <w:lang w:val="en-IN"/>
        </w:rPr>
        <w:t xml:space="preserve">Khan, M.A. and Obiosa, N., 2024. Impact of Financial and Non-Financial Factors on the Performance of Companies in the Global Health Care Sector. </w:t>
      </w:r>
      <w:r>
        <w:rPr>
          <w:i/>
          <w:iCs/>
          <w:lang w:val="en-IN"/>
        </w:rPr>
        <w:t>Journal of Economics, Finance and Accounting Studies</w:t>
      </w:r>
      <w:r>
        <w:rPr>
          <w:lang w:val="en-IN"/>
        </w:rPr>
        <w:t xml:space="preserve">, </w:t>
      </w:r>
      <w:r>
        <w:rPr>
          <w:i/>
          <w:iCs/>
          <w:lang w:val="en-IN"/>
        </w:rPr>
        <w:t>6</w:t>
      </w:r>
      <w:r>
        <w:rPr>
          <w:lang w:val="en-IN"/>
        </w:rPr>
        <w:t>(6), pp.47-65.</w:t>
      </w:r>
    </w:p>
    <w:p w14:paraId="60E4C8E6">
      <w:pPr>
        <w:rPr>
          <w:lang w:val="en-IN"/>
        </w:rPr>
      </w:pPr>
      <w:r>
        <w:rPr>
          <w:lang w:val="en-IN"/>
        </w:rPr>
        <w:t>Kourtis, E., Kourtis, M., Curtis, P. and Hanias, M., 2022. Sustainable business growth, value creation and dynamic competitive advantage: the Greek pharmaceutical industry.</w:t>
      </w:r>
    </w:p>
    <w:p w14:paraId="43FC0BE7">
      <w:pPr>
        <w:rPr>
          <w:lang w:val="en-IN"/>
        </w:rPr>
      </w:pPr>
      <w:r>
        <w:rPr>
          <w:lang w:val="en-IN"/>
        </w:rPr>
        <w:t>Naim, M.M.A., 2024. Financial analysis of Square Pharmaceuticals PLC's expansion into nutraceuticals and dietary supplements market: a strategic initiative for growth.</w:t>
      </w:r>
    </w:p>
    <w:p w14:paraId="3761696C">
      <w:pPr>
        <w:rPr>
          <w:lang w:val="en-IN"/>
        </w:rPr>
      </w:pPr>
      <w:r>
        <w:rPr>
          <w:lang w:val="en-IN"/>
        </w:rPr>
        <w:t xml:space="preserve">Nasir, F.B., Audi, M. and Ali, A., 2025. Determinants of Corporate Tax Planning Strategies Among Multinational Corporations in The United Arab Emirates. </w:t>
      </w:r>
      <w:r>
        <w:rPr>
          <w:i/>
          <w:iCs/>
          <w:lang w:val="en-IN"/>
        </w:rPr>
        <w:t>Contemporary Journal of Social Science Review</w:t>
      </w:r>
      <w:r>
        <w:rPr>
          <w:lang w:val="en-IN"/>
        </w:rPr>
        <w:t xml:space="preserve">, </w:t>
      </w:r>
      <w:r>
        <w:rPr>
          <w:i/>
          <w:iCs/>
          <w:lang w:val="en-IN"/>
        </w:rPr>
        <w:t>3</w:t>
      </w:r>
      <w:r>
        <w:rPr>
          <w:lang w:val="en-IN"/>
        </w:rPr>
        <w:t>(2), pp.2187-2196.</w:t>
      </w:r>
    </w:p>
    <w:p w14:paraId="2F16192B">
      <w:pPr>
        <w:rPr>
          <w:lang w:val="en-IN"/>
        </w:rPr>
      </w:pPr>
      <w:r>
        <w:rPr>
          <w:lang w:val="en-IN"/>
        </w:rPr>
        <w:t xml:space="preserve">Panahi, A., Habibirad, A. and Safari, S., 2023. Developing a Mathematical Programming Model to Determine the Optimal Portfolio of Capital Projects in Oil and Gas Companies to Achieve the Strategic goals. </w:t>
      </w:r>
      <w:r>
        <w:rPr>
          <w:i/>
          <w:iCs/>
          <w:lang w:val="en-IN"/>
        </w:rPr>
        <w:t>Petroleum Business Review</w:t>
      </w:r>
      <w:r>
        <w:rPr>
          <w:lang w:val="en-IN"/>
        </w:rPr>
        <w:t xml:space="preserve">, </w:t>
      </w:r>
      <w:r>
        <w:rPr>
          <w:i/>
          <w:iCs/>
          <w:lang w:val="en-IN"/>
        </w:rPr>
        <w:t>7</w:t>
      </w:r>
      <w:r>
        <w:rPr>
          <w:lang w:val="en-IN"/>
        </w:rPr>
        <w:t>(2), pp.15-30.</w:t>
      </w:r>
    </w:p>
    <w:p w14:paraId="7DD064A7">
      <w:pPr>
        <w:rPr>
          <w:lang w:val="en-IN"/>
        </w:rPr>
      </w:pPr>
      <w:r>
        <w:rPr>
          <w:lang w:val="en-IN"/>
        </w:rPr>
        <w:t xml:space="preserve">Panchal, S.S., Ansari, I., Azim, K.S., Bhujel, K. and Ahirrao, Y.S., 2025. Cyber Risk And Business Resilience: A Financial Perspective On IT Security Investment Decisions. </w:t>
      </w:r>
      <w:r>
        <w:rPr>
          <w:i/>
          <w:iCs/>
          <w:lang w:val="en-IN"/>
        </w:rPr>
        <w:t>Emerging Frontiers Library for The American Journal of Engineering and Technology</w:t>
      </w:r>
      <w:r>
        <w:rPr>
          <w:lang w:val="en-IN"/>
        </w:rPr>
        <w:t xml:space="preserve">, </w:t>
      </w:r>
      <w:r>
        <w:rPr>
          <w:i/>
          <w:iCs/>
          <w:lang w:val="en-IN"/>
        </w:rPr>
        <w:t>7</w:t>
      </w:r>
      <w:r>
        <w:rPr>
          <w:lang w:val="en-IN"/>
        </w:rPr>
        <w:t>(09), pp.23-48.</w:t>
      </w:r>
    </w:p>
    <w:p w14:paraId="3EB2594C">
      <w:pPr>
        <w:rPr>
          <w:lang w:val="en-IN"/>
        </w:rPr>
      </w:pPr>
      <w:r>
        <w:rPr>
          <w:lang w:val="en-IN"/>
        </w:rPr>
        <w:t>Potharla, S., 2025. Strategic Financial Insights into ITC Limited: A Deep Dive into Corporate Finance and Peer Benchmarking. Available at SSRN 5295953.</w:t>
      </w:r>
    </w:p>
    <w:p w14:paraId="5B18918C">
      <w:pPr>
        <w:rPr>
          <w:lang w:val="en-IN"/>
        </w:rPr>
      </w:pPr>
      <w:r>
        <w:rPr>
          <w:lang w:val="en-IN"/>
        </w:rPr>
        <w:t xml:space="preserve">Potier, A., Dufay, E., Dony, A., Divoux, E., Arnoux, L.A., Boschetti, E., Piney, D., Dupont, C., Berquand, I., Calvo, J.C. and Jay, N., 2022. Pharmaceutical algorithms set in a real time clinical decision support targeting high-alert medications applied to pharmaceutical analysis. </w:t>
      </w:r>
      <w:r>
        <w:rPr>
          <w:i/>
          <w:iCs/>
          <w:lang w:val="en-IN"/>
        </w:rPr>
        <w:t>International Journal of Medical Informatics</w:t>
      </w:r>
      <w:r>
        <w:rPr>
          <w:lang w:val="en-IN"/>
        </w:rPr>
        <w:t xml:space="preserve">, </w:t>
      </w:r>
      <w:r>
        <w:rPr>
          <w:i/>
          <w:iCs/>
          <w:lang w:val="en-IN"/>
        </w:rPr>
        <w:t>160</w:t>
      </w:r>
      <w:r>
        <w:rPr>
          <w:lang w:val="en-IN"/>
        </w:rPr>
        <w:t>, p.104708.</w:t>
      </w:r>
    </w:p>
    <w:p w14:paraId="58949900">
      <w:pPr>
        <w:rPr>
          <w:lang w:val="en-GB"/>
        </w:rPr>
      </w:pPr>
      <w:r>
        <w:rPr>
          <w:lang w:val="en-GB"/>
        </w:rPr>
        <w:t xml:space="preserve">Qi, R., 2025, August. Interpretable Slow-Moving Inventory Forecasting: A Hybrid Neural Network Approach with Interactive Visualization. In </w:t>
      </w:r>
      <w:r>
        <w:rPr>
          <w:i/>
          <w:iCs/>
          <w:lang w:val="en-GB"/>
        </w:rPr>
        <w:t>Proceedings of the 2025 International Conference on Generative Artificial Intelligence for Business</w:t>
      </w:r>
      <w:r>
        <w:rPr>
          <w:lang w:val="en-GB"/>
        </w:rPr>
        <w:t xml:space="preserve"> (pp. 41-46).</w:t>
      </w:r>
    </w:p>
    <w:p w14:paraId="57BE797A">
      <w:pPr>
        <w:rPr>
          <w:lang w:val="en-IN"/>
        </w:rPr>
      </w:pPr>
      <w:r>
        <w:rPr>
          <w:lang w:val="en-IN"/>
        </w:rPr>
        <w:t xml:space="preserve">Roy, V., 2023. </w:t>
      </w:r>
      <w:r>
        <w:rPr>
          <w:i/>
          <w:iCs/>
          <w:lang w:val="en-IN"/>
        </w:rPr>
        <w:t>Capitalizing a cure: how finance controls the price and value of medicines</w:t>
      </w:r>
      <w:r>
        <w:rPr>
          <w:lang w:val="en-IN"/>
        </w:rPr>
        <w:t xml:space="preserve"> (p. 217). University of California Press.</w:t>
      </w:r>
    </w:p>
    <w:p w14:paraId="41472D6A">
      <w:pPr>
        <w:rPr>
          <w:lang w:val="en-IN"/>
        </w:rPr>
      </w:pPr>
      <w:r>
        <w:rPr>
          <w:lang w:val="en-IN"/>
        </w:rPr>
        <w:t xml:space="preserve">Tulum, Ö., Andreoni, A. and Lazonick, W., 2022. </w:t>
      </w:r>
      <w:r>
        <w:rPr>
          <w:i/>
          <w:iCs/>
          <w:lang w:val="en-IN"/>
        </w:rPr>
        <w:t>From financialisation to innovation in UK Big pharma: AstraZeneca and GlaxoSmithKline</w:t>
      </w:r>
      <w:r>
        <w:rPr>
          <w:lang w:val="en-IN"/>
        </w:rPr>
        <w:t>. Cambridge University Press.</w:t>
      </w:r>
    </w:p>
    <w:p w14:paraId="62A60B28">
      <w:pPr>
        <w:rPr>
          <w:lang w:val="en-IN"/>
        </w:rPr>
      </w:pPr>
      <w:r>
        <w:rPr>
          <w:lang w:val="en-IN"/>
        </w:rPr>
        <w:t xml:space="preserve">Umoh, E., 2025. Cost Structure and Profitability: An Empirical Analysis of Nigerian Breweries Plc (2003-2024). </w:t>
      </w:r>
      <w:r>
        <w:rPr>
          <w:i/>
          <w:iCs/>
          <w:lang w:val="en-IN"/>
        </w:rPr>
        <w:t>Available at SSRN 5520838</w:t>
      </w:r>
      <w:r>
        <w:rPr>
          <w:lang w:val="en-IN"/>
        </w:rPr>
        <w:t>.</w:t>
      </w:r>
    </w:p>
    <w:p w14:paraId="1706DA98">
      <w:pPr>
        <w:rPr>
          <w:lang w:val="en-IN"/>
        </w:rPr>
      </w:pPr>
      <w:r>
        <w:rPr>
          <w:lang w:val="en-IN"/>
        </w:rPr>
        <w:t xml:space="preserve">Unanah, O.V. and Mbanugo, O.J., 2025. Integration of AI into CRM for effective US healthcare and pharmaceutical marketing. </w:t>
      </w:r>
      <w:r>
        <w:rPr>
          <w:i/>
          <w:iCs/>
          <w:lang w:val="en-IN"/>
        </w:rPr>
        <w:t>World Journal of Advanced Research and Reviews</w:t>
      </w:r>
      <w:r>
        <w:rPr>
          <w:lang w:val="en-IN"/>
        </w:rPr>
        <w:t xml:space="preserve">, </w:t>
      </w:r>
      <w:r>
        <w:rPr>
          <w:i/>
          <w:iCs/>
          <w:lang w:val="en-IN"/>
        </w:rPr>
        <w:t>25</w:t>
      </w:r>
      <w:r>
        <w:rPr>
          <w:lang w:val="en-IN"/>
        </w:rPr>
        <w:t>(02), pp.609-630.</w:t>
      </w:r>
    </w:p>
    <w:p w14:paraId="7CFCC39F">
      <w:pPr>
        <w:rPr>
          <w:lang w:val="en-IN"/>
        </w:rPr>
      </w:pPr>
      <w:r>
        <w:rPr>
          <w:lang w:val="en-IN"/>
        </w:rPr>
        <w:t xml:space="preserve">Wibowo, F.A., Satria, A., Gaol, S.L. and Indrawan, D., 2024. Financial Risk, Debt, and Efficiency in Indonesia’s Construction Industry: A Comparative Study of SOEs and Private Companies. </w:t>
      </w:r>
      <w:r>
        <w:rPr>
          <w:i/>
          <w:iCs/>
          <w:lang w:val="en-IN"/>
        </w:rPr>
        <w:t>Journal of Risk and Financial Management</w:t>
      </w:r>
      <w:r>
        <w:rPr>
          <w:lang w:val="en-IN"/>
        </w:rPr>
        <w:t xml:space="preserve">, </w:t>
      </w:r>
      <w:r>
        <w:rPr>
          <w:i/>
          <w:iCs/>
          <w:lang w:val="en-IN"/>
        </w:rPr>
        <w:t>17</w:t>
      </w:r>
      <w:r>
        <w:rPr>
          <w:lang w:val="en-IN"/>
        </w:rPr>
        <w:t>(7), p.303.</w:t>
      </w:r>
    </w:p>
    <w:p w14:paraId="07E992C4">
      <w:pPr>
        <w:rPr>
          <w:lang w:val="en-IN"/>
        </w:rPr>
      </w:pPr>
      <w:r>
        <w:rPr>
          <w:lang w:val="en-IN"/>
        </w:rPr>
        <w:t xml:space="preserve">Woods, B., Lomas, J., Sculpher, M., Weatherly, H. and Claxton, K., 2022. Achieving dynamic efficiency in pharmaceutical innovation: identifying the optimal share of value, the payments required and evaluating pricing policies. </w:t>
      </w:r>
      <w:r>
        <w:rPr>
          <w:i/>
          <w:iCs/>
          <w:lang w:val="en-IN"/>
        </w:rPr>
        <w:t>Economic Methods of Evaluation in Health and Care Interventions (EEPRU)</w:t>
      </w:r>
      <w:r>
        <w:rPr>
          <w:lang w:val="en-IN"/>
        </w:rPr>
        <w:t xml:space="preserve">, </w:t>
      </w:r>
      <w:r>
        <w:rPr>
          <w:i/>
          <w:iCs/>
          <w:lang w:val="en-IN"/>
        </w:rPr>
        <w:t>1002</w:t>
      </w:r>
      <w:r>
        <w:rPr>
          <w:lang w:val="en-IN"/>
        </w:rPr>
        <w:t>.</w:t>
      </w:r>
    </w:p>
    <w:p w14:paraId="26B0212D">
      <w:pPr>
        <w:rPr>
          <w:lang w:val="en-IN"/>
        </w:rPr>
      </w:pPr>
      <w:r>
        <w:rPr>
          <w:lang w:val="en-IN"/>
        </w:rPr>
        <w:t xml:space="preserve">Yuyan, G., 2023. A financial analysis report of three typical biopharmaceutical companies in UK. </w:t>
      </w:r>
      <w:r>
        <w:rPr>
          <w:i/>
          <w:iCs/>
          <w:lang w:val="en-IN"/>
        </w:rPr>
        <w:t>Academic Journal of Business &amp; Management</w:t>
      </w:r>
      <w:r>
        <w:rPr>
          <w:lang w:val="en-IN"/>
        </w:rPr>
        <w:t xml:space="preserve">, </w:t>
      </w:r>
      <w:r>
        <w:rPr>
          <w:i/>
          <w:iCs/>
          <w:lang w:val="en-IN"/>
        </w:rPr>
        <w:t>5</w:t>
      </w:r>
      <w:r>
        <w:rPr>
          <w:lang w:val="en-IN"/>
        </w:rPr>
        <w:t>(1), pp.165-170.</w:t>
      </w:r>
    </w:p>
    <w:p w14:paraId="4DF5891F">
      <w:pPr>
        <w:rPr>
          <w:lang w:val="en-IN"/>
        </w:rPr>
      </w:pPr>
      <w:r>
        <w:rPr>
          <w:lang w:val="en-IN"/>
        </w:rPr>
        <w:t xml:space="preserve">Yuyan, G., 2023. A financial analysis report of three typical biopharmaceutical companies in UK. </w:t>
      </w:r>
      <w:r>
        <w:rPr>
          <w:i/>
          <w:iCs/>
          <w:lang w:val="en-IN"/>
        </w:rPr>
        <w:t>Academic Journal of Business &amp; Management</w:t>
      </w:r>
      <w:r>
        <w:rPr>
          <w:lang w:val="en-IN"/>
        </w:rPr>
        <w:t xml:space="preserve">, </w:t>
      </w:r>
      <w:r>
        <w:rPr>
          <w:i/>
          <w:iCs/>
          <w:lang w:val="en-IN"/>
        </w:rPr>
        <w:t>5</w:t>
      </w:r>
      <w:r>
        <w:rPr>
          <w:lang w:val="en-IN"/>
        </w:rPr>
        <w:t>(1), pp.165-170.</w:t>
      </w:r>
    </w:p>
    <w:p w14:paraId="299E4FE5">
      <w:pPr>
        <w:rPr>
          <w:b/>
          <w:bCs/>
          <w:lang w:val="en-GB"/>
        </w:rPr>
      </w:pPr>
      <w:r>
        <w:rPr>
          <w:lang w:val="en-GB"/>
        </w:rPr>
        <w:br w:type="page"/>
      </w:r>
    </w:p>
    <w:p w14:paraId="565BF9AF">
      <w:pPr>
        <w:pStyle w:val="2"/>
        <w:rPr>
          <w:lang w:val="en-GB"/>
        </w:rPr>
      </w:pPr>
      <w:bookmarkStart w:id="13" w:name="_Toc218683300"/>
      <w:r>
        <w:rPr>
          <w:lang w:val="en-GB"/>
        </w:rPr>
        <w:t>Appendices</w:t>
      </w:r>
      <w:bookmarkEnd w:id="13"/>
      <w:r>
        <w:rPr>
          <w:lang w:val="en-GB"/>
        </w:rPr>
        <w:t xml:space="preserve"> </w:t>
      </w:r>
    </w:p>
    <w:p w14:paraId="21868E43">
      <w:pPr>
        <w:pStyle w:val="3"/>
        <w:rPr>
          <w:lang w:val="en-GB"/>
        </w:rPr>
      </w:pPr>
      <w:bookmarkStart w:id="14" w:name="_Toc218683301"/>
      <w:r>
        <w:rPr>
          <w:lang w:val="en-GB"/>
        </w:rPr>
        <w:t>Appendix 1: Financial Statements of GSK Plc</w:t>
      </w:r>
      <w:bookmarkEnd w:id="14"/>
      <w:r>
        <w:rPr>
          <w:lang w:val="en-GB"/>
        </w:rPr>
        <w:t xml:space="preserve"> </w:t>
      </w:r>
    </w:p>
    <w:p w14:paraId="420C5218">
      <w:pPr>
        <w:jc w:val="center"/>
        <w:rPr>
          <w:lang w:val="en-GB"/>
        </w:rPr>
      </w:pPr>
      <w:r>
        <w:rPr>
          <w:lang w:val="en-US" w:eastAsia="en-US"/>
        </w:rPr>
        <w:drawing>
          <wp:inline distT="114300" distB="114300" distL="114300" distR="114300">
            <wp:extent cx="5943600" cy="4559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3"/>
                    <a:srcRect/>
                    <a:stretch>
                      <a:fillRect/>
                    </a:stretch>
                  </pic:blipFill>
                  <pic:spPr>
                    <a:xfrm>
                      <a:off x="0" y="0"/>
                      <a:ext cx="5943600" cy="4559300"/>
                    </a:xfrm>
                    <a:prstGeom prst="rect">
                      <a:avLst/>
                    </a:prstGeom>
                    <a:ln w="12700">
                      <a:solidFill>
                        <a:srgbClr val="000000"/>
                      </a:solidFill>
                      <a:prstDash val="solid"/>
                    </a:ln>
                  </pic:spPr>
                </pic:pic>
              </a:graphicData>
            </a:graphic>
          </wp:inline>
        </w:drawing>
      </w:r>
    </w:p>
    <w:p w14:paraId="6DB62D92">
      <w:pPr>
        <w:jc w:val="center"/>
        <w:rPr>
          <w:lang w:val="en-GB"/>
        </w:rPr>
      </w:pPr>
      <w:r>
        <w:rPr>
          <w:lang w:val="en-US" w:eastAsia="en-US"/>
        </w:rPr>
        <w:drawing>
          <wp:inline distT="114300" distB="114300" distL="114300" distR="114300">
            <wp:extent cx="5534025" cy="69246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4"/>
                    <a:srcRect/>
                    <a:stretch>
                      <a:fillRect/>
                    </a:stretch>
                  </pic:blipFill>
                  <pic:spPr>
                    <a:xfrm>
                      <a:off x="0" y="0"/>
                      <a:ext cx="5534025" cy="6924675"/>
                    </a:xfrm>
                    <a:prstGeom prst="rect">
                      <a:avLst/>
                    </a:prstGeom>
                    <a:ln w="12700">
                      <a:solidFill>
                        <a:srgbClr val="000000"/>
                      </a:solidFill>
                      <a:prstDash val="solid"/>
                    </a:ln>
                  </pic:spPr>
                </pic:pic>
              </a:graphicData>
            </a:graphic>
          </wp:inline>
        </w:drawing>
      </w:r>
      <w:r>
        <w:rPr>
          <w:lang w:val="en-GB"/>
        </w:rPr>
        <w:br w:type="page"/>
      </w:r>
    </w:p>
    <w:p w14:paraId="00FF257E">
      <w:pPr>
        <w:pStyle w:val="3"/>
        <w:rPr>
          <w:lang w:val="en-GB"/>
        </w:rPr>
      </w:pPr>
      <w:bookmarkStart w:id="15" w:name="_Toc218683302"/>
      <w:r>
        <w:rPr>
          <w:lang w:val="en-GB"/>
        </w:rPr>
        <w:t>Appendix 2: Financial Ratios of GSK Plc</w:t>
      </w:r>
      <w:bookmarkEnd w:id="15"/>
      <w:r>
        <w:rPr>
          <w:lang w:val="en-GB"/>
        </w:rPr>
        <w:t xml:space="preserve"> </w:t>
      </w:r>
    </w:p>
    <w:tbl>
      <w:tblPr>
        <w:tblStyle w:val="20"/>
        <w:tblW w:w="8895"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6585"/>
        <w:gridCol w:w="1155"/>
        <w:gridCol w:w="1155"/>
      </w:tblGrid>
      <w:tr w14:paraId="6450399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8895" w:type="dxa"/>
            <w:gridSpan w:val="3"/>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574DF22B">
            <w:pPr>
              <w:jc w:val="center"/>
              <w:rPr>
                <w:b/>
                <w:bCs/>
                <w:lang w:val="en-GB"/>
              </w:rPr>
            </w:pPr>
            <w:r>
              <w:rPr>
                <w:b/>
                <w:bCs/>
                <w:lang w:val="en-GB"/>
              </w:rPr>
              <w:t>Profitability Ratios</w:t>
            </w:r>
          </w:p>
        </w:tc>
      </w:tr>
      <w:tr w14:paraId="2A3F823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4BDE5E3">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42930B9">
            <w:pPr>
              <w:jc w:val="center"/>
              <w:rPr>
                <w:b/>
                <w:bCs/>
                <w:lang w:val="en-GB"/>
              </w:rPr>
            </w:pPr>
            <w:r>
              <w:rPr>
                <w:b/>
                <w:bCs/>
                <w:lang w:val="en-GB"/>
              </w:rPr>
              <w:t>2024</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B3EFB68">
            <w:pPr>
              <w:jc w:val="center"/>
              <w:rPr>
                <w:b/>
                <w:bCs/>
                <w:lang w:val="en-GB"/>
              </w:rPr>
            </w:pPr>
            <w:r>
              <w:rPr>
                <w:b/>
                <w:bCs/>
                <w:lang w:val="en-GB"/>
              </w:rPr>
              <w:t>2023</w:t>
            </w:r>
          </w:p>
        </w:tc>
      </w:tr>
      <w:tr w14:paraId="7257EEA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1739C72">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B45B627">
            <w:pPr>
              <w:jc w:val="center"/>
              <w:rPr>
                <w:b/>
                <w:bCs/>
                <w:lang w:val="en-GB"/>
              </w:rPr>
            </w:pPr>
            <w:r>
              <w:rPr>
                <w:b/>
                <w:bCs/>
                <w:lang w:val="en-GB"/>
              </w:rPr>
              <w:t>£m</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C69CFDC">
            <w:pPr>
              <w:jc w:val="center"/>
              <w:rPr>
                <w:b/>
                <w:bCs/>
                <w:lang w:val="en-GB"/>
              </w:rPr>
            </w:pPr>
            <w:r>
              <w:rPr>
                <w:b/>
                <w:bCs/>
                <w:lang w:val="en-GB"/>
              </w:rPr>
              <w:t>£m</w:t>
            </w:r>
          </w:p>
        </w:tc>
      </w:tr>
      <w:tr w14:paraId="70E8E2E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26B84AA">
            <w:pPr>
              <w:rPr>
                <w:lang w:val="en-GB"/>
              </w:rPr>
            </w:pPr>
            <w:r>
              <w:rPr>
                <w:lang w:val="en-GB"/>
              </w:rPr>
              <w:t>Turnover</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1CD3B4F">
            <w:pPr>
              <w:jc w:val="right"/>
              <w:rPr>
                <w:lang w:val="en-GB"/>
              </w:rPr>
            </w:pPr>
            <w:r>
              <w:rPr>
                <w:lang w:val="en-GB"/>
              </w:rPr>
              <w:t>31,376</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9691F77">
            <w:pPr>
              <w:jc w:val="right"/>
              <w:rPr>
                <w:lang w:val="en-GB"/>
              </w:rPr>
            </w:pPr>
            <w:r>
              <w:rPr>
                <w:lang w:val="en-GB"/>
              </w:rPr>
              <w:t>30,328</w:t>
            </w:r>
          </w:p>
        </w:tc>
      </w:tr>
      <w:tr w14:paraId="483D3CD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156C856">
            <w:pPr>
              <w:rPr>
                <w:lang w:val="en-GB"/>
              </w:rPr>
            </w:pPr>
            <w:r>
              <w:rPr>
                <w:lang w:val="en-GB"/>
              </w:rPr>
              <w:t>Gross profit</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9505917">
            <w:pPr>
              <w:jc w:val="right"/>
              <w:rPr>
                <w:lang w:val="en-GB"/>
              </w:rPr>
            </w:pPr>
            <w:r>
              <w:rPr>
                <w:lang w:val="en-GB"/>
              </w:rPr>
              <w:t>22,328</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A76BCFE">
            <w:pPr>
              <w:jc w:val="right"/>
              <w:rPr>
                <w:lang w:val="en-GB"/>
              </w:rPr>
            </w:pPr>
            <w:r>
              <w:rPr>
                <w:lang w:val="en-GB"/>
              </w:rPr>
              <w:t>21,763</w:t>
            </w:r>
          </w:p>
        </w:tc>
      </w:tr>
      <w:tr w14:paraId="19C1BE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0547C91">
            <w:pPr>
              <w:rPr>
                <w:lang w:val="en-GB"/>
              </w:rPr>
            </w:pPr>
            <w:r>
              <w:rPr>
                <w:lang w:val="en-GB"/>
              </w:rPr>
              <w:t>Operating profit</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43BACCD">
            <w:pPr>
              <w:jc w:val="right"/>
              <w:rPr>
                <w:lang w:val="en-GB"/>
              </w:rPr>
            </w:pPr>
            <w:r>
              <w:rPr>
                <w:lang w:val="en-GB"/>
              </w:rPr>
              <w:t>4,021</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061247E">
            <w:pPr>
              <w:jc w:val="right"/>
              <w:rPr>
                <w:lang w:val="en-GB"/>
              </w:rPr>
            </w:pPr>
            <w:r>
              <w:rPr>
                <w:lang w:val="en-GB"/>
              </w:rPr>
              <w:t>6,745</w:t>
            </w:r>
          </w:p>
        </w:tc>
      </w:tr>
      <w:tr w14:paraId="34F728B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8B72932">
            <w:pPr>
              <w:rPr>
                <w:lang w:val="en-GB"/>
              </w:rPr>
            </w:pPr>
            <w:r>
              <w:rPr>
                <w:lang w:val="en-GB"/>
              </w:rPr>
              <w:t>Net Profit</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5B42912">
            <w:pPr>
              <w:jc w:val="right"/>
              <w:rPr>
                <w:lang w:val="en-GB"/>
              </w:rPr>
            </w:pPr>
            <w:r>
              <w:rPr>
                <w:lang w:val="en-GB"/>
              </w:rPr>
              <w:t>2,951</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B98836F">
            <w:pPr>
              <w:jc w:val="right"/>
              <w:rPr>
                <w:lang w:val="en-GB"/>
              </w:rPr>
            </w:pPr>
            <w:r>
              <w:rPr>
                <w:lang w:val="en-GB"/>
              </w:rPr>
              <w:t>5,308</w:t>
            </w:r>
          </w:p>
        </w:tc>
      </w:tr>
      <w:tr w14:paraId="25F3244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8E2DEB0">
            <w:pPr>
              <w:rPr>
                <w:b/>
                <w:bCs/>
                <w:i/>
                <w:iCs/>
                <w:lang w:val="en-GB"/>
              </w:rPr>
            </w:pPr>
            <w:r>
              <w:rPr>
                <w:b/>
                <w:bCs/>
                <w:i/>
                <w:iCs/>
                <w:lang w:val="en-GB"/>
              </w:rPr>
              <w:t>Gross profit Margin</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285BB5E">
            <w:pPr>
              <w:jc w:val="right"/>
              <w:rPr>
                <w:b/>
                <w:bCs/>
                <w:i/>
                <w:iCs/>
                <w:lang w:val="en-GB"/>
              </w:rPr>
            </w:pPr>
            <w:r>
              <w:rPr>
                <w:b/>
                <w:bCs/>
                <w:i/>
                <w:iCs/>
                <w:lang w:val="en-GB"/>
              </w:rPr>
              <w:t>71%</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F71A5D1">
            <w:pPr>
              <w:jc w:val="right"/>
              <w:rPr>
                <w:b/>
                <w:bCs/>
                <w:i/>
                <w:iCs/>
                <w:lang w:val="en-GB"/>
              </w:rPr>
            </w:pPr>
            <w:r>
              <w:rPr>
                <w:b/>
                <w:bCs/>
                <w:i/>
                <w:iCs/>
                <w:lang w:val="en-GB"/>
              </w:rPr>
              <w:t>72%</w:t>
            </w:r>
          </w:p>
        </w:tc>
      </w:tr>
      <w:tr w14:paraId="5239F5F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BC2E6F1">
            <w:pPr>
              <w:rPr>
                <w:lang w:val="en-GB"/>
              </w:rPr>
            </w:pPr>
            <w:r>
              <w:rPr>
                <w:lang w:val="en-GB"/>
              </w:rPr>
              <w:t>(Gross Profit/Sales)*100</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F22AC20">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0323C23">
            <w:pPr>
              <w:rPr>
                <w:lang w:val="en-GB"/>
              </w:rPr>
            </w:pPr>
            <w:r>
              <w:rPr>
                <w:lang w:val="en-GB"/>
              </w:rPr>
              <w:t xml:space="preserve"> </w:t>
            </w:r>
          </w:p>
        </w:tc>
      </w:tr>
      <w:tr w14:paraId="3A5C867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49CCF55">
            <w:pPr>
              <w:rPr>
                <w:b/>
                <w:bCs/>
                <w:i/>
                <w:iCs/>
                <w:lang w:val="en-GB"/>
              </w:rPr>
            </w:pPr>
            <w:r>
              <w:rPr>
                <w:b/>
                <w:bCs/>
                <w:i/>
                <w:iCs/>
                <w:lang w:val="en-GB"/>
              </w:rPr>
              <w:t>Operating  profit Margin</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ECAACDE">
            <w:pPr>
              <w:jc w:val="right"/>
              <w:rPr>
                <w:b/>
                <w:bCs/>
                <w:i/>
                <w:iCs/>
                <w:lang w:val="en-GB"/>
              </w:rPr>
            </w:pPr>
            <w:r>
              <w:rPr>
                <w:b/>
                <w:bCs/>
                <w:i/>
                <w:iCs/>
                <w:lang w:val="en-GB"/>
              </w:rPr>
              <w:t>13%</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056BB4F">
            <w:pPr>
              <w:jc w:val="right"/>
              <w:rPr>
                <w:b/>
                <w:bCs/>
                <w:i/>
                <w:iCs/>
                <w:lang w:val="en-GB"/>
              </w:rPr>
            </w:pPr>
            <w:r>
              <w:rPr>
                <w:b/>
                <w:bCs/>
                <w:i/>
                <w:iCs/>
                <w:lang w:val="en-GB"/>
              </w:rPr>
              <w:t>22%</w:t>
            </w:r>
          </w:p>
        </w:tc>
      </w:tr>
      <w:tr w14:paraId="03E93FD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A9E4E22">
            <w:pPr>
              <w:rPr>
                <w:lang w:val="en-GB"/>
              </w:rPr>
            </w:pPr>
            <w:r>
              <w:rPr>
                <w:lang w:val="en-GB"/>
              </w:rPr>
              <w:t>(Operating Profit/Sales)*100</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62820DA">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C81355E">
            <w:pPr>
              <w:rPr>
                <w:lang w:val="en-GB"/>
              </w:rPr>
            </w:pPr>
            <w:r>
              <w:rPr>
                <w:lang w:val="en-GB"/>
              </w:rPr>
              <w:t xml:space="preserve"> </w:t>
            </w:r>
          </w:p>
        </w:tc>
      </w:tr>
      <w:tr w14:paraId="1E3DFB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642520D">
            <w:pPr>
              <w:rPr>
                <w:b/>
                <w:bCs/>
                <w:i/>
                <w:iCs/>
                <w:lang w:val="en-GB"/>
              </w:rPr>
            </w:pPr>
            <w:r>
              <w:rPr>
                <w:b/>
                <w:bCs/>
                <w:i/>
                <w:iCs/>
                <w:lang w:val="en-GB"/>
              </w:rPr>
              <w:t>Net profit Margin</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95292BD">
            <w:pPr>
              <w:jc w:val="right"/>
              <w:rPr>
                <w:b/>
                <w:bCs/>
                <w:i/>
                <w:iCs/>
                <w:lang w:val="en-GB"/>
              </w:rPr>
            </w:pPr>
            <w:r>
              <w:rPr>
                <w:b/>
                <w:bCs/>
                <w:i/>
                <w:iCs/>
                <w:lang w:val="en-GB"/>
              </w:rPr>
              <w:t>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FD44A94">
            <w:pPr>
              <w:jc w:val="right"/>
              <w:rPr>
                <w:b/>
                <w:bCs/>
                <w:i/>
                <w:iCs/>
                <w:lang w:val="en-GB"/>
              </w:rPr>
            </w:pPr>
            <w:r>
              <w:rPr>
                <w:b/>
                <w:bCs/>
                <w:i/>
                <w:iCs/>
                <w:lang w:val="en-GB"/>
              </w:rPr>
              <w:t>18%</w:t>
            </w:r>
          </w:p>
        </w:tc>
      </w:tr>
      <w:tr w14:paraId="72E6746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AE6B212">
            <w:pPr>
              <w:rPr>
                <w:lang w:val="en-GB"/>
              </w:rPr>
            </w:pPr>
            <w:r>
              <w:rPr>
                <w:lang w:val="en-GB"/>
              </w:rPr>
              <w:t>(Net Profit/Sales)*100</w:t>
            </w:r>
          </w:p>
        </w:tc>
        <w:tc>
          <w:tcPr>
            <w:tcW w:w="1155" w:type="dxa"/>
            <w:tcBorders>
              <w:top w:val="nil"/>
              <w:left w:val="nil"/>
              <w:bottom w:val="single" w:color="000000" w:sz="4" w:space="0"/>
              <w:right w:val="single" w:color="000000" w:sz="4" w:space="0"/>
            </w:tcBorders>
            <w:tcMar>
              <w:top w:w="0" w:type="dxa"/>
              <w:left w:w="100" w:type="dxa"/>
              <w:bottom w:w="0" w:type="dxa"/>
              <w:right w:w="100" w:type="dxa"/>
            </w:tcMar>
            <w:vAlign w:val="bottom"/>
          </w:tcPr>
          <w:p w14:paraId="0F4A4272">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vAlign w:val="bottom"/>
          </w:tcPr>
          <w:p w14:paraId="2EE3C417">
            <w:pPr>
              <w:rPr>
                <w:lang w:val="en-GB"/>
              </w:rPr>
            </w:pPr>
            <w:r>
              <w:rPr>
                <w:lang w:val="en-GB"/>
              </w:rPr>
              <w:t xml:space="preserve"> </w:t>
            </w:r>
          </w:p>
        </w:tc>
      </w:tr>
      <w:tr w14:paraId="58F96A7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6585" w:type="dxa"/>
            <w:tcBorders>
              <w:top w:val="nil"/>
              <w:left w:val="nil"/>
              <w:bottom w:val="nil"/>
              <w:right w:val="nil"/>
            </w:tcBorders>
            <w:tcMar>
              <w:top w:w="0" w:type="dxa"/>
              <w:left w:w="100" w:type="dxa"/>
              <w:bottom w:w="0" w:type="dxa"/>
              <w:right w:w="100" w:type="dxa"/>
            </w:tcMar>
            <w:vAlign w:val="bottom"/>
          </w:tcPr>
          <w:p w14:paraId="0E0D8425">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37932D60">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24407C9D">
            <w:pPr>
              <w:rPr>
                <w:lang w:val="en-GB"/>
              </w:rPr>
            </w:pPr>
          </w:p>
        </w:tc>
      </w:tr>
      <w:tr w14:paraId="295F2C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8895" w:type="dxa"/>
            <w:gridSpan w:val="3"/>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7376A32F">
            <w:pPr>
              <w:jc w:val="center"/>
              <w:rPr>
                <w:b/>
                <w:bCs/>
                <w:lang w:val="en-GB"/>
              </w:rPr>
            </w:pPr>
            <w:r>
              <w:rPr>
                <w:b/>
                <w:bCs/>
                <w:lang w:val="en-GB"/>
              </w:rPr>
              <w:t>Liquidity Ratios</w:t>
            </w:r>
          </w:p>
        </w:tc>
      </w:tr>
      <w:tr w14:paraId="35B8F56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3315590">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6AC45A2">
            <w:pPr>
              <w:jc w:val="center"/>
              <w:rPr>
                <w:b/>
                <w:bCs/>
                <w:lang w:val="en-GB"/>
              </w:rPr>
            </w:pPr>
            <w:r>
              <w:rPr>
                <w:b/>
                <w:bCs/>
                <w:lang w:val="en-GB"/>
              </w:rPr>
              <w:t>2024</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9F84D44">
            <w:pPr>
              <w:jc w:val="center"/>
              <w:rPr>
                <w:b/>
                <w:bCs/>
                <w:lang w:val="en-GB"/>
              </w:rPr>
            </w:pPr>
            <w:r>
              <w:rPr>
                <w:b/>
                <w:bCs/>
                <w:lang w:val="en-GB"/>
              </w:rPr>
              <w:t>2023</w:t>
            </w:r>
          </w:p>
        </w:tc>
      </w:tr>
      <w:tr w14:paraId="46EE1F7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3AA759D">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D6EC6AE">
            <w:pPr>
              <w:jc w:val="center"/>
              <w:rPr>
                <w:b/>
                <w:bCs/>
                <w:lang w:val="en-GB"/>
              </w:rPr>
            </w:pPr>
            <w:r>
              <w:rPr>
                <w:b/>
                <w:bCs/>
                <w:lang w:val="en-GB"/>
              </w:rPr>
              <w:t>£m</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DC8AEFD">
            <w:pPr>
              <w:jc w:val="center"/>
              <w:rPr>
                <w:b/>
                <w:bCs/>
                <w:lang w:val="en-GB"/>
              </w:rPr>
            </w:pPr>
            <w:r>
              <w:rPr>
                <w:b/>
                <w:bCs/>
                <w:lang w:val="en-GB"/>
              </w:rPr>
              <w:t>£m</w:t>
            </w:r>
          </w:p>
        </w:tc>
      </w:tr>
      <w:tr w14:paraId="6CB93F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838EB86">
            <w:pPr>
              <w:rPr>
                <w:lang w:val="en-GB"/>
              </w:rPr>
            </w:pPr>
            <w:r>
              <w:rPr>
                <w:lang w:val="en-GB"/>
              </w:rPr>
              <w:t>Current Assets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AB0335E">
            <w:pPr>
              <w:jc w:val="right"/>
              <w:rPr>
                <w:lang w:val="en-GB"/>
              </w:rPr>
            </w:pPr>
            <w:r>
              <w:rPr>
                <w:lang w:val="en-GB"/>
              </w:rPr>
              <w:t>16,997</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4AF861F">
            <w:pPr>
              <w:jc w:val="right"/>
              <w:rPr>
                <w:lang w:val="en-GB"/>
              </w:rPr>
            </w:pPr>
            <w:r>
              <w:rPr>
                <w:lang w:val="en-GB"/>
              </w:rPr>
              <w:t>18,644</w:t>
            </w:r>
          </w:p>
        </w:tc>
      </w:tr>
      <w:tr w14:paraId="63768BB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9C7304E">
            <w:pPr>
              <w:rPr>
                <w:lang w:val="en-GB"/>
              </w:rPr>
            </w:pPr>
            <w:r>
              <w:rPr>
                <w:lang w:val="en-GB"/>
              </w:rPr>
              <w:t>Inventories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994E965">
            <w:pPr>
              <w:jc w:val="right"/>
              <w:rPr>
                <w:lang w:val="en-GB"/>
              </w:rPr>
            </w:pPr>
            <w:r>
              <w:rPr>
                <w:lang w:val="en-GB"/>
              </w:rPr>
              <w:t>489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0CA7EFD">
            <w:pPr>
              <w:jc w:val="right"/>
              <w:rPr>
                <w:lang w:val="en-GB"/>
              </w:rPr>
            </w:pPr>
            <w:r>
              <w:rPr>
                <w:lang w:val="en-GB"/>
              </w:rPr>
              <w:t>373</w:t>
            </w:r>
          </w:p>
        </w:tc>
      </w:tr>
      <w:tr w14:paraId="49DCE40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5DA190F">
            <w:pPr>
              <w:rPr>
                <w:lang w:val="en-GB"/>
              </w:rPr>
            </w:pPr>
            <w:r>
              <w:rPr>
                <w:lang w:val="en-GB"/>
              </w:rPr>
              <w:t>Current Liabilities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B0035C8">
            <w:pPr>
              <w:jc w:val="right"/>
              <w:rPr>
                <w:lang w:val="en-GB"/>
              </w:rPr>
            </w:pPr>
            <w:r>
              <w:rPr>
                <w:lang w:val="en-GB"/>
              </w:rPr>
              <w:t>21,697</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21C119F">
            <w:pPr>
              <w:jc w:val="right"/>
              <w:rPr>
                <w:lang w:val="en-GB"/>
              </w:rPr>
            </w:pPr>
            <w:r>
              <w:rPr>
                <w:lang w:val="en-GB"/>
              </w:rPr>
              <w:t>21,068</w:t>
            </w:r>
          </w:p>
        </w:tc>
      </w:tr>
      <w:tr w14:paraId="1D00BCE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A254753">
            <w:pPr>
              <w:rPr>
                <w:b/>
                <w:bCs/>
                <w:i/>
                <w:iCs/>
                <w:lang w:val="en-GB"/>
              </w:rPr>
            </w:pPr>
            <w:r>
              <w:rPr>
                <w:b/>
                <w:bCs/>
                <w:i/>
                <w:iCs/>
                <w:lang w:val="en-GB"/>
              </w:rPr>
              <w:t>Current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32E0003">
            <w:pPr>
              <w:jc w:val="right"/>
              <w:rPr>
                <w:b/>
                <w:bCs/>
                <w:i/>
                <w:iCs/>
                <w:lang w:val="en-GB"/>
              </w:rPr>
            </w:pPr>
            <w:r>
              <w:rPr>
                <w:b/>
                <w:bCs/>
                <w:i/>
                <w:iCs/>
                <w:lang w:val="en-GB"/>
              </w:rPr>
              <w:t>0.78</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6C34A28">
            <w:pPr>
              <w:jc w:val="right"/>
              <w:rPr>
                <w:b/>
                <w:bCs/>
                <w:i/>
                <w:iCs/>
                <w:lang w:val="en-GB"/>
              </w:rPr>
            </w:pPr>
            <w:r>
              <w:rPr>
                <w:b/>
                <w:bCs/>
                <w:i/>
                <w:iCs/>
                <w:lang w:val="en-GB"/>
              </w:rPr>
              <w:t>0.88</w:t>
            </w:r>
          </w:p>
        </w:tc>
      </w:tr>
      <w:tr w14:paraId="5DA549C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05C5BC9">
            <w:pPr>
              <w:rPr>
                <w:lang w:val="en-GB"/>
              </w:rPr>
            </w:pPr>
            <w:r>
              <w:rPr>
                <w:lang w:val="en-GB"/>
              </w:rPr>
              <w:t>(Current Assets/Current Liabilities)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23A14BF">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93ABE59">
            <w:pPr>
              <w:rPr>
                <w:lang w:val="en-GB"/>
              </w:rPr>
            </w:pPr>
            <w:r>
              <w:rPr>
                <w:lang w:val="en-GB"/>
              </w:rPr>
              <w:t xml:space="preserve"> </w:t>
            </w:r>
          </w:p>
        </w:tc>
      </w:tr>
      <w:tr w14:paraId="5469F79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90D25D9">
            <w:pPr>
              <w:rPr>
                <w:b/>
                <w:bCs/>
                <w:i/>
                <w:iCs/>
                <w:lang w:val="en-GB"/>
              </w:rPr>
            </w:pPr>
            <w:r>
              <w:rPr>
                <w:b/>
                <w:bCs/>
                <w:i/>
                <w:iCs/>
                <w:lang w:val="en-GB"/>
              </w:rPr>
              <w:t>Quick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871D0A4">
            <w:pPr>
              <w:jc w:val="right"/>
              <w:rPr>
                <w:b/>
                <w:bCs/>
                <w:i/>
                <w:iCs/>
                <w:lang w:val="en-GB"/>
              </w:rPr>
            </w:pPr>
            <w:r>
              <w:rPr>
                <w:b/>
                <w:bCs/>
                <w:i/>
                <w:iCs/>
                <w:lang w:val="en-GB"/>
              </w:rPr>
              <w:t>0.76</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15E297A">
            <w:pPr>
              <w:jc w:val="right"/>
              <w:rPr>
                <w:b/>
                <w:bCs/>
                <w:i/>
                <w:iCs/>
                <w:lang w:val="en-GB"/>
              </w:rPr>
            </w:pPr>
            <w:r>
              <w:rPr>
                <w:b/>
                <w:bCs/>
                <w:i/>
                <w:iCs/>
                <w:lang w:val="en-GB"/>
              </w:rPr>
              <w:t>0.87</w:t>
            </w:r>
          </w:p>
        </w:tc>
      </w:tr>
      <w:tr w14:paraId="22B6B7C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04B9C78">
            <w:pPr>
              <w:rPr>
                <w:lang w:val="en-GB"/>
              </w:rPr>
            </w:pPr>
            <w:r>
              <w:rPr>
                <w:lang w:val="en-GB"/>
              </w:rPr>
              <w:t>(Current Assets- Inventories)/Current Liabilities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FBE67CE">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6A13D39">
            <w:pPr>
              <w:rPr>
                <w:lang w:val="en-GB"/>
              </w:rPr>
            </w:pPr>
            <w:r>
              <w:rPr>
                <w:lang w:val="en-GB"/>
              </w:rPr>
              <w:t xml:space="preserve"> </w:t>
            </w:r>
          </w:p>
        </w:tc>
      </w:tr>
      <w:tr w14:paraId="1F77FE5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6585" w:type="dxa"/>
            <w:tcBorders>
              <w:top w:val="nil"/>
              <w:left w:val="nil"/>
              <w:bottom w:val="nil"/>
              <w:right w:val="nil"/>
            </w:tcBorders>
            <w:tcMar>
              <w:top w:w="0" w:type="dxa"/>
              <w:left w:w="100" w:type="dxa"/>
              <w:bottom w:w="0" w:type="dxa"/>
              <w:right w:w="100" w:type="dxa"/>
            </w:tcMar>
            <w:vAlign w:val="bottom"/>
          </w:tcPr>
          <w:p w14:paraId="56B63CAA">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28423601">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0F1E7B97">
            <w:pPr>
              <w:rPr>
                <w:lang w:val="en-GB"/>
              </w:rPr>
            </w:pPr>
          </w:p>
        </w:tc>
      </w:tr>
      <w:tr w14:paraId="6E8234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8895" w:type="dxa"/>
            <w:gridSpan w:val="3"/>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59640E37">
            <w:pPr>
              <w:jc w:val="center"/>
              <w:rPr>
                <w:b/>
                <w:bCs/>
                <w:lang w:val="en-GB"/>
              </w:rPr>
            </w:pPr>
            <w:r>
              <w:rPr>
                <w:b/>
                <w:bCs/>
                <w:lang w:val="en-GB"/>
              </w:rPr>
              <w:t>Gearing Ratios</w:t>
            </w:r>
          </w:p>
        </w:tc>
      </w:tr>
      <w:tr w14:paraId="70418B1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435B6AE">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BADDC71">
            <w:pPr>
              <w:jc w:val="center"/>
              <w:rPr>
                <w:b/>
                <w:bCs/>
                <w:lang w:val="en-GB"/>
              </w:rPr>
            </w:pPr>
            <w:r>
              <w:rPr>
                <w:b/>
                <w:bCs/>
                <w:lang w:val="en-GB"/>
              </w:rPr>
              <w:t>2024</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7EED3D7">
            <w:pPr>
              <w:jc w:val="center"/>
              <w:rPr>
                <w:b/>
                <w:bCs/>
                <w:lang w:val="en-GB"/>
              </w:rPr>
            </w:pPr>
            <w:r>
              <w:rPr>
                <w:b/>
                <w:bCs/>
                <w:lang w:val="en-GB"/>
              </w:rPr>
              <w:t>2023</w:t>
            </w:r>
          </w:p>
        </w:tc>
      </w:tr>
      <w:tr w14:paraId="02AFA03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D81BCBC">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53247F3">
            <w:pPr>
              <w:jc w:val="center"/>
              <w:rPr>
                <w:b/>
                <w:bCs/>
                <w:lang w:val="en-GB"/>
              </w:rPr>
            </w:pPr>
            <w:r>
              <w:rPr>
                <w:b/>
                <w:bCs/>
                <w:lang w:val="en-GB"/>
              </w:rPr>
              <w:t>£m</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4FEEBFA">
            <w:pPr>
              <w:jc w:val="center"/>
              <w:rPr>
                <w:b/>
                <w:bCs/>
                <w:lang w:val="en-GB"/>
              </w:rPr>
            </w:pPr>
            <w:r>
              <w:rPr>
                <w:b/>
                <w:bCs/>
                <w:lang w:val="en-GB"/>
              </w:rPr>
              <w:t>£m</w:t>
            </w:r>
          </w:p>
        </w:tc>
      </w:tr>
      <w:tr w14:paraId="5114E0F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6A292B6">
            <w:pPr>
              <w:rPr>
                <w:lang w:val="en-GB"/>
              </w:rPr>
            </w:pPr>
            <w:r>
              <w:rPr>
                <w:lang w:val="en-GB"/>
              </w:rPr>
              <w:t>Total debt</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5E30817">
            <w:pPr>
              <w:jc w:val="right"/>
              <w:rPr>
                <w:lang w:val="en-GB"/>
              </w:rPr>
            </w:pPr>
            <w:r>
              <w:rPr>
                <w:lang w:val="en-GB"/>
              </w:rPr>
              <w:t>24,680</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1BA3F23">
            <w:pPr>
              <w:jc w:val="right"/>
              <w:rPr>
                <w:lang w:val="en-GB"/>
              </w:rPr>
            </w:pPr>
            <w:r>
              <w:rPr>
                <w:lang w:val="en-GB"/>
              </w:rPr>
              <w:t>25,142</w:t>
            </w:r>
          </w:p>
        </w:tc>
      </w:tr>
      <w:tr w14:paraId="1B6127A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906D62C">
            <w:pPr>
              <w:rPr>
                <w:lang w:val="en-GB"/>
              </w:rPr>
            </w:pPr>
            <w:r>
              <w:rPr>
                <w:lang w:val="en-GB"/>
              </w:rPr>
              <w:t>Total Equity</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6530E2F">
            <w:pPr>
              <w:jc w:val="right"/>
              <w:rPr>
                <w:lang w:val="en-GB"/>
              </w:rPr>
            </w:pPr>
            <w:r>
              <w:rPr>
                <w:lang w:val="en-GB"/>
              </w:rPr>
              <w:t>13,086</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B53DD64">
            <w:pPr>
              <w:jc w:val="right"/>
              <w:rPr>
                <w:lang w:val="en-GB"/>
              </w:rPr>
            </w:pPr>
            <w:r>
              <w:rPr>
                <w:lang w:val="en-GB"/>
              </w:rPr>
              <w:t>12,795</w:t>
            </w:r>
          </w:p>
        </w:tc>
      </w:tr>
      <w:tr w14:paraId="7E0DDE3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93A57AD">
            <w:pPr>
              <w:rPr>
                <w:lang w:val="en-GB"/>
              </w:rPr>
            </w:pPr>
            <w:r>
              <w:rPr>
                <w:lang w:val="en-GB"/>
              </w:rPr>
              <w:t>Total Assets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E428248">
            <w:pPr>
              <w:jc w:val="right"/>
              <w:rPr>
                <w:lang w:val="en-GB"/>
              </w:rPr>
            </w:pPr>
            <w:r>
              <w:rPr>
                <w:lang w:val="en-GB"/>
              </w:rPr>
              <w:t>59,463</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88CD680">
            <w:pPr>
              <w:jc w:val="right"/>
              <w:rPr>
                <w:lang w:val="en-GB"/>
              </w:rPr>
            </w:pPr>
            <w:r>
              <w:rPr>
                <w:lang w:val="en-GB"/>
              </w:rPr>
              <w:t>59,005</w:t>
            </w:r>
          </w:p>
        </w:tc>
      </w:tr>
      <w:tr w14:paraId="6375E53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513C005">
            <w:pPr>
              <w:rPr>
                <w:b/>
                <w:bCs/>
                <w:i/>
                <w:iCs/>
                <w:lang w:val="en-GB"/>
              </w:rPr>
            </w:pPr>
            <w:r>
              <w:rPr>
                <w:b/>
                <w:bCs/>
                <w:i/>
                <w:iCs/>
                <w:lang w:val="en-GB"/>
              </w:rPr>
              <w:t>Debt-Equity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1BA7562">
            <w:pPr>
              <w:jc w:val="right"/>
              <w:rPr>
                <w:b/>
                <w:bCs/>
                <w:i/>
                <w:iCs/>
                <w:lang w:val="en-GB"/>
              </w:rPr>
            </w:pPr>
            <w:r>
              <w:rPr>
                <w:b/>
                <w:bCs/>
                <w:i/>
                <w:iCs/>
                <w:lang w:val="en-GB"/>
              </w:rPr>
              <w:t>1.89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935E3EE">
            <w:pPr>
              <w:jc w:val="right"/>
              <w:rPr>
                <w:b/>
                <w:bCs/>
                <w:i/>
                <w:iCs/>
                <w:lang w:val="en-GB"/>
              </w:rPr>
            </w:pPr>
            <w:r>
              <w:rPr>
                <w:b/>
                <w:bCs/>
                <w:i/>
                <w:iCs/>
                <w:lang w:val="en-GB"/>
              </w:rPr>
              <w:t>1.96</w:t>
            </w:r>
          </w:p>
        </w:tc>
      </w:tr>
      <w:tr w14:paraId="708A45C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CE690CC">
            <w:pPr>
              <w:rPr>
                <w:lang w:val="en-GB"/>
              </w:rPr>
            </w:pPr>
            <w:r>
              <w:rPr>
                <w:lang w:val="en-GB"/>
              </w:rPr>
              <w:t>(Total debt/ Total equity)</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44DAF95">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355E049">
            <w:pPr>
              <w:rPr>
                <w:lang w:val="en-GB"/>
              </w:rPr>
            </w:pPr>
            <w:r>
              <w:rPr>
                <w:lang w:val="en-GB"/>
              </w:rPr>
              <w:t xml:space="preserve"> </w:t>
            </w:r>
          </w:p>
        </w:tc>
      </w:tr>
      <w:tr w14:paraId="2B9FD0D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3A3EDC4">
            <w:pPr>
              <w:rPr>
                <w:b/>
                <w:bCs/>
                <w:i/>
                <w:iCs/>
                <w:lang w:val="en-GB"/>
              </w:rPr>
            </w:pPr>
            <w:r>
              <w:rPr>
                <w:b/>
                <w:bCs/>
                <w:i/>
                <w:iCs/>
                <w:lang w:val="en-GB"/>
              </w:rPr>
              <w:t>Debt-Asset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2E51F17">
            <w:pPr>
              <w:jc w:val="right"/>
              <w:rPr>
                <w:b/>
                <w:bCs/>
                <w:i/>
                <w:iCs/>
                <w:lang w:val="en-GB"/>
              </w:rPr>
            </w:pPr>
            <w:r>
              <w:rPr>
                <w:b/>
                <w:bCs/>
                <w:i/>
                <w:iCs/>
                <w:lang w:val="en-GB"/>
              </w:rPr>
              <w:t>0.42</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AE6999B">
            <w:pPr>
              <w:jc w:val="right"/>
              <w:rPr>
                <w:b/>
                <w:bCs/>
                <w:i/>
                <w:iCs/>
                <w:lang w:val="en-GB"/>
              </w:rPr>
            </w:pPr>
            <w:r>
              <w:rPr>
                <w:b/>
                <w:bCs/>
                <w:i/>
                <w:iCs/>
                <w:lang w:val="en-GB"/>
              </w:rPr>
              <w:t>0.43</w:t>
            </w:r>
          </w:p>
        </w:tc>
      </w:tr>
      <w:tr w14:paraId="7EC5E27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D1C6403">
            <w:pPr>
              <w:rPr>
                <w:lang w:val="en-GB"/>
              </w:rPr>
            </w:pPr>
            <w:r>
              <w:rPr>
                <w:lang w:val="en-GB"/>
              </w:rPr>
              <w:t>(Total Deb/Total Assets)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53583A2">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107AEB3">
            <w:pPr>
              <w:rPr>
                <w:lang w:val="en-GB"/>
              </w:rPr>
            </w:pPr>
            <w:r>
              <w:rPr>
                <w:lang w:val="en-GB"/>
              </w:rPr>
              <w:t xml:space="preserve"> </w:t>
            </w:r>
          </w:p>
        </w:tc>
      </w:tr>
      <w:tr w14:paraId="260C0CF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6585" w:type="dxa"/>
            <w:tcBorders>
              <w:top w:val="nil"/>
              <w:left w:val="nil"/>
              <w:bottom w:val="nil"/>
              <w:right w:val="nil"/>
            </w:tcBorders>
            <w:tcMar>
              <w:top w:w="0" w:type="dxa"/>
              <w:left w:w="100" w:type="dxa"/>
              <w:bottom w:w="0" w:type="dxa"/>
              <w:right w:w="100" w:type="dxa"/>
            </w:tcMar>
            <w:vAlign w:val="bottom"/>
          </w:tcPr>
          <w:p w14:paraId="088ED0F8">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69F381CC">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3DC768CB">
            <w:pPr>
              <w:rPr>
                <w:lang w:val="en-GB"/>
              </w:rPr>
            </w:pPr>
          </w:p>
        </w:tc>
      </w:tr>
      <w:tr w14:paraId="3A09A68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8895" w:type="dxa"/>
            <w:gridSpan w:val="3"/>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375B0633">
            <w:pPr>
              <w:jc w:val="center"/>
              <w:rPr>
                <w:b/>
                <w:bCs/>
                <w:lang w:val="en-GB"/>
              </w:rPr>
            </w:pPr>
            <w:r>
              <w:rPr>
                <w:b/>
                <w:bCs/>
                <w:lang w:val="en-GB"/>
              </w:rPr>
              <w:t>Efficiency  Ratios</w:t>
            </w:r>
          </w:p>
        </w:tc>
      </w:tr>
      <w:tr w14:paraId="6C523AA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F462DE9">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25C0534">
            <w:pPr>
              <w:jc w:val="center"/>
              <w:rPr>
                <w:b/>
                <w:bCs/>
                <w:lang w:val="en-GB"/>
              </w:rPr>
            </w:pPr>
            <w:r>
              <w:rPr>
                <w:b/>
                <w:bCs/>
                <w:lang w:val="en-GB"/>
              </w:rPr>
              <w:t>2024</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F40999E">
            <w:pPr>
              <w:jc w:val="center"/>
              <w:rPr>
                <w:b/>
                <w:bCs/>
                <w:lang w:val="en-GB"/>
              </w:rPr>
            </w:pPr>
            <w:r>
              <w:rPr>
                <w:b/>
                <w:bCs/>
                <w:lang w:val="en-GB"/>
              </w:rPr>
              <w:t>2023</w:t>
            </w:r>
          </w:p>
        </w:tc>
      </w:tr>
      <w:tr w14:paraId="6B82316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9A12D67">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7579153">
            <w:pPr>
              <w:jc w:val="center"/>
              <w:rPr>
                <w:b/>
                <w:bCs/>
                <w:lang w:val="en-GB"/>
              </w:rPr>
            </w:pPr>
            <w:r>
              <w:rPr>
                <w:b/>
                <w:bCs/>
                <w:lang w:val="en-GB"/>
              </w:rPr>
              <w:t>£m</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56EECE0">
            <w:pPr>
              <w:jc w:val="center"/>
              <w:rPr>
                <w:b/>
                <w:bCs/>
                <w:lang w:val="en-GB"/>
              </w:rPr>
            </w:pPr>
            <w:r>
              <w:rPr>
                <w:b/>
                <w:bCs/>
                <w:lang w:val="en-GB"/>
              </w:rPr>
              <w:t>£m</w:t>
            </w:r>
          </w:p>
        </w:tc>
      </w:tr>
      <w:tr w14:paraId="4FBF916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CAE2910">
            <w:pPr>
              <w:rPr>
                <w:lang w:val="en-GB"/>
              </w:rPr>
            </w:pPr>
            <w:r>
              <w:rPr>
                <w:lang w:val="en-GB"/>
              </w:rPr>
              <w:t>Turnover</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06A3356">
            <w:pPr>
              <w:jc w:val="right"/>
              <w:rPr>
                <w:lang w:val="en-GB"/>
              </w:rPr>
            </w:pPr>
            <w:r>
              <w:rPr>
                <w:lang w:val="en-GB"/>
              </w:rPr>
              <w:t>31376</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5405311">
            <w:pPr>
              <w:jc w:val="right"/>
              <w:rPr>
                <w:lang w:val="en-GB"/>
              </w:rPr>
            </w:pPr>
            <w:r>
              <w:rPr>
                <w:lang w:val="en-GB"/>
              </w:rPr>
              <w:t>30328</w:t>
            </w:r>
          </w:p>
        </w:tc>
      </w:tr>
      <w:tr w14:paraId="5704C4B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33B3C80">
            <w:pPr>
              <w:rPr>
                <w:lang w:val="en-GB"/>
              </w:rPr>
            </w:pPr>
            <w:r>
              <w:rPr>
                <w:lang w:val="en-GB"/>
              </w:rPr>
              <w:t>Accounts receivables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28CA091">
            <w:pPr>
              <w:jc w:val="right"/>
              <w:rPr>
                <w:lang w:val="en-GB"/>
              </w:rPr>
            </w:pPr>
            <w:r>
              <w:rPr>
                <w:lang w:val="en-GB"/>
              </w:rPr>
              <w:t>6,836</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7F898A5">
            <w:pPr>
              <w:jc w:val="right"/>
              <w:rPr>
                <w:lang w:val="en-GB"/>
              </w:rPr>
            </w:pPr>
            <w:r>
              <w:rPr>
                <w:lang w:val="en-GB"/>
              </w:rPr>
              <w:t>7,385</w:t>
            </w:r>
          </w:p>
        </w:tc>
      </w:tr>
      <w:tr w14:paraId="472FF02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CFC557B">
            <w:pPr>
              <w:rPr>
                <w:lang w:val="en-GB"/>
              </w:rPr>
            </w:pPr>
            <w:r>
              <w:rPr>
                <w:lang w:val="en-GB"/>
              </w:rPr>
              <w:t>Inventories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768532F">
            <w:pPr>
              <w:jc w:val="right"/>
              <w:rPr>
                <w:lang w:val="en-GB"/>
              </w:rPr>
            </w:pPr>
            <w:r>
              <w:rPr>
                <w:lang w:val="en-GB"/>
              </w:rPr>
              <w:t>489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84C0385">
            <w:pPr>
              <w:jc w:val="right"/>
              <w:rPr>
                <w:lang w:val="en-GB"/>
              </w:rPr>
            </w:pPr>
            <w:r>
              <w:rPr>
                <w:lang w:val="en-GB"/>
              </w:rPr>
              <w:t>373</w:t>
            </w:r>
          </w:p>
        </w:tc>
      </w:tr>
      <w:tr w14:paraId="1AD18F1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51D55D9">
            <w:pPr>
              <w:rPr>
                <w:lang w:val="en-GB"/>
              </w:rPr>
            </w:pPr>
            <w:r>
              <w:rPr>
                <w:lang w:val="en-GB"/>
              </w:rPr>
              <w:t>Cost of Sales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1733076">
            <w:pPr>
              <w:jc w:val="right"/>
              <w:rPr>
                <w:lang w:val="en-GB"/>
              </w:rPr>
            </w:pPr>
            <w:r>
              <w:rPr>
                <w:lang w:val="en-GB"/>
              </w:rPr>
              <w:t>9,048</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B16F568">
            <w:pPr>
              <w:jc w:val="right"/>
              <w:rPr>
                <w:lang w:val="en-GB"/>
              </w:rPr>
            </w:pPr>
            <w:r>
              <w:rPr>
                <w:lang w:val="en-GB"/>
              </w:rPr>
              <w:t>8,565</w:t>
            </w:r>
          </w:p>
        </w:tc>
      </w:tr>
      <w:tr w14:paraId="1EB7A0C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46C40CC">
            <w:pPr>
              <w:rPr>
                <w:b/>
                <w:bCs/>
                <w:i/>
                <w:iCs/>
                <w:lang w:val="en-GB"/>
              </w:rPr>
            </w:pPr>
            <w:r>
              <w:rPr>
                <w:b/>
                <w:bCs/>
                <w:i/>
                <w:iCs/>
                <w:lang w:val="en-GB"/>
              </w:rPr>
              <w:t>Receivable Turnover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7FEB636">
            <w:pPr>
              <w:jc w:val="right"/>
              <w:rPr>
                <w:b/>
                <w:bCs/>
                <w:i/>
                <w:iCs/>
                <w:lang w:val="en-GB"/>
              </w:rPr>
            </w:pPr>
            <w:r>
              <w:rPr>
                <w:b/>
                <w:bCs/>
                <w:i/>
                <w:iCs/>
                <w:lang w:val="en-GB"/>
              </w:rPr>
              <w:t>4.59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1A1293C">
            <w:pPr>
              <w:jc w:val="right"/>
              <w:rPr>
                <w:b/>
                <w:bCs/>
                <w:i/>
                <w:iCs/>
                <w:lang w:val="en-GB"/>
              </w:rPr>
            </w:pPr>
            <w:r>
              <w:rPr>
                <w:b/>
                <w:bCs/>
                <w:i/>
                <w:iCs/>
                <w:lang w:val="en-GB"/>
              </w:rPr>
              <w:t>4.11</w:t>
            </w:r>
          </w:p>
        </w:tc>
      </w:tr>
      <w:tr w14:paraId="4C9A6DA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59F3B00">
            <w:pPr>
              <w:rPr>
                <w:lang w:val="en-GB"/>
              </w:rPr>
            </w:pPr>
            <w:r>
              <w:rPr>
                <w:lang w:val="en-GB"/>
              </w:rPr>
              <w:t>(Sales/Account Receivables)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8A72C07">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050F381">
            <w:pPr>
              <w:rPr>
                <w:lang w:val="en-GB"/>
              </w:rPr>
            </w:pPr>
            <w:r>
              <w:rPr>
                <w:lang w:val="en-GB"/>
              </w:rPr>
              <w:t xml:space="preserve"> </w:t>
            </w:r>
          </w:p>
        </w:tc>
      </w:tr>
      <w:tr w14:paraId="7B0FCE2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B6EB9E6">
            <w:pPr>
              <w:rPr>
                <w:b/>
                <w:bCs/>
                <w:i/>
                <w:iCs/>
                <w:lang w:val="en-GB"/>
              </w:rPr>
            </w:pPr>
            <w:r>
              <w:rPr>
                <w:b/>
                <w:bCs/>
                <w:i/>
                <w:iCs/>
                <w:lang w:val="en-GB"/>
              </w:rPr>
              <w:t>Inventory Turnover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1DE98E7">
            <w:pPr>
              <w:jc w:val="right"/>
              <w:rPr>
                <w:b/>
                <w:bCs/>
                <w:i/>
                <w:iCs/>
                <w:lang w:val="en-GB"/>
              </w:rPr>
            </w:pPr>
            <w:r>
              <w:rPr>
                <w:b/>
                <w:bCs/>
                <w:i/>
                <w:iCs/>
                <w:lang w:val="en-GB"/>
              </w:rPr>
              <w:t>18.50</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39CA26C">
            <w:pPr>
              <w:jc w:val="right"/>
              <w:rPr>
                <w:b/>
                <w:bCs/>
                <w:i/>
                <w:iCs/>
                <w:lang w:val="en-GB"/>
              </w:rPr>
            </w:pPr>
            <w:r>
              <w:rPr>
                <w:b/>
                <w:bCs/>
                <w:i/>
                <w:iCs/>
                <w:lang w:val="en-GB"/>
              </w:rPr>
              <w:t>22.96</w:t>
            </w:r>
          </w:p>
        </w:tc>
      </w:tr>
      <w:tr w14:paraId="6585082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86525A8">
            <w:pPr>
              <w:rPr>
                <w:lang w:val="en-GB"/>
              </w:rPr>
            </w:pPr>
            <w:r>
              <w:rPr>
                <w:lang w:val="en-GB"/>
              </w:rPr>
              <w:t>(Cost of Sales/ Inventories)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B62765F">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B63FA46">
            <w:pPr>
              <w:rPr>
                <w:lang w:val="en-GB"/>
              </w:rPr>
            </w:pPr>
            <w:r>
              <w:rPr>
                <w:lang w:val="en-GB"/>
              </w:rPr>
              <w:t xml:space="preserve"> </w:t>
            </w:r>
          </w:p>
        </w:tc>
      </w:tr>
      <w:tr w14:paraId="6711E9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6585" w:type="dxa"/>
            <w:tcBorders>
              <w:top w:val="nil"/>
              <w:left w:val="nil"/>
              <w:bottom w:val="nil"/>
              <w:right w:val="nil"/>
            </w:tcBorders>
            <w:tcMar>
              <w:top w:w="0" w:type="dxa"/>
              <w:left w:w="100" w:type="dxa"/>
              <w:bottom w:w="0" w:type="dxa"/>
              <w:right w:w="100" w:type="dxa"/>
            </w:tcMar>
            <w:vAlign w:val="bottom"/>
          </w:tcPr>
          <w:p w14:paraId="3B9686E7">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18C21161">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68217853">
            <w:pPr>
              <w:rPr>
                <w:lang w:val="en-GB"/>
              </w:rPr>
            </w:pPr>
          </w:p>
        </w:tc>
      </w:tr>
      <w:tr w14:paraId="32615BB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8895" w:type="dxa"/>
            <w:gridSpan w:val="3"/>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3548513D">
            <w:pPr>
              <w:jc w:val="center"/>
              <w:rPr>
                <w:b/>
                <w:bCs/>
                <w:lang w:val="en-GB"/>
              </w:rPr>
            </w:pPr>
            <w:r>
              <w:rPr>
                <w:b/>
                <w:bCs/>
                <w:lang w:val="en-GB"/>
              </w:rPr>
              <w:t>Investors  Ratios</w:t>
            </w:r>
          </w:p>
        </w:tc>
      </w:tr>
      <w:tr w14:paraId="0BBE0A6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C084B0E">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5342E2E">
            <w:pPr>
              <w:jc w:val="center"/>
              <w:rPr>
                <w:b/>
                <w:bCs/>
                <w:lang w:val="en-GB"/>
              </w:rPr>
            </w:pPr>
            <w:r>
              <w:rPr>
                <w:b/>
                <w:bCs/>
                <w:lang w:val="en-GB"/>
              </w:rPr>
              <w:t>2024</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DDC693B">
            <w:pPr>
              <w:jc w:val="center"/>
              <w:rPr>
                <w:b/>
                <w:bCs/>
                <w:lang w:val="en-GB"/>
              </w:rPr>
            </w:pPr>
            <w:r>
              <w:rPr>
                <w:b/>
                <w:bCs/>
                <w:lang w:val="en-GB"/>
              </w:rPr>
              <w:t>2023</w:t>
            </w:r>
          </w:p>
        </w:tc>
      </w:tr>
      <w:tr w14:paraId="1BDC40D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4A2B32B">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0C03B9B">
            <w:pPr>
              <w:jc w:val="center"/>
              <w:rPr>
                <w:b/>
                <w:bCs/>
                <w:lang w:val="en-GB"/>
              </w:rPr>
            </w:pPr>
            <w:r>
              <w:rPr>
                <w:b/>
                <w:bCs/>
                <w:lang w:val="en-GB"/>
              </w:rPr>
              <w:t>£m</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29BB91FC">
            <w:pPr>
              <w:jc w:val="center"/>
              <w:rPr>
                <w:b/>
                <w:bCs/>
                <w:lang w:val="en-GB"/>
              </w:rPr>
            </w:pPr>
            <w:r>
              <w:rPr>
                <w:b/>
                <w:bCs/>
                <w:lang w:val="en-GB"/>
              </w:rPr>
              <w:t>£m</w:t>
            </w:r>
          </w:p>
        </w:tc>
      </w:tr>
      <w:tr w14:paraId="7D35C66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BB17A0F">
            <w:pPr>
              <w:rPr>
                <w:lang w:val="en-GB"/>
              </w:rPr>
            </w:pPr>
            <w:r>
              <w:rPr>
                <w:lang w:val="en-GB"/>
              </w:rPr>
              <w:t>Net Profit</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2A4837E">
            <w:pPr>
              <w:jc w:val="right"/>
              <w:rPr>
                <w:lang w:val="en-GB"/>
              </w:rPr>
            </w:pPr>
            <w:r>
              <w:rPr>
                <w:lang w:val="en-GB"/>
              </w:rPr>
              <w:t>2951</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4C553DEF">
            <w:pPr>
              <w:jc w:val="right"/>
              <w:rPr>
                <w:lang w:val="en-GB"/>
              </w:rPr>
            </w:pPr>
            <w:r>
              <w:rPr>
                <w:lang w:val="en-GB"/>
              </w:rPr>
              <w:t>5308</w:t>
            </w:r>
          </w:p>
        </w:tc>
      </w:tr>
      <w:tr w14:paraId="14C1041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3092953">
            <w:pPr>
              <w:rPr>
                <w:lang w:val="en-GB"/>
              </w:rPr>
            </w:pPr>
            <w:r>
              <w:rPr>
                <w:lang w:val="en-GB"/>
              </w:rPr>
              <w:t>Number of Shares Outstanding</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618308C7">
            <w:pPr>
              <w:jc w:val="right"/>
              <w:rPr>
                <w:lang w:val="en-GB"/>
              </w:rPr>
            </w:pPr>
            <w:r>
              <w:rPr>
                <w:lang w:val="en-GB"/>
              </w:rPr>
              <w:t>1,348</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AF499E6">
            <w:pPr>
              <w:jc w:val="right"/>
              <w:rPr>
                <w:lang w:val="en-GB"/>
              </w:rPr>
            </w:pPr>
            <w:r>
              <w:rPr>
                <w:lang w:val="en-GB"/>
              </w:rPr>
              <w:t>1,348</w:t>
            </w:r>
          </w:p>
        </w:tc>
      </w:tr>
      <w:tr w14:paraId="69BC808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BC5CF3A">
            <w:pPr>
              <w:rPr>
                <w:lang w:val="en-GB"/>
              </w:rPr>
            </w:pPr>
            <w:r>
              <w:rPr>
                <w:lang w:val="en-GB"/>
              </w:rPr>
              <w:t>Share Price</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EABAFBF">
            <w:pPr>
              <w:jc w:val="right"/>
              <w:rPr>
                <w:lang w:val="en-GB"/>
              </w:rPr>
            </w:pPr>
            <w:r>
              <w:rPr>
                <w:lang w:val="en-GB"/>
              </w:rPr>
              <w:t>12</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B821DC3">
            <w:pPr>
              <w:jc w:val="right"/>
              <w:rPr>
                <w:lang w:val="en-GB"/>
              </w:rPr>
            </w:pPr>
            <w:r>
              <w:rPr>
                <w:lang w:val="en-GB"/>
              </w:rPr>
              <w:t>12</w:t>
            </w:r>
          </w:p>
        </w:tc>
      </w:tr>
      <w:tr w14:paraId="1344BE0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F9CA2B2">
            <w:pPr>
              <w:rPr>
                <w:b/>
                <w:bCs/>
                <w:i/>
                <w:iCs/>
                <w:lang w:val="en-GB"/>
              </w:rPr>
            </w:pPr>
            <w:r>
              <w:rPr>
                <w:b/>
                <w:bCs/>
                <w:i/>
                <w:iCs/>
                <w:lang w:val="en-GB"/>
              </w:rPr>
              <w:t>Earnings Per Share (EPS)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71A8212">
            <w:pPr>
              <w:jc w:val="right"/>
              <w:rPr>
                <w:b/>
                <w:bCs/>
                <w:i/>
                <w:iCs/>
                <w:lang w:val="en-GB"/>
              </w:rPr>
            </w:pPr>
            <w:r>
              <w:rPr>
                <w:b/>
                <w:bCs/>
                <w:i/>
                <w:iCs/>
                <w:lang w:val="en-GB"/>
              </w:rPr>
              <w:t>2.19</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0EFCCCAD">
            <w:pPr>
              <w:jc w:val="right"/>
              <w:rPr>
                <w:b/>
                <w:bCs/>
                <w:i/>
                <w:iCs/>
                <w:lang w:val="en-GB"/>
              </w:rPr>
            </w:pPr>
            <w:r>
              <w:rPr>
                <w:b/>
                <w:bCs/>
                <w:i/>
                <w:iCs/>
                <w:lang w:val="en-GB"/>
              </w:rPr>
              <w:t>3.94</w:t>
            </w:r>
          </w:p>
        </w:tc>
      </w:tr>
      <w:tr w14:paraId="178ACC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F3BAAD9">
            <w:pPr>
              <w:rPr>
                <w:lang w:val="en-GB"/>
              </w:rPr>
            </w:pPr>
            <w:r>
              <w:rPr>
                <w:lang w:val="en-GB"/>
              </w:rPr>
              <w:t>(Net Profit/Outstanding Shares)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3F163487">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1E9F5E2">
            <w:pPr>
              <w:rPr>
                <w:lang w:val="en-GB"/>
              </w:rPr>
            </w:pPr>
            <w:r>
              <w:rPr>
                <w:lang w:val="en-GB"/>
              </w:rPr>
              <w:t xml:space="preserve"> </w:t>
            </w:r>
          </w:p>
        </w:tc>
      </w:tr>
      <w:tr w14:paraId="415EE20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0"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2E544B1">
            <w:pPr>
              <w:rPr>
                <w:b/>
                <w:bCs/>
                <w:i/>
                <w:iCs/>
                <w:lang w:val="en-GB"/>
              </w:rPr>
            </w:pPr>
            <w:r>
              <w:rPr>
                <w:b/>
                <w:bCs/>
                <w:i/>
                <w:iCs/>
                <w:lang w:val="en-GB"/>
              </w:rPr>
              <w:t>Price Earnings Ratio</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0891FE7">
            <w:pPr>
              <w:jc w:val="right"/>
              <w:rPr>
                <w:b/>
                <w:bCs/>
                <w:i/>
                <w:iCs/>
                <w:lang w:val="en-GB"/>
              </w:rPr>
            </w:pPr>
            <w:r>
              <w:rPr>
                <w:b/>
                <w:bCs/>
                <w:i/>
                <w:iCs/>
                <w:lang w:val="en-GB"/>
              </w:rPr>
              <w:t>5.67</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5799C672">
            <w:pPr>
              <w:jc w:val="right"/>
              <w:rPr>
                <w:b/>
                <w:bCs/>
                <w:i/>
                <w:iCs/>
                <w:lang w:val="en-GB"/>
              </w:rPr>
            </w:pPr>
            <w:r>
              <w:rPr>
                <w:b/>
                <w:bCs/>
                <w:i/>
                <w:iCs/>
                <w:lang w:val="en-GB"/>
              </w:rPr>
              <w:t>3.15</w:t>
            </w:r>
          </w:p>
        </w:tc>
      </w:tr>
      <w:tr w14:paraId="32A4CF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658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012D001">
            <w:pPr>
              <w:rPr>
                <w:lang w:val="en-GB"/>
              </w:rPr>
            </w:pPr>
            <w:r>
              <w:rPr>
                <w:lang w:val="en-GB"/>
              </w:rPr>
              <w:t>(Share Price/EPS)</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1CC2BAEA">
            <w:pPr>
              <w:rPr>
                <w:lang w:val="en-GB"/>
              </w:rPr>
            </w:pPr>
            <w:r>
              <w:rPr>
                <w:lang w:val="en-GB"/>
              </w:rPr>
              <w:t xml:space="preserve"> </w:t>
            </w:r>
          </w:p>
        </w:tc>
        <w:tc>
          <w:tcPr>
            <w:tcW w:w="1155" w:type="dxa"/>
            <w:tcBorders>
              <w:top w:val="nil"/>
              <w:left w:val="nil"/>
              <w:bottom w:val="single" w:color="000000" w:sz="4" w:space="0"/>
              <w:right w:val="single" w:color="000000" w:sz="4" w:space="0"/>
            </w:tcBorders>
            <w:tcMar>
              <w:top w:w="0" w:type="dxa"/>
              <w:left w:w="100" w:type="dxa"/>
              <w:bottom w:w="0" w:type="dxa"/>
              <w:right w:w="100" w:type="dxa"/>
            </w:tcMar>
          </w:tcPr>
          <w:p w14:paraId="758962EB">
            <w:pPr>
              <w:rPr>
                <w:lang w:val="en-GB"/>
              </w:rPr>
            </w:pPr>
            <w:r>
              <w:rPr>
                <w:lang w:val="en-GB"/>
              </w:rPr>
              <w:t xml:space="preserve"> </w:t>
            </w:r>
          </w:p>
        </w:tc>
      </w:tr>
    </w:tbl>
    <w:p w14:paraId="77AFAA15">
      <w:pPr>
        <w:rPr>
          <w:lang w:val="en-GB"/>
        </w:rPr>
      </w:pPr>
      <w:r>
        <w:rPr>
          <w:lang w:val="en-GB"/>
        </w:rPr>
        <w:br w:type="page"/>
      </w:r>
    </w:p>
    <w:p w14:paraId="291CCDAF">
      <w:pPr>
        <w:pStyle w:val="3"/>
        <w:rPr>
          <w:lang w:val="en-GB"/>
        </w:rPr>
      </w:pPr>
      <w:bookmarkStart w:id="16" w:name="_Toc218683303"/>
      <w:r>
        <w:rPr>
          <w:lang w:val="en-GB"/>
        </w:rPr>
        <w:t>Appendix 3: Calculation of NPV</w:t>
      </w:r>
      <w:bookmarkEnd w:id="16"/>
      <w:r>
        <w:rPr>
          <w:lang w:val="en-GB"/>
        </w:rPr>
        <w:t xml:space="preserve"> </w:t>
      </w:r>
    </w:p>
    <w:p w14:paraId="510B7556">
      <w:pPr>
        <w:rPr>
          <w:b/>
          <w:bCs/>
          <w:i/>
          <w:iCs/>
          <w:u w:val="single"/>
          <w:lang w:val="en-GB"/>
        </w:rPr>
      </w:pPr>
      <w:r>
        <w:rPr>
          <w:b/>
          <w:bCs/>
          <w:i/>
          <w:iCs/>
          <w:u w:val="single"/>
          <w:lang w:val="en-GB"/>
        </w:rPr>
        <w:t>Step 1: Capital Allowances &amp; Tax Shield</w:t>
      </w:r>
    </w:p>
    <w:tbl>
      <w:tblPr>
        <w:tblStyle w:val="21"/>
        <w:tblW w:w="9359"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3412"/>
        <w:gridCol w:w="1171"/>
        <w:gridCol w:w="2030"/>
        <w:gridCol w:w="2746"/>
      </w:tblGrid>
      <w:tr w14:paraId="26EEA7C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9359" w:type="dxa"/>
            <w:gridSpan w:val="4"/>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3FA13803">
            <w:pPr>
              <w:jc w:val="center"/>
              <w:rPr>
                <w:b/>
                <w:bCs/>
                <w:lang w:val="en-GB"/>
              </w:rPr>
            </w:pPr>
            <w:r>
              <w:rPr>
                <w:b/>
                <w:bCs/>
                <w:lang w:val="en-GB"/>
              </w:rPr>
              <w:t>Capital Allowances &amp; Tax Shield</w:t>
            </w:r>
          </w:p>
        </w:tc>
      </w:tr>
      <w:tr w14:paraId="705B5BC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CA74B38">
            <w:pPr>
              <w:rPr>
                <w:lang w:val="en-GB"/>
              </w:rPr>
            </w:pPr>
            <w:r>
              <w:rPr>
                <w:lang w:val="en-GB"/>
              </w:rPr>
              <w:t>Capital allowance = 20% straight line per year</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28FD7997">
            <w:pPr>
              <w:rPr>
                <w:lang w:val="en-GB"/>
              </w:rPr>
            </w:pPr>
            <w:r>
              <w:rPr>
                <w:lang w:val="en-GB"/>
              </w:rPr>
              <w:t xml:space="preserve"> </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1F2E4BF5">
            <w:pPr>
              <w:rPr>
                <w:lang w:val="en-GB"/>
              </w:rPr>
            </w:pPr>
            <w:r>
              <w:rPr>
                <w:lang w:val="en-GB"/>
              </w:rPr>
              <w:t xml:space="preserve"> </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4E24AF06">
            <w:pPr>
              <w:rPr>
                <w:lang w:val="en-GB"/>
              </w:rPr>
            </w:pPr>
            <w:r>
              <w:rPr>
                <w:lang w:val="en-GB"/>
              </w:rPr>
              <w:t xml:space="preserve"> </w:t>
            </w:r>
          </w:p>
        </w:tc>
      </w:tr>
      <w:tr w14:paraId="2D94CAC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BDD095B">
            <w:pPr>
              <w:rPr>
                <w:lang w:val="en-GB"/>
              </w:rPr>
            </w:pPr>
            <w:r>
              <w:rPr>
                <w:lang w:val="en-GB"/>
              </w:rPr>
              <w:t>Tax rate = 25%</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69BCD214">
            <w:pPr>
              <w:rPr>
                <w:lang w:val="en-GB"/>
              </w:rPr>
            </w:pPr>
            <w:r>
              <w:rPr>
                <w:lang w:val="en-GB"/>
              </w:rPr>
              <w:t xml:space="preserve"> </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0BD44A5F">
            <w:pPr>
              <w:rPr>
                <w:lang w:val="en-GB"/>
              </w:rPr>
            </w:pPr>
            <w:r>
              <w:rPr>
                <w:lang w:val="en-GB"/>
              </w:rPr>
              <w:t xml:space="preserve"> </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6A35D0B6">
            <w:pPr>
              <w:rPr>
                <w:lang w:val="en-GB"/>
              </w:rPr>
            </w:pPr>
            <w:r>
              <w:rPr>
                <w:lang w:val="en-GB"/>
              </w:rPr>
              <w:t xml:space="preserve"> </w:t>
            </w:r>
          </w:p>
        </w:tc>
      </w:tr>
      <w:tr w14:paraId="4DC2575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0342D61">
            <w:pPr>
              <w:rPr>
                <w:b/>
                <w:bCs/>
                <w:lang w:val="en-GB"/>
              </w:rPr>
            </w:pPr>
            <w:r>
              <w:rPr>
                <w:b/>
                <w:bCs/>
                <w:lang w:val="en-GB"/>
              </w:rPr>
              <w:t>Option</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2CBDAA19">
            <w:pPr>
              <w:jc w:val="center"/>
              <w:rPr>
                <w:b/>
                <w:bCs/>
                <w:lang w:val="en-GB"/>
              </w:rPr>
            </w:pPr>
            <w:r>
              <w:rPr>
                <w:b/>
                <w:bCs/>
                <w:lang w:val="en-GB"/>
              </w:rPr>
              <w:t>Initial Cost (£000)</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03333BFB">
            <w:pPr>
              <w:jc w:val="center"/>
              <w:rPr>
                <w:b/>
                <w:bCs/>
                <w:lang w:val="en-GB"/>
              </w:rPr>
            </w:pPr>
            <w:r>
              <w:rPr>
                <w:b/>
                <w:bCs/>
                <w:lang w:val="en-GB"/>
              </w:rPr>
              <w:t>Annual Capital Allowance (£000)</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5F90B6D1">
            <w:pPr>
              <w:jc w:val="center"/>
              <w:rPr>
                <w:b/>
                <w:bCs/>
                <w:lang w:val="en-GB"/>
              </w:rPr>
            </w:pPr>
            <w:r>
              <w:rPr>
                <w:b/>
                <w:bCs/>
                <w:lang w:val="en-GB"/>
              </w:rPr>
              <w:t>Tax Shield = (Capital Allowance*25%) (£000)</w:t>
            </w:r>
          </w:p>
        </w:tc>
      </w:tr>
      <w:tr w14:paraId="12CDC3C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39D1579">
            <w:pPr>
              <w:rPr>
                <w:lang w:val="en-GB"/>
              </w:rPr>
            </w:pPr>
            <w:r>
              <w:rPr>
                <w:lang w:val="en-GB"/>
              </w:rPr>
              <w:t>A: Expand its flourishing retail outlet to include all products.</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2C4D8246">
            <w:pPr>
              <w:jc w:val="right"/>
              <w:rPr>
                <w:lang w:val="en-GB"/>
              </w:rPr>
            </w:pPr>
            <w:r>
              <w:rPr>
                <w:lang w:val="en-GB"/>
              </w:rPr>
              <w:t>600</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348B7D90">
            <w:pPr>
              <w:jc w:val="right"/>
              <w:rPr>
                <w:lang w:val="en-GB"/>
              </w:rPr>
            </w:pPr>
            <w:r>
              <w:rPr>
                <w:lang w:val="en-GB"/>
              </w:rPr>
              <w:t>120</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665CD7C0">
            <w:pPr>
              <w:jc w:val="right"/>
              <w:rPr>
                <w:lang w:val="en-GB"/>
              </w:rPr>
            </w:pPr>
            <w:r>
              <w:rPr>
                <w:lang w:val="en-GB"/>
              </w:rPr>
              <w:t>30</w:t>
            </w:r>
          </w:p>
        </w:tc>
      </w:tr>
      <w:tr w14:paraId="4D9CBC4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ADD949E">
            <w:pPr>
              <w:rPr>
                <w:lang w:val="en-GB"/>
              </w:rPr>
            </w:pPr>
            <w:r>
              <w:rPr>
                <w:lang w:val="en-GB"/>
              </w:rPr>
              <w:t>B: Develop into internet sales</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219B68FC">
            <w:pPr>
              <w:jc w:val="right"/>
              <w:rPr>
                <w:lang w:val="en-GB"/>
              </w:rPr>
            </w:pPr>
            <w:r>
              <w:rPr>
                <w:lang w:val="en-GB"/>
              </w:rPr>
              <w:t>1000</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6217617D">
            <w:pPr>
              <w:jc w:val="right"/>
              <w:rPr>
                <w:lang w:val="en-GB"/>
              </w:rPr>
            </w:pPr>
            <w:r>
              <w:rPr>
                <w:lang w:val="en-GB"/>
              </w:rPr>
              <w:t>200</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3603DF5D">
            <w:pPr>
              <w:jc w:val="right"/>
              <w:rPr>
                <w:lang w:val="en-GB"/>
              </w:rPr>
            </w:pPr>
            <w:r>
              <w:rPr>
                <w:lang w:val="en-GB"/>
              </w:rPr>
              <w:t>50</w:t>
            </w:r>
          </w:p>
        </w:tc>
      </w:tr>
      <w:tr w14:paraId="6B7BAB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75" w:hRule="atLeast"/>
          <w:jc w:val="center"/>
        </w:trPr>
        <w:tc>
          <w:tcPr>
            <w:tcW w:w="3412"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0F043FE">
            <w:pPr>
              <w:rPr>
                <w:lang w:val="en-GB"/>
              </w:rPr>
            </w:pPr>
            <w:r>
              <w:rPr>
                <w:lang w:val="en-GB"/>
              </w:rPr>
              <w:t>C: Produce wooden blinds and Roman blinds</w:t>
            </w:r>
          </w:p>
        </w:tc>
        <w:tc>
          <w:tcPr>
            <w:tcW w:w="1171" w:type="dxa"/>
            <w:tcBorders>
              <w:top w:val="nil"/>
              <w:left w:val="nil"/>
              <w:bottom w:val="single" w:color="000000" w:sz="4" w:space="0"/>
              <w:right w:val="single" w:color="000000" w:sz="4" w:space="0"/>
            </w:tcBorders>
            <w:tcMar>
              <w:top w:w="0" w:type="dxa"/>
              <w:left w:w="100" w:type="dxa"/>
              <w:bottom w:w="0" w:type="dxa"/>
              <w:right w:w="100" w:type="dxa"/>
            </w:tcMar>
          </w:tcPr>
          <w:p w14:paraId="6C6D2A55">
            <w:pPr>
              <w:jc w:val="right"/>
              <w:rPr>
                <w:lang w:val="en-GB"/>
              </w:rPr>
            </w:pPr>
            <w:r>
              <w:rPr>
                <w:lang w:val="en-GB"/>
              </w:rPr>
              <w:t>1600</w:t>
            </w:r>
          </w:p>
        </w:tc>
        <w:tc>
          <w:tcPr>
            <w:tcW w:w="2030" w:type="dxa"/>
            <w:tcBorders>
              <w:top w:val="nil"/>
              <w:left w:val="nil"/>
              <w:bottom w:val="single" w:color="000000" w:sz="4" w:space="0"/>
              <w:right w:val="single" w:color="000000" w:sz="4" w:space="0"/>
            </w:tcBorders>
            <w:tcMar>
              <w:top w:w="0" w:type="dxa"/>
              <w:left w:w="100" w:type="dxa"/>
              <w:bottom w:w="0" w:type="dxa"/>
              <w:right w:w="100" w:type="dxa"/>
            </w:tcMar>
          </w:tcPr>
          <w:p w14:paraId="32FDEE86">
            <w:pPr>
              <w:jc w:val="right"/>
              <w:rPr>
                <w:lang w:val="en-GB"/>
              </w:rPr>
            </w:pPr>
            <w:r>
              <w:rPr>
                <w:lang w:val="en-GB"/>
              </w:rPr>
              <w:t>320</w:t>
            </w:r>
          </w:p>
        </w:tc>
        <w:tc>
          <w:tcPr>
            <w:tcW w:w="2746" w:type="dxa"/>
            <w:tcBorders>
              <w:top w:val="nil"/>
              <w:left w:val="nil"/>
              <w:bottom w:val="single" w:color="000000" w:sz="4" w:space="0"/>
              <w:right w:val="single" w:color="000000" w:sz="4" w:space="0"/>
            </w:tcBorders>
            <w:tcMar>
              <w:top w:w="0" w:type="dxa"/>
              <w:left w:w="100" w:type="dxa"/>
              <w:bottom w:w="0" w:type="dxa"/>
              <w:right w:w="100" w:type="dxa"/>
            </w:tcMar>
          </w:tcPr>
          <w:p w14:paraId="52B45708">
            <w:pPr>
              <w:jc w:val="right"/>
              <w:rPr>
                <w:lang w:val="en-GB"/>
              </w:rPr>
            </w:pPr>
            <w:r>
              <w:rPr>
                <w:lang w:val="en-GB"/>
              </w:rPr>
              <w:t>80</w:t>
            </w:r>
          </w:p>
        </w:tc>
      </w:tr>
    </w:tbl>
    <w:p w14:paraId="026635FC">
      <w:pPr>
        <w:spacing w:before="360" w:after="80"/>
        <w:rPr>
          <w:b/>
          <w:bCs/>
          <w:i/>
          <w:iCs/>
          <w:u w:val="single"/>
          <w:lang w:val="en-GB"/>
        </w:rPr>
      </w:pPr>
      <w:r>
        <w:rPr>
          <w:b/>
          <w:bCs/>
          <w:i/>
          <w:iCs/>
          <w:u w:val="single"/>
          <w:lang w:val="en-GB"/>
        </w:rPr>
        <w:t>Step 2: After-Tax Cash Flow Formula</w:t>
      </w:r>
    </w:p>
    <w:p w14:paraId="2631B5C7">
      <w:pPr>
        <w:rPr>
          <w:lang w:val="en-GB"/>
        </w:rPr>
      </w:pPr>
      <w:r>
        <w:rPr>
          <w:lang w:val="en-GB"/>
        </w:rPr>
        <w:t>After-tax cash flow=(Cash flow×0.75)+Tax shield</w:t>
      </w:r>
    </w:p>
    <w:p w14:paraId="5C1753BB">
      <w:pPr>
        <w:rPr>
          <w:lang w:val="en-GB"/>
        </w:rPr>
      </w:pPr>
      <w:r>
        <w:rPr>
          <w:lang w:val="en-GB"/>
        </w:rPr>
        <w:t>(75% because tax is 25%)</w:t>
      </w:r>
    </w:p>
    <w:p w14:paraId="05F425DF">
      <w:pPr>
        <w:rPr>
          <w:lang w:val="en-GB"/>
        </w:rPr>
      </w:pPr>
      <w:r>
        <w:rPr>
          <w:b/>
          <w:bCs/>
          <w:i/>
          <w:iCs/>
          <w:u w:val="single"/>
          <w:lang w:val="en-GB"/>
        </w:rPr>
        <w:t>Step 3: After Tax Cash Flow and NPV</w:t>
      </w:r>
    </w:p>
    <w:tbl>
      <w:tblPr>
        <w:tblStyle w:val="22"/>
        <w:tblW w:w="936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3105"/>
        <w:gridCol w:w="1395"/>
        <w:gridCol w:w="1860"/>
        <w:gridCol w:w="1470"/>
        <w:gridCol w:w="1530"/>
      </w:tblGrid>
      <w:tr w14:paraId="5B4DB4F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9360" w:type="dxa"/>
            <w:gridSpan w:val="5"/>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025D95EF">
            <w:pPr>
              <w:jc w:val="center"/>
              <w:rPr>
                <w:b/>
                <w:bCs/>
                <w:lang w:val="en-GB"/>
              </w:rPr>
            </w:pPr>
            <w:r>
              <w:rPr>
                <w:b/>
                <w:bCs/>
                <w:lang w:val="en-GB"/>
              </w:rPr>
              <w:t>A. Expand its flourishing retail outlet to include all products.</w:t>
            </w:r>
          </w:p>
        </w:tc>
      </w:tr>
      <w:tr w14:paraId="588AE35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9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F24119E">
            <w:pPr>
              <w:jc w:val="center"/>
              <w:rPr>
                <w:b/>
                <w:bCs/>
                <w:i/>
                <w:iCs/>
                <w:lang w:val="en-GB"/>
              </w:rPr>
            </w:pPr>
            <w:r>
              <w:rPr>
                <w:b/>
                <w:bCs/>
                <w:i/>
                <w:iCs/>
                <w:lang w:val="en-GB"/>
              </w:rPr>
              <w:t>Year</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35C4B97C">
            <w:pPr>
              <w:jc w:val="center"/>
              <w:rPr>
                <w:b/>
                <w:bCs/>
                <w:i/>
                <w:iCs/>
                <w:lang w:val="en-GB"/>
              </w:rPr>
            </w:pPr>
            <w:r>
              <w:rPr>
                <w:b/>
                <w:bCs/>
                <w:i/>
                <w:iCs/>
                <w:lang w:val="en-GB"/>
              </w:rPr>
              <w:t>Cash Flow (£'000)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570C90C7">
            <w:pPr>
              <w:jc w:val="center"/>
              <w:rPr>
                <w:b/>
                <w:bCs/>
                <w:i/>
                <w:iCs/>
                <w:lang w:val="en-GB"/>
              </w:rPr>
            </w:pPr>
            <w:r>
              <w:rPr>
                <w:b/>
                <w:bCs/>
                <w:i/>
                <w:iCs/>
                <w:lang w:val="en-GB"/>
              </w:rPr>
              <w:t>After Tax Cash flow</w:t>
            </w:r>
            <w:r>
              <w:rPr>
                <w:b/>
                <w:bCs/>
                <w:i/>
                <w:iCs/>
                <w:lang w:val="en-GB"/>
              </w:rPr>
              <w:br w:type="textWrapping"/>
            </w:r>
            <w:r>
              <w:rPr>
                <w:b/>
                <w:bCs/>
                <w:i/>
                <w:iCs/>
                <w:lang w:val="en-GB"/>
              </w:rPr>
              <w:t xml:space="preserve">  (Cash flow×0.75)+Tax shield)</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181B0E1E">
            <w:pPr>
              <w:jc w:val="center"/>
              <w:rPr>
                <w:b/>
                <w:bCs/>
                <w:i/>
                <w:iCs/>
                <w:lang w:val="en-GB"/>
              </w:rPr>
            </w:pPr>
            <w:r>
              <w:rPr>
                <w:b/>
                <w:bCs/>
                <w:i/>
                <w:iCs/>
                <w:lang w:val="en-GB"/>
              </w:rPr>
              <w:t>Discounting Factor (6%)</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60F956FC">
            <w:pPr>
              <w:jc w:val="center"/>
              <w:rPr>
                <w:b/>
                <w:bCs/>
                <w:i/>
                <w:iCs/>
                <w:lang w:val="en-GB"/>
              </w:rPr>
            </w:pPr>
            <w:r>
              <w:rPr>
                <w:b/>
                <w:bCs/>
                <w:i/>
                <w:iCs/>
                <w:lang w:val="en-GB"/>
              </w:rPr>
              <w:t>PV of Cash Flow (£'000)</w:t>
            </w:r>
          </w:p>
        </w:tc>
      </w:tr>
      <w:tr w14:paraId="78A9754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33FE8ED">
            <w:pPr>
              <w:jc w:val="right"/>
              <w:rPr>
                <w:lang w:val="en-GB"/>
              </w:rPr>
            </w:pPr>
            <w:r>
              <w:rPr>
                <w:lang w:val="en-GB"/>
              </w:rPr>
              <w:t>0</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25D7BD04">
            <w:pPr>
              <w:jc w:val="right"/>
              <w:rPr>
                <w:lang w:val="en-GB"/>
              </w:rPr>
            </w:pPr>
            <w:r>
              <w:rPr>
                <w:lang w:val="en-GB"/>
              </w:rPr>
              <w:t>600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607B1206">
            <w:pPr>
              <w:jc w:val="right"/>
              <w:rPr>
                <w:lang w:val="en-GB"/>
              </w:rPr>
            </w:pPr>
            <w:r>
              <w:rPr>
                <w:lang w:val="en-GB"/>
              </w:rPr>
              <w:t>600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6C6F6CA2">
            <w:pPr>
              <w:jc w:val="right"/>
              <w:rPr>
                <w:lang w:val="en-GB"/>
              </w:rPr>
            </w:pPr>
            <w:r>
              <w:rPr>
                <w:lang w:val="en-GB"/>
              </w:rPr>
              <w:t>1</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09A777BE">
            <w:pPr>
              <w:jc w:val="right"/>
              <w:rPr>
                <w:lang w:val="en-GB"/>
              </w:rPr>
            </w:pPr>
            <w:r>
              <w:rPr>
                <w:lang w:val="en-GB"/>
              </w:rPr>
              <w:t>600</w:t>
            </w:r>
          </w:p>
        </w:tc>
      </w:tr>
      <w:tr w14:paraId="6221EEE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8055361">
            <w:pPr>
              <w:jc w:val="right"/>
              <w:rPr>
                <w:lang w:val="en-GB"/>
              </w:rPr>
            </w:pPr>
            <w:r>
              <w:rPr>
                <w:lang w:val="en-GB"/>
              </w:rPr>
              <w:t>1</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1F5C6C68">
            <w:pPr>
              <w:jc w:val="right"/>
              <w:rPr>
                <w:lang w:val="en-GB"/>
              </w:rPr>
            </w:pPr>
            <w:r>
              <w:rPr>
                <w:lang w:val="en-GB"/>
              </w:rPr>
              <w:t>200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37B7A627">
            <w:pPr>
              <w:jc w:val="right"/>
              <w:rPr>
                <w:lang w:val="en-GB"/>
              </w:rPr>
            </w:pPr>
            <w:r>
              <w:rPr>
                <w:lang w:val="en-GB"/>
              </w:rPr>
              <w:t>180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1B6DEDE0">
            <w:pPr>
              <w:jc w:val="right"/>
              <w:rPr>
                <w:lang w:val="en-GB"/>
              </w:rPr>
            </w:pPr>
            <w:r>
              <w:rPr>
                <w:lang w:val="en-GB"/>
              </w:rPr>
              <w:t>0.943</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634B7DB2">
            <w:pPr>
              <w:jc w:val="right"/>
              <w:rPr>
                <w:lang w:val="en-GB"/>
              </w:rPr>
            </w:pPr>
            <w:r>
              <w:rPr>
                <w:lang w:val="en-GB"/>
              </w:rPr>
              <w:t>170</w:t>
            </w:r>
          </w:p>
        </w:tc>
      </w:tr>
      <w:tr w14:paraId="351B3AC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AD6FA92">
            <w:pPr>
              <w:jc w:val="right"/>
              <w:rPr>
                <w:lang w:val="en-GB"/>
              </w:rPr>
            </w:pPr>
            <w:r>
              <w:rPr>
                <w:lang w:val="en-GB"/>
              </w:rPr>
              <w:t>2</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34578709">
            <w:pPr>
              <w:jc w:val="right"/>
              <w:rPr>
                <w:lang w:val="en-GB"/>
              </w:rPr>
            </w:pPr>
            <w:r>
              <w:rPr>
                <w:lang w:val="en-GB"/>
              </w:rPr>
              <w:t>400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1CE42F80">
            <w:pPr>
              <w:jc w:val="right"/>
              <w:rPr>
                <w:lang w:val="en-GB"/>
              </w:rPr>
            </w:pPr>
            <w:r>
              <w:rPr>
                <w:lang w:val="en-GB"/>
              </w:rPr>
              <w:t>330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78FF030F">
            <w:pPr>
              <w:jc w:val="right"/>
              <w:rPr>
                <w:lang w:val="en-GB"/>
              </w:rPr>
            </w:pPr>
            <w:r>
              <w:rPr>
                <w:lang w:val="en-GB"/>
              </w:rPr>
              <w:t>0.890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6A25542D">
            <w:pPr>
              <w:jc w:val="right"/>
              <w:rPr>
                <w:lang w:val="en-GB"/>
              </w:rPr>
            </w:pPr>
            <w:r>
              <w:rPr>
                <w:lang w:val="en-GB"/>
              </w:rPr>
              <w:t>294</w:t>
            </w:r>
          </w:p>
        </w:tc>
      </w:tr>
      <w:tr w14:paraId="73AE582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0A9FA57">
            <w:pPr>
              <w:jc w:val="right"/>
              <w:rPr>
                <w:lang w:val="en-GB"/>
              </w:rPr>
            </w:pPr>
            <w:r>
              <w:rPr>
                <w:lang w:val="en-GB"/>
              </w:rPr>
              <w:t>3</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43F5E1F4">
            <w:pPr>
              <w:jc w:val="right"/>
              <w:rPr>
                <w:lang w:val="en-GB"/>
              </w:rPr>
            </w:pPr>
            <w:r>
              <w:rPr>
                <w:lang w:val="en-GB"/>
              </w:rPr>
              <w:t>500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4AEA1B57">
            <w:pPr>
              <w:jc w:val="right"/>
              <w:rPr>
                <w:lang w:val="en-GB"/>
              </w:rPr>
            </w:pPr>
            <w:r>
              <w:rPr>
                <w:lang w:val="en-GB"/>
              </w:rPr>
              <w:t>405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1227C04F">
            <w:pPr>
              <w:jc w:val="right"/>
              <w:rPr>
                <w:lang w:val="en-GB"/>
              </w:rPr>
            </w:pPr>
            <w:r>
              <w:rPr>
                <w:lang w:val="en-GB"/>
              </w:rPr>
              <w:t>0.840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1A09592A">
            <w:pPr>
              <w:jc w:val="right"/>
              <w:rPr>
                <w:lang w:val="en-GB"/>
              </w:rPr>
            </w:pPr>
            <w:r>
              <w:rPr>
                <w:lang w:val="en-GB"/>
              </w:rPr>
              <w:t>340</w:t>
            </w:r>
          </w:p>
        </w:tc>
      </w:tr>
      <w:tr w14:paraId="7DAE7C6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278BD58">
            <w:pPr>
              <w:jc w:val="right"/>
              <w:rPr>
                <w:lang w:val="en-GB"/>
              </w:rPr>
            </w:pPr>
            <w:r>
              <w:rPr>
                <w:lang w:val="en-GB"/>
              </w:rPr>
              <w:t>4</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6D047F1B">
            <w:pPr>
              <w:jc w:val="right"/>
              <w:rPr>
                <w:lang w:val="en-GB"/>
              </w:rPr>
            </w:pPr>
            <w:r>
              <w:rPr>
                <w:lang w:val="en-GB"/>
              </w:rPr>
              <w:t>700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608D1A1B">
            <w:pPr>
              <w:jc w:val="right"/>
              <w:rPr>
                <w:lang w:val="en-GB"/>
              </w:rPr>
            </w:pPr>
            <w:r>
              <w:rPr>
                <w:lang w:val="en-GB"/>
              </w:rPr>
              <w:t>555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202F72EC">
            <w:pPr>
              <w:jc w:val="right"/>
              <w:rPr>
                <w:lang w:val="en-GB"/>
              </w:rPr>
            </w:pPr>
            <w:r>
              <w:rPr>
                <w:lang w:val="en-GB"/>
              </w:rPr>
              <w:t>0.792</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57589DE7">
            <w:pPr>
              <w:jc w:val="right"/>
              <w:rPr>
                <w:lang w:val="en-GB"/>
              </w:rPr>
            </w:pPr>
            <w:r>
              <w:rPr>
                <w:lang w:val="en-GB"/>
              </w:rPr>
              <w:t>440</w:t>
            </w:r>
          </w:p>
        </w:tc>
      </w:tr>
      <w:tr w14:paraId="17C923A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29E7ABA7">
            <w:pPr>
              <w:jc w:val="center"/>
              <w:rPr>
                <w:b/>
                <w:bCs/>
                <w:i/>
                <w:iCs/>
                <w:lang w:val="en-GB"/>
              </w:rPr>
            </w:pPr>
            <w:r>
              <w:rPr>
                <w:b/>
                <w:bCs/>
                <w:i/>
                <w:iCs/>
                <w:lang w:val="en-GB"/>
              </w:rPr>
              <w:t>Total PV</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37B0E189">
            <w:pPr>
              <w:jc w:val="center"/>
              <w:rPr>
                <w:b/>
                <w:bCs/>
                <w:i/>
                <w:iCs/>
                <w:lang w:val="en-GB"/>
              </w:rPr>
            </w:pPr>
            <w:r>
              <w:rPr>
                <w:b/>
                <w:bCs/>
                <w:i/>
                <w:iCs/>
                <w:lang w:val="en-GB"/>
              </w:rPr>
              <w:t>1243</w:t>
            </w:r>
          </w:p>
        </w:tc>
      </w:tr>
      <w:tr w14:paraId="5491B23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1A68AFAE">
            <w:pPr>
              <w:jc w:val="center"/>
              <w:rPr>
                <w:b/>
                <w:bCs/>
                <w:i/>
                <w:iCs/>
                <w:lang w:val="en-GB"/>
              </w:rPr>
            </w:pPr>
            <w:r>
              <w:rPr>
                <w:b/>
                <w:bCs/>
                <w:i/>
                <w:iCs/>
                <w:lang w:val="en-GB"/>
              </w:rPr>
              <w:t>NPV (£'000) = Total PV- Initial Investment</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3D287808">
            <w:pPr>
              <w:jc w:val="center"/>
              <w:rPr>
                <w:b/>
                <w:bCs/>
                <w:i/>
                <w:iCs/>
                <w:lang w:val="en-GB"/>
              </w:rPr>
            </w:pPr>
            <w:r>
              <w:rPr>
                <w:b/>
                <w:bCs/>
                <w:i/>
                <w:iCs/>
                <w:lang w:val="en-GB"/>
              </w:rPr>
              <w:t>643</w:t>
            </w:r>
          </w:p>
        </w:tc>
      </w:tr>
      <w:tr w14:paraId="0B4C24C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3105" w:type="dxa"/>
            <w:tcBorders>
              <w:top w:val="nil"/>
              <w:left w:val="nil"/>
              <w:bottom w:val="nil"/>
              <w:right w:val="nil"/>
            </w:tcBorders>
            <w:tcMar>
              <w:top w:w="0" w:type="dxa"/>
              <w:left w:w="100" w:type="dxa"/>
              <w:bottom w:w="0" w:type="dxa"/>
              <w:right w:w="100" w:type="dxa"/>
            </w:tcMar>
            <w:vAlign w:val="bottom"/>
          </w:tcPr>
          <w:p w14:paraId="746F6DC7">
            <w:pPr>
              <w:rPr>
                <w:lang w:val="en-GB"/>
              </w:rPr>
            </w:pPr>
          </w:p>
        </w:tc>
        <w:tc>
          <w:tcPr>
            <w:tcW w:w="1395" w:type="dxa"/>
            <w:tcBorders>
              <w:top w:val="nil"/>
              <w:left w:val="nil"/>
              <w:bottom w:val="nil"/>
              <w:right w:val="nil"/>
            </w:tcBorders>
            <w:tcMar>
              <w:top w:w="0" w:type="dxa"/>
              <w:left w:w="100" w:type="dxa"/>
              <w:bottom w:w="0" w:type="dxa"/>
              <w:right w:w="100" w:type="dxa"/>
            </w:tcMar>
            <w:vAlign w:val="bottom"/>
          </w:tcPr>
          <w:p w14:paraId="71D35E28">
            <w:pPr>
              <w:rPr>
                <w:lang w:val="en-GB"/>
              </w:rPr>
            </w:pPr>
          </w:p>
        </w:tc>
        <w:tc>
          <w:tcPr>
            <w:tcW w:w="1860" w:type="dxa"/>
            <w:tcBorders>
              <w:top w:val="nil"/>
              <w:left w:val="nil"/>
              <w:bottom w:val="nil"/>
              <w:right w:val="nil"/>
            </w:tcBorders>
            <w:tcMar>
              <w:top w:w="0" w:type="dxa"/>
              <w:left w:w="100" w:type="dxa"/>
              <w:bottom w:w="0" w:type="dxa"/>
              <w:right w:w="100" w:type="dxa"/>
            </w:tcMar>
            <w:vAlign w:val="bottom"/>
          </w:tcPr>
          <w:p w14:paraId="54D00FE7">
            <w:pPr>
              <w:rPr>
                <w:lang w:val="en-GB"/>
              </w:rPr>
            </w:pPr>
          </w:p>
        </w:tc>
        <w:tc>
          <w:tcPr>
            <w:tcW w:w="1470" w:type="dxa"/>
            <w:tcBorders>
              <w:top w:val="nil"/>
              <w:left w:val="nil"/>
              <w:bottom w:val="nil"/>
              <w:right w:val="nil"/>
            </w:tcBorders>
            <w:tcMar>
              <w:top w:w="0" w:type="dxa"/>
              <w:left w:w="100" w:type="dxa"/>
              <w:bottom w:w="0" w:type="dxa"/>
              <w:right w:w="100" w:type="dxa"/>
            </w:tcMar>
            <w:vAlign w:val="bottom"/>
          </w:tcPr>
          <w:p w14:paraId="4CFEF5FF">
            <w:pPr>
              <w:rPr>
                <w:lang w:val="en-GB"/>
              </w:rPr>
            </w:pPr>
          </w:p>
        </w:tc>
        <w:tc>
          <w:tcPr>
            <w:tcW w:w="1530" w:type="dxa"/>
            <w:tcBorders>
              <w:top w:val="nil"/>
              <w:left w:val="nil"/>
              <w:bottom w:val="nil"/>
              <w:right w:val="nil"/>
            </w:tcBorders>
            <w:tcMar>
              <w:top w:w="0" w:type="dxa"/>
              <w:left w:w="100" w:type="dxa"/>
              <w:bottom w:w="0" w:type="dxa"/>
              <w:right w:w="100" w:type="dxa"/>
            </w:tcMar>
            <w:vAlign w:val="bottom"/>
          </w:tcPr>
          <w:p w14:paraId="6C3012BF">
            <w:pPr>
              <w:rPr>
                <w:lang w:val="en-GB"/>
              </w:rPr>
            </w:pPr>
          </w:p>
        </w:tc>
      </w:tr>
      <w:tr w14:paraId="5867164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9360" w:type="dxa"/>
            <w:gridSpan w:val="5"/>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032C5FE2">
            <w:pPr>
              <w:jc w:val="center"/>
              <w:rPr>
                <w:b/>
                <w:bCs/>
                <w:lang w:val="en-GB"/>
              </w:rPr>
            </w:pPr>
            <w:r>
              <w:rPr>
                <w:b/>
                <w:bCs/>
                <w:lang w:val="en-GB"/>
              </w:rPr>
              <w:t>B: Develop into internet sales</w:t>
            </w:r>
          </w:p>
        </w:tc>
      </w:tr>
      <w:tr w14:paraId="0DCCA85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9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5CF6078">
            <w:pPr>
              <w:jc w:val="center"/>
              <w:rPr>
                <w:b/>
                <w:bCs/>
                <w:i/>
                <w:iCs/>
                <w:lang w:val="en-GB"/>
              </w:rPr>
            </w:pPr>
            <w:r>
              <w:rPr>
                <w:b/>
                <w:bCs/>
                <w:i/>
                <w:iCs/>
                <w:lang w:val="en-GB"/>
              </w:rPr>
              <w:t>Year</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7FB49390">
            <w:pPr>
              <w:jc w:val="center"/>
              <w:rPr>
                <w:b/>
                <w:bCs/>
                <w:i/>
                <w:iCs/>
                <w:lang w:val="en-GB"/>
              </w:rPr>
            </w:pPr>
            <w:r>
              <w:rPr>
                <w:b/>
                <w:bCs/>
                <w:i/>
                <w:iCs/>
                <w:lang w:val="en-GB"/>
              </w:rPr>
              <w:t>Cash Flow (£'000)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4D8DEF73">
            <w:pPr>
              <w:jc w:val="center"/>
              <w:rPr>
                <w:b/>
                <w:bCs/>
                <w:i/>
                <w:iCs/>
                <w:lang w:val="en-GB"/>
              </w:rPr>
            </w:pPr>
            <w:r>
              <w:rPr>
                <w:b/>
                <w:bCs/>
                <w:i/>
                <w:iCs/>
                <w:lang w:val="en-GB"/>
              </w:rPr>
              <w:t>After Tax Cash flow</w:t>
            </w:r>
            <w:r>
              <w:rPr>
                <w:b/>
                <w:bCs/>
                <w:i/>
                <w:iCs/>
                <w:lang w:val="en-GB"/>
              </w:rPr>
              <w:br w:type="textWrapping"/>
            </w:r>
            <w:r>
              <w:rPr>
                <w:b/>
                <w:bCs/>
                <w:i/>
                <w:iCs/>
                <w:lang w:val="en-GB"/>
              </w:rPr>
              <w:t xml:space="preserve">  (Cash flow×0.75)+Tax shield)</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5927FD98">
            <w:pPr>
              <w:jc w:val="center"/>
              <w:rPr>
                <w:b/>
                <w:bCs/>
                <w:i/>
                <w:iCs/>
                <w:lang w:val="en-GB"/>
              </w:rPr>
            </w:pPr>
            <w:r>
              <w:rPr>
                <w:b/>
                <w:bCs/>
                <w:i/>
                <w:iCs/>
                <w:lang w:val="en-GB"/>
              </w:rPr>
              <w:t>Discounting Factor (6%)</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6E38A2DB">
            <w:pPr>
              <w:jc w:val="center"/>
              <w:rPr>
                <w:b/>
                <w:bCs/>
                <w:i/>
                <w:iCs/>
                <w:lang w:val="en-GB"/>
              </w:rPr>
            </w:pPr>
            <w:r>
              <w:rPr>
                <w:b/>
                <w:bCs/>
                <w:i/>
                <w:iCs/>
                <w:lang w:val="en-GB"/>
              </w:rPr>
              <w:t>PV of Cash Flow (£'000)</w:t>
            </w:r>
          </w:p>
        </w:tc>
      </w:tr>
      <w:tr w14:paraId="099F63F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F61EF88">
            <w:pPr>
              <w:jc w:val="right"/>
              <w:rPr>
                <w:lang w:val="en-GB"/>
              </w:rPr>
            </w:pPr>
            <w:r>
              <w:rPr>
                <w:lang w:val="en-GB"/>
              </w:rPr>
              <w:t>0</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6B2F38E1">
            <w:pPr>
              <w:jc w:val="right"/>
              <w:rPr>
                <w:lang w:val="en-GB"/>
              </w:rPr>
            </w:pPr>
            <w:r>
              <w:rPr>
                <w:lang w:val="en-GB"/>
              </w:rPr>
              <w:t>1600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0DA5EEFA">
            <w:pPr>
              <w:jc w:val="right"/>
              <w:rPr>
                <w:lang w:val="en-GB"/>
              </w:rPr>
            </w:pPr>
            <w:r>
              <w:rPr>
                <w:lang w:val="en-GB"/>
              </w:rPr>
              <w:t>1000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31CD9B34">
            <w:pPr>
              <w:jc w:val="right"/>
              <w:rPr>
                <w:lang w:val="en-GB"/>
              </w:rPr>
            </w:pPr>
            <w:r>
              <w:rPr>
                <w:lang w:val="en-GB"/>
              </w:rPr>
              <w:t>1</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37C7DE14">
            <w:pPr>
              <w:jc w:val="right"/>
              <w:rPr>
                <w:lang w:val="en-GB"/>
              </w:rPr>
            </w:pPr>
            <w:r>
              <w:rPr>
                <w:lang w:val="en-GB"/>
              </w:rPr>
              <w:t>1000</w:t>
            </w:r>
          </w:p>
        </w:tc>
      </w:tr>
      <w:tr w14:paraId="355E89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2CB6F4C">
            <w:pPr>
              <w:jc w:val="right"/>
              <w:rPr>
                <w:lang w:val="en-GB"/>
              </w:rPr>
            </w:pPr>
            <w:r>
              <w:rPr>
                <w:lang w:val="en-GB"/>
              </w:rPr>
              <w:t>1</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11798BA8">
            <w:pPr>
              <w:jc w:val="right"/>
              <w:rPr>
                <w:lang w:val="en-GB"/>
              </w:rPr>
            </w:pPr>
            <w:r>
              <w:rPr>
                <w:lang w:val="en-GB"/>
              </w:rPr>
              <w:t>400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7EEF65B9">
            <w:pPr>
              <w:jc w:val="right"/>
              <w:rPr>
                <w:lang w:val="en-GB"/>
              </w:rPr>
            </w:pPr>
            <w:r>
              <w:rPr>
                <w:lang w:val="en-GB"/>
              </w:rPr>
              <w:t>350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411E652A">
            <w:pPr>
              <w:jc w:val="right"/>
              <w:rPr>
                <w:lang w:val="en-GB"/>
              </w:rPr>
            </w:pPr>
            <w:r>
              <w:rPr>
                <w:lang w:val="en-GB"/>
              </w:rPr>
              <w:t>0.943</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461BD8F2">
            <w:pPr>
              <w:jc w:val="right"/>
              <w:rPr>
                <w:lang w:val="en-GB"/>
              </w:rPr>
            </w:pPr>
            <w:r>
              <w:rPr>
                <w:lang w:val="en-GB"/>
              </w:rPr>
              <w:t>330</w:t>
            </w:r>
          </w:p>
        </w:tc>
      </w:tr>
      <w:tr w14:paraId="631E1F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6DAD35A">
            <w:pPr>
              <w:jc w:val="right"/>
              <w:rPr>
                <w:lang w:val="en-GB"/>
              </w:rPr>
            </w:pPr>
            <w:r>
              <w:rPr>
                <w:lang w:val="en-GB"/>
              </w:rPr>
              <w:t>2</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13EAD9CC">
            <w:pPr>
              <w:jc w:val="right"/>
              <w:rPr>
                <w:lang w:val="en-GB"/>
              </w:rPr>
            </w:pPr>
            <w:r>
              <w:rPr>
                <w:lang w:val="en-GB"/>
              </w:rPr>
              <w:t>450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33B22022">
            <w:pPr>
              <w:jc w:val="right"/>
              <w:rPr>
                <w:lang w:val="en-GB"/>
              </w:rPr>
            </w:pPr>
            <w:r>
              <w:rPr>
                <w:lang w:val="en-GB"/>
              </w:rPr>
              <w:t>387.5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53877498">
            <w:pPr>
              <w:jc w:val="right"/>
              <w:rPr>
                <w:lang w:val="en-GB"/>
              </w:rPr>
            </w:pPr>
            <w:r>
              <w:rPr>
                <w:lang w:val="en-GB"/>
              </w:rPr>
              <w:t>0.890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0E90C68F">
            <w:pPr>
              <w:jc w:val="right"/>
              <w:rPr>
                <w:lang w:val="en-GB"/>
              </w:rPr>
            </w:pPr>
            <w:r>
              <w:rPr>
                <w:lang w:val="en-GB"/>
              </w:rPr>
              <w:t>345</w:t>
            </w:r>
          </w:p>
        </w:tc>
      </w:tr>
      <w:tr w14:paraId="04597B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5AC9E78">
            <w:pPr>
              <w:jc w:val="right"/>
              <w:rPr>
                <w:lang w:val="en-GB"/>
              </w:rPr>
            </w:pPr>
            <w:r>
              <w:rPr>
                <w:lang w:val="en-GB"/>
              </w:rPr>
              <w:t>3</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1A4810F3">
            <w:pPr>
              <w:jc w:val="right"/>
              <w:rPr>
                <w:lang w:val="en-GB"/>
              </w:rPr>
            </w:pPr>
            <w:r>
              <w:rPr>
                <w:lang w:val="en-GB"/>
              </w:rPr>
              <w:t>720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59BF0C53">
            <w:pPr>
              <w:jc w:val="right"/>
              <w:rPr>
                <w:lang w:val="en-GB"/>
              </w:rPr>
            </w:pPr>
            <w:r>
              <w:rPr>
                <w:lang w:val="en-GB"/>
              </w:rPr>
              <w:t>590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1148A206">
            <w:pPr>
              <w:jc w:val="right"/>
              <w:rPr>
                <w:lang w:val="en-GB"/>
              </w:rPr>
            </w:pPr>
            <w:r>
              <w:rPr>
                <w:lang w:val="en-GB"/>
              </w:rPr>
              <w:t>0.840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2A7C79CD">
            <w:pPr>
              <w:jc w:val="right"/>
              <w:rPr>
                <w:lang w:val="en-GB"/>
              </w:rPr>
            </w:pPr>
            <w:r>
              <w:rPr>
                <w:lang w:val="en-GB"/>
              </w:rPr>
              <w:t>495</w:t>
            </w:r>
          </w:p>
        </w:tc>
      </w:tr>
      <w:tr w14:paraId="0B74864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7D44ED0">
            <w:pPr>
              <w:jc w:val="right"/>
              <w:rPr>
                <w:lang w:val="en-GB"/>
              </w:rPr>
            </w:pPr>
            <w:r>
              <w:rPr>
                <w:lang w:val="en-GB"/>
              </w:rPr>
              <w:t>4</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26E06E83">
            <w:pPr>
              <w:jc w:val="right"/>
              <w:rPr>
                <w:lang w:val="en-GB"/>
              </w:rPr>
            </w:pPr>
            <w:r>
              <w:rPr>
                <w:lang w:val="en-GB"/>
              </w:rPr>
              <w:t>980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0AFC4F44">
            <w:pPr>
              <w:jc w:val="right"/>
              <w:rPr>
                <w:lang w:val="en-GB"/>
              </w:rPr>
            </w:pPr>
            <w:r>
              <w:rPr>
                <w:lang w:val="en-GB"/>
              </w:rPr>
              <w:t>785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0C79959C">
            <w:pPr>
              <w:jc w:val="right"/>
              <w:rPr>
                <w:lang w:val="en-GB"/>
              </w:rPr>
            </w:pPr>
            <w:r>
              <w:rPr>
                <w:lang w:val="en-GB"/>
              </w:rPr>
              <w:t>0.792</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2F6D341A">
            <w:pPr>
              <w:jc w:val="right"/>
              <w:rPr>
                <w:lang w:val="en-GB"/>
              </w:rPr>
            </w:pPr>
            <w:r>
              <w:rPr>
                <w:lang w:val="en-GB"/>
              </w:rPr>
              <w:t>622</w:t>
            </w:r>
          </w:p>
        </w:tc>
      </w:tr>
      <w:tr w14:paraId="33D3358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10508B3E">
            <w:pPr>
              <w:rPr>
                <w:b/>
                <w:bCs/>
                <w:lang w:val="en-GB"/>
              </w:rPr>
            </w:pPr>
            <w:r>
              <w:rPr>
                <w:b/>
                <w:bCs/>
                <w:lang w:val="en-GB"/>
              </w:rPr>
              <w:t>Total PV</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7CFA9280">
            <w:pPr>
              <w:jc w:val="center"/>
              <w:rPr>
                <w:b/>
                <w:bCs/>
                <w:lang w:val="en-GB"/>
              </w:rPr>
            </w:pPr>
            <w:r>
              <w:rPr>
                <w:b/>
                <w:bCs/>
                <w:lang w:val="en-GB"/>
              </w:rPr>
              <w:t>1792</w:t>
            </w:r>
          </w:p>
        </w:tc>
      </w:tr>
      <w:tr w14:paraId="6DB7387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48BA6892">
            <w:pPr>
              <w:rPr>
                <w:b/>
                <w:bCs/>
                <w:lang w:val="en-GB"/>
              </w:rPr>
            </w:pPr>
            <w:r>
              <w:rPr>
                <w:b/>
                <w:bCs/>
                <w:lang w:val="en-GB"/>
              </w:rPr>
              <w:t>NPV (£'000) = Total PV- Initial Investment</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324A76AA">
            <w:pPr>
              <w:jc w:val="center"/>
              <w:rPr>
                <w:b/>
                <w:bCs/>
                <w:lang w:val="en-GB"/>
              </w:rPr>
            </w:pPr>
            <w:r>
              <w:rPr>
                <w:b/>
                <w:bCs/>
                <w:lang w:val="en-GB"/>
              </w:rPr>
              <w:t>792</w:t>
            </w:r>
          </w:p>
        </w:tc>
      </w:tr>
      <w:tr w14:paraId="3436ED2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85" w:hRule="atLeast"/>
          <w:jc w:val="center"/>
        </w:trPr>
        <w:tc>
          <w:tcPr>
            <w:tcW w:w="3105" w:type="dxa"/>
            <w:tcBorders>
              <w:top w:val="nil"/>
              <w:left w:val="nil"/>
              <w:bottom w:val="nil"/>
              <w:right w:val="nil"/>
            </w:tcBorders>
            <w:tcMar>
              <w:top w:w="0" w:type="dxa"/>
              <w:left w:w="100" w:type="dxa"/>
              <w:bottom w:w="0" w:type="dxa"/>
              <w:right w:w="100" w:type="dxa"/>
            </w:tcMar>
            <w:vAlign w:val="bottom"/>
          </w:tcPr>
          <w:p w14:paraId="28FF005C">
            <w:pPr>
              <w:rPr>
                <w:lang w:val="en-GB"/>
              </w:rPr>
            </w:pPr>
          </w:p>
        </w:tc>
        <w:tc>
          <w:tcPr>
            <w:tcW w:w="1395" w:type="dxa"/>
            <w:tcBorders>
              <w:top w:val="nil"/>
              <w:left w:val="nil"/>
              <w:bottom w:val="nil"/>
              <w:right w:val="nil"/>
            </w:tcBorders>
            <w:tcMar>
              <w:top w:w="0" w:type="dxa"/>
              <w:left w:w="100" w:type="dxa"/>
              <w:bottom w:w="0" w:type="dxa"/>
              <w:right w:w="100" w:type="dxa"/>
            </w:tcMar>
            <w:vAlign w:val="bottom"/>
          </w:tcPr>
          <w:p w14:paraId="59BD8118">
            <w:pPr>
              <w:rPr>
                <w:lang w:val="en-GB"/>
              </w:rPr>
            </w:pPr>
          </w:p>
        </w:tc>
        <w:tc>
          <w:tcPr>
            <w:tcW w:w="1860" w:type="dxa"/>
            <w:tcBorders>
              <w:top w:val="nil"/>
              <w:left w:val="nil"/>
              <w:bottom w:val="nil"/>
              <w:right w:val="nil"/>
            </w:tcBorders>
            <w:tcMar>
              <w:top w:w="0" w:type="dxa"/>
              <w:left w:w="100" w:type="dxa"/>
              <w:bottom w:w="0" w:type="dxa"/>
              <w:right w:w="100" w:type="dxa"/>
            </w:tcMar>
            <w:vAlign w:val="bottom"/>
          </w:tcPr>
          <w:p w14:paraId="560E4DFC">
            <w:pPr>
              <w:rPr>
                <w:lang w:val="en-GB"/>
              </w:rPr>
            </w:pPr>
          </w:p>
        </w:tc>
        <w:tc>
          <w:tcPr>
            <w:tcW w:w="1470" w:type="dxa"/>
            <w:tcBorders>
              <w:top w:val="nil"/>
              <w:left w:val="nil"/>
              <w:bottom w:val="nil"/>
              <w:right w:val="nil"/>
            </w:tcBorders>
            <w:tcMar>
              <w:top w:w="0" w:type="dxa"/>
              <w:left w:w="100" w:type="dxa"/>
              <w:bottom w:w="0" w:type="dxa"/>
              <w:right w:w="100" w:type="dxa"/>
            </w:tcMar>
            <w:vAlign w:val="bottom"/>
          </w:tcPr>
          <w:p w14:paraId="7DD29555">
            <w:pPr>
              <w:rPr>
                <w:lang w:val="en-GB"/>
              </w:rPr>
            </w:pPr>
          </w:p>
        </w:tc>
        <w:tc>
          <w:tcPr>
            <w:tcW w:w="1530" w:type="dxa"/>
            <w:tcBorders>
              <w:top w:val="nil"/>
              <w:left w:val="nil"/>
              <w:bottom w:val="nil"/>
              <w:right w:val="nil"/>
            </w:tcBorders>
            <w:tcMar>
              <w:top w:w="0" w:type="dxa"/>
              <w:left w:w="100" w:type="dxa"/>
              <w:bottom w:w="0" w:type="dxa"/>
              <w:right w:w="100" w:type="dxa"/>
            </w:tcMar>
            <w:vAlign w:val="bottom"/>
          </w:tcPr>
          <w:p w14:paraId="12B7E773">
            <w:pPr>
              <w:rPr>
                <w:lang w:val="en-GB"/>
              </w:rPr>
            </w:pPr>
          </w:p>
        </w:tc>
      </w:tr>
      <w:tr w14:paraId="7CD7235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9360" w:type="dxa"/>
            <w:gridSpan w:val="5"/>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3A3420B2">
            <w:pPr>
              <w:jc w:val="center"/>
              <w:rPr>
                <w:b/>
                <w:bCs/>
                <w:lang w:val="en-GB"/>
              </w:rPr>
            </w:pPr>
            <w:r>
              <w:rPr>
                <w:b/>
                <w:bCs/>
                <w:lang w:val="en-GB"/>
              </w:rPr>
              <w:t>C. Produce wooden blinds and Roman blinds</w:t>
            </w:r>
          </w:p>
        </w:tc>
      </w:tr>
      <w:tr w14:paraId="47BC145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9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47439F7">
            <w:pPr>
              <w:jc w:val="center"/>
              <w:rPr>
                <w:b/>
                <w:bCs/>
                <w:i/>
                <w:iCs/>
                <w:lang w:val="en-GB"/>
              </w:rPr>
            </w:pPr>
            <w:r>
              <w:rPr>
                <w:b/>
                <w:bCs/>
                <w:i/>
                <w:iCs/>
                <w:lang w:val="en-GB"/>
              </w:rPr>
              <w:t>Year</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59E0A5C0">
            <w:pPr>
              <w:jc w:val="center"/>
              <w:rPr>
                <w:b/>
                <w:bCs/>
                <w:i/>
                <w:iCs/>
                <w:lang w:val="en-GB"/>
              </w:rPr>
            </w:pPr>
            <w:r>
              <w:rPr>
                <w:b/>
                <w:bCs/>
                <w:i/>
                <w:iCs/>
                <w:lang w:val="en-GB"/>
              </w:rPr>
              <w:t>Cash Flow (£'000)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1A439B9B">
            <w:pPr>
              <w:jc w:val="center"/>
              <w:rPr>
                <w:b/>
                <w:bCs/>
                <w:i/>
                <w:iCs/>
                <w:lang w:val="en-GB"/>
              </w:rPr>
            </w:pPr>
            <w:r>
              <w:rPr>
                <w:b/>
                <w:bCs/>
                <w:i/>
                <w:iCs/>
                <w:lang w:val="en-GB"/>
              </w:rPr>
              <w:t>After Tax Cash flow</w:t>
            </w:r>
            <w:r>
              <w:rPr>
                <w:b/>
                <w:bCs/>
                <w:i/>
                <w:iCs/>
                <w:lang w:val="en-GB"/>
              </w:rPr>
              <w:br w:type="textWrapping"/>
            </w:r>
            <w:r>
              <w:rPr>
                <w:b/>
                <w:bCs/>
                <w:i/>
                <w:iCs/>
                <w:lang w:val="en-GB"/>
              </w:rPr>
              <w:t xml:space="preserve">  (Cash flow×0.75)+Tax shield)</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2EB54F85">
            <w:pPr>
              <w:jc w:val="center"/>
              <w:rPr>
                <w:b/>
                <w:bCs/>
                <w:i/>
                <w:iCs/>
                <w:lang w:val="en-GB"/>
              </w:rPr>
            </w:pPr>
            <w:r>
              <w:rPr>
                <w:b/>
                <w:bCs/>
                <w:i/>
                <w:iCs/>
                <w:lang w:val="en-GB"/>
              </w:rPr>
              <w:t>Discounting Factor (6%)</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7CB85C5B">
            <w:pPr>
              <w:jc w:val="center"/>
              <w:rPr>
                <w:b/>
                <w:bCs/>
                <w:i/>
                <w:iCs/>
                <w:lang w:val="en-GB"/>
              </w:rPr>
            </w:pPr>
            <w:r>
              <w:rPr>
                <w:b/>
                <w:bCs/>
                <w:i/>
                <w:iCs/>
                <w:lang w:val="en-GB"/>
              </w:rPr>
              <w:t>PV of Cash Flow (£'000)</w:t>
            </w:r>
          </w:p>
        </w:tc>
      </w:tr>
      <w:tr w14:paraId="3395AD1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565C64C">
            <w:pPr>
              <w:jc w:val="right"/>
              <w:rPr>
                <w:lang w:val="en-GB"/>
              </w:rPr>
            </w:pPr>
            <w:r>
              <w:rPr>
                <w:lang w:val="en-GB"/>
              </w:rPr>
              <w:t>0</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7C74FFE9">
            <w:pPr>
              <w:jc w:val="right"/>
              <w:rPr>
                <w:lang w:val="en-GB"/>
              </w:rPr>
            </w:pPr>
            <w:r>
              <w:rPr>
                <w:lang w:val="en-GB"/>
              </w:rPr>
              <w:t>1600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2F8A9797">
            <w:pPr>
              <w:jc w:val="right"/>
              <w:rPr>
                <w:lang w:val="en-GB"/>
              </w:rPr>
            </w:pPr>
            <w:r>
              <w:rPr>
                <w:lang w:val="en-GB"/>
              </w:rPr>
              <w:t>1000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72E63EC3">
            <w:pPr>
              <w:jc w:val="right"/>
              <w:rPr>
                <w:lang w:val="en-GB"/>
              </w:rPr>
            </w:pPr>
            <w:r>
              <w:rPr>
                <w:lang w:val="en-GB"/>
              </w:rPr>
              <w:t>1</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0602C6EA">
            <w:pPr>
              <w:jc w:val="right"/>
              <w:rPr>
                <w:lang w:val="en-GB"/>
              </w:rPr>
            </w:pPr>
            <w:r>
              <w:rPr>
                <w:lang w:val="en-GB"/>
              </w:rPr>
              <w:t>1000</w:t>
            </w:r>
          </w:p>
        </w:tc>
      </w:tr>
      <w:tr w14:paraId="430C2B3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01E1A09">
            <w:pPr>
              <w:jc w:val="right"/>
              <w:rPr>
                <w:lang w:val="en-GB"/>
              </w:rPr>
            </w:pPr>
            <w:r>
              <w:rPr>
                <w:lang w:val="en-GB"/>
              </w:rPr>
              <w:t>1</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6DD9741A">
            <w:pPr>
              <w:jc w:val="right"/>
              <w:rPr>
                <w:lang w:val="en-GB"/>
              </w:rPr>
            </w:pPr>
            <w:r>
              <w:rPr>
                <w:lang w:val="en-GB"/>
              </w:rPr>
              <w:t>450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4A48096C">
            <w:pPr>
              <w:jc w:val="right"/>
              <w:rPr>
                <w:lang w:val="en-GB"/>
              </w:rPr>
            </w:pPr>
            <w:r>
              <w:rPr>
                <w:lang w:val="en-GB"/>
              </w:rPr>
              <w:t>417.5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489E575D">
            <w:pPr>
              <w:jc w:val="right"/>
              <w:rPr>
                <w:lang w:val="en-GB"/>
              </w:rPr>
            </w:pPr>
            <w:r>
              <w:rPr>
                <w:lang w:val="en-GB"/>
              </w:rPr>
              <w:t>0.943</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7D8A7089">
            <w:pPr>
              <w:jc w:val="right"/>
              <w:rPr>
                <w:lang w:val="en-GB"/>
              </w:rPr>
            </w:pPr>
            <w:r>
              <w:rPr>
                <w:lang w:val="en-GB"/>
              </w:rPr>
              <w:t>394</w:t>
            </w:r>
          </w:p>
        </w:tc>
      </w:tr>
      <w:tr w14:paraId="327A783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4E37330">
            <w:pPr>
              <w:jc w:val="right"/>
              <w:rPr>
                <w:lang w:val="en-GB"/>
              </w:rPr>
            </w:pPr>
            <w:r>
              <w:rPr>
                <w:lang w:val="en-GB"/>
              </w:rPr>
              <w:t>2</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64C6E2D5">
            <w:pPr>
              <w:jc w:val="right"/>
              <w:rPr>
                <w:lang w:val="en-GB"/>
              </w:rPr>
            </w:pPr>
            <w:r>
              <w:rPr>
                <w:lang w:val="en-GB"/>
              </w:rPr>
              <w:t>700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3CF902E2">
            <w:pPr>
              <w:jc w:val="right"/>
              <w:rPr>
                <w:lang w:val="en-GB"/>
              </w:rPr>
            </w:pPr>
            <w:r>
              <w:rPr>
                <w:lang w:val="en-GB"/>
              </w:rPr>
              <w:t>605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37F07B75">
            <w:pPr>
              <w:jc w:val="right"/>
              <w:rPr>
                <w:lang w:val="en-GB"/>
              </w:rPr>
            </w:pPr>
            <w:r>
              <w:rPr>
                <w:lang w:val="en-GB"/>
              </w:rPr>
              <w:t>0.890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1FBD0BCD">
            <w:pPr>
              <w:jc w:val="right"/>
              <w:rPr>
                <w:lang w:val="en-GB"/>
              </w:rPr>
            </w:pPr>
            <w:r>
              <w:rPr>
                <w:lang w:val="en-GB"/>
              </w:rPr>
              <w:t>538</w:t>
            </w:r>
          </w:p>
        </w:tc>
      </w:tr>
      <w:tr w14:paraId="5E44C55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F628710">
            <w:pPr>
              <w:jc w:val="right"/>
              <w:rPr>
                <w:lang w:val="en-GB"/>
              </w:rPr>
            </w:pPr>
            <w:r>
              <w:rPr>
                <w:lang w:val="en-GB"/>
              </w:rPr>
              <w:t>3</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21E42351">
            <w:pPr>
              <w:jc w:val="right"/>
              <w:rPr>
                <w:lang w:val="en-GB"/>
              </w:rPr>
            </w:pPr>
            <w:r>
              <w:rPr>
                <w:lang w:val="en-GB"/>
              </w:rPr>
              <w:t>900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482B9E3C">
            <w:pPr>
              <w:jc w:val="right"/>
              <w:rPr>
                <w:lang w:val="en-GB"/>
              </w:rPr>
            </w:pPr>
            <w:r>
              <w:rPr>
                <w:lang w:val="en-GB"/>
              </w:rPr>
              <w:t>755</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4C624C65">
            <w:pPr>
              <w:jc w:val="right"/>
              <w:rPr>
                <w:lang w:val="en-GB"/>
              </w:rPr>
            </w:pPr>
            <w:r>
              <w:rPr>
                <w:lang w:val="en-GB"/>
              </w:rPr>
              <w:t>0.840</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7219AE68">
            <w:pPr>
              <w:jc w:val="right"/>
              <w:rPr>
                <w:lang w:val="en-GB"/>
              </w:rPr>
            </w:pPr>
            <w:r>
              <w:rPr>
                <w:lang w:val="en-GB"/>
              </w:rPr>
              <w:t>634</w:t>
            </w:r>
          </w:p>
        </w:tc>
      </w:tr>
      <w:tr w14:paraId="450FD5D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F527FE2">
            <w:pPr>
              <w:jc w:val="right"/>
              <w:rPr>
                <w:lang w:val="en-GB"/>
              </w:rPr>
            </w:pPr>
            <w:r>
              <w:rPr>
                <w:lang w:val="en-GB"/>
              </w:rPr>
              <w:t>4</w:t>
            </w:r>
          </w:p>
        </w:tc>
        <w:tc>
          <w:tcPr>
            <w:tcW w:w="1395" w:type="dxa"/>
            <w:tcBorders>
              <w:top w:val="nil"/>
              <w:left w:val="nil"/>
              <w:bottom w:val="single" w:color="000000" w:sz="4" w:space="0"/>
              <w:right w:val="single" w:color="000000" w:sz="4" w:space="0"/>
            </w:tcBorders>
            <w:tcMar>
              <w:top w:w="0" w:type="dxa"/>
              <w:left w:w="100" w:type="dxa"/>
              <w:bottom w:w="0" w:type="dxa"/>
              <w:right w:w="100" w:type="dxa"/>
            </w:tcMar>
          </w:tcPr>
          <w:p w14:paraId="6B00B134">
            <w:pPr>
              <w:jc w:val="right"/>
              <w:rPr>
                <w:lang w:val="en-GB"/>
              </w:rPr>
            </w:pPr>
            <w:r>
              <w:rPr>
                <w:lang w:val="en-GB"/>
              </w:rPr>
              <w:t>1200</w:t>
            </w:r>
          </w:p>
        </w:tc>
        <w:tc>
          <w:tcPr>
            <w:tcW w:w="1860" w:type="dxa"/>
            <w:tcBorders>
              <w:top w:val="nil"/>
              <w:left w:val="nil"/>
              <w:bottom w:val="single" w:color="000000" w:sz="4" w:space="0"/>
              <w:right w:val="single" w:color="000000" w:sz="4" w:space="0"/>
            </w:tcBorders>
            <w:tcMar>
              <w:top w:w="0" w:type="dxa"/>
              <w:left w:w="100" w:type="dxa"/>
              <w:bottom w:w="0" w:type="dxa"/>
              <w:right w:w="100" w:type="dxa"/>
            </w:tcMar>
          </w:tcPr>
          <w:p w14:paraId="149B0943">
            <w:pPr>
              <w:jc w:val="right"/>
              <w:rPr>
                <w:lang w:val="en-GB"/>
              </w:rPr>
            </w:pPr>
            <w:r>
              <w:rPr>
                <w:lang w:val="en-GB"/>
              </w:rPr>
              <w:t>980</w:t>
            </w:r>
          </w:p>
        </w:tc>
        <w:tc>
          <w:tcPr>
            <w:tcW w:w="1470" w:type="dxa"/>
            <w:tcBorders>
              <w:top w:val="nil"/>
              <w:left w:val="nil"/>
              <w:bottom w:val="single" w:color="000000" w:sz="4" w:space="0"/>
              <w:right w:val="single" w:color="000000" w:sz="4" w:space="0"/>
            </w:tcBorders>
            <w:tcMar>
              <w:top w:w="0" w:type="dxa"/>
              <w:left w:w="100" w:type="dxa"/>
              <w:bottom w:w="0" w:type="dxa"/>
              <w:right w:w="100" w:type="dxa"/>
            </w:tcMar>
          </w:tcPr>
          <w:p w14:paraId="1ABEFC13">
            <w:pPr>
              <w:jc w:val="right"/>
              <w:rPr>
                <w:lang w:val="en-GB"/>
              </w:rPr>
            </w:pPr>
            <w:r>
              <w:rPr>
                <w:lang w:val="en-GB"/>
              </w:rPr>
              <w:t>0.792</w:t>
            </w:r>
          </w:p>
        </w:tc>
        <w:tc>
          <w:tcPr>
            <w:tcW w:w="1530" w:type="dxa"/>
            <w:tcBorders>
              <w:top w:val="nil"/>
              <w:left w:val="nil"/>
              <w:bottom w:val="single" w:color="000000" w:sz="4" w:space="0"/>
              <w:right w:val="single" w:color="000000" w:sz="4" w:space="0"/>
            </w:tcBorders>
            <w:tcMar>
              <w:top w:w="0" w:type="dxa"/>
              <w:left w:w="100" w:type="dxa"/>
              <w:bottom w:w="0" w:type="dxa"/>
              <w:right w:w="100" w:type="dxa"/>
            </w:tcMar>
          </w:tcPr>
          <w:p w14:paraId="2BD9293D">
            <w:pPr>
              <w:jc w:val="right"/>
              <w:rPr>
                <w:lang w:val="en-GB"/>
              </w:rPr>
            </w:pPr>
            <w:r>
              <w:rPr>
                <w:lang w:val="en-GB"/>
              </w:rPr>
              <w:t>776</w:t>
            </w:r>
          </w:p>
        </w:tc>
      </w:tr>
      <w:tr w14:paraId="6D5D86E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0B8A5F70">
            <w:pPr>
              <w:rPr>
                <w:b/>
                <w:bCs/>
                <w:lang w:val="en-GB"/>
              </w:rPr>
            </w:pPr>
            <w:r>
              <w:rPr>
                <w:b/>
                <w:bCs/>
                <w:lang w:val="en-GB"/>
              </w:rPr>
              <w:t>Total PV</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567BFB1E">
            <w:pPr>
              <w:jc w:val="center"/>
              <w:rPr>
                <w:b/>
                <w:bCs/>
                <w:lang w:val="en-GB"/>
              </w:rPr>
            </w:pPr>
            <w:r>
              <w:rPr>
                <w:b/>
                <w:bCs/>
                <w:lang w:val="en-GB"/>
              </w:rPr>
              <w:t>2342</w:t>
            </w:r>
          </w:p>
        </w:tc>
      </w:tr>
      <w:tr w14:paraId="238EF7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15" w:hRule="atLeast"/>
          <w:jc w:val="center"/>
        </w:trPr>
        <w:tc>
          <w:tcPr>
            <w:tcW w:w="3105" w:type="dxa"/>
            <w:tcBorders>
              <w:top w:val="nil"/>
              <w:left w:val="single" w:color="000000" w:sz="4" w:space="0"/>
              <w:bottom w:val="single" w:color="000000" w:sz="4" w:space="0"/>
              <w:right w:val="single" w:color="000000" w:sz="4" w:space="0"/>
            </w:tcBorders>
            <w:tcMar>
              <w:top w:w="0" w:type="dxa"/>
              <w:left w:w="100" w:type="dxa"/>
              <w:bottom w:w="0" w:type="dxa"/>
              <w:right w:w="100" w:type="dxa"/>
            </w:tcMar>
            <w:vAlign w:val="bottom"/>
          </w:tcPr>
          <w:p w14:paraId="380D90C1">
            <w:pPr>
              <w:rPr>
                <w:b/>
                <w:bCs/>
                <w:lang w:val="en-GB"/>
              </w:rPr>
            </w:pPr>
            <w:r>
              <w:rPr>
                <w:b/>
                <w:bCs/>
                <w:lang w:val="en-GB"/>
              </w:rPr>
              <w:t>NPV (£'000) = Total PV- Initial Investment</w:t>
            </w:r>
          </w:p>
        </w:tc>
        <w:tc>
          <w:tcPr>
            <w:tcW w:w="6255" w:type="dxa"/>
            <w:gridSpan w:val="4"/>
            <w:tcBorders>
              <w:top w:val="nil"/>
              <w:left w:val="nil"/>
              <w:bottom w:val="single" w:color="000000" w:sz="4" w:space="0"/>
              <w:right w:val="single" w:color="000000" w:sz="4" w:space="0"/>
            </w:tcBorders>
            <w:tcMar>
              <w:top w:w="0" w:type="dxa"/>
              <w:left w:w="100" w:type="dxa"/>
              <w:bottom w:w="0" w:type="dxa"/>
              <w:right w:w="100" w:type="dxa"/>
            </w:tcMar>
            <w:vAlign w:val="bottom"/>
          </w:tcPr>
          <w:p w14:paraId="7B771C8B">
            <w:pPr>
              <w:jc w:val="center"/>
              <w:rPr>
                <w:b/>
                <w:bCs/>
                <w:lang w:val="en-GB"/>
              </w:rPr>
            </w:pPr>
            <w:r>
              <w:rPr>
                <w:b/>
                <w:bCs/>
                <w:lang w:val="en-GB"/>
              </w:rPr>
              <w:t>742</w:t>
            </w:r>
          </w:p>
        </w:tc>
      </w:tr>
    </w:tbl>
    <w:p w14:paraId="3ECA53FB">
      <w:pPr>
        <w:rPr>
          <w:lang w:val="en-GB"/>
        </w:rPr>
      </w:pPr>
    </w:p>
    <w:sectPr>
      <w:headerReference r:id="rId5" w:type="default"/>
      <w:footerReference r:id="rId6"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424ABD64-A608-4176-A674-F304C3D18957}"/>
  </w:font>
  <w:font w:name="Arial">
    <w:panose1 w:val="020B0604020202020204"/>
    <w:charset w:val="00"/>
    <w:family w:val="swiss"/>
    <w:pitch w:val="default"/>
    <w:sig w:usb0="E0002EFF" w:usb1="C000785B" w:usb2="00000009" w:usb3="00000000" w:csb0="400001FF" w:csb1="FFFF0000"/>
    <w:embedRegular r:id="rId2" w:fontKey="{C0B896D8-851F-406C-ABFE-B4395137952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8E2E7369-A0C7-4BBC-8BFB-3EB404A59428}"/>
  </w:font>
  <w:font w:name="Wingdings">
    <w:panose1 w:val="05000000000000000000"/>
    <w:charset w:val="02"/>
    <w:family w:val="auto"/>
    <w:pitch w:val="default"/>
    <w:sig w:usb0="00000000" w:usb1="00000000" w:usb2="00000000" w:usb3="00000000" w:csb0="80000000" w:csb1="00000000"/>
    <w:embedRegular r:id="rId4" w:fontKey="{835AFCE6-04B4-43B7-A217-5C5CF09520AF}"/>
  </w:font>
  <w:font w:name="Calibri">
    <w:panose1 w:val="020F0502020204030204"/>
    <w:charset w:val="00"/>
    <w:family w:val="swiss"/>
    <w:pitch w:val="default"/>
    <w:sig w:usb0="E4002EFF" w:usb1="C200247B" w:usb2="00000009" w:usb3="00000000" w:csb0="200001FF" w:csb1="00000000"/>
    <w:embedRegular r:id="rId5" w:fontKey="{2108DD55-017C-4991-A06C-D6ABB7C74ABF}"/>
  </w:font>
  <w:font w:name="Cambria">
    <w:panose1 w:val="02040503050406030204"/>
    <w:charset w:val="00"/>
    <w:family w:val="roman"/>
    <w:pitch w:val="default"/>
    <w:sig w:usb0="E00006FF" w:usb1="420024FF" w:usb2="02000000" w:usb3="00000000" w:csb0="2000019F" w:csb1="00000000"/>
    <w:embedRegular r:id="rId6" w:fontKey="{2AB7DA30-F1AD-4802-ABF1-E2FE3E64C872}"/>
  </w:font>
  <w:font w:name="Symbol">
    <w:panose1 w:val="05050102010706020507"/>
    <w:charset w:val="02"/>
    <w:family w:val="roman"/>
    <w:pitch w:val="default"/>
    <w:sig w:usb0="00000000" w:usb1="00000000" w:usb2="00000000" w:usb3="00000000" w:csb0="80000000" w:csb1="00000000"/>
    <w:embedRegular r:id="rId7" w:fontKey="{F50EA494-5C42-4EEB-BA0A-1F7102B80BBE}"/>
  </w:font>
  <w:font w:name="Cardo">
    <w:altName w:val="Times New Roman"/>
    <w:panose1 w:val="00000000000000000000"/>
    <w:charset w:val="00"/>
    <w:family w:val="auto"/>
    <w:pitch w:val="default"/>
    <w:sig w:usb0="00000000" w:usb1="00000000" w:usb2="00000000" w:usb3="00000000" w:csb0="00000000" w:csb1="00000000"/>
  </w:font>
  <w:font w:name="Sitka Banner">
    <w:panose1 w:val="00000000000000000000"/>
    <w:charset w:val="00"/>
    <w:family w:val="auto"/>
    <w:pitch w:val="default"/>
    <w:sig w:usb0="A00002EF" w:usb1="4000204B" w:usb2="00000000" w:usb3="00000000" w:csb0="2000019F" w:csb1="00000000"/>
    <w:embedRegular r:id="rId8" w:fontKey="{F7A0CED5-D817-4472-B331-6A2C3AB22B67}"/>
  </w:font>
  <w:font w:name="Sitka Banner Semibold">
    <w:panose1 w:val="00000000000000000000"/>
    <w:charset w:val="00"/>
    <w:family w:val="auto"/>
    <w:pitch w:val="default"/>
    <w:sig w:usb0="A00002EF" w:usb1="4000204B" w:usb2="00000000" w:usb3="00000000" w:csb0="2000019F" w:csb1="00000000"/>
    <w:embedRegular r:id="rId9" w:fontKey="{FF9D13D6-F1B4-44F8-B04D-0EE7F6EEAA7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22558945"/>
      <w:docPartObj>
        <w:docPartGallery w:val="AutoText"/>
      </w:docPartObj>
    </w:sdtPr>
    <w:sdtEndPr>
      <w:rPr>
        <w:sz w:val="20"/>
        <w:szCs w:val="20"/>
      </w:rPr>
    </w:sdtEndPr>
    <w:sdtContent>
      <w:p w14:paraId="3163DEFD">
        <w:pPr>
          <w:pStyle w:val="10"/>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9</w:t>
        </w:r>
        <w:r>
          <w:rPr>
            <w:sz w:val="20"/>
            <w:szCs w:val="20"/>
          </w:rPr>
          <w:fldChar w:fldCharType="end"/>
        </w:r>
      </w:p>
    </w:sdtContent>
  </w:sdt>
  <w:p w14:paraId="65B626EF">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1843BA">
    <w:pPr>
      <w:pStyle w:val="11"/>
      <w:jc w:val="center"/>
    </w:pPr>
    <w:bookmarkStart w:id="17" w:name="_GoBack"/>
    <w:r>
      <w:rPr>
        <w:lang w:val="en-US" w:eastAsia="en-US"/>
      </w:rPr>
      <w:drawing>
        <wp:inline distT="0" distB="0" distL="0" distR="0">
          <wp:extent cx="3626485" cy="1511935"/>
          <wp:effectExtent l="0" t="0" r="5715" b="12065"/>
          <wp:docPr id="195859883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98831" name="Picture 1"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3626485" cy="1511935"/>
                  </a:xfrm>
                  <a:prstGeom prst="rect">
                    <a:avLst/>
                  </a:prstGeom>
                  <a:noFill/>
                  <a:ln>
                    <a:noFill/>
                  </a:ln>
                </pic:spPr>
              </pic:pic>
            </a:graphicData>
          </a:graphic>
        </wp:inline>
      </w:drawing>
    </w:r>
    <w:bookmarkEnd w:id="17"/>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8472A9"/>
    <w:multiLevelType w:val="multilevel"/>
    <w:tmpl w:val="258472A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2DA01654"/>
    <w:multiLevelType w:val="multilevel"/>
    <w:tmpl w:val="2DA0165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36E81D32"/>
    <w:multiLevelType w:val="multilevel"/>
    <w:tmpl w:val="36E81D3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5FB26A02"/>
    <w:multiLevelType w:val="multilevel"/>
    <w:tmpl w:val="5FB26A0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79447A1B"/>
    <w:multiLevelType w:val="multilevel"/>
    <w:tmpl w:val="79447A1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2"/>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9FF"/>
    <w:rsid w:val="00174149"/>
    <w:rsid w:val="002121E6"/>
    <w:rsid w:val="002E0734"/>
    <w:rsid w:val="0058397C"/>
    <w:rsid w:val="00583D1B"/>
    <w:rsid w:val="005A69FF"/>
    <w:rsid w:val="00650E85"/>
    <w:rsid w:val="006B2D67"/>
    <w:rsid w:val="007778B8"/>
    <w:rsid w:val="0080671E"/>
    <w:rsid w:val="00A56BBC"/>
    <w:rsid w:val="00AA2EE6"/>
    <w:rsid w:val="00B33B7F"/>
    <w:rsid w:val="00B65B0D"/>
    <w:rsid w:val="00B86640"/>
    <w:rsid w:val="00B9338F"/>
    <w:rsid w:val="00BA168C"/>
    <w:rsid w:val="00D21066"/>
    <w:rsid w:val="00D2663A"/>
    <w:rsid w:val="00EB567D"/>
    <w:rsid w:val="00FD3521"/>
    <w:rsid w:val="47E929B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9"/>
    <w:pPr>
      <w:keepNext/>
      <w:keepLines/>
      <w:jc w:val="left"/>
      <w:outlineLvl w:val="0"/>
    </w:pPr>
    <w:rPr>
      <w:b/>
      <w:bCs/>
    </w:rPr>
  </w:style>
  <w:style w:type="paragraph" w:styleId="3">
    <w:name w:val="heading 2"/>
    <w:basedOn w:val="1"/>
    <w:next w:val="1"/>
    <w:unhideWhenUsed/>
    <w:qFormat/>
    <w:uiPriority w:val="9"/>
    <w:pPr>
      <w:keepNext/>
      <w:keepLines/>
      <w:jc w:val="left"/>
      <w:outlineLvl w:val="1"/>
    </w:pPr>
    <w:rPr>
      <w:b/>
      <w:bCs/>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4"/>
    <w:unhideWhenUsed/>
    <w:uiPriority w:val="99"/>
    <w:pPr>
      <w:tabs>
        <w:tab w:val="center" w:pos="4513"/>
        <w:tab w:val="right" w:pos="9026"/>
      </w:tabs>
      <w:spacing w:line="240" w:lineRule="auto"/>
    </w:pPr>
  </w:style>
  <w:style w:type="paragraph" w:styleId="11">
    <w:name w:val="header"/>
    <w:basedOn w:val="1"/>
    <w:link w:val="23"/>
    <w:unhideWhenUsed/>
    <w:uiPriority w:val="99"/>
    <w:pPr>
      <w:tabs>
        <w:tab w:val="center" w:pos="4513"/>
        <w:tab w:val="right" w:pos="9026"/>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Normal (Web)"/>
    <w:basedOn w:val="1"/>
    <w:semiHidden/>
    <w:unhideWhenUsed/>
    <w:uiPriority w:val="99"/>
    <w:pPr>
      <w:spacing w:before="100" w:beforeAutospacing="1" w:after="100" w:afterAutospacing="1" w:line="240" w:lineRule="auto"/>
      <w:jc w:val="left"/>
    </w:pPr>
    <w:rPr>
      <w:lang w:val="en-US" w:eastAsia="en-US"/>
    </w:rPr>
  </w:style>
  <w:style w:type="paragraph" w:styleId="14">
    <w:name w:val="Subtitle"/>
    <w:basedOn w:val="1"/>
    <w:next w:val="1"/>
    <w:qFormat/>
    <w:uiPriority w:val="11"/>
    <w:pPr>
      <w:keepNext/>
      <w:keepLines/>
      <w:spacing w:after="320"/>
    </w:pPr>
    <w:rPr>
      <w:rFonts w:ascii="Arial" w:hAnsi="Arial" w:eastAsia="Arial" w:cs="Arial"/>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table" w:customStyle="1" w:styleId="18">
    <w:name w:val="TableNormal"/>
    <w:uiPriority w:val="0"/>
    <w:tblPr>
      <w:tblCellMar>
        <w:top w:w="100" w:type="dxa"/>
        <w:left w:w="100" w:type="dxa"/>
        <w:bottom w:w="100" w:type="dxa"/>
        <w:right w:w="100" w:type="dxa"/>
      </w:tblCellMar>
    </w:tblPr>
  </w:style>
  <w:style w:type="table" w:customStyle="1" w:styleId="19">
    <w:name w:val="_Style 12"/>
    <w:basedOn w:val="18"/>
    <w:uiPriority w:val="0"/>
  </w:style>
  <w:style w:type="table" w:customStyle="1" w:styleId="20">
    <w:name w:val="_Style 13"/>
    <w:basedOn w:val="18"/>
    <w:uiPriority w:val="0"/>
  </w:style>
  <w:style w:type="table" w:customStyle="1" w:styleId="21">
    <w:name w:val="_Style 14"/>
    <w:basedOn w:val="18"/>
    <w:uiPriority w:val="0"/>
  </w:style>
  <w:style w:type="table" w:customStyle="1" w:styleId="22">
    <w:name w:val="_Style 15"/>
    <w:basedOn w:val="18"/>
    <w:uiPriority w:val="0"/>
  </w:style>
  <w:style w:type="character" w:customStyle="1" w:styleId="23">
    <w:name w:val="Header Char"/>
    <w:basedOn w:val="8"/>
    <w:link w:val="11"/>
    <w:uiPriority w:val="99"/>
  </w:style>
  <w:style w:type="character" w:customStyle="1" w:styleId="24">
    <w:name w:val="Footer Char"/>
    <w:basedOn w:val="8"/>
    <w:link w:val="10"/>
    <w:uiPriority w:val="99"/>
  </w:style>
  <w:style w:type="character" w:customStyle="1" w:styleId="25">
    <w:name w:val="Unresolved Mention"/>
    <w:basedOn w:val="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33</Pages>
  <Words>6466</Words>
  <Characters>36857</Characters>
  <Lines>307</Lines>
  <Paragraphs>86</Paragraphs>
  <TotalTime>304</TotalTime>
  <ScaleCrop>false</ScaleCrop>
  <LinksUpToDate>false</LinksUpToDate>
  <CharactersWithSpaces>43237</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2026-01-07T07:28:00Z</dcterms:created>
  <dc:creator>Priya</dc:creator>
  <cp:lastModifiedBy>WPS_1755072697</cp:lastModifiedBy>
  <dcterms:modified xsi:type="dcterms:W3CDTF">2026-01-12T09:49:46Z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1033-12.2.0.21931</vt:lpwstr>
  </property>
  <property fmtid="{D5CDD505-2E9C-101B-9397-08002B2CF9AE}" pid="3" name="ICV">
    <vt:lpwstr>CCAD782AFE3D4D7F8800307C2FFBCBA7_12</vt:lpwstr>
  </property>
</Properties>
</file>