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E73A1" w14:textId="200F70C7" w:rsidR="00296D14" w:rsidRDefault="00296D14">
      <w:pPr>
        <w:rPr>
          <w:noProof/>
        </w:rPr>
      </w:pPr>
      <w:bookmarkStart w:id="0" w:name="_Hlk215177255"/>
      <w:bookmarkEnd w:id="0"/>
      <w:r>
        <w:rPr>
          <w:noProof/>
        </w:rPr>
        <w:drawing>
          <wp:inline distT="0" distB="0" distL="0" distR="0" wp14:anchorId="0B66565E" wp14:editId="6419DBAC">
            <wp:extent cx="2725420" cy="1212215"/>
            <wp:effectExtent l="0" t="0" r="0" b="6985"/>
            <wp:docPr id="1058383925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383925" name="Picture 1" descr="A black text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20" cy="121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66DCD3" w14:textId="4F806747" w:rsidR="00296D14" w:rsidRDefault="00296D14" w:rsidP="00296D14">
      <w:pPr>
        <w:rPr>
          <w:rFonts w:ascii="Arial" w:hAnsi="Arial" w:cs="Arial"/>
          <w:b/>
          <w:bCs/>
        </w:rPr>
      </w:pPr>
    </w:p>
    <w:p w14:paraId="682AAA0E" w14:textId="77777777" w:rsidR="00296D14" w:rsidRDefault="00296D14" w:rsidP="00296D14">
      <w:pPr>
        <w:rPr>
          <w:rFonts w:ascii="Arial" w:hAnsi="Arial" w:cs="Arial"/>
          <w:b/>
          <w:bCs/>
        </w:rPr>
      </w:pPr>
    </w:p>
    <w:p w14:paraId="47CDAB49" w14:textId="77777777" w:rsidR="00296D14" w:rsidRDefault="00296D14" w:rsidP="00296D14">
      <w:pPr>
        <w:rPr>
          <w:rFonts w:ascii="Arial" w:hAnsi="Arial" w:cs="Arial"/>
          <w:b/>
          <w:bCs/>
        </w:rPr>
      </w:pPr>
    </w:p>
    <w:p w14:paraId="473602F0" w14:textId="77777777" w:rsidR="00296D14" w:rsidRDefault="00296D14" w:rsidP="00296D14">
      <w:pPr>
        <w:rPr>
          <w:rFonts w:ascii="Arial" w:hAnsi="Arial" w:cs="Arial"/>
          <w:b/>
          <w:bCs/>
        </w:rPr>
      </w:pPr>
    </w:p>
    <w:p w14:paraId="20EEB9E7" w14:textId="77777777" w:rsidR="00296D14" w:rsidRDefault="00296D14" w:rsidP="00296D14">
      <w:pPr>
        <w:rPr>
          <w:rFonts w:ascii="Arial" w:hAnsi="Arial" w:cs="Arial"/>
          <w:b/>
          <w:bCs/>
        </w:rPr>
      </w:pPr>
    </w:p>
    <w:p w14:paraId="203275BA" w14:textId="0B38E67B" w:rsidR="00296D14" w:rsidRPr="00D45D48" w:rsidRDefault="00296D14" w:rsidP="00296D14">
      <w:pPr>
        <w:rPr>
          <w:rFonts w:ascii="Arial" w:hAnsi="Arial" w:cs="Arial"/>
        </w:rPr>
      </w:pPr>
      <w:r w:rsidRPr="00AE6D44">
        <w:rPr>
          <w:rFonts w:ascii="Arial" w:hAnsi="Arial" w:cs="Arial"/>
          <w:b/>
          <w:bCs/>
        </w:rPr>
        <w:t>Name</w:t>
      </w:r>
      <w:r>
        <w:rPr>
          <w:rFonts w:ascii="Arial" w:hAnsi="Arial" w:cs="Arial"/>
          <w:b/>
          <w:bCs/>
        </w:rPr>
        <w:t xml:space="preserve">:  </w:t>
      </w:r>
      <w:r w:rsidRPr="00AE6D44">
        <w:rPr>
          <w:rFonts w:ascii="Arial" w:hAnsi="Arial" w:cs="Arial"/>
        </w:rPr>
        <w:t>Marie Louise Audrey Sombo Niamie</w:t>
      </w:r>
    </w:p>
    <w:p w14:paraId="4ADB29B3" w14:textId="77777777" w:rsidR="00296D14" w:rsidRDefault="00296D14" w:rsidP="00296D14">
      <w:pPr>
        <w:rPr>
          <w:rFonts w:ascii="Arial" w:hAnsi="Arial" w:cs="Arial"/>
        </w:rPr>
      </w:pPr>
      <w:r w:rsidRPr="00D45D48">
        <w:rPr>
          <w:rFonts w:ascii="Arial" w:hAnsi="Arial" w:cs="Arial"/>
          <w:b/>
          <w:bCs/>
        </w:rPr>
        <w:t xml:space="preserve">Student no: </w:t>
      </w:r>
      <w:r w:rsidRPr="00D45D48">
        <w:rPr>
          <w:rFonts w:ascii="Arial" w:hAnsi="Arial" w:cs="Arial"/>
        </w:rPr>
        <w:t>2335747 </w:t>
      </w:r>
    </w:p>
    <w:p w14:paraId="54DB9CA8" w14:textId="26DB6EE7" w:rsidR="00296D14" w:rsidRPr="00D45D48" w:rsidRDefault="00296D14" w:rsidP="00296D14">
      <w:pPr>
        <w:rPr>
          <w:rFonts w:ascii="Arial" w:hAnsi="Arial" w:cs="Arial"/>
        </w:rPr>
      </w:pPr>
      <w:r w:rsidRPr="00D45D48">
        <w:rPr>
          <w:rFonts w:ascii="Arial" w:hAnsi="Arial" w:cs="Arial"/>
          <w:b/>
          <w:bCs/>
        </w:rPr>
        <w:t>Module code</w:t>
      </w:r>
      <w:r w:rsidRPr="00D45D48">
        <w:rPr>
          <w:rFonts w:ascii="Arial" w:hAnsi="Arial" w:cs="Arial"/>
        </w:rPr>
        <w:t>: </w:t>
      </w:r>
      <w:r>
        <w:rPr>
          <w:rFonts w:ascii="Arial" w:hAnsi="Arial" w:cs="Arial"/>
        </w:rPr>
        <w:t>BMHP5021-LON</w:t>
      </w:r>
    </w:p>
    <w:p w14:paraId="0815B0B3" w14:textId="75E74DB4" w:rsidR="00296D14" w:rsidRPr="00D45D48" w:rsidRDefault="00296D14" w:rsidP="00296D14">
      <w:pPr>
        <w:rPr>
          <w:rFonts w:ascii="Arial" w:hAnsi="Arial" w:cs="Arial"/>
        </w:rPr>
      </w:pPr>
      <w:r w:rsidRPr="00D45D48">
        <w:rPr>
          <w:rFonts w:ascii="Arial" w:hAnsi="Arial" w:cs="Arial"/>
          <w:b/>
          <w:bCs/>
        </w:rPr>
        <w:t xml:space="preserve">Module:   </w:t>
      </w:r>
      <w:r>
        <w:rPr>
          <w:rFonts w:ascii="Arial" w:hAnsi="Arial" w:cs="Arial"/>
        </w:rPr>
        <w:t>Protecting and Supporting Families in Health and Care</w:t>
      </w:r>
    </w:p>
    <w:p w14:paraId="43288A6F" w14:textId="1BA5C5D1" w:rsidR="00296D14" w:rsidRPr="00D45D48" w:rsidRDefault="00296D14" w:rsidP="00296D14">
      <w:pPr>
        <w:rPr>
          <w:rFonts w:ascii="Arial" w:hAnsi="Arial" w:cs="Arial"/>
        </w:rPr>
      </w:pPr>
    </w:p>
    <w:p w14:paraId="63218D93" w14:textId="0553A223" w:rsidR="00C209BB" w:rsidRDefault="00C209BB"/>
    <w:p w14:paraId="1314E63F" w14:textId="77777777" w:rsidR="00C76A2E" w:rsidRDefault="00C76A2E"/>
    <w:p w14:paraId="283E9FD1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7E0BC809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7231339A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57519673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219AFEF6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2A3EA8B6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2F965656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48B7750B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6C0FD3E4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7056082F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194DA9CA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25A62F1B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3E36665F" w14:textId="77777777" w:rsidR="00C76A2E" w:rsidRDefault="00C76A2E" w:rsidP="00C76A2E">
      <w:pPr>
        <w:rPr>
          <w:rFonts w:ascii="Arial" w:hAnsi="Arial" w:cs="Arial"/>
          <w:b/>
          <w:bCs/>
        </w:rPr>
      </w:pPr>
    </w:p>
    <w:p w14:paraId="22D09388" w14:textId="7369D5A7" w:rsidR="00C76A2E" w:rsidRPr="00C93463" w:rsidRDefault="00C76A2E" w:rsidP="00C76A2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References </w:t>
      </w:r>
    </w:p>
    <w:p w14:paraId="36B89F66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Baby P Case Review (2008). </w:t>
      </w:r>
      <w:r w:rsidRPr="00C93463">
        <w:rPr>
          <w:rFonts w:ascii="Arial" w:hAnsi="Arial" w:cs="Arial"/>
          <w:color w:val="222222"/>
          <w:shd w:val="clear" w:color="auto" w:fill="FFFFFF"/>
        </w:rPr>
        <w:t>Warner, J., 2013. Social work, class politics and risk in the moral panic over Baby P. </w:t>
      </w:r>
      <w:r w:rsidRPr="00C93463">
        <w:rPr>
          <w:rFonts w:ascii="Arial" w:hAnsi="Arial" w:cs="Arial"/>
          <w:i/>
          <w:iCs/>
          <w:color w:val="222222"/>
          <w:shd w:val="clear" w:color="auto" w:fill="FFFFFF"/>
        </w:rPr>
        <w:t>Health, Risk &amp; Society</w:t>
      </w:r>
      <w:r w:rsidRPr="00C93463">
        <w:rPr>
          <w:rFonts w:ascii="Arial" w:hAnsi="Arial" w:cs="Arial"/>
          <w:color w:val="222222"/>
          <w:shd w:val="clear" w:color="auto" w:fill="FFFFFF"/>
        </w:rPr>
        <w:t>, </w:t>
      </w:r>
      <w:r w:rsidRPr="00C93463">
        <w:rPr>
          <w:rFonts w:ascii="Arial" w:hAnsi="Arial" w:cs="Arial"/>
          <w:i/>
          <w:iCs/>
          <w:color w:val="222222"/>
          <w:shd w:val="clear" w:color="auto" w:fill="FFFFFF"/>
        </w:rPr>
        <w:t>15</w:t>
      </w:r>
      <w:r w:rsidRPr="00C93463">
        <w:rPr>
          <w:rFonts w:ascii="Arial" w:hAnsi="Arial" w:cs="Arial"/>
          <w:color w:val="222222"/>
          <w:shd w:val="clear" w:color="auto" w:fill="FFFFFF"/>
        </w:rPr>
        <w:t>(3), pp.217-233.</w:t>
      </w:r>
    </w:p>
    <w:p w14:paraId="63C7E179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Brandon, M., Sidebotham, P., Belderson, P. &amp; Hawley, C. (2020)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Complexity and challenge: A triennial analysis of serious case reviews 2014–2017.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 DfE.</w:t>
      </w:r>
    </w:p>
    <w:p w14:paraId="0621BB7F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Care Quality Commission (2022)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Roles and Responsibilities for Safeguarding.</w:t>
      </w:r>
    </w:p>
    <w:p w14:paraId="5722B720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Children Act 1989.</w:t>
      </w:r>
    </w:p>
    <w:p w14:paraId="69D8251B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Children Act 2004.</w:t>
      </w:r>
    </w:p>
    <w:p w14:paraId="24147EE3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Cleaver, H., </w:t>
      </w:r>
      <w:proofErr w:type="spellStart"/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Unell</w:t>
      </w:r>
      <w:proofErr w:type="spellEnd"/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, I. &amp; Aldgate, J. (2019)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Children’s Needs—Parenting Capacity.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 TSO.</w:t>
      </w:r>
    </w:p>
    <w:p w14:paraId="41548A87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Department for Education (2018)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Working Together to Safeguard Children.</w:t>
      </w:r>
    </w:p>
    <w:p w14:paraId="6353427E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Department for Education (DfE). (2018).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Working Together to Safeguard Children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0C2AD9BB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hAnsi="Arial" w:cs="Arial"/>
          <w:color w:val="222222"/>
          <w:shd w:val="clear" w:color="auto" w:fill="FFFFFF"/>
        </w:rPr>
        <w:t>Department for Education and Employment, 2001. </w:t>
      </w:r>
      <w:r w:rsidRPr="00C93463">
        <w:rPr>
          <w:rFonts w:ascii="Arial" w:hAnsi="Arial" w:cs="Arial"/>
          <w:i/>
          <w:iCs/>
          <w:color w:val="222222"/>
          <w:shd w:val="clear" w:color="auto" w:fill="FFFFFF"/>
        </w:rPr>
        <w:t>Framework for the Assessment of Children in Need and their Families</w:t>
      </w:r>
      <w:r w:rsidRPr="00C93463">
        <w:rPr>
          <w:rFonts w:ascii="Arial" w:hAnsi="Arial" w:cs="Arial"/>
          <w:color w:val="222222"/>
          <w:shd w:val="clear" w:color="auto" w:fill="FFFFFF"/>
        </w:rPr>
        <w:t xml:space="preserve">. Stationery Office. 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(Framework for the Assessment of Children in Need and Their Families (2000).</w:t>
      </w:r>
    </w:p>
    <w:p w14:paraId="62EF9B5F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Department for Education. (2018).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Working Together to Safeguard Children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br/>
        <w:t xml:space="preserve">Department of Health. (2000).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Framework for the Assessment of Children in Need and their Families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1D286D72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Department of Health (DH). (2000).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Framework for the Assessment of Children in Need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32FB7167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Domestic Abuse Act 2021.</w:t>
      </w:r>
    </w:p>
    <w:p w14:paraId="733A3EBA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hAnsi="Arial" w:cs="Arial"/>
          <w:color w:val="222222"/>
          <w:shd w:val="clear" w:color="auto" w:fill="FFFFFF"/>
        </w:rPr>
        <w:t>Felitti, V.J., Anda, R.F., Nordenberg, D., Williamson, D.F., Spitz, A.M., Edwards, V. and Marks, J.S., 1998. Relationship of childhood abuse and household dysfunction to many of the leading causes of death in adults: The Adverse Childhood Experiences (ACE) Study. </w:t>
      </w:r>
      <w:r w:rsidRPr="00C93463">
        <w:rPr>
          <w:rFonts w:ascii="Arial" w:hAnsi="Arial" w:cs="Arial"/>
          <w:i/>
          <w:iCs/>
          <w:color w:val="222222"/>
          <w:shd w:val="clear" w:color="auto" w:fill="FFFFFF"/>
        </w:rPr>
        <w:t>American journal of preventive medicine</w:t>
      </w:r>
      <w:r w:rsidRPr="00C93463">
        <w:rPr>
          <w:rFonts w:ascii="Arial" w:hAnsi="Arial" w:cs="Arial"/>
          <w:color w:val="222222"/>
          <w:shd w:val="clear" w:color="auto" w:fill="FFFFFF"/>
        </w:rPr>
        <w:t>, </w:t>
      </w:r>
      <w:r w:rsidRPr="00C93463">
        <w:rPr>
          <w:rFonts w:ascii="Arial" w:hAnsi="Arial" w:cs="Arial"/>
          <w:i/>
          <w:iCs/>
          <w:color w:val="222222"/>
          <w:shd w:val="clear" w:color="auto" w:fill="FFFFFF"/>
        </w:rPr>
        <w:t>14</w:t>
      </w:r>
      <w:r w:rsidRPr="00C93463">
        <w:rPr>
          <w:rFonts w:ascii="Arial" w:hAnsi="Arial" w:cs="Arial"/>
          <w:color w:val="222222"/>
          <w:shd w:val="clear" w:color="auto" w:fill="FFFFFF"/>
        </w:rPr>
        <w:t>(4), pp.245-258.</w:t>
      </w:r>
    </w:p>
    <w:p w14:paraId="1C855C42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HM Government (2023)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Working Together to Safeguard Children.</w:t>
      </w:r>
    </w:p>
    <w:p w14:paraId="43311F07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HM Government. (1989).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Children Act 1989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E801B38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HM Government. (2018).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Working Together to Safeguard Children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23A11EB8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Human Rights Act 1998. </w:t>
      </w:r>
      <w:r w:rsidRPr="00C93463">
        <w:rPr>
          <w:rFonts w:ascii="Arial" w:hAnsi="Arial" w:cs="Arial"/>
          <w:color w:val="222222"/>
          <w:shd w:val="clear" w:color="auto" w:fill="FFFFFF"/>
        </w:rPr>
        <w:t>Feldman, D., 1999. The human rights act 1998 and constitutional principles. </w:t>
      </w:r>
      <w:r w:rsidRPr="00C93463">
        <w:rPr>
          <w:rFonts w:ascii="Arial" w:hAnsi="Arial" w:cs="Arial"/>
          <w:i/>
          <w:iCs/>
          <w:color w:val="222222"/>
          <w:shd w:val="clear" w:color="auto" w:fill="FFFFFF"/>
        </w:rPr>
        <w:t>Legal Studies</w:t>
      </w:r>
      <w:r w:rsidRPr="00C93463">
        <w:rPr>
          <w:rFonts w:ascii="Arial" w:hAnsi="Arial" w:cs="Arial"/>
          <w:color w:val="222222"/>
          <w:shd w:val="clear" w:color="auto" w:fill="FFFFFF"/>
        </w:rPr>
        <w:t>, </w:t>
      </w:r>
      <w:r w:rsidRPr="00C93463">
        <w:rPr>
          <w:rFonts w:ascii="Arial" w:hAnsi="Arial" w:cs="Arial"/>
          <w:i/>
          <w:iCs/>
          <w:color w:val="222222"/>
          <w:shd w:val="clear" w:color="auto" w:fill="FFFFFF"/>
        </w:rPr>
        <w:t>19</w:t>
      </w:r>
      <w:r w:rsidRPr="00C93463">
        <w:rPr>
          <w:rFonts w:ascii="Arial" w:hAnsi="Arial" w:cs="Arial"/>
          <w:color w:val="222222"/>
          <w:shd w:val="clear" w:color="auto" w:fill="FFFFFF"/>
        </w:rPr>
        <w:t>(2), pp.165-206.</w:t>
      </w:r>
    </w:p>
    <w:p w14:paraId="7724377B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NHS England. (2019).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Safeguarding Accountability and Assurance Framework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3716431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NICE. (2019).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Cannabis Misuse: Clinical Guidance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701D850A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NMC. (2018).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Code: Professional Standards of Practice and Behaviour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3785B749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NMC. (2018).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Code: Professional Standards of Practice and Behaviour for Nurses, Midwives and Nursing Associates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1FD53FAB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NSPCC (2020)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Learning from Case Reviews. (</w:t>
      </w:r>
      <w:r w:rsidRPr="00C93463">
        <w:rPr>
          <w:rFonts w:ascii="Arial" w:hAnsi="Arial" w:cs="Arial"/>
          <w:color w:val="222222"/>
          <w:shd w:val="clear" w:color="auto" w:fill="FFFFFF"/>
        </w:rPr>
        <w:t>Dickens, J., Taylor, J., Cook, L., Cossar, J., Garstang, J. and Rimmer, J., 2022. Serious case reviews 1998 to 2019: continuities, changes and challenges).</w:t>
      </w:r>
    </w:p>
    <w:p w14:paraId="52F835EC" w14:textId="77777777" w:rsidR="00C76A2E" w:rsidRPr="00C93463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 xml:space="preserve">Public Health England. (2020). </w:t>
      </w:r>
      <w:r w:rsidRPr="00C9346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Adverse Childhood Experiences Evidence Review</w:t>
      </w: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3DD155AD" w14:textId="16E2CB02" w:rsidR="00C76A2E" w:rsidRPr="00C76A2E" w:rsidRDefault="00C76A2E" w:rsidP="00C76A2E">
      <w:pPr>
        <w:pStyle w:val="ListParagraph"/>
        <w:numPr>
          <w:ilvl w:val="0"/>
          <w:numId w:val="1"/>
        </w:numPr>
        <w:spacing w:line="259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93463">
        <w:rPr>
          <w:rFonts w:ascii="Arial" w:eastAsia="Times New Roman" w:hAnsi="Arial" w:cs="Arial"/>
          <w:kern w:val="0"/>
          <w:lang w:eastAsia="en-GB"/>
          <w14:ligatures w14:val="none"/>
        </w:rPr>
        <w:t>Public Law Outline (2014).</w:t>
      </w:r>
    </w:p>
    <w:sectPr w:rsidR="00C76A2E" w:rsidRPr="00C76A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C0881"/>
    <w:multiLevelType w:val="hybridMultilevel"/>
    <w:tmpl w:val="CADA96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254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D14"/>
    <w:rsid w:val="00296D14"/>
    <w:rsid w:val="00443A0C"/>
    <w:rsid w:val="00BD3D63"/>
    <w:rsid w:val="00C209BB"/>
    <w:rsid w:val="00C7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BEE14"/>
  <w15:chartTrackingRefBased/>
  <w15:docId w15:val="{28FFEB54-827B-4337-B3BC-58428D7D4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D14"/>
  </w:style>
  <w:style w:type="paragraph" w:styleId="Heading1">
    <w:name w:val="heading 1"/>
    <w:basedOn w:val="Normal"/>
    <w:next w:val="Normal"/>
    <w:link w:val="Heading1Char"/>
    <w:uiPriority w:val="9"/>
    <w:qFormat/>
    <w:rsid w:val="00296D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6D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6D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6D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6D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6D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6D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6D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6D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6D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6D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6D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6D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6D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6D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6D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6D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6D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6D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6D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6D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6D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6D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6D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6D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6D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6D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6D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6D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Louise Audrey Sombo Niamie (2335747)</dc:creator>
  <cp:keywords/>
  <dc:description/>
  <cp:lastModifiedBy>Marie Louise Audrey Sombo Niamie (2335747)</cp:lastModifiedBy>
  <cp:revision>1</cp:revision>
  <dcterms:created xsi:type="dcterms:W3CDTF">2025-11-27T23:04:00Z</dcterms:created>
  <dcterms:modified xsi:type="dcterms:W3CDTF">2025-11-27T23:19:00Z</dcterms:modified>
</cp:coreProperties>
</file>