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26890" w14:textId="77777777" w:rsidR="00DE5345" w:rsidRDefault="00DE5345" w:rsidP="00AE08AE">
      <w:pPr>
        <w:pStyle w:val="Title"/>
        <w:jc w:val="center"/>
        <w:rPr>
          <w:rFonts w:ascii="Arial" w:hAnsi="Arial" w:cs="Arial"/>
          <w:sz w:val="52"/>
          <w:szCs w:val="52"/>
        </w:rPr>
      </w:pPr>
    </w:p>
    <w:p w14:paraId="7154F758" w14:textId="2EC4969A" w:rsidR="00AE08AE" w:rsidRPr="00601EDD" w:rsidRDefault="00AE08AE" w:rsidP="00AE08AE">
      <w:pPr>
        <w:pStyle w:val="Title"/>
        <w:jc w:val="center"/>
        <w:rPr>
          <w:rFonts w:ascii="Arial" w:hAnsi="Arial" w:cs="Arial"/>
          <w:sz w:val="52"/>
          <w:szCs w:val="52"/>
        </w:rPr>
      </w:pPr>
      <w:r w:rsidRPr="00601EDD">
        <w:rPr>
          <w:rFonts w:ascii="Arial" w:hAnsi="Arial" w:cs="Arial"/>
          <w:sz w:val="52"/>
          <w:szCs w:val="52"/>
        </w:rPr>
        <w:t xml:space="preserve">UNIVERSITY OF WALES </w:t>
      </w:r>
    </w:p>
    <w:p w14:paraId="1DD44568" w14:textId="2F26B3F0" w:rsidR="00855F41" w:rsidRPr="00601EDD" w:rsidRDefault="00AE08AE" w:rsidP="00AE08AE">
      <w:pPr>
        <w:pStyle w:val="Title"/>
        <w:jc w:val="center"/>
        <w:rPr>
          <w:rFonts w:ascii="Arial" w:hAnsi="Arial" w:cs="Arial"/>
          <w:sz w:val="52"/>
          <w:szCs w:val="52"/>
        </w:rPr>
      </w:pPr>
      <w:r w:rsidRPr="00601EDD">
        <w:rPr>
          <w:rFonts w:ascii="Arial" w:hAnsi="Arial" w:cs="Arial"/>
          <w:sz w:val="52"/>
          <w:szCs w:val="52"/>
        </w:rPr>
        <w:t>TRINITY SAINT DAVID</w:t>
      </w:r>
    </w:p>
    <w:p w14:paraId="7AD1C8BD" w14:textId="77777777" w:rsidR="0086402F" w:rsidRPr="00601EDD" w:rsidRDefault="0086402F" w:rsidP="0086402F">
      <w:pPr>
        <w:rPr>
          <w:sz w:val="28"/>
          <w:szCs w:val="24"/>
        </w:rPr>
      </w:pPr>
    </w:p>
    <w:p w14:paraId="1DD44569" w14:textId="77777777" w:rsidR="00855F41" w:rsidRDefault="00855F41" w:rsidP="00855F41">
      <w:pPr>
        <w:pStyle w:val="Title"/>
        <w:jc w:val="center"/>
      </w:pPr>
    </w:p>
    <w:p w14:paraId="1DD4456C" w14:textId="77777777" w:rsidR="00855F41" w:rsidRDefault="00855F41" w:rsidP="0086402F">
      <w:pPr>
        <w:pStyle w:val="Title"/>
      </w:pPr>
    </w:p>
    <w:p w14:paraId="1DD4456D" w14:textId="77777777" w:rsidR="00855F41" w:rsidRDefault="00855F41" w:rsidP="00855F41">
      <w:pPr>
        <w:pStyle w:val="Title"/>
        <w:jc w:val="center"/>
      </w:pPr>
    </w:p>
    <w:p w14:paraId="1DD4456E" w14:textId="4F5707C0" w:rsidR="00457F51" w:rsidRPr="00601EDD" w:rsidRDefault="0086402F" w:rsidP="00855F41">
      <w:pPr>
        <w:pStyle w:val="Title"/>
        <w:jc w:val="center"/>
        <w:rPr>
          <w:rFonts w:ascii="Arial" w:hAnsi="Arial" w:cs="Arial"/>
          <w:sz w:val="52"/>
          <w:szCs w:val="52"/>
        </w:rPr>
      </w:pPr>
      <w:r w:rsidRPr="00601EDD">
        <w:rPr>
          <w:rFonts w:ascii="Arial" w:hAnsi="Arial" w:cs="Arial"/>
          <w:sz w:val="52"/>
          <w:szCs w:val="52"/>
        </w:rPr>
        <w:t xml:space="preserve">Topic: </w:t>
      </w:r>
      <w:r w:rsidR="00D757FC" w:rsidRPr="00601EDD">
        <w:rPr>
          <w:rFonts w:ascii="Arial" w:hAnsi="Arial" w:cs="Arial"/>
          <w:sz w:val="52"/>
          <w:szCs w:val="52"/>
        </w:rPr>
        <w:t>Community Engagement</w:t>
      </w:r>
      <w:r w:rsidR="008E2C54" w:rsidRPr="00601EDD">
        <w:rPr>
          <w:rFonts w:ascii="Arial" w:hAnsi="Arial" w:cs="Arial"/>
          <w:sz w:val="52"/>
          <w:szCs w:val="52"/>
        </w:rPr>
        <w:t xml:space="preserve"> </w:t>
      </w:r>
    </w:p>
    <w:p w14:paraId="58D134DA" w14:textId="4C877172" w:rsidR="003119D1" w:rsidRDefault="003119D1" w:rsidP="003119D1">
      <w:pPr>
        <w:jc w:val="center"/>
        <w:rPr>
          <w:sz w:val="32"/>
          <w:szCs w:val="28"/>
        </w:rPr>
      </w:pPr>
    </w:p>
    <w:p w14:paraId="0317F391" w14:textId="77777777" w:rsidR="00A14CAA" w:rsidRDefault="00A14CAA" w:rsidP="003119D1">
      <w:pPr>
        <w:jc w:val="center"/>
        <w:rPr>
          <w:sz w:val="32"/>
          <w:szCs w:val="28"/>
        </w:rPr>
      </w:pPr>
    </w:p>
    <w:p w14:paraId="70A0891C" w14:textId="77777777" w:rsidR="00B02D04" w:rsidRPr="00601EDD" w:rsidRDefault="00B02D04" w:rsidP="00B02D04">
      <w:pPr>
        <w:jc w:val="center"/>
        <w:rPr>
          <w:sz w:val="40"/>
          <w:szCs w:val="36"/>
        </w:rPr>
      </w:pPr>
      <w:r w:rsidRPr="00601EDD">
        <w:rPr>
          <w:sz w:val="40"/>
          <w:szCs w:val="36"/>
        </w:rPr>
        <w:t xml:space="preserve">Ivilina Atanasova </w:t>
      </w:r>
      <w:proofErr w:type="spellStart"/>
      <w:r w:rsidRPr="00601EDD">
        <w:rPr>
          <w:sz w:val="40"/>
          <w:szCs w:val="36"/>
        </w:rPr>
        <w:t>Atanasova</w:t>
      </w:r>
      <w:proofErr w:type="spellEnd"/>
    </w:p>
    <w:p w14:paraId="59B8E11F" w14:textId="77777777" w:rsidR="00B02D04" w:rsidRPr="00601EDD" w:rsidRDefault="00B02D04" w:rsidP="00B02D04">
      <w:pPr>
        <w:jc w:val="center"/>
        <w:rPr>
          <w:sz w:val="40"/>
          <w:szCs w:val="36"/>
        </w:rPr>
      </w:pPr>
    </w:p>
    <w:p w14:paraId="24A1361C" w14:textId="77777777" w:rsidR="00B02D04" w:rsidRPr="00601EDD" w:rsidRDefault="00B02D04" w:rsidP="00B02D04">
      <w:pPr>
        <w:jc w:val="center"/>
        <w:rPr>
          <w:sz w:val="40"/>
          <w:szCs w:val="36"/>
        </w:rPr>
      </w:pPr>
    </w:p>
    <w:p w14:paraId="57A58D76" w14:textId="77777777" w:rsidR="00B02D04" w:rsidRPr="00601EDD" w:rsidRDefault="00B02D04" w:rsidP="00B02D04">
      <w:pPr>
        <w:jc w:val="center"/>
        <w:rPr>
          <w:sz w:val="40"/>
          <w:szCs w:val="36"/>
        </w:rPr>
      </w:pPr>
      <w:r w:rsidRPr="00601EDD">
        <w:rPr>
          <w:sz w:val="40"/>
          <w:szCs w:val="36"/>
        </w:rPr>
        <w:t>Course: Business Management, 2028391</w:t>
      </w:r>
    </w:p>
    <w:p w14:paraId="1EBD7856" w14:textId="05DD8C87" w:rsidR="00A37DCB" w:rsidRPr="00601EDD" w:rsidRDefault="00A37DCB" w:rsidP="00B02D04">
      <w:pPr>
        <w:jc w:val="center"/>
        <w:rPr>
          <w:sz w:val="40"/>
          <w:szCs w:val="36"/>
        </w:rPr>
      </w:pPr>
      <w:r w:rsidRPr="00601EDD">
        <w:rPr>
          <w:sz w:val="40"/>
          <w:szCs w:val="36"/>
        </w:rPr>
        <w:t>Community Engagement</w:t>
      </w:r>
      <w:r w:rsidR="002E0057">
        <w:rPr>
          <w:sz w:val="40"/>
          <w:szCs w:val="36"/>
        </w:rPr>
        <w:t xml:space="preserve"> -</w:t>
      </w:r>
      <w:r w:rsidRPr="00601EDD">
        <w:rPr>
          <w:sz w:val="40"/>
          <w:szCs w:val="36"/>
        </w:rPr>
        <w:t xml:space="preserve"> </w:t>
      </w:r>
      <w:r w:rsidR="00AC2624" w:rsidRPr="00601EDD">
        <w:rPr>
          <w:sz w:val="40"/>
          <w:szCs w:val="36"/>
        </w:rPr>
        <w:t>LCBB4002</w:t>
      </w:r>
    </w:p>
    <w:p w14:paraId="71D22EA4" w14:textId="77777777" w:rsidR="008C0EE9" w:rsidRPr="00601EDD" w:rsidRDefault="008C0EE9" w:rsidP="00B02D04">
      <w:pPr>
        <w:jc w:val="center"/>
        <w:rPr>
          <w:sz w:val="40"/>
          <w:szCs w:val="36"/>
        </w:rPr>
      </w:pPr>
    </w:p>
    <w:p w14:paraId="3DDCA7E3" w14:textId="2057024E" w:rsidR="00B02D04" w:rsidRPr="00601EDD" w:rsidRDefault="00B02D04" w:rsidP="00B02D04">
      <w:pPr>
        <w:jc w:val="center"/>
        <w:rPr>
          <w:sz w:val="40"/>
          <w:szCs w:val="36"/>
        </w:rPr>
      </w:pPr>
      <w:r w:rsidRPr="00601EDD">
        <w:rPr>
          <w:sz w:val="40"/>
          <w:szCs w:val="36"/>
        </w:rPr>
        <w:t xml:space="preserve">Dr </w:t>
      </w:r>
      <w:r w:rsidR="004B3996" w:rsidRPr="00601EDD">
        <w:rPr>
          <w:sz w:val="40"/>
          <w:szCs w:val="36"/>
        </w:rPr>
        <w:t xml:space="preserve">Olu </w:t>
      </w:r>
      <w:r w:rsidR="00A14CAA" w:rsidRPr="00601EDD">
        <w:rPr>
          <w:sz w:val="40"/>
          <w:szCs w:val="36"/>
        </w:rPr>
        <w:t>Adegbite</w:t>
      </w:r>
    </w:p>
    <w:p w14:paraId="55218867" w14:textId="48E7AA49" w:rsidR="00B02D04" w:rsidRPr="00601EDD" w:rsidRDefault="00B02D04" w:rsidP="00B02D04">
      <w:pPr>
        <w:jc w:val="center"/>
        <w:rPr>
          <w:sz w:val="40"/>
          <w:szCs w:val="36"/>
        </w:rPr>
      </w:pPr>
    </w:p>
    <w:p w14:paraId="6D4800D0" w14:textId="77777777" w:rsidR="00A14CAA" w:rsidRPr="00601EDD" w:rsidRDefault="00A14CAA" w:rsidP="00DE5345">
      <w:pPr>
        <w:rPr>
          <w:sz w:val="40"/>
          <w:szCs w:val="36"/>
        </w:rPr>
      </w:pPr>
    </w:p>
    <w:p w14:paraId="0FD0AFB7" w14:textId="72F56DEF" w:rsidR="00B02D04" w:rsidRPr="00601EDD" w:rsidRDefault="00B02D04" w:rsidP="00B02D04">
      <w:pPr>
        <w:jc w:val="center"/>
        <w:rPr>
          <w:sz w:val="40"/>
          <w:szCs w:val="36"/>
        </w:rPr>
      </w:pPr>
      <w:r w:rsidRPr="00601EDD">
        <w:rPr>
          <w:sz w:val="40"/>
          <w:szCs w:val="36"/>
        </w:rPr>
        <w:t>1</w:t>
      </w:r>
      <w:r w:rsidR="00A14CAA" w:rsidRPr="00601EDD">
        <w:rPr>
          <w:sz w:val="40"/>
          <w:szCs w:val="36"/>
        </w:rPr>
        <w:t>7</w:t>
      </w:r>
      <w:r w:rsidRPr="00601EDD">
        <w:rPr>
          <w:sz w:val="40"/>
          <w:szCs w:val="36"/>
        </w:rPr>
        <w:t>/</w:t>
      </w:r>
      <w:r w:rsidR="00A14CAA" w:rsidRPr="00601EDD">
        <w:rPr>
          <w:sz w:val="40"/>
          <w:szCs w:val="36"/>
        </w:rPr>
        <w:t>10</w:t>
      </w:r>
      <w:r w:rsidRPr="00601EDD">
        <w:rPr>
          <w:sz w:val="40"/>
          <w:szCs w:val="36"/>
        </w:rPr>
        <w:t>/21</w:t>
      </w:r>
    </w:p>
    <w:p w14:paraId="1DD4456F" w14:textId="77777777" w:rsidR="00855F41" w:rsidRDefault="00D757FC">
      <w:pPr>
        <w:widowControl/>
        <w:spacing w:after="160" w:line="259" w:lineRule="auto"/>
        <w:jc w:val="left"/>
      </w:pPr>
      <w:r>
        <w:br w:type="page"/>
      </w:r>
    </w:p>
    <w:sdt>
      <w:sdtPr>
        <w:rPr>
          <w:rFonts w:ascii="Arial" w:eastAsia="PMingLiU" w:hAnsi="Arial" w:cstheme="minorHAnsi"/>
          <w:color w:val="auto"/>
          <w:kern w:val="2"/>
          <w:sz w:val="24"/>
          <w:szCs w:val="22"/>
          <w:lang w:val="en-AU" w:eastAsia="en-AU"/>
        </w:rPr>
        <w:id w:val="-432663653"/>
        <w:docPartObj>
          <w:docPartGallery w:val="Table of Contents"/>
          <w:docPartUnique/>
        </w:docPartObj>
      </w:sdtPr>
      <w:sdtEndPr>
        <w:rPr>
          <w:b/>
          <w:bCs/>
          <w:noProof/>
        </w:rPr>
      </w:sdtEndPr>
      <w:sdtContent>
        <w:p w14:paraId="7CB2915C" w14:textId="3C931F12" w:rsidR="00100153" w:rsidRDefault="00D757FC">
          <w:pPr>
            <w:pStyle w:val="TOCHeading"/>
          </w:pPr>
          <w:r>
            <w:t>Table of Contents</w:t>
          </w:r>
        </w:p>
        <w:p w14:paraId="0DD394D9" w14:textId="49ECC557" w:rsidR="00100153" w:rsidRPr="00025F6B" w:rsidRDefault="00D757FC">
          <w:pPr>
            <w:pStyle w:val="TOC1"/>
            <w:tabs>
              <w:tab w:val="right" w:leader="dot" w:pos="9016"/>
            </w:tabs>
            <w:rPr>
              <w:noProof/>
              <w:sz w:val="22"/>
              <w:szCs w:val="20"/>
            </w:rPr>
          </w:pPr>
          <w:r>
            <w:fldChar w:fldCharType="begin"/>
          </w:r>
          <w:r>
            <w:instrText xml:space="preserve"> TOC \o "1-3" \h \z \u </w:instrText>
          </w:r>
          <w:r>
            <w:fldChar w:fldCharType="separate"/>
          </w:r>
          <w:hyperlink w:anchor="_Toc85312699" w:history="1">
            <w:r w:rsidRPr="00025F6B">
              <w:rPr>
                <w:rStyle w:val="Hyperlink"/>
                <w:noProof/>
                <w:sz w:val="22"/>
                <w:szCs w:val="20"/>
              </w:rPr>
              <w:t>Introduction</w:t>
            </w:r>
            <w:r w:rsidRPr="00025F6B">
              <w:rPr>
                <w:noProof/>
                <w:webHidden/>
                <w:sz w:val="22"/>
                <w:szCs w:val="20"/>
              </w:rPr>
              <w:tab/>
            </w:r>
            <w:r w:rsidRPr="00025F6B">
              <w:rPr>
                <w:noProof/>
                <w:webHidden/>
                <w:sz w:val="22"/>
                <w:szCs w:val="20"/>
              </w:rPr>
              <w:fldChar w:fldCharType="begin"/>
            </w:r>
            <w:r w:rsidRPr="00025F6B">
              <w:rPr>
                <w:noProof/>
                <w:webHidden/>
                <w:sz w:val="22"/>
                <w:szCs w:val="20"/>
              </w:rPr>
              <w:instrText xml:space="preserve"> PAGEREF _Toc85312699 \h </w:instrText>
            </w:r>
            <w:r w:rsidRPr="00025F6B">
              <w:rPr>
                <w:noProof/>
                <w:webHidden/>
                <w:sz w:val="22"/>
                <w:szCs w:val="20"/>
              </w:rPr>
            </w:r>
            <w:r w:rsidRPr="00025F6B">
              <w:rPr>
                <w:noProof/>
                <w:webHidden/>
                <w:sz w:val="22"/>
                <w:szCs w:val="20"/>
              </w:rPr>
              <w:fldChar w:fldCharType="separate"/>
            </w:r>
            <w:r w:rsidRPr="00025F6B">
              <w:rPr>
                <w:noProof/>
                <w:webHidden/>
                <w:sz w:val="22"/>
                <w:szCs w:val="20"/>
              </w:rPr>
              <w:t>3</w:t>
            </w:r>
            <w:r w:rsidRPr="00025F6B">
              <w:rPr>
                <w:noProof/>
                <w:webHidden/>
                <w:sz w:val="22"/>
                <w:szCs w:val="20"/>
              </w:rPr>
              <w:fldChar w:fldCharType="end"/>
            </w:r>
          </w:hyperlink>
        </w:p>
        <w:p w14:paraId="09020EF8" w14:textId="52BA0471" w:rsidR="00100153" w:rsidRPr="00025F6B" w:rsidRDefault="00D757FC">
          <w:pPr>
            <w:pStyle w:val="TOC1"/>
            <w:tabs>
              <w:tab w:val="right" w:leader="dot" w:pos="9016"/>
            </w:tabs>
            <w:rPr>
              <w:noProof/>
              <w:sz w:val="22"/>
              <w:szCs w:val="20"/>
            </w:rPr>
          </w:pPr>
          <w:hyperlink w:anchor="_Toc85312700" w:history="1">
            <w:r w:rsidRPr="00025F6B">
              <w:rPr>
                <w:rStyle w:val="Hyperlink"/>
                <w:noProof/>
                <w:sz w:val="22"/>
                <w:szCs w:val="20"/>
              </w:rPr>
              <w:t>Discussion</w:t>
            </w:r>
            <w:r w:rsidRPr="00025F6B">
              <w:rPr>
                <w:noProof/>
                <w:webHidden/>
                <w:sz w:val="22"/>
                <w:szCs w:val="20"/>
              </w:rPr>
              <w:tab/>
            </w:r>
            <w:r w:rsidRPr="00025F6B">
              <w:rPr>
                <w:noProof/>
                <w:webHidden/>
                <w:sz w:val="22"/>
                <w:szCs w:val="20"/>
              </w:rPr>
              <w:fldChar w:fldCharType="begin"/>
            </w:r>
            <w:r w:rsidRPr="00025F6B">
              <w:rPr>
                <w:noProof/>
                <w:webHidden/>
                <w:sz w:val="22"/>
                <w:szCs w:val="20"/>
              </w:rPr>
              <w:instrText xml:space="preserve"> PAGEREF _Toc85312700 \h </w:instrText>
            </w:r>
            <w:r w:rsidRPr="00025F6B">
              <w:rPr>
                <w:noProof/>
                <w:webHidden/>
                <w:sz w:val="22"/>
                <w:szCs w:val="20"/>
              </w:rPr>
            </w:r>
            <w:r w:rsidRPr="00025F6B">
              <w:rPr>
                <w:noProof/>
                <w:webHidden/>
                <w:sz w:val="22"/>
                <w:szCs w:val="20"/>
              </w:rPr>
              <w:fldChar w:fldCharType="separate"/>
            </w:r>
            <w:r w:rsidRPr="00025F6B">
              <w:rPr>
                <w:noProof/>
                <w:webHidden/>
                <w:sz w:val="22"/>
                <w:szCs w:val="20"/>
              </w:rPr>
              <w:t>3</w:t>
            </w:r>
            <w:r w:rsidRPr="00025F6B">
              <w:rPr>
                <w:noProof/>
                <w:webHidden/>
                <w:sz w:val="22"/>
                <w:szCs w:val="20"/>
              </w:rPr>
              <w:fldChar w:fldCharType="end"/>
            </w:r>
          </w:hyperlink>
        </w:p>
        <w:p w14:paraId="2F04F42C" w14:textId="6198021E" w:rsidR="00100153" w:rsidRDefault="00D757FC">
          <w:pPr>
            <w:pStyle w:val="TOC1"/>
            <w:tabs>
              <w:tab w:val="right" w:leader="dot" w:pos="9016"/>
            </w:tabs>
            <w:rPr>
              <w:noProof/>
            </w:rPr>
          </w:pPr>
          <w:hyperlink w:anchor="_Toc85312701" w:history="1">
            <w:r w:rsidRPr="00025F6B">
              <w:rPr>
                <w:rStyle w:val="Hyperlink"/>
                <w:noProof/>
                <w:sz w:val="22"/>
                <w:szCs w:val="20"/>
              </w:rPr>
              <w:t>Conclusion</w:t>
            </w:r>
            <w:r w:rsidRPr="00025F6B">
              <w:rPr>
                <w:noProof/>
                <w:webHidden/>
                <w:sz w:val="22"/>
                <w:szCs w:val="20"/>
              </w:rPr>
              <w:tab/>
            </w:r>
            <w:r w:rsidR="007B3742">
              <w:rPr>
                <w:noProof/>
                <w:webHidden/>
                <w:sz w:val="22"/>
                <w:szCs w:val="20"/>
              </w:rPr>
              <w:t>7</w:t>
            </w:r>
          </w:hyperlink>
        </w:p>
        <w:p w14:paraId="6C17F8AD" w14:textId="39C6DEBC" w:rsidR="00100153" w:rsidRDefault="00D757FC">
          <w:pPr>
            <w:pStyle w:val="TOC1"/>
            <w:tabs>
              <w:tab w:val="right" w:leader="dot" w:pos="9016"/>
            </w:tabs>
            <w:rPr>
              <w:noProof/>
            </w:rPr>
          </w:pPr>
          <w:hyperlink w:anchor="_Toc85312702" w:history="1">
            <w:r w:rsidRPr="0038515F">
              <w:rPr>
                <w:rStyle w:val="Hyperlink"/>
                <w:noProof/>
              </w:rPr>
              <w:t>Reference List</w:t>
            </w:r>
            <w:r>
              <w:rPr>
                <w:noProof/>
                <w:webHidden/>
              </w:rPr>
              <w:tab/>
            </w:r>
            <w:r w:rsidR="002F7101">
              <w:rPr>
                <w:noProof/>
                <w:webHidden/>
              </w:rPr>
              <w:t>8</w:t>
            </w:r>
          </w:hyperlink>
        </w:p>
        <w:p w14:paraId="697F811D" w14:textId="1F4531C5" w:rsidR="00100153" w:rsidRDefault="00D757FC">
          <w:r>
            <w:rPr>
              <w:b/>
              <w:bCs/>
              <w:noProof/>
            </w:rPr>
            <w:fldChar w:fldCharType="end"/>
          </w:r>
        </w:p>
      </w:sdtContent>
    </w:sdt>
    <w:p w14:paraId="7E12F0FB" w14:textId="77777777" w:rsidR="00100153" w:rsidRDefault="00D757FC">
      <w:pPr>
        <w:widowControl/>
        <w:spacing w:after="160" w:line="259" w:lineRule="auto"/>
        <w:jc w:val="left"/>
        <w:rPr>
          <w:rFonts w:eastAsiaTheme="majorEastAsia" w:cstheme="majorBidi"/>
          <w:b/>
          <w:color w:val="000000" w:themeColor="text1"/>
          <w:szCs w:val="32"/>
          <w:lang w:val="en-IN"/>
        </w:rPr>
      </w:pPr>
      <w:r>
        <w:br w:type="page"/>
      </w:r>
    </w:p>
    <w:p w14:paraId="1DD44570" w14:textId="4987E96E" w:rsidR="00855F41" w:rsidRPr="00025F6B" w:rsidRDefault="00D757FC" w:rsidP="00855F41">
      <w:pPr>
        <w:pStyle w:val="Heading1"/>
        <w:rPr>
          <w:sz w:val="22"/>
          <w:szCs w:val="28"/>
        </w:rPr>
      </w:pPr>
      <w:bookmarkStart w:id="0" w:name="_Toc85312699"/>
      <w:r w:rsidRPr="00025F6B">
        <w:rPr>
          <w:sz w:val="22"/>
          <w:szCs w:val="28"/>
        </w:rPr>
        <w:lastRenderedPageBreak/>
        <w:t>Introduction</w:t>
      </w:r>
      <w:bookmarkEnd w:id="0"/>
    </w:p>
    <w:p w14:paraId="1DD44571" w14:textId="3C2CC4DB" w:rsidR="00855F41" w:rsidRPr="00025F6B" w:rsidRDefault="00D757FC" w:rsidP="004A32BE">
      <w:pPr>
        <w:rPr>
          <w:rFonts w:eastAsia="Times New Roman"/>
          <w:sz w:val="22"/>
          <w:szCs w:val="20"/>
        </w:rPr>
      </w:pPr>
      <w:r w:rsidRPr="00025F6B">
        <w:rPr>
          <w:rFonts w:eastAsia="Times New Roman"/>
          <w:sz w:val="22"/>
          <w:szCs w:val="20"/>
        </w:rPr>
        <w:t xml:space="preserve">As </w:t>
      </w:r>
      <w:r w:rsidRPr="00025F6B">
        <w:rPr>
          <w:rFonts w:eastAsia="Times New Roman"/>
          <w:sz w:val="22"/>
          <w:szCs w:val="20"/>
        </w:rPr>
        <w:t>citizens,</w:t>
      </w:r>
      <w:r w:rsidR="003B13F1" w:rsidRPr="00025F6B">
        <w:rPr>
          <w:rFonts w:eastAsia="Times New Roman"/>
          <w:sz w:val="22"/>
          <w:szCs w:val="20"/>
        </w:rPr>
        <w:t xml:space="preserve"> recovery and development can be witnessed by</w:t>
      </w:r>
      <w:r w:rsidRPr="00025F6B">
        <w:rPr>
          <w:rFonts w:eastAsia="Times New Roman"/>
          <w:sz w:val="22"/>
          <w:szCs w:val="20"/>
        </w:rPr>
        <w:t xml:space="preserve"> engaging communities is not optional- it is imperative. Communities in crisis need information. If community members are left in the dark or don’t have a say, it can create conflict and prevent workers</w:t>
      </w:r>
      <w:r w:rsidRPr="00025F6B">
        <w:rPr>
          <w:rFonts w:eastAsia="Times New Roman"/>
          <w:sz w:val="22"/>
          <w:szCs w:val="20"/>
        </w:rPr>
        <w:t xml:space="preserve"> from actually helping people. Therefore, in some ways, we can say that Community Engagement is the key! It is our responsibility as citizens to coordinate and communicate with each other because people in crisis need governing bodies and organizations to </w:t>
      </w:r>
      <w:r w:rsidRPr="00025F6B">
        <w:rPr>
          <w:rFonts w:eastAsia="Times New Roman"/>
          <w:sz w:val="22"/>
          <w:szCs w:val="20"/>
        </w:rPr>
        <w:t>collaborate</w:t>
      </w:r>
    </w:p>
    <w:p w14:paraId="1DD44572" w14:textId="77777777" w:rsidR="00855F41" w:rsidRPr="00025F6B" w:rsidRDefault="00D757FC" w:rsidP="00855F41">
      <w:pPr>
        <w:pStyle w:val="Heading1"/>
        <w:rPr>
          <w:sz w:val="22"/>
          <w:szCs w:val="28"/>
        </w:rPr>
      </w:pPr>
      <w:bookmarkStart w:id="1" w:name="_Toc85312700"/>
      <w:r w:rsidRPr="00025F6B">
        <w:rPr>
          <w:sz w:val="22"/>
          <w:szCs w:val="28"/>
        </w:rPr>
        <w:t>Discussion</w:t>
      </w:r>
      <w:bookmarkEnd w:id="1"/>
    </w:p>
    <w:p w14:paraId="1DD44573" w14:textId="77777777" w:rsidR="00855F41" w:rsidRPr="00025F6B" w:rsidRDefault="00D757FC" w:rsidP="00855F41">
      <w:pPr>
        <w:rPr>
          <w:b/>
          <w:bCs/>
          <w:sz w:val="22"/>
          <w:szCs w:val="20"/>
        </w:rPr>
      </w:pPr>
      <w:r w:rsidRPr="00025F6B">
        <w:rPr>
          <w:b/>
          <w:bCs/>
          <w:sz w:val="22"/>
          <w:szCs w:val="20"/>
        </w:rPr>
        <w:t>Discussion The imp</w:t>
      </w:r>
      <w:r w:rsidR="004A32BE" w:rsidRPr="00025F6B">
        <w:rPr>
          <w:b/>
          <w:bCs/>
          <w:sz w:val="22"/>
          <w:szCs w:val="20"/>
        </w:rPr>
        <w:t>ortance of community engagement</w:t>
      </w:r>
    </w:p>
    <w:p w14:paraId="036EDF5F" w14:textId="77777777" w:rsidR="003B13F1" w:rsidRPr="00025F6B" w:rsidRDefault="00D757FC" w:rsidP="00E3298F">
      <w:pPr>
        <w:rPr>
          <w:rFonts w:eastAsia="Times New Roman"/>
          <w:sz w:val="22"/>
          <w:szCs w:val="20"/>
        </w:rPr>
      </w:pPr>
      <w:r w:rsidRPr="00025F6B">
        <w:rPr>
          <w:rFonts w:eastAsia="Times New Roman"/>
          <w:sz w:val="22"/>
          <w:szCs w:val="20"/>
        </w:rPr>
        <w:t>Ever since there came a rise in public engagement across all parts of the world, the value of community engagement became increasingly important for the smooth and efficient working o</w:t>
      </w:r>
      <w:r w:rsidRPr="00025F6B">
        <w:rPr>
          <w:rFonts w:eastAsia="Times New Roman"/>
          <w:sz w:val="22"/>
          <w:szCs w:val="20"/>
        </w:rPr>
        <w:t>f this era's democracies. Positive relationships between governing bodies and the public help in making community engagement not just achievable but also improve the standard of living of people living in the community</w:t>
      </w:r>
      <w:r w:rsidR="00245401" w:rsidRPr="00025F6B">
        <w:rPr>
          <w:rFonts w:eastAsia="Times New Roman"/>
          <w:sz w:val="22"/>
          <w:szCs w:val="20"/>
        </w:rPr>
        <w:t xml:space="preserve"> (</w:t>
      </w:r>
      <w:r w:rsidR="00245401" w:rsidRPr="00025F6B">
        <w:rPr>
          <w:sz w:val="22"/>
          <w:szCs w:val="20"/>
        </w:rPr>
        <w:t xml:space="preserve">Brunton </w:t>
      </w:r>
      <w:r w:rsidR="00245401" w:rsidRPr="00025F6B">
        <w:rPr>
          <w:i/>
          <w:sz w:val="22"/>
          <w:szCs w:val="20"/>
        </w:rPr>
        <w:t>et al</w:t>
      </w:r>
      <w:r w:rsidR="00245401" w:rsidRPr="00025F6B">
        <w:rPr>
          <w:sz w:val="22"/>
          <w:szCs w:val="20"/>
        </w:rPr>
        <w:t>., 2017</w:t>
      </w:r>
      <w:r w:rsidR="00245401" w:rsidRPr="00025F6B">
        <w:rPr>
          <w:rFonts w:eastAsia="Times New Roman"/>
          <w:sz w:val="22"/>
          <w:szCs w:val="20"/>
        </w:rPr>
        <w:t>)</w:t>
      </w:r>
      <w:r w:rsidRPr="00025F6B">
        <w:rPr>
          <w:rFonts w:eastAsia="Times New Roman"/>
          <w:sz w:val="22"/>
          <w:szCs w:val="20"/>
        </w:rPr>
        <w:t>. It can be sai</w:t>
      </w:r>
      <w:r w:rsidRPr="00025F6B">
        <w:rPr>
          <w:rFonts w:eastAsia="Times New Roman"/>
          <w:sz w:val="22"/>
          <w:szCs w:val="20"/>
        </w:rPr>
        <w:t>d that in a way, community engagement is not just important for individuals but also for public authorities and governing bodies. Community engagement has its ways of following a collaborative approach to both coming up with ideas to design and offer servi</w:t>
      </w:r>
      <w:r w:rsidRPr="00025F6B">
        <w:rPr>
          <w:rFonts w:eastAsia="Times New Roman"/>
          <w:sz w:val="22"/>
          <w:szCs w:val="20"/>
        </w:rPr>
        <w:t>ces. It does not necessarily follow an executive-led or traditional approach. In any community where both these approaches have failed to deliver results and be effective, community engagement proves to be very useful in analyzing and accepting the needs a</w:t>
      </w:r>
      <w:r w:rsidRPr="00025F6B">
        <w:rPr>
          <w:rFonts w:eastAsia="Times New Roman"/>
          <w:sz w:val="22"/>
          <w:szCs w:val="20"/>
        </w:rPr>
        <w:t xml:space="preserve">nd wants of a community. In some ways, it can be assumed that with the help of community engagement, individuals can successfully make decisions together along with governing authorities, about effective ways of creating social capital. </w:t>
      </w:r>
    </w:p>
    <w:p w14:paraId="600BF241" w14:textId="77777777" w:rsidR="003B13F1" w:rsidRPr="00025F6B" w:rsidRDefault="00D757FC" w:rsidP="004A32BE">
      <w:pPr>
        <w:rPr>
          <w:rFonts w:eastAsia="Times New Roman"/>
          <w:sz w:val="22"/>
          <w:szCs w:val="20"/>
        </w:rPr>
      </w:pPr>
      <w:r w:rsidRPr="00025F6B">
        <w:rPr>
          <w:rFonts w:eastAsia="Times New Roman"/>
          <w:sz w:val="22"/>
          <w:szCs w:val="20"/>
        </w:rPr>
        <w:t>Community engageme</w:t>
      </w:r>
      <w:r w:rsidRPr="00025F6B">
        <w:rPr>
          <w:rFonts w:eastAsia="Times New Roman"/>
          <w:sz w:val="22"/>
          <w:szCs w:val="20"/>
        </w:rPr>
        <w:t>nt helps not only in modifying or changing local policies and come up with new provisions that help in living a good life and enriching a community along with ensuring a positive future of the community. Community engagement is also said to improve outcome</w:t>
      </w:r>
      <w:r w:rsidRPr="00025F6B">
        <w:rPr>
          <w:rFonts w:eastAsia="Times New Roman"/>
          <w:sz w:val="22"/>
          <w:szCs w:val="20"/>
        </w:rPr>
        <w:t>s especially when governing bodies and decision-making authorities seek out various conflicts, concerns, and values of communities, who in exchange share their aims and values with the former</w:t>
      </w:r>
      <w:r w:rsidR="00245401" w:rsidRPr="00025F6B">
        <w:rPr>
          <w:rFonts w:eastAsia="Times New Roman"/>
          <w:sz w:val="22"/>
          <w:szCs w:val="20"/>
        </w:rPr>
        <w:t xml:space="preserve"> (</w:t>
      </w:r>
      <w:r w:rsidR="00245401" w:rsidRPr="00025F6B">
        <w:rPr>
          <w:sz w:val="22"/>
          <w:szCs w:val="20"/>
        </w:rPr>
        <w:t>Mystakidis, 2021</w:t>
      </w:r>
      <w:r w:rsidR="00245401" w:rsidRPr="00025F6B">
        <w:rPr>
          <w:rFonts w:eastAsia="Times New Roman"/>
          <w:sz w:val="22"/>
          <w:szCs w:val="20"/>
        </w:rPr>
        <w:t>)</w:t>
      </w:r>
      <w:r w:rsidRPr="00025F6B">
        <w:rPr>
          <w:rFonts w:eastAsia="Times New Roman"/>
          <w:sz w:val="22"/>
          <w:szCs w:val="20"/>
        </w:rPr>
        <w:t>. Community engagement is not as simple a conc</w:t>
      </w:r>
      <w:r w:rsidRPr="00025F6B">
        <w:rPr>
          <w:rFonts w:eastAsia="Times New Roman"/>
          <w:sz w:val="22"/>
          <w:szCs w:val="20"/>
        </w:rPr>
        <w:t>ept as it seems and it works on a process that pays great attention to planning and good decision-making. It needs to seek out and give rise to action, working around the values of a community, its concerns, and its goals. It also includes giving rise to c</w:t>
      </w:r>
      <w:r w:rsidRPr="00025F6B">
        <w:rPr>
          <w:rFonts w:eastAsia="Times New Roman"/>
          <w:sz w:val="22"/>
          <w:szCs w:val="20"/>
        </w:rPr>
        <w:t xml:space="preserve">ommunicative partnerships that are formed based on the culture, preferences, and values of the entire community. There are multiple reasons why one may consider community engagement to be important but one of the most important reasons is that it draws on </w:t>
      </w:r>
      <w:r w:rsidRPr="00025F6B">
        <w:rPr>
          <w:rFonts w:eastAsia="Times New Roman"/>
          <w:sz w:val="22"/>
          <w:szCs w:val="20"/>
        </w:rPr>
        <w:t xml:space="preserve">local knowledge from big groups of people that are diverse and different since it helps in creating </w:t>
      </w:r>
      <w:r w:rsidRPr="00025F6B">
        <w:rPr>
          <w:rFonts w:eastAsia="Times New Roman"/>
          <w:sz w:val="22"/>
          <w:szCs w:val="20"/>
        </w:rPr>
        <w:lastRenderedPageBreak/>
        <w:t>solutions that are not only sensible, effective and efficient but also practical. Community engagement is often considered to enhance the already existing s</w:t>
      </w:r>
      <w:r w:rsidRPr="00025F6B">
        <w:rPr>
          <w:rFonts w:eastAsia="Times New Roman"/>
          <w:sz w:val="22"/>
          <w:szCs w:val="20"/>
        </w:rPr>
        <w:t xml:space="preserve">kills of a community when it comes to its abilities to solve problems. It also allows them to look at things from different angles and perspectives to decide upon the best option out of all its alternatives. </w:t>
      </w:r>
    </w:p>
    <w:p w14:paraId="1DD44575" w14:textId="2581139A" w:rsidR="004A32BE" w:rsidRPr="00025F6B" w:rsidRDefault="00D757FC" w:rsidP="00855F41">
      <w:pPr>
        <w:rPr>
          <w:rFonts w:eastAsia="Times New Roman"/>
          <w:sz w:val="22"/>
          <w:szCs w:val="20"/>
        </w:rPr>
      </w:pPr>
      <w:r w:rsidRPr="00025F6B">
        <w:rPr>
          <w:rFonts w:eastAsia="Times New Roman"/>
          <w:sz w:val="22"/>
          <w:szCs w:val="20"/>
        </w:rPr>
        <w:t>Community engagement is also seen to empower pe</w:t>
      </w:r>
      <w:r w:rsidRPr="00025F6B">
        <w:rPr>
          <w:rFonts w:eastAsia="Times New Roman"/>
          <w:sz w:val="22"/>
          <w:szCs w:val="20"/>
        </w:rPr>
        <w:t>ople and make them join hands, irrespective of where they are from, their background, and history, and helps in providing a common group so that they can easily work and strive for the same goal. It is often seen that community engagement is considered hig</w:t>
      </w:r>
      <w:r w:rsidRPr="00025F6B">
        <w:rPr>
          <w:rFonts w:eastAsia="Times New Roman"/>
          <w:sz w:val="22"/>
          <w:szCs w:val="20"/>
        </w:rPr>
        <w:t>hly beneficial for creating local networks along with establishing a setting that encourages discussions on diverse topics of interest. Many surveys even suggest that community engagement leads to a higher degree of trust between the community and its loca</w:t>
      </w:r>
      <w:r w:rsidRPr="00025F6B">
        <w:rPr>
          <w:rFonts w:eastAsia="Times New Roman"/>
          <w:sz w:val="22"/>
          <w:szCs w:val="20"/>
        </w:rPr>
        <w:t>l governing body which helps in reducing any future differences and issues. Community engagement empowers citizens to take responsibility for the things that are happening in their community. It also encourages community members to address the needs that a</w:t>
      </w:r>
      <w:r w:rsidRPr="00025F6B">
        <w:rPr>
          <w:rFonts w:eastAsia="Times New Roman"/>
          <w:sz w:val="22"/>
          <w:szCs w:val="20"/>
        </w:rPr>
        <w:t xml:space="preserve">re directly relevant to their </w:t>
      </w:r>
      <w:r w:rsidR="003B13F1" w:rsidRPr="00025F6B">
        <w:rPr>
          <w:rFonts w:eastAsia="Times New Roman"/>
          <w:sz w:val="22"/>
          <w:szCs w:val="20"/>
        </w:rPr>
        <w:t>neighbourhood</w:t>
      </w:r>
      <w:r w:rsidRPr="00025F6B">
        <w:rPr>
          <w:rFonts w:eastAsia="Times New Roman"/>
          <w:sz w:val="22"/>
          <w:szCs w:val="20"/>
        </w:rPr>
        <w:t xml:space="preserve"> or community. When people participate in community engagement efforts, they can contribute to and enact change in their community rather than passively accepting the circumstances under which they live.  Communit</w:t>
      </w:r>
      <w:r w:rsidRPr="00025F6B">
        <w:rPr>
          <w:rFonts w:eastAsia="Times New Roman"/>
          <w:sz w:val="22"/>
          <w:szCs w:val="20"/>
        </w:rPr>
        <w:t>y engagement helps in strengthening the community spirit and levels of social inclusion and belonging of its members. When more voices are heard, higher quality solutions to community issues are created and there is a more efficient use of the resources. L</w:t>
      </w:r>
      <w:r w:rsidRPr="00025F6B">
        <w:rPr>
          <w:rFonts w:eastAsia="Times New Roman"/>
          <w:sz w:val="22"/>
          <w:szCs w:val="20"/>
        </w:rPr>
        <w:t xml:space="preserve">astly, community engagement efforts can inform both policy-making at various levels of government and service planning. </w:t>
      </w:r>
    </w:p>
    <w:p w14:paraId="1DD44576" w14:textId="77777777" w:rsidR="00855F41" w:rsidRPr="00025F6B" w:rsidRDefault="00D757FC" w:rsidP="00855F41">
      <w:pPr>
        <w:rPr>
          <w:b/>
          <w:bCs/>
          <w:sz w:val="22"/>
          <w:szCs w:val="20"/>
        </w:rPr>
      </w:pPr>
      <w:r w:rsidRPr="00025F6B">
        <w:rPr>
          <w:b/>
          <w:bCs/>
          <w:sz w:val="22"/>
          <w:szCs w:val="20"/>
        </w:rPr>
        <w:t>Evaluation of the importance of transferable</w:t>
      </w:r>
      <w:r w:rsidR="004A32BE" w:rsidRPr="00025F6B">
        <w:rPr>
          <w:b/>
          <w:bCs/>
          <w:sz w:val="22"/>
          <w:szCs w:val="20"/>
        </w:rPr>
        <w:t xml:space="preserve"> skills in community engagement</w:t>
      </w:r>
    </w:p>
    <w:p w14:paraId="34A5AD23" w14:textId="77777777" w:rsidR="003B13F1" w:rsidRPr="00025F6B" w:rsidRDefault="00D757FC" w:rsidP="00855F41">
      <w:pPr>
        <w:rPr>
          <w:rFonts w:eastAsia="Times New Roman"/>
          <w:sz w:val="22"/>
          <w:szCs w:val="20"/>
        </w:rPr>
      </w:pPr>
      <w:r w:rsidRPr="00025F6B">
        <w:rPr>
          <w:rFonts w:eastAsia="Times New Roman"/>
          <w:sz w:val="22"/>
          <w:szCs w:val="20"/>
        </w:rPr>
        <w:t xml:space="preserve">Transferable skills are generally regarded as skills </w:t>
      </w:r>
      <w:r w:rsidRPr="00025F6B">
        <w:rPr>
          <w:rFonts w:eastAsia="Times New Roman"/>
          <w:sz w:val="22"/>
          <w:szCs w:val="20"/>
        </w:rPr>
        <w:t>that can be described as basic skills, employability skills, key skills, or even other competencies. When it comes to defining this term, the versions vary considerably</w:t>
      </w:r>
      <w:r w:rsidR="00245401" w:rsidRPr="00025F6B">
        <w:rPr>
          <w:rFonts w:eastAsia="Times New Roman"/>
          <w:sz w:val="22"/>
          <w:szCs w:val="20"/>
        </w:rPr>
        <w:t xml:space="preserve"> (</w:t>
      </w:r>
      <w:r w:rsidR="00245401" w:rsidRPr="00025F6B">
        <w:rPr>
          <w:sz w:val="22"/>
          <w:szCs w:val="20"/>
        </w:rPr>
        <w:t xml:space="preserve">Canelas </w:t>
      </w:r>
      <w:r w:rsidR="00245401" w:rsidRPr="00025F6B">
        <w:rPr>
          <w:i/>
          <w:sz w:val="22"/>
          <w:szCs w:val="20"/>
        </w:rPr>
        <w:t>et al</w:t>
      </w:r>
      <w:r w:rsidR="00245401" w:rsidRPr="00025F6B">
        <w:rPr>
          <w:sz w:val="22"/>
          <w:szCs w:val="20"/>
        </w:rPr>
        <w:t>., 2017</w:t>
      </w:r>
      <w:r w:rsidR="00245401" w:rsidRPr="00025F6B">
        <w:rPr>
          <w:rFonts w:eastAsia="Times New Roman"/>
          <w:sz w:val="22"/>
          <w:szCs w:val="20"/>
        </w:rPr>
        <w:t>)</w:t>
      </w:r>
      <w:r w:rsidRPr="00025F6B">
        <w:rPr>
          <w:rFonts w:eastAsia="Times New Roman"/>
          <w:sz w:val="22"/>
          <w:szCs w:val="20"/>
        </w:rPr>
        <w:t>. However, one thing that can be used to define transferable skil</w:t>
      </w:r>
      <w:r w:rsidRPr="00025F6B">
        <w:rPr>
          <w:rFonts w:eastAsia="Times New Roman"/>
          <w:sz w:val="22"/>
          <w:szCs w:val="20"/>
        </w:rPr>
        <w:t>ls precisely is basic skills. These basic skills usually include basic knowledge, numerical abilities, critical thinking, management skills, leadership skills, communicative skills, technological skills, and many more. This broad concept of transferable sk</w:t>
      </w:r>
      <w:r w:rsidRPr="00025F6B">
        <w:rPr>
          <w:rFonts w:eastAsia="Times New Roman"/>
          <w:sz w:val="22"/>
          <w:szCs w:val="20"/>
        </w:rPr>
        <w:t xml:space="preserve">ills also includes employability skills which help an individual in increasing his/her chances of getting hired by a company. When it comes to employability skills, these are not specifically related to any particular job profile and generally include all </w:t>
      </w:r>
      <w:r w:rsidRPr="00025F6B">
        <w:rPr>
          <w:rFonts w:eastAsia="Times New Roman"/>
          <w:sz w:val="22"/>
          <w:szCs w:val="20"/>
        </w:rPr>
        <w:t xml:space="preserve">the different skills that an individual requires to possess for doing a particular job. </w:t>
      </w:r>
    </w:p>
    <w:p w14:paraId="55FF3534" w14:textId="48EF9D1E" w:rsidR="003B13F1" w:rsidRPr="00025F6B" w:rsidRDefault="00D757FC" w:rsidP="00855F41">
      <w:pPr>
        <w:rPr>
          <w:rFonts w:eastAsia="Times New Roman"/>
          <w:sz w:val="22"/>
          <w:szCs w:val="20"/>
        </w:rPr>
      </w:pPr>
      <w:r w:rsidRPr="00025F6B">
        <w:rPr>
          <w:rFonts w:eastAsia="Times New Roman"/>
          <w:sz w:val="22"/>
          <w:szCs w:val="20"/>
        </w:rPr>
        <w:t xml:space="preserve">Transferable skills take into consideration all the cognitive, social, and emotional skills that an individual possesses and this helps young people to learn and </w:t>
      </w:r>
      <w:r w:rsidRPr="00025F6B">
        <w:rPr>
          <w:rFonts w:eastAsia="Times New Roman"/>
          <w:sz w:val="22"/>
          <w:szCs w:val="20"/>
        </w:rPr>
        <w:t>become responsible citizens. These skills work in perfect harmony with other skills and help in connecting other skills. These transferable skills are very important and bring numbers benefits to an individual, their families, and the whole community. Tran</w:t>
      </w:r>
      <w:r w:rsidRPr="00025F6B">
        <w:rPr>
          <w:rFonts w:eastAsia="Times New Roman"/>
          <w:sz w:val="22"/>
          <w:szCs w:val="20"/>
        </w:rPr>
        <w:t xml:space="preserve">sferable skills are crucial in </w:t>
      </w:r>
      <w:r w:rsidRPr="00025F6B">
        <w:rPr>
          <w:rFonts w:eastAsia="Times New Roman"/>
          <w:sz w:val="22"/>
          <w:szCs w:val="20"/>
        </w:rPr>
        <w:lastRenderedPageBreak/>
        <w:t>community engagement since they help in increasing social cohesion which will help the community in achieving a higher level of economic development at both the local and regional levels</w:t>
      </w:r>
      <w:r w:rsidR="00245401" w:rsidRPr="00025F6B">
        <w:rPr>
          <w:rFonts w:eastAsia="Times New Roman"/>
          <w:sz w:val="22"/>
          <w:szCs w:val="20"/>
        </w:rPr>
        <w:t xml:space="preserve"> (</w:t>
      </w:r>
      <w:r w:rsidR="00245401" w:rsidRPr="00025F6B">
        <w:rPr>
          <w:sz w:val="22"/>
          <w:szCs w:val="20"/>
        </w:rPr>
        <w:t>Nägele and Stalder, 2017</w:t>
      </w:r>
      <w:r w:rsidR="00245401" w:rsidRPr="00025F6B">
        <w:rPr>
          <w:rFonts w:eastAsia="Times New Roman"/>
          <w:sz w:val="22"/>
          <w:szCs w:val="20"/>
        </w:rPr>
        <w:t>)</w:t>
      </w:r>
      <w:r w:rsidRPr="00025F6B">
        <w:rPr>
          <w:rFonts w:eastAsia="Times New Roman"/>
          <w:sz w:val="22"/>
          <w:szCs w:val="20"/>
        </w:rPr>
        <w:t>. Transferab</w:t>
      </w:r>
      <w:r w:rsidRPr="00025F6B">
        <w:rPr>
          <w:rFonts w:eastAsia="Times New Roman"/>
          <w:sz w:val="22"/>
          <w:szCs w:val="20"/>
        </w:rPr>
        <w:t>le skills also prove to be crucial in building more egalitarian communities and in promoting gradual sustainable growth. Availability of transferable skills also proves beneficial for young people and adults since it increases their chances of getting a jo</w:t>
      </w:r>
      <w:r w:rsidRPr="00025F6B">
        <w:rPr>
          <w:rFonts w:eastAsia="Times New Roman"/>
          <w:sz w:val="22"/>
          <w:szCs w:val="20"/>
        </w:rPr>
        <w:t>b placement. In the past, transferable skills have also helped in achieving good academic outcomes and also reduce social risks to a great extent.</w:t>
      </w:r>
    </w:p>
    <w:p w14:paraId="2B6B65DC" w14:textId="76A2FC26" w:rsidR="003B13F1" w:rsidRPr="00025F6B" w:rsidRDefault="00D757FC" w:rsidP="00855F41">
      <w:pPr>
        <w:rPr>
          <w:rFonts w:eastAsia="Times New Roman"/>
          <w:sz w:val="22"/>
          <w:szCs w:val="20"/>
        </w:rPr>
      </w:pPr>
      <w:r w:rsidRPr="00025F6B">
        <w:rPr>
          <w:rFonts w:eastAsia="Times New Roman"/>
          <w:noProof/>
          <w:sz w:val="22"/>
          <w:szCs w:val="20"/>
        </w:rPr>
        <w:drawing>
          <wp:inline distT="0" distB="0" distL="0" distR="0" wp14:anchorId="3E3D185B" wp14:editId="61A19187">
            <wp:extent cx="5074920" cy="272796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5B0304B" w14:textId="256DF67D" w:rsidR="003B13F1" w:rsidRPr="00025F6B" w:rsidRDefault="00D757FC" w:rsidP="003B13F1">
      <w:pPr>
        <w:jc w:val="center"/>
        <w:rPr>
          <w:rFonts w:eastAsia="Times New Roman"/>
          <w:b/>
          <w:bCs/>
          <w:i/>
          <w:iCs/>
          <w:sz w:val="22"/>
          <w:szCs w:val="20"/>
        </w:rPr>
      </w:pPr>
      <w:r w:rsidRPr="00025F6B">
        <w:rPr>
          <w:rFonts w:eastAsia="Times New Roman"/>
          <w:b/>
          <w:bCs/>
          <w:i/>
          <w:iCs/>
          <w:sz w:val="22"/>
          <w:szCs w:val="20"/>
        </w:rPr>
        <w:t>Figure 1: Transferrable skills</w:t>
      </w:r>
    </w:p>
    <w:p w14:paraId="0695EB16" w14:textId="7AA6EC5C" w:rsidR="003B13F1" w:rsidRPr="00025F6B" w:rsidRDefault="00D757FC" w:rsidP="003B13F1">
      <w:pPr>
        <w:jc w:val="center"/>
        <w:rPr>
          <w:rFonts w:eastAsia="Times New Roman"/>
          <w:sz w:val="22"/>
          <w:szCs w:val="20"/>
        </w:rPr>
      </w:pPr>
      <w:r w:rsidRPr="00025F6B">
        <w:rPr>
          <w:rFonts w:eastAsia="Times New Roman"/>
          <w:sz w:val="22"/>
          <w:szCs w:val="20"/>
        </w:rPr>
        <w:t>(Source: Created by the learner)</w:t>
      </w:r>
    </w:p>
    <w:p w14:paraId="1DD44579" w14:textId="77777777" w:rsidR="00855F41" w:rsidRPr="00025F6B" w:rsidRDefault="00D757FC" w:rsidP="00855F41">
      <w:pPr>
        <w:rPr>
          <w:sz w:val="22"/>
          <w:szCs w:val="20"/>
        </w:rPr>
      </w:pPr>
      <w:r w:rsidRPr="00025F6B">
        <w:rPr>
          <w:sz w:val="22"/>
          <w:szCs w:val="20"/>
        </w:rPr>
        <w:t>Identification and discussion of some trans</w:t>
      </w:r>
      <w:r w:rsidRPr="00025F6B">
        <w:rPr>
          <w:sz w:val="22"/>
          <w:szCs w:val="20"/>
        </w:rPr>
        <w:t>ferable skills that are evident in the case.</w:t>
      </w:r>
    </w:p>
    <w:p w14:paraId="1DD4457A" w14:textId="77777777" w:rsidR="004A32BE" w:rsidRPr="00025F6B" w:rsidRDefault="00D757FC" w:rsidP="004A32BE">
      <w:pPr>
        <w:rPr>
          <w:rFonts w:eastAsia="Times New Roman"/>
          <w:sz w:val="22"/>
          <w:szCs w:val="20"/>
        </w:rPr>
      </w:pPr>
      <w:r w:rsidRPr="00025F6B">
        <w:rPr>
          <w:rFonts w:eastAsia="Times New Roman"/>
          <w:sz w:val="22"/>
          <w:szCs w:val="20"/>
        </w:rPr>
        <w:t>As observed from Tony Clark and his nine staff’s services at Howdens Joinery in East Yorkshire, firefighting is a very tough profession and unlike most professions, an individual who is into the profession needs</w:t>
      </w:r>
      <w:r w:rsidRPr="00025F6B">
        <w:rPr>
          <w:rFonts w:eastAsia="Times New Roman"/>
          <w:sz w:val="22"/>
          <w:szCs w:val="20"/>
        </w:rPr>
        <w:t xml:space="preserve"> to have different skills along with a strong personality and charismatic character. A firefighter, as the term suggests, fights for his and other citizens’ lives, and thus the job involves several risks. When it comes to being in the headlines, celebritie</w:t>
      </w:r>
      <w:r w:rsidRPr="00025F6B">
        <w:rPr>
          <w:rFonts w:eastAsia="Times New Roman"/>
          <w:sz w:val="22"/>
          <w:szCs w:val="20"/>
        </w:rPr>
        <w:t>s and sports stars always have an upper hand since everyone remembers their name but when it comes to public safety professionals like the police or firefighters, only their profession receives attention</w:t>
      </w:r>
      <w:r w:rsidR="00245401" w:rsidRPr="00025F6B">
        <w:rPr>
          <w:rFonts w:eastAsia="Times New Roman"/>
          <w:sz w:val="22"/>
          <w:szCs w:val="20"/>
        </w:rPr>
        <w:t xml:space="preserve"> (</w:t>
      </w:r>
      <w:r w:rsidR="00245401" w:rsidRPr="00025F6B">
        <w:rPr>
          <w:sz w:val="22"/>
          <w:szCs w:val="20"/>
        </w:rPr>
        <w:t xml:space="preserve">Casanova </w:t>
      </w:r>
      <w:r w:rsidR="00245401" w:rsidRPr="00025F6B">
        <w:rPr>
          <w:i/>
          <w:sz w:val="22"/>
          <w:szCs w:val="20"/>
        </w:rPr>
        <w:t>et al</w:t>
      </w:r>
      <w:r w:rsidR="00245401" w:rsidRPr="00025F6B">
        <w:rPr>
          <w:sz w:val="22"/>
          <w:szCs w:val="20"/>
        </w:rPr>
        <w:t>., 2020</w:t>
      </w:r>
      <w:r w:rsidR="00245401" w:rsidRPr="00025F6B">
        <w:rPr>
          <w:rFonts w:eastAsia="Times New Roman"/>
          <w:sz w:val="22"/>
          <w:szCs w:val="20"/>
        </w:rPr>
        <w:t>)</w:t>
      </w:r>
      <w:r w:rsidRPr="00025F6B">
        <w:rPr>
          <w:rFonts w:eastAsia="Times New Roman"/>
          <w:sz w:val="22"/>
          <w:szCs w:val="20"/>
        </w:rPr>
        <w:t>. The most important attribut</w:t>
      </w:r>
      <w:r w:rsidRPr="00025F6B">
        <w:rPr>
          <w:rFonts w:eastAsia="Times New Roman"/>
          <w:sz w:val="22"/>
          <w:szCs w:val="20"/>
        </w:rPr>
        <w:t>e that a firefighter must have is the ability to make people safe and heard. The public should be able to place their trust in a firefighter and thus integrity is a very important transferable skill when it comes to firefighting. Along with the public’s tr</w:t>
      </w:r>
      <w:r w:rsidRPr="00025F6B">
        <w:rPr>
          <w:rFonts w:eastAsia="Times New Roman"/>
          <w:sz w:val="22"/>
          <w:szCs w:val="20"/>
        </w:rPr>
        <w:t>ust and cooperation, firefighters also need to trust each other within a team because they only have each other to rely on during work hours. Each firefighter must have enough trust to know their job, to have their back, and protect them and their lives du</w:t>
      </w:r>
      <w:r w:rsidRPr="00025F6B">
        <w:rPr>
          <w:rFonts w:eastAsia="Times New Roman"/>
          <w:sz w:val="22"/>
          <w:szCs w:val="20"/>
        </w:rPr>
        <w:t xml:space="preserve">ring times of emergency. Since this is one of the most important transferable skills of firefighters, many fire departments state this as their primary </w:t>
      </w:r>
      <w:r w:rsidRPr="00025F6B">
        <w:rPr>
          <w:rFonts w:eastAsia="Times New Roman"/>
          <w:sz w:val="22"/>
          <w:szCs w:val="20"/>
        </w:rPr>
        <w:lastRenderedPageBreak/>
        <w:t>recruitment concern.</w:t>
      </w:r>
    </w:p>
    <w:p w14:paraId="1DD4457B" w14:textId="77777777" w:rsidR="004A32BE" w:rsidRPr="00025F6B" w:rsidRDefault="00D757FC" w:rsidP="00855F41">
      <w:pPr>
        <w:rPr>
          <w:rFonts w:eastAsia="Times New Roman"/>
          <w:sz w:val="22"/>
          <w:szCs w:val="20"/>
        </w:rPr>
      </w:pPr>
      <w:r w:rsidRPr="00025F6B">
        <w:rPr>
          <w:rFonts w:eastAsia="Times New Roman"/>
          <w:sz w:val="22"/>
          <w:szCs w:val="20"/>
        </w:rPr>
        <w:t>Communication too is considered to be a very crucial transferable skill in firefigh</w:t>
      </w:r>
      <w:r w:rsidRPr="00025F6B">
        <w:rPr>
          <w:rFonts w:eastAsia="Times New Roman"/>
          <w:sz w:val="22"/>
          <w:szCs w:val="20"/>
        </w:rPr>
        <w:t>ting. There are numerous reasons for it. It is no surprise today that communication is the key to any good and successful relationship and the job of a firefighter involves different kinds of relationships with different types of people every day. Clear, c</w:t>
      </w:r>
      <w:r w:rsidRPr="00025F6B">
        <w:rPr>
          <w:rFonts w:eastAsia="Times New Roman"/>
          <w:sz w:val="22"/>
          <w:szCs w:val="20"/>
        </w:rPr>
        <w:t>ourteous, and frequent communication must take place within the firehouse as well as on the fire ground in case of emergencies. Clear communication should be ensured not only between fellow firefighters but also with the general public. Each firefighter mu</w:t>
      </w:r>
      <w:r w:rsidRPr="00025F6B">
        <w:rPr>
          <w:rFonts w:eastAsia="Times New Roman"/>
          <w:sz w:val="22"/>
          <w:szCs w:val="20"/>
        </w:rPr>
        <w:t xml:space="preserve">st know how to deal with irate citizens, make use of and handle radios to transfer important on-ground information to other members of the crew, and command others. When on the ground, firefighters also need to calm scared and hyper patients. They must be </w:t>
      </w:r>
      <w:r w:rsidRPr="00025F6B">
        <w:rPr>
          <w:rFonts w:eastAsia="Times New Roman"/>
          <w:sz w:val="22"/>
          <w:szCs w:val="20"/>
        </w:rPr>
        <w:t>equipped with the knowledge and experience of how to console a distraught family or a victim. This is clear in the case of Mr Clark and his crew, especially after observing the number of calls that they received in ten years. They are exceptionally good at</w:t>
      </w:r>
      <w:r w:rsidRPr="00025F6B">
        <w:rPr>
          <w:rFonts w:eastAsia="Times New Roman"/>
          <w:sz w:val="22"/>
          <w:szCs w:val="20"/>
        </w:rPr>
        <w:t xml:space="preserve"> their job and that is the only reason why the general public trusts them enough to call them up during emergencies. Firefighters must know how to de with children who are present in the area of fire and must try to educate adults about fire prevention, CP</w:t>
      </w:r>
      <w:r w:rsidRPr="00025F6B">
        <w:rPr>
          <w:rFonts w:eastAsia="Times New Roman"/>
          <w:sz w:val="22"/>
          <w:szCs w:val="20"/>
        </w:rPr>
        <w:t>R, and safety. Some individuals are indeed better versed when it comes to communication but communicative skills are such skills that can be improved over time. Other than communication skills, firefighters must also be flexible and adaptable</w:t>
      </w:r>
      <w:r w:rsidR="00245401" w:rsidRPr="00025F6B">
        <w:rPr>
          <w:rFonts w:eastAsia="Times New Roman"/>
          <w:sz w:val="22"/>
          <w:szCs w:val="20"/>
        </w:rPr>
        <w:t xml:space="preserve"> (</w:t>
      </w:r>
      <w:r w:rsidR="00245401" w:rsidRPr="00025F6B">
        <w:rPr>
          <w:sz w:val="22"/>
          <w:szCs w:val="20"/>
        </w:rPr>
        <w:t xml:space="preserve">Engelbrecht </w:t>
      </w:r>
      <w:r w:rsidR="00245401" w:rsidRPr="00025F6B">
        <w:rPr>
          <w:i/>
          <w:sz w:val="22"/>
          <w:szCs w:val="20"/>
        </w:rPr>
        <w:t>et al</w:t>
      </w:r>
      <w:r w:rsidR="00245401" w:rsidRPr="00025F6B">
        <w:rPr>
          <w:sz w:val="22"/>
          <w:szCs w:val="20"/>
        </w:rPr>
        <w:t>., 2019</w:t>
      </w:r>
      <w:r w:rsidR="00245401" w:rsidRPr="00025F6B">
        <w:rPr>
          <w:rFonts w:eastAsia="Times New Roman"/>
          <w:sz w:val="22"/>
          <w:szCs w:val="20"/>
        </w:rPr>
        <w:t>)</w:t>
      </w:r>
      <w:r w:rsidRPr="00025F6B">
        <w:rPr>
          <w:rFonts w:eastAsia="Times New Roman"/>
          <w:sz w:val="22"/>
          <w:szCs w:val="20"/>
        </w:rPr>
        <w:t>. They must be flexible enough to sleep anywhere, eat anything, complete their job under any condition, and function as a crew no matter the conflict of opinion. Like in the case of Mr Clark and his crew in Yorkshire, firefighters must be quic</w:t>
      </w:r>
      <w:r w:rsidRPr="00025F6B">
        <w:rPr>
          <w:rFonts w:eastAsia="Times New Roman"/>
          <w:sz w:val="22"/>
          <w:szCs w:val="20"/>
        </w:rPr>
        <w:t>k to adapt to new people, new surroundings, changing their job settings frequently, so on and so forth. They must be ready to work under stress and still perform their duties because they need to save lives and those are highly stressful situations. Firefi</w:t>
      </w:r>
      <w:r w:rsidRPr="00025F6B">
        <w:rPr>
          <w:rFonts w:eastAsia="Times New Roman"/>
          <w:sz w:val="22"/>
          <w:szCs w:val="20"/>
        </w:rPr>
        <w:t>ghters need to have a clear presence of mind even under highly volatile situations because that is an integral part</w:t>
      </w:r>
      <w:r w:rsidRPr="00025F6B">
        <w:rPr>
          <w:rFonts w:eastAsia="Times New Roman"/>
          <w:sz w:val="22"/>
          <w:szCs w:val="20"/>
        </w:rPr>
        <w:t xml:space="preserve"> of being considered adaptable.</w:t>
      </w:r>
    </w:p>
    <w:p w14:paraId="1DD4457D" w14:textId="492C9991" w:rsidR="004A32BE" w:rsidRPr="00025F6B" w:rsidRDefault="00D757FC" w:rsidP="00855F41">
      <w:pPr>
        <w:rPr>
          <w:rFonts w:eastAsia="Times New Roman"/>
          <w:sz w:val="22"/>
          <w:szCs w:val="20"/>
        </w:rPr>
      </w:pPr>
      <w:r w:rsidRPr="00025F6B">
        <w:rPr>
          <w:rFonts w:eastAsia="Times New Roman"/>
          <w:sz w:val="22"/>
          <w:szCs w:val="20"/>
        </w:rPr>
        <w:t>Like Mr Clark's team, firefighters must have the transferable skill of being a team player. They need to trus</w:t>
      </w:r>
      <w:r w:rsidRPr="00025F6B">
        <w:rPr>
          <w:rFonts w:eastAsia="Times New Roman"/>
          <w:sz w:val="22"/>
          <w:szCs w:val="20"/>
        </w:rPr>
        <w:t xml:space="preserve">t each other to perform their job and duties skilfully to complete a task. In most cases, a goal cannot be accomplished easily if the whole team is not working in harmony and cooperation. Firefighting is often considered to be somewhat </w:t>
      </w:r>
      <w:proofErr w:type="gramStart"/>
      <w:r w:rsidRPr="00025F6B">
        <w:rPr>
          <w:rFonts w:eastAsia="Times New Roman"/>
          <w:sz w:val="22"/>
          <w:szCs w:val="20"/>
        </w:rPr>
        <w:t>similar to</w:t>
      </w:r>
      <w:proofErr w:type="gramEnd"/>
      <w:r w:rsidRPr="00025F6B">
        <w:rPr>
          <w:rFonts w:eastAsia="Times New Roman"/>
          <w:sz w:val="22"/>
          <w:szCs w:val="20"/>
        </w:rPr>
        <w:t xml:space="preserve"> sports wh</w:t>
      </w:r>
      <w:r w:rsidRPr="00025F6B">
        <w:rPr>
          <w:rFonts w:eastAsia="Times New Roman"/>
          <w:sz w:val="22"/>
          <w:szCs w:val="20"/>
        </w:rPr>
        <w:t>ere if one person fails to give their best, the whole team eventually breaks down one after the other.</w:t>
      </w:r>
    </w:p>
    <w:p w14:paraId="4F0C36A0" w14:textId="77777777" w:rsidR="002A5FE6" w:rsidRPr="00025F6B" w:rsidRDefault="002A5FE6" w:rsidP="00855F41">
      <w:pPr>
        <w:rPr>
          <w:rFonts w:eastAsia="Times New Roman"/>
          <w:sz w:val="22"/>
          <w:szCs w:val="20"/>
        </w:rPr>
      </w:pPr>
    </w:p>
    <w:p w14:paraId="1DD4457E" w14:textId="03301D82" w:rsidR="00855F41" w:rsidRPr="00025F6B" w:rsidRDefault="00D757FC" w:rsidP="00855F41">
      <w:pPr>
        <w:rPr>
          <w:b/>
          <w:bCs/>
          <w:sz w:val="22"/>
          <w:szCs w:val="20"/>
        </w:rPr>
      </w:pPr>
      <w:r w:rsidRPr="00025F6B">
        <w:rPr>
          <w:b/>
          <w:bCs/>
          <w:sz w:val="22"/>
          <w:szCs w:val="20"/>
        </w:rPr>
        <w:t xml:space="preserve">How can and/or what can Mr Clark’s employer do to take </w:t>
      </w:r>
      <w:r w:rsidR="003B13F1" w:rsidRPr="00025F6B">
        <w:rPr>
          <w:b/>
          <w:bCs/>
          <w:sz w:val="22"/>
          <w:szCs w:val="20"/>
        </w:rPr>
        <w:t>community engagement</w:t>
      </w:r>
      <w:r w:rsidRPr="00025F6B">
        <w:rPr>
          <w:b/>
          <w:bCs/>
          <w:sz w:val="22"/>
          <w:szCs w:val="20"/>
        </w:rPr>
        <w:t xml:space="preserve"> to the next level?</w:t>
      </w:r>
    </w:p>
    <w:p w14:paraId="1DD4457F" w14:textId="77777777" w:rsidR="004A32BE" w:rsidRPr="00025F6B" w:rsidRDefault="00D757FC" w:rsidP="004A32BE">
      <w:pPr>
        <w:rPr>
          <w:rFonts w:eastAsia="Times New Roman"/>
          <w:sz w:val="22"/>
          <w:szCs w:val="20"/>
        </w:rPr>
      </w:pPr>
      <w:r w:rsidRPr="00025F6B">
        <w:rPr>
          <w:rFonts w:eastAsia="Times New Roman"/>
          <w:sz w:val="22"/>
          <w:szCs w:val="20"/>
        </w:rPr>
        <w:t>Community engagement for any social activity is very impor</w:t>
      </w:r>
      <w:r w:rsidRPr="00025F6B">
        <w:rPr>
          <w:rFonts w:eastAsia="Times New Roman"/>
          <w:sz w:val="22"/>
          <w:szCs w:val="20"/>
        </w:rPr>
        <w:t xml:space="preserve">tant. Declining engagement is considered problematic for response and therefore new volunteers should be recruited and </w:t>
      </w:r>
      <w:r w:rsidRPr="00025F6B">
        <w:rPr>
          <w:rFonts w:eastAsia="Times New Roman"/>
          <w:sz w:val="22"/>
          <w:szCs w:val="20"/>
        </w:rPr>
        <w:lastRenderedPageBreak/>
        <w:t>proper management should be executed</w:t>
      </w:r>
      <w:r w:rsidR="00245401" w:rsidRPr="00025F6B">
        <w:rPr>
          <w:rFonts w:eastAsia="Times New Roman"/>
          <w:sz w:val="22"/>
          <w:szCs w:val="20"/>
        </w:rPr>
        <w:t xml:space="preserve"> (</w:t>
      </w:r>
      <w:r w:rsidR="00245401" w:rsidRPr="00025F6B">
        <w:rPr>
          <w:sz w:val="22"/>
          <w:szCs w:val="20"/>
        </w:rPr>
        <w:t xml:space="preserve">Glanzer </w:t>
      </w:r>
      <w:r w:rsidR="00245401" w:rsidRPr="00025F6B">
        <w:rPr>
          <w:i/>
          <w:sz w:val="22"/>
          <w:szCs w:val="20"/>
        </w:rPr>
        <w:t>et al</w:t>
      </w:r>
      <w:r w:rsidR="00245401" w:rsidRPr="00025F6B">
        <w:rPr>
          <w:sz w:val="22"/>
          <w:szCs w:val="20"/>
        </w:rPr>
        <w:t>., 2018</w:t>
      </w:r>
      <w:r w:rsidR="00245401" w:rsidRPr="00025F6B">
        <w:rPr>
          <w:rFonts w:eastAsia="Times New Roman"/>
          <w:sz w:val="22"/>
          <w:szCs w:val="20"/>
        </w:rPr>
        <w:t>)</w:t>
      </w:r>
      <w:r w:rsidRPr="00025F6B">
        <w:rPr>
          <w:rFonts w:eastAsia="Times New Roman"/>
          <w:sz w:val="22"/>
          <w:szCs w:val="20"/>
        </w:rPr>
        <w:t xml:space="preserve">. These volunteers provide great assistance during any crisis and </w:t>
      </w:r>
      <w:r w:rsidRPr="00025F6B">
        <w:rPr>
          <w:rFonts w:eastAsia="Times New Roman"/>
          <w:sz w:val="22"/>
          <w:szCs w:val="20"/>
        </w:rPr>
        <w:t>therefore managers must consider the motivation of such volunteers to make their experiences fruitful. It is also very important to ensure that the chosen volunteers can respond quickly and effectively. They should take part in CERT programs (Community Eng</w:t>
      </w:r>
      <w:r w:rsidRPr="00025F6B">
        <w:rPr>
          <w:rFonts w:eastAsia="Times New Roman"/>
          <w:sz w:val="22"/>
          <w:szCs w:val="20"/>
        </w:rPr>
        <w:t>agement Response Team) which offers a course for fire safety, light search and rescue, organization, and handling of teams along with disaster operation management.</w:t>
      </w:r>
    </w:p>
    <w:p w14:paraId="1DD44580" w14:textId="77777777" w:rsidR="004A32BE" w:rsidRPr="00025F6B" w:rsidRDefault="004A32BE" w:rsidP="00855F41">
      <w:pPr>
        <w:rPr>
          <w:sz w:val="22"/>
          <w:szCs w:val="20"/>
        </w:rPr>
      </w:pPr>
    </w:p>
    <w:p w14:paraId="1DD44581" w14:textId="77777777" w:rsidR="00855F41" w:rsidRPr="00025F6B" w:rsidRDefault="00D757FC" w:rsidP="00855F41">
      <w:pPr>
        <w:pStyle w:val="Heading1"/>
        <w:rPr>
          <w:sz w:val="22"/>
          <w:szCs w:val="28"/>
        </w:rPr>
      </w:pPr>
      <w:bookmarkStart w:id="2" w:name="_Toc85312701"/>
      <w:r w:rsidRPr="00025F6B">
        <w:rPr>
          <w:sz w:val="22"/>
          <w:szCs w:val="28"/>
        </w:rPr>
        <w:t>Conclusion</w:t>
      </w:r>
      <w:bookmarkEnd w:id="2"/>
    </w:p>
    <w:p w14:paraId="1DD44582" w14:textId="77777777" w:rsidR="004A32BE" w:rsidRPr="00025F6B" w:rsidRDefault="00D757FC" w:rsidP="004A32BE">
      <w:pPr>
        <w:rPr>
          <w:sz w:val="22"/>
          <w:szCs w:val="20"/>
          <w:lang w:val="en-IN"/>
        </w:rPr>
      </w:pPr>
      <w:r w:rsidRPr="00025F6B">
        <w:rPr>
          <w:rFonts w:eastAsia="Times New Roman"/>
          <w:sz w:val="22"/>
          <w:szCs w:val="20"/>
        </w:rPr>
        <w:t>Community engagement can aid our society and the world at large in multiple way</w:t>
      </w:r>
      <w:r w:rsidRPr="00025F6B">
        <w:rPr>
          <w:rFonts w:eastAsia="Times New Roman"/>
          <w:sz w:val="22"/>
          <w:szCs w:val="20"/>
        </w:rPr>
        <w:t>s. We need to understand its importance and effectiveness so that we can enhance participation in the long run. People like Mr Clarke and his firefighting crew have not only helped in saving citizens from fire but also helped in tackling accidents and othe</w:t>
      </w:r>
      <w:r w:rsidRPr="00025F6B">
        <w:rPr>
          <w:rFonts w:eastAsia="Times New Roman"/>
          <w:sz w:val="22"/>
          <w:szCs w:val="20"/>
        </w:rPr>
        <w:t>r such medical emergencies. They have been working non-stop even during the pandemic to provide people with PPE kits and Covid tests across many regions</w:t>
      </w:r>
      <w:r w:rsidR="00245401" w:rsidRPr="00025F6B">
        <w:rPr>
          <w:rFonts w:eastAsia="Times New Roman"/>
          <w:sz w:val="22"/>
          <w:szCs w:val="20"/>
        </w:rPr>
        <w:t xml:space="preserve"> (</w:t>
      </w:r>
      <w:r w:rsidR="00245401" w:rsidRPr="00025F6B">
        <w:rPr>
          <w:sz w:val="22"/>
          <w:szCs w:val="20"/>
        </w:rPr>
        <w:t>World Health Organization, 2020</w:t>
      </w:r>
      <w:r w:rsidR="00245401" w:rsidRPr="00025F6B">
        <w:rPr>
          <w:rFonts w:eastAsia="Times New Roman"/>
          <w:sz w:val="22"/>
          <w:szCs w:val="20"/>
        </w:rPr>
        <w:t>)</w:t>
      </w:r>
      <w:r w:rsidRPr="00025F6B">
        <w:rPr>
          <w:rFonts w:eastAsia="Times New Roman"/>
          <w:sz w:val="22"/>
          <w:szCs w:val="20"/>
        </w:rPr>
        <w:t>. To grow together as a community, we need to increase our community e</w:t>
      </w:r>
      <w:r w:rsidRPr="00025F6B">
        <w:rPr>
          <w:rFonts w:eastAsia="Times New Roman"/>
          <w:sz w:val="22"/>
          <w:szCs w:val="20"/>
        </w:rPr>
        <w:t>ngagement because superheroes like them cannot do it alone. We need to develop the above-mentioned transferable skills in ourselves too so that each one of us can have the same potential to make our way through any crisis or disaster</w:t>
      </w:r>
    </w:p>
    <w:p w14:paraId="1DD44583" w14:textId="77777777" w:rsidR="004A32BE" w:rsidRPr="00025F6B" w:rsidRDefault="004A32BE" w:rsidP="00855F41">
      <w:pPr>
        <w:rPr>
          <w:sz w:val="22"/>
          <w:szCs w:val="20"/>
        </w:rPr>
      </w:pPr>
    </w:p>
    <w:p w14:paraId="632A651A" w14:textId="77777777" w:rsidR="003B13F1" w:rsidRPr="00025F6B" w:rsidRDefault="00D757FC">
      <w:pPr>
        <w:widowControl/>
        <w:spacing w:after="160" w:line="259" w:lineRule="auto"/>
        <w:jc w:val="left"/>
        <w:rPr>
          <w:sz w:val="22"/>
          <w:szCs w:val="20"/>
        </w:rPr>
      </w:pPr>
      <w:r w:rsidRPr="00025F6B">
        <w:rPr>
          <w:sz w:val="22"/>
          <w:szCs w:val="20"/>
        </w:rPr>
        <w:br w:type="page"/>
      </w:r>
    </w:p>
    <w:p w14:paraId="1DD44585" w14:textId="4F62C89A" w:rsidR="00245401" w:rsidRPr="00025F6B" w:rsidRDefault="00D757FC" w:rsidP="003B13F1">
      <w:pPr>
        <w:pStyle w:val="Heading1"/>
        <w:rPr>
          <w:sz w:val="22"/>
          <w:szCs w:val="28"/>
        </w:rPr>
      </w:pPr>
      <w:bookmarkStart w:id="3" w:name="_Toc85312702"/>
      <w:r w:rsidRPr="00025F6B">
        <w:rPr>
          <w:sz w:val="22"/>
          <w:szCs w:val="28"/>
        </w:rPr>
        <w:lastRenderedPageBreak/>
        <w:t>Reference List</w:t>
      </w:r>
      <w:bookmarkEnd w:id="3"/>
    </w:p>
    <w:p w14:paraId="1DD44586" w14:textId="77777777" w:rsidR="00245401" w:rsidRPr="00025F6B" w:rsidRDefault="00D757FC" w:rsidP="00855F41">
      <w:pPr>
        <w:rPr>
          <w:sz w:val="22"/>
          <w:szCs w:val="20"/>
        </w:rPr>
      </w:pPr>
      <w:r w:rsidRPr="00025F6B">
        <w:rPr>
          <w:sz w:val="22"/>
          <w:szCs w:val="20"/>
        </w:rPr>
        <w:t>Brun</w:t>
      </w:r>
      <w:r w:rsidRPr="00025F6B">
        <w:rPr>
          <w:sz w:val="22"/>
          <w:szCs w:val="20"/>
        </w:rPr>
        <w:t>ton, G., Thomas, J., O’Mara-Eves, A., Jamal, F., Oliver, S. and Kavanagh, J., 2017. Narratives of community engagement: a systematic review-derived conceptual framework for public health interventions. </w:t>
      </w:r>
      <w:r w:rsidRPr="00025F6B">
        <w:rPr>
          <w:i/>
          <w:iCs/>
          <w:sz w:val="22"/>
          <w:szCs w:val="20"/>
        </w:rPr>
        <w:t>BMC Public Health</w:t>
      </w:r>
      <w:r w:rsidRPr="00025F6B">
        <w:rPr>
          <w:sz w:val="22"/>
          <w:szCs w:val="20"/>
        </w:rPr>
        <w:t>, </w:t>
      </w:r>
      <w:r w:rsidRPr="00025F6B">
        <w:rPr>
          <w:i/>
          <w:iCs/>
          <w:sz w:val="22"/>
          <w:szCs w:val="20"/>
        </w:rPr>
        <w:t>17</w:t>
      </w:r>
      <w:r w:rsidRPr="00025F6B">
        <w:rPr>
          <w:sz w:val="22"/>
          <w:szCs w:val="20"/>
        </w:rPr>
        <w:t>(1), pp.1-15.</w:t>
      </w:r>
    </w:p>
    <w:p w14:paraId="1DD44587" w14:textId="77777777" w:rsidR="00245401" w:rsidRPr="00025F6B" w:rsidRDefault="00D757FC" w:rsidP="00855F41">
      <w:pPr>
        <w:rPr>
          <w:sz w:val="22"/>
          <w:szCs w:val="20"/>
        </w:rPr>
      </w:pPr>
      <w:r w:rsidRPr="00025F6B">
        <w:rPr>
          <w:sz w:val="22"/>
          <w:szCs w:val="20"/>
        </w:rPr>
        <w:t>Brunton, G., Thomas</w:t>
      </w:r>
      <w:r w:rsidRPr="00025F6B">
        <w:rPr>
          <w:sz w:val="22"/>
          <w:szCs w:val="20"/>
        </w:rPr>
        <w:t>, J., O’Mara-Eves, A., Jamal, F., Oliver, S. and Kavanagh, J., 2017. Narratives of community engagement: a systematic review-derived conceptual framework for public health interventions. </w:t>
      </w:r>
      <w:r w:rsidRPr="00025F6B">
        <w:rPr>
          <w:i/>
          <w:iCs/>
          <w:sz w:val="22"/>
          <w:szCs w:val="20"/>
        </w:rPr>
        <w:t>BMC Public Health</w:t>
      </w:r>
      <w:r w:rsidRPr="00025F6B">
        <w:rPr>
          <w:sz w:val="22"/>
          <w:szCs w:val="20"/>
        </w:rPr>
        <w:t>, </w:t>
      </w:r>
      <w:r w:rsidRPr="00025F6B">
        <w:rPr>
          <w:i/>
          <w:iCs/>
          <w:sz w:val="22"/>
          <w:szCs w:val="20"/>
        </w:rPr>
        <w:t>17</w:t>
      </w:r>
      <w:r w:rsidRPr="00025F6B">
        <w:rPr>
          <w:sz w:val="22"/>
          <w:szCs w:val="20"/>
        </w:rPr>
        <w:t>(1), pp.1-15.</w:t>
      </w:r>
    </w:p>
    <w:p w14:paraId="1DD44588" w14:textId="77777777" w:rsidR="00245401" w:rsidRPr="00025F6B" w:rsidRDefault="00D757FC" w:rsidP="00855F41">
      <w:pPr>
        <w:rPr>
          <w:sz w:val="22"/>
          <w:szCs w:val="20"/>
        </w:rPr>
      </w:pPr>
      <w:r w:rsidRPr="00025F6B">
        <w:rPr>
          <w:sz w:val="22"/>
          <w:szCs w:val="20"/>
        </w:rPr>
        <w:t>Canelas, D.A., Hill, J.L. and Novi</w:t>
      </w:r>
      <w:r w:rsidRPr="00025F6B">
        <w:rPr>
          <w:sz w:val="22"/>
          <w:szCs w:val="20"/>
        </w:rPr>
        <w:t>cki, A., 2017. Cooperative learning in organic chemistry increases student assessment of learning gains in key transferable skills. </w:t>
      </w:r>
      <w:r w:rsidRPr="00025F6B">
        <w:rPr>
          <w:i/>
          <w:iCs/>
          <w:sz w:val="22"/>
          <w:szCs w:val="20"/>
        </w:rPr>
        <w:t>Chemistry Education Research and Practice</w:t>
      </w:r>
      <w:r w:rsidRPr="00025F6B">
        <w:rPr>
          <w:sz w:val="22"/>
          <w:szCs w:val="20"/>
        </w:rPr>
        <w:t>, </w:t>
      </w:r>
      <w:r w:rsidRPr="00025F6B">
        <w:rPr>
          <w:i/>
          <w:iCs/>
          <w:sz w:val="22"/>
          <w:szCs w:val="20"/>
        </w:rPr>
        <w:t>18</w:t>
      </w:r>
      <w:r w:rsidRPr="00025F6B">
        <w:rPr>
          <w:sz w:val="22"/>
          <w:szCs w:val="20"/>
        </w:rPr>
        <w:t>(3), pp.441-456.</w:t>
      </w:r>
    </w:p>
    <w:p w14:paraId="1DD44589" w14:textId="77777777" w:rsidR="00245401" w:rsidRPr="00025F6B" w:rsidRDefault="00D757FC" w:rsidP="00855F41">
      <w:pPr>
        <w:rPr>
          <w:sz w:val="22"/>
          <w:szCs w:val="20"/>
        </w:rPr>
      </w:pPr>
      <w:r w:rsidRPr="00025F6B">
        <w:rPr>
          <w:sz w:val="22"/>
          <w:szCs w:val="20"/>
        </w:rPr>
        <w:t xml:space="preserve">Casanova, M.P., Nelson, M.C. and Baker, R.T., 2020. Examining </w:t>
      </w:r>
      <w:r w:rsidRPr="00025F6B">
        <w:rPr>
          <w:sz w:val="22"/>
          <w:szCs w:val="20"/>
        </w:rPr>
        <w:t>the psychometric properties of the Athletic Coping Skills Inventory and Brief Cope in the firefighter population. </w:t>
      </w:r>
      <w:r w:rsidRPr="00025F6B">
        <w:rPr>
          <w:i/>
          <w:iCs/>
          <w:sz w:val="22"/>
          <w:szCs w:val="20"/>
        </w:rPr>
        <w:t>Cogent Social Sciences</w:t>
      </w:r>
      <w:r w:rsidRPr="00025F6B">
        <w:rPr>
          <w:sz w:val="22"/>
          <w:szCs w:val="20"/>
        </w:rPr>
        <w:t>, </w:t>
      </w:r>
      <w:r w:rsidRPr="00025F6B">
        <w:rPr>
          <w:i/>
          <w:iCs/>
          <w:sz w:val="22"/>
          <w:szCs w:val="20"/>
        </w:rPr>
        <w:t>6</w:t>
      </w:r>
      <w:r w:rsidRPr="00025F6B">
        <w:rPr>
          <w:sz w:val="22"/>
          <w:szCs w:val="20"/>
        </w:rPr>
        <w:t>(1), p.1761509.</w:t>
      </w:r>
    </w:p>
    <w:p w14:paraId="1DD4458A" w14:textId="77777777" w:rsidR="00245401" w:rsidRPr="00025F6B" w:rsidRDefault="00D757FC" w:rsidP="00855F41">
      <w:pPr>
        <w:rPr>
          <w:sz w:val="22"/>
          <w:szCs w:val="20"/>
        </w:rPr>
      </w:pPr>
      <w:r w:rsidRPr="00025F6B">
        <w:rPr>
          <w:sz w:val="22"/>
          <w:szCs w:val="20"/>
        </w:rPr>
        <w:t>Engelbrecht, H., Lindeman, R.W. and Hoermann, S., 2019. A SWOT analysis of the field of virtual reali</w:t>
      </w:r>
      <w:r w:rsidRPr="00025F6B">
        <w:rPr>
          <w:sz w:val="22"/>
          <w:szCs w:val="20"/>
        </w:rPr>
        <w:t>ty for firefighter training. </w:t>
      </w:r>
      <w:r w:rsidRPr="00025F6B">
        <w:rPr>
          <w:i/>
          <w:iCs/>
          <w:sz w:val="22"/>
          <w:szCs w:val="20"/>
        </w:rPr>
        <w:t>Frontiers in Robotics and AI</w:t>
      </w:r>
      <w:r w:rsidRPr="00025F6B">
        <w:rPr>
          <w:sz w:val="22"/>
          <w:szCs w:val="20"/>
        </w:rPr>
        <w:t>, </w:t>
      </w:r>
      <w:r w:rsidRPr="00025F6B">
        <w:rPr>
          <w:i/>
          <w:iCs/>
          <w:sz w:val="22"/>
          <w:szCs w:val="20"/>
        </w:rPr>
        <w:t>6</w:t>
      </w:r>
      <w:r w:rsidRPr="00025F6B">
        <w:rPr>
          <w:sz w:val="22"/>
          <w:szCs w:val="20"/>
        </w:rPr>
        <w:t>, p.101.</w:t>
      </w:r>
    </w:p>
    <w:p w14:paraId="1DD4458B" w14:textId="77777777" w:rsidR="00245401" w:rsidRPr="00025F6B" w:rsidRDefault="00D757FC" w:rsidP="00855F41">
      <w:pPr>
        <w:rPr>
          <w:sz w:val="22"/>
          <w:szCs w:val="20"/>
        </w:rPr>
      </w:pPr>
      <w:r w:rsidRPr="00025F6B">
        <w:rPr>
          <w:sz w:val="22"/>
          <w:szCs w:val="20"/>
        </w:rPr>
        <w:t>Glanzer, J., Ellis, A., McFarland, A., Krause, J. and Behm, K., 2018. Effects of the Quality Enhancement Program on Undergraduate's Community Involvement.</w:t>
      </w:r>
    </w:p>
    <w:p w14:paraId="1DD4458C" w14:textId="77777777" w:rsidR="00245401" w:rsidRPr="00025F6B" w:rsidRDefault="00D757FC" w:rsidP="00855F41">
      <w:pPr>
        <w:rPr>
          <w:sz w:val="22"/>
          <w:szCs w:val="20"/>
        </w:rPr>
      </w:pPr>
      <w:r w:rsidRPr="00025F6B">
        <w:rPr>
          <w:sz w:val="22"/>
          <w:szCs w:val="20"/>
        </w:rPr>
        <w:t>Mystakidis, S., 2021. Motivation</w:t>
      </w:r>
      <w:r w:rsidRPr="00025F6B">
        <w:rPr>
          <w:sz w:val="22"/>
          <w:szCs w:val="20"/>
        </w:rPr>
        <w:t xml:space="preserve"> enhancement methods for community building in extended reality. In </w:t>
      </w:r>
      <w:r w:rsidRPr="00025F6B">
        <w:rPr>
          <w:i/>
          <w:iCs/>
          <w:sz w:val="22"/>
          <w:szCs w:val="20"/>
        </w:rPr>
        <w:t>Augmented and Mixed Reality for Communities</w:t>
      </w:r>
      <w:r w:rsidRPr="00025F6B">
        <w:rPr>
          <w:sz w:val="22"/>
          <w:szCs w:val="20"/>
        </w:rPr>
        <w:t> (pp. 265-282). CRC Press.</w:t>
      </w:r>
    </w:p>
    <w:p w14:paraId="1DD4458D" w14:textId="77777777" w:rsidR="00245401" w:rsidRPr="00025F6B" w:rsidRDefault="00D757FC" w:rsidP="00855F41">
      <w:pPr>
        <w:rPr>
          <w:sz w:val="22"/>
          <w:szCs w:val="20"/>
        </w:rPr>
      </w:pPr>
      <w:r w:rsidRPr="00025F6B">
        <w:rPr>
          <w:sz w:val="22"/>
          <w:szCs w:val="20"/>
        </w:rPr>
        <w:t>Nägele, C. and Stalder, B.E., 2017. Competence and the need for transferable skills. In </w:t>
      </w:r>
      <w:r w:rsidRPr="00025F6B">
        <w:rPr>
          <w:i/>
          <w:iCs/>
          <w:sz w:val="22"/>
          <w:szCs w:val="20"/>
        </w:rPr>
        <w:t>Competence-based vocational an</w:t>
      </w:r>
      <w:r w:rsidRPr="00025F6B">
        <w:rPr>
          <w:i/>
          <w:iCs/>
          <w:sz w:val="22"/>
          <w:szCs w:val="20"/>
        </w:rPr>
        <w:t>d professional education</w:t>
      </w:r>
      <w:r w:rsidRPr="00025F6B">
        <w:rPr>
          <w:sz w:val="22"/>
          <w:szCs w:val="20"/>
        </w:rPr>
        <w:t> (pp. 739-753). Springer, Cham.</w:t>
      </w:r>
    </w:p>
    <w:p w14:paraId="1DD4458E" w14:textId="77777777" w:rsidR="00245401" w:rsidRPr="00025F6B" w:rsidRDefault="00D757FC" w:rsidP="00855F41">
      <w:pPr>
        <w:rPr>
          <w:sz w:val="22"/>
          <w:szCs w:val="20"/>
        </w:rPr>
      </w:pPr>
      <w:r w:rsidRPr="00025F6B">
        <w:rPr>
          <w:sz w:val="22"/>
          <w:szCs w:val="20"/>
        </w:rPr>
        <w:t>World Health Organization, 2020. </w:t>
      </w:r>
      <w:r w:rsidRPr="00025F6B">
        <w:rPr>
          <w:i/>
          <w:iCs/>
          <w:sz w:val="22"/>
          <w:szCs w:val="20"/>
        </w:rPr>
        <w:t>Risk communication and community engagement readiness and response to coronavirus disease (COVID-19): interim guidance, 19 March 2020</w:t>
      </w:r>
      <w:r w:rsidRPr="00025F6B">
        <w:rPr>
          <w:sz w:val="22"/>
          <w:szCs w:val="20"/>
        </w:rPr>
        <w:t xml:space="preserve"> (No. WHO/2019-nCoV/RCCE/2020.2). </w:t>
      </w:r>
      <w:r w:rsidRPr="00025F6B">
        <w:rPr>
          <w:sz w:val="22"/>
          <w:szCs w:val="20"/>
        </w:rPr>
        <w:t>World Health Organization.</w:t>
      </w:r>
    </w:p>
    <w:sectPr w:rsidR="00245401" w:rsidRPr="00025F6B" w:rsidSect="00C4329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45B5F" w14:textId="77777777" w:rsidR="00000000" w:rsidRDefault="00D757FC">
      <w:pPr>
        <w:spacing w:line="240" w:lineRule="auto"/>
      </w:pPr>
      <w:r>
        <w:separator/>
      </w:r>
    </w:p>
  </w:endnote>
  <w:endnote w:type="continuationSeparator" w:id="0">
    <w:p w14:paraId="73B0F3BD" w14:textId="77777777" w:rsidR="00000000" w:rsidRDefault="00D757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309688"/>
      <w:docPartObj>
        <w:docPartGallery w:val="Page Numbers (Bottom of Page)"/>
        <w:docPartUnique/>
      </w:docPartObj>
    </w:sdtPr>
    <w:sdtEndPr/>
    <w:sdtContent>
      <w:p w14:paraId="1DD44593" w14:textId="77777777" w:rsidR="008E2C54" w:rsidRDefault="00D757FC">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DD44594" w14:textId="77777777" w:rsidR="008E2C54" w:rsidRDefault="008E2C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685DFE" w14:textId="77777777" w:rsidR="00000000" w:rsidRDefault="00D757FC">
      <w:pPr>
        <w:spacing w:line="240" w:lineRule="auto"/>
      </w:pPr>
      <w:r>
        <w:separator/>
      </w:r>
    </w:p>
  </w:footnote>
  <w:footnote w:type="continuationSeparator" w:id="0">
    <w:p w14:paraId="4270DE4D" w14:textId="77777777" w:rsidR="00000000" w:rsidRDefault="00D757F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F41"/>
    <w:rsid w:val="000256C6"/>
    <w:rsid w:val="00025F6B"/>
    <w:rsid w:val="00043FCC"/>
    <w:rsid w:val="000D5358"/>
    <w:rsid w:val="00100153"/>
    <w:rsid w:val="00214996"/>
    <w:rsid w:val="00245401"/>
    <w:rsid w:val="002A5FE6"/>
    <w:rsid w:val="002E0057"/>
    <w:rsid w:val="002F7101"/>
    <w:rsid w:val="003119D1"/>
    <w:rsid w:val="0038515F"/>
    <w:rsid w:val="003B13F1"/>
    <w:rsid w:val="003F30AF"/>
    <w:rsid w:val="00457F51"/>
    <w:rsid w:val="004A32BE"/>
    <w:rsid w:val="004B3996"/>
    <w:rsid w:val="005F70F3"/>
    <w:rsid w:val="00601EDD"/>
    <w:rsid w:val="006727DB"/>
    <w:rsid w:val="006B7D9E"/>
    <w:rsid w:val="007B3742"/>
    <w:rsid w:val="00855F41"/>
    <w:rsid w:val="0086402F"/>
    <w:rsid w:val="008A1B6A"/>
    <w:rsid w:val="008C0EE9"/>
    <w:rsid w:val="008E2C54"/>
    <w:rsid w:val="00965141"/>
    <w:rsid w:val="009C7B30"/>
    <w:rsid w:val="00A14CAA"/>
    <w:rsid w:val="00A37DCB"/>
    <w:rsid w:val="00AC2624"/>
    <w:rsid w:val="00AE08AE"/>
    <w:rsid w:val="00B02D04"/>
    <w:rsid w:val="00B70033"/>
    <w:rsid w:val="00BC6A3B"/>
    <w:rsid w:val="00C07F2E"/>
    <w:rsid w:val="00C43296"/>
    <w:rsid w:val="00CF3BEE"/>
    <w:rsid w:val="00D11E53"/>
    <w:rsid w:val="00D757FC"/>
    <w:rsid w:val="00DE5345"/>
    <w:rsid w:val="00E3298F"/>
    <w:rsid w:val="00E74878"/>
    <w:rsid w:val="00EE6F5F"/>
    <w:rsid w:val="00F7235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44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6F5F"/>
    <w:pPr>
      <w:widowControl w:val="0"/>
      <w:spacing w:after="0" w:line="360" w:lineRule="auto"/>
      <w:jc w:val="both"/>
    </w:pPr>
    <w:rPr>
      <w:rFonts w:ascii="Arial" w:eastAsia="PMingLiU" w:hAnsi="Arial" w:cstheme="minorHAnsi"/>
      <w:kern w:val="2"/>
      <w:sz w:val="24"/>
      <w:lang w:val="en-AU" w:eastAsia="en-AU"/>
    </w:rPr>
  </w:style>
  <w:style w:type="paragraph" w:styleId="Heading1">
    <w:name w:val="heading 1"/>
    <w:basedOn w:val="Normal"/>
    <w:next w:val="Normal"/>
    <w:link w:val="Heading1Char"/>
    <w:uiPriority w:val="9"/>
    <w:qFormat/>
    <w:rsid w:val="00D11E53"/>
    <w:pPr>
      <w:keepNext/>
      <w:keepLines/>
      <w:spacing w:before="240"/>
      <w:outlineLvl w:val="0"/>
    </w:pPr>
    <w:rPr>
      <w:rFonts w:eastAsiaTheme="majorEastAsia" w:cstheme="majorBidi"/>
      <w:b/>
      <w:color w:val="000000" w:themeColor="text1"/>
      <w:szCs w:val="32"/>
      <w:lang w:val="en-IN"/>
    </w:rPr>
  </w:style>
  <w:style w:type="paragraph" w:styleId="Heading2">
    <w:name w:val="heading 2"/>
    <w:basedOn w:val="Normal"/>
    <w:next w:val="Normal"/>
    <w:link w:val="Heading2Char"/>
    <w:uiPriority w:val="9"/>
    <w:unhideWhenUsed/>
    <w:qFormat/>
    <w:rsid w:val="00D11E53"/>
    <w:pPr>
      <w:keepNext/>
      <w:keepLines/>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E74878"/>
    <w:pPr>
      <w:keepNext/>
      <w:keepLines/>
      <w:spacing w:before="40"/>
      <w:outlineLvl w:val="2"/>
    </w:pPr>
    <w:rPr>
      <w:rFonts w:eastAsiaTheme="majorEastAsia"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E53"/>
    <w:rPr>
      <w:rFonts w:eastAsiaTheme="majorEastAsia" w:cstheme="majorBidi"/>
      <w:b/>
      <w:color w:val="000000" w:themeColor="text1"/>
      <w:sz w:val="24"/>
      <w:szCs w:val="32"/>
    </w:rPr>
  </w:style>
  <w:style w:type="character" w:customStyle="1" w:styleId="Heading2Char">
    <w:name w:val="Heading 2 Char"/>
    <w:basedOn w:val="DefaultParagraphFont"/>
    <w:link w:val="Heading2"/>
    <w:uiPriority w:val="9"/>
    <w:rsid w:val="00D11E53"/>
    <w:rPr>
      <w:rFonts w:eastAsiaTheme="majorEastAsia" w:cstheme="majorBidi"/>
      <w:b/>
      <w:color w:val="000000" w:themeColor="text1"/>
      <w:sz w:val="24"/>
      <w:szCs w:val="26"/>
      <w:lang w:val="en-US"/>
    </w:rPr>
  </w:style>
  <w:style w:type="character" w:customStyle="1" w:styleId="Heading3Char">
    <w:name w:val="Heading 3 Char"/>
    <w:basedOn w:val="DefaultParagraphFont"/>
    <w:link w:val="Heading3"/>
    <w:uiPriority w:val="9"/>
    <w:rsid w:val="00E74878"/>
    <w:rPr>
      <w:rFonts w:ascii="Times New Roman" w:eastAsiaTheme="majorEastAsia" w:hAnsi="Times New Roman" w:cstheme="majorBidi"/>
      <w:color w:val="1F3763" w:themeColor="accent1" w:themeShade="7F"/>
      <w:sz w:val="24"/>
      <w:szCs w:val="24"/>
      <w:lang w:val="en-GB"/>
    </w:rPr>
  </w:style>
  <w:style w:type="paragraph" w:customStyle="1" w:styleId="NormalBold">
    <w:name w:val="Normal Bold"/>
    <w:basedOn w:val="NoSpacing"/>
    <w:link w:val="NormalBoldChar"/>
    <w:qFormat/>
    <w:rsid w:val="00D11E53"/>
    <w:pPr>
      <w:spacing w:after="240" w:line="360" w:lineRule="auto"/>
    </w:pPr>
    <w:rPr>
      <w:rFonts w:asciiTheme="minorHAnsi" w:eastAsiaTheme="minorEastAsia" w:hAnsiTheme="minorHAnsi"/>
      <w:szCs w:val="22"/>
      <w:lang w:val="en-US" w:eastAsia="en-AU"/>
    </w:rPr>
  </w:style>
  <w:style w:type="character" w:customStyle="1" w:styleId="NormalBoldChar">
    <w:name w:val="Normal Bold Char"/>
    <w:basedOn w:val="DefaultParagraphFont"/>
    <w:link w:val="NormalBold"/>
    <w:rsid w:val="00D11E53"/>
    <w:rPr>
      <w:rFonts w:eastAsiaTheme="minorEastAsia" w:cs="Calibri"/>
      <w:sz w:val="24"/>
      <w:lang w:val="en-US" w:eastAsia="en-AU"/>
    </w:rPr>
  </w:style>
  <w:style w:type="paragraph" w:styleId="NoSpacing">
    <w:name w:val="No Spacing"/>
    <w:uiPriority w:val="1"/>
    <w:qFormat/>
    <w:rsid w:val="000D5358"/>
    <w:pPr>
      <w:spacing w:after="0" w:line="240" w:lineRule="auto"/>
      <w:jc w:val="both"/>
    </w:pPr>
    <w:rPr>
      <w:rFonts w:ascii="Arial" w:hAnsi="Arial" w:cs="Calibri"/>
      <w:sz w:val="24"/>
      <w:szCs w:val="24"/>
      <w:lang w:val="en-GB" w:eastAsia="en-GB"/>
    </w:rPr>
  </w:style>
  <w:style w:type="paragraph" w:styleId="Title">
    <w:name w:val="Title"/>
    <w:basedOn w:val="Normal"/>
    <w:next w:val="Normal"/>
    <w:link w:val="TitleChar"/>
    <w:uiPriority w:val="10"/>
    <w:qFormat/>
    <w:rsid w:val="00855F41"/>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5F41"/>
    <w:rPr>
      <w:rFonts w:asciiTheme="majorHAnsi" w:eastAsiaTheme="majorEastAsia" w:hAnsiTheme="majorHAnsi" w:cstheme="majorBidi"/>
      <w:spacing w:val="-10"/>
      <w:kern w:val="28"/>
      <w:sz w:val="56"/>
      <w:szCs w:val="56"/>
      <w:lang w:val="en-AU" w:eastAsia="en-AU"/>
    </w:rPr>
  </w:style>
  <w:style w:type="paragraph" w:styleId="Header">
    <w:name w:val="header"/>
    <w:basedOn w:val="Normal"/>
    <w:link w:val="HeaderChar"/>
    <w:uiPriority w:val="99"/>
    <w:semiHidden/>
    <w:unhideWhenUsed/>
    <w:rsid w:val="008E2C5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E2C54"/>
    <w:rPr>
      <w:rFonts w:ascii="Arial" w:eastAsia="PMingLiU" w:hAnsi="Arial" w:cstheme="minorHAnsi"/>
      <w:kern w:val="2"/>
      <w:sz w:val="24"/>
      <w:lang w:val="en-AU" w:eastAsia="en-AU"/>
    </w:rPr>
  </w:style>
  <w:style w:type="paragraph" w:styleId="Footer">
    <w:name w:val="footer"/>
    <w:basedOn w:val="Normal"/>
    <w:link w:val="FooterChar"/>
    <w:uiPriority w:val="99"/>
    <w:unhideWhenUsed/>
    <w:rsid w:val="008E2C54"/>
    <w:pPr>
      <w:tabs>
        <w:tab w:val="center" w:pos="4680"/>
        <w:tab w:val="right" w:pos="9360"/>
      </w:tabs>
      <w:spacing w:line="240" w:lineRule="auto"/>
    </w:pPr>
  </w:style>
  <w:style w:type="character" w:customStyle="1" w:styleId="FooterChar">
    <w:name w:val="Footer Char"/>
    <w:basedOn w:val="DefaultParagraphFont"/>
    <w:link w:val="Footer"/>
    <w:uiPriority w:val="99"/>
    <w:rsid w:val="008E2C54"/>
    <w:rPr>
      <w:rFonts w:ascii="Arial" w:eastAsia="PMingLiU" w:hAnsi="Arial" w:cstheme="minorHAnsi"/>
      <w:kern w:val="2"/>
      <w:sz w:val="24"/>
      <w:lang w:val="en-AU" w:eastAsia="en-AU"/>
    </w:rPr>
  </w:style>
  <w:style w:type="paragraph" w:styleId="TOCHeading">
    <w:name w:val="TOC Heading"/>
    <w:basedOn w:val="Heading1"/>
    <w:next w:val="Normal"/>
    <w:uiPriority w:val="39"/>
    <w:unhideWhenUsed/>
    <w:qFormat/>
    <w:rsid w:val="00100153"/>
    <w:pPr>
      <w:widowControl/>
      <w:spacing w:line="259" w:lineRule="auto"/>
      <w:jc w:val="left"/>
      <w:outlineLvl w:val="9"/>
    </w:pPr>
    <w:rPr>
      <w:rFonts w:asciiTheme="majorHAnsi" w:hAnsiTheme="majorHAnsi"/>
      <w:b w:val="0"/>
      <w:color w:val="2F5496" w:themeColor="accent1" w:themeShade="BF"/>
      <w:kern w:val="0"/>
      <w:sz w:val="32"/>
      <w:lang w:val="en-US" w:eastAsia="en-US"/>
    </w:rPr>
  </w:style>
  <w:style w:type="paragraph" w:styleId="TOC1">
    <w:name w:val="toc 1"/>
    <w:basedOn w:val="Normal"/>
    <w:next w:val="Normal"/>
    <w:autoRedefine/>
    <w:uiPriority w:val="39"/>
    <w:unhideWhenUsed/>
    <w:rsid w:val="00100153"/>
    <w:pPr>
      <w:spacing w:after="100"/>
    </w:pPr>
  </w:style>
  <w:style w:type="character" w:styleId="Hyperlink">
    <w:name w:val="Hyperlink"/>
    <w:basedOn w:val="DefaultParagraphFont"/>
    <w:uiPriority w:val="99"/>
    <w:unhideWhenUsed/>
    <w:rsid w:val="001001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5AD402-5BAD-4DED-A21D-8D3C08CC2133}" type="doc">
      <dgm:prSet loTypeId="urn:microsoft.com/office/officeart/2005/8/layout/list1#1" loCatId="list" qsTypeId="urn:microsoft.com/office/officeart/2005/8/quickstyle/simple1" qsCatId="simple" csTypeId="urn:microsoft.com/office/officeart/2005/8/colors/accent2_1" csCatId="accent2" phldr="1"/>
      <dgm:spPr/>
      <dgm:t>
        <a:bodyPr/>
        <a:lstStyle/>
        <a:p>
          <a:endParaRPr lang="en-IN"/>
        </a:p>
      </dgm:t>
    </dgm:pt>
    <dgm:pt modelId="{D972ED3A-7A3B-42E5-B2F9-5115264DB540}">
      <dgm:prSet phldrT="[Text]"/>
      <dgm:spPr/>
      <dgm:t>
        <a:bodyPr/>
        <a:lstStyle/>
        <a:p>
          <a:r>
            <a:rPr lang="en-IN"/>
            <a:t>Communication skill</a:t>
          </a:r>
        </a:p>
      </dgm:t>
    </dgm:pt>
    <dgm:pt modelId="{7F925322-38A2-47DD-BAB9-EABC1D606476}" type="parTrans" cxnId="{06A0F17B-D6C0-4A4A-925B-DBCD50281F30}">
      <dgm:prSet/>
      <dgm:spPr/>
      <dgm:t>
        <a:bodyPr/>
        <a:lstStyle/>
        <a:p>
          <a:endParaRPr lang="en-IN"/>
        </a:p>
      </dgm:t>
    </dgm:pt>
    <dgm:pt modelId="{1946EB73-F087-4B0D-8633-6DCE5F0B8FB1}" type="sibTrans" cxnId="{06A0F17B-D6C0-4A4A-925B-DBCD50281F30}">
      <dgm:prSet/>
      <dgm:spPr/>
      <dgm:t>
        <a:bodyPr/>
        <a:lstStyle/>
        <a:p>
          <a:endParaRPr lang="en-IN"/>
        </a:p>
      </dgm:t>
    </dgm:pt>
    <dgm:pt modelId="{56DC69DF-90CA-4E34-A3A9-CCFF3459FCB6}">
      <dgm:prSet phldrT="[Text]"/>
      <dgm:spPr/>
      <dgm:t>
        <a:bodyPr/>
        <a:lstStyle/>
        <a:p>
          <a:r>
            <a:rPr lang="en-IN"/>
            <a:t>Teamwork skill</a:t>
          </a:r>
        </a:p>
      </dgm:t>
    </dgm:pt>
    <dgm:pt modelId="{6EAF30BC-7070-4FF8-B33C-29567B77A7E2}" type="parTrans" cxnId="{018C2614-21D7-4248-8C9D-3940A2F09D21}">
      <dgm:prSet/>
      <dgm:spPr/>
      <dgm:t>
        <a:bodyPr/>
        <a:lstStyle/>
        <a:p>
          <a:endParaRPr lang="en-IN"/>
        </a:p>
      </dgm:t>
    </dgm:pt>
    <dgm:pt modelId="{2B7408E3-A273-4E5C-B0BC-DF8DBB134F4F}" type="sibTrans" cxnId="{018C2614-21D7-4248-8C9D-3940A2F09D21}">
      <dgm:prSet/>
      <dgm:spPr/>
      <dgm:t>
        <a:bodyPr/>
        <a:lstStyle/>
        <a:p>
          <a:endParaRPr lang="en-IN"/>
        </a:p>
      </dgm:t>
    </dgm:pt>
    <dgm:pt modelId="{003E29A9-28F4-4539-86F5-252469BA6EAA}">
      <dgm:prSet phldrT="[Text]"/>
      <dgm:spPr/>
      <dgm:t>
        <a:bodyPr/>
        <a:lstStyle/>
        <a:p>
          <a:r>
            <a:rPr lang="en-IN"/>
            <a:t>Problem Solving &amp; Decision Making skill</a:t>
          </a:r>
        </a:p>
      </dgm:t>
    </dgm:pt>
    <dgm:pt modelId="{E868FFD4-A97C-4FD9-A775-3EE01306742E}" type="parTrans" cxnId="{919845B6-3165-4A1A-B8C2-42FC0993255B}">
      <dgm:prSet/>
      <dgm:spPr/>
      <dgm:t>
        <a:bodyPr/>
        <a:lstStyle/>
        <a:p>
          <a:endParaRPr lang="en-IN"/>
        </a:p>
      </dgm:t>
    </dgm:pt>
    <dgm:pt modelId="{E342F1CD-54BA-4AB7-A354-21A125027258}" type="sibTrans" cxnId="{919845B6-3165-4A1A-B8C2-42FC0993255B}">
      <dgm:prSet/>
      <dgm:spPr/>
      <dgm:t>
        <a:bodyPr/>
        <a:lstStyle/>
        <a:p>
          <a:endParaRPr lang="en-IN"/>
        </a:p>
      </dgm:t>
    </dgm:pt>
    <dgm:pt modelId="{C5E46868-3D62-4151-9A0B-76BB0EEE8B25}" type="pres">
      <dgm:prSet presAssocID="{F65AD402-5BAD-4DED-A21D-8D3C08CC2133}" presName="linear" presStyleCnt="0">
        <dgm:presLayoutVars>
          <dgm:dir/>
          <dgm:animLvl val="lvl"/>
          <dgm:resizeHandles val="exact"/>
        </dgm:presLayoutVars>
      </dgm:prSet>
      <dgm:spPr/>
    </dgm:pt>
    <dgm:pt modelId="{0CED4289-FC34-4F06-9BA0-766B6F872F44}" type="pres">
      <dgm:prSet presAssocID="{D972ED3A-7A3B-42E5-B2F9-5115264DB540}" presName="parentLin" presStyleCnt="0"/>
      <dgm:spPr/>
    </dgm:pt>
    <dgm:pt modelId="{CFF5F284-C32D-491B-BB5B-D0B35769D4B9}" type="pres">
      <dgm:prSet presAssocID="{D972ED3A-7A3B-42E5-B2F9-5115264DB540}" presName="parentLeftMargin" presStyleLbl="node1" presStyleIdx="0" presStyleCnt="3"/>
      <dgm:spPr/>
    </dgm:pt>
    <dgm:pt modelId="{8F0FC375-65DD-47E7-8B86-58DB01E73747}" type="pres">
      <dgm:prSet presAssocID="{D972ED3A-7A3B-42E5-B2F9-5115264DB540}" presName="parentText" presStyleLbl="node1" presStyleIdx="0" presStyleCnt="3">
        <dgm:presLayoutVars>
          <dgm:chMax val="0"/>
          <dgm:bulletEnabled val="1"/>
        </dgm:presLayoutVars>
      </dgm:prSet>
      <dgm:spPr/>
    </dgm:pt>
    <dgm:pt modelId="{38250FF7-A1D4-49A0-A9CE-866EB535CF5C}" type="pres">
      <dgm:prSet presAssocID="{D972ED3A-7A3B-42E5-B2F9-5115264DB540}" presName="negativeSpace" presStyleCnt="0"/>
      <dgm:spPr/>
    </dgm:pt>
    <dgm:pt modelId="{4EE533D2-DE69-48F6-B2DE-558ECA6028E3}" type="pres">
      <dgm:prSet presAssocID="{D972ED3A-7A3B-42E5-B2F9-5115264DB540}" presName="childText" presStyleLbl="conFgAcc1" presStyleIdx="0" presStyleCnt="3">
        <dgm:presLayoutVars>
          <dgm:bulletEnabled val="1"/>
        </dgm:presLayoutVars>
      </dgm:prSet>
      <dgm:spPr/>
    </dgm:pt>
    <dgm:pt modelId="{F7117651-EDA4-420C-869C-F9C3A237983E}" type="pres">
      <dgm:prSet presAssocID="{1946EB73-F087-4B0D-8633-6DCE5F0B8FB1}" presName="spaceBetweenRectangles" presStyleCnt="0"/>
      <dgm:spPr/>
    </dgm:pt>
    <dgm:pt modelId="{E98E6169-A898-40CC-BC52-F2EA6A874F06}" type="pres">
      <dgm:prSet presAssocID="{56DC69DF-90CA-4E34-A3A9-CCFF3459FCB6}" presName="parentLin" presStyleCnt="0"/>
      <dgm:spPr/>
    </dgm:pt>
    <dgm:pt modelId="{6C65A7C6-FE8C-40F9-8BD6-CA41183AB18E}" type="pres">
      <dgm:prSet presAssocID="{56DC69DF-90CA-4E34-A3A9-CCFF3459FCB6}" presName="parentLeftMargin" presStyleLbl="node1" presStyleIdx="0" presStyleCnt="3"/>
      <dgm:spPr/>
    </dgm:pt>
    <dgm:pt modelId="{0575F4E1-06F3-41E0-8912-344F7DE50926}" type="pres">
      <dgm:prSet presAssocID="{56DC69DF-90CA-4E34-A3A9-CCFF3459FCB6}" presName="parentText" presStyleLbl="node1" presStyleIdx="1" presStyleCnt="3">
        <dgm:presLayoutVars>
          <dgm:chMax val="0"/>
          <dgm:bulletEnabled val="1"/>
        </dgm:presLayoutVars>
      </dgm:prSet>
      <dgm:spPr/>
    </dgm:pt>
    <dgm:pt modelId="{055FAC49-73D5-4ADF-AD7E-FD944EB4FA87}" type="pres">
      <dgm:prSet presAssocID="{56DC69DF-90CA-4E34-A3A9-CCFF3459FCB6}" presName="negativeSpace" presStyleCnt="0"/>
      <dgm:spPr/>
    </dgm:pt>
    <dgm:pt modelId="{1AEECF5D-9D3E-4197-BA82-99C62F4A9115}" type="pres">
      <dgm:prSet presAssocID="{56DC69DF-90CA-4E34-A3A9-CCFF3459FCB6}" presName="childText" presStyleLbl="conFgAcc1" presStyleIdx="1" presStyleCnt="3">
        <dgm:presLayoutVars>
          <dgm:bulletEnabled val="1"/>
        </dgm:presLayoutVars>
      </dgm:prSet>
      <dgm:spPr/>
    </dgm:pt>
    <dgm:pt modelId="{BE4C833C-2901-469F-8702-E7725BED4076}" type="pres">
      <dgm:prSet presAssocID="{2B7408E3-A273-4E5C-B0BC-DF8DBB134F4F}" presName="spaceBetweenRectangles" presStyleCnt="0"/>
      <dgm:spPr/>
    </dgm:pt>
    <dgm:pt modelId="{B37C3502-4371-4ED3-A342-7E3B073A1973}" type="pres">
      <dgm:prSet presAssocID="{003E29A9-28F4-4539-86F5-252469BA6EAA}" presName="parentLin" presStyleCnt="0"/>
      <dgm:spPr/>
    </dgm:pt>
    <dgm:pt modelId="{5B2AF103-98CD-4135-BE0B-E85DC67540D2}" type="pres">
      <dgm:prSet presAssocID="{003E29A9-28F4-4539-86F5-252469BA6EAA}" presName="parentLeftMargin" presStyleLbl="node1" presStyleIdx="1" presStyleCnt="3"/>
      <dgm:spPr/>
    </dgm:pt>
    <dgm:pt modelId="{F2095BF1-7185-41EC-9C2E-DE4F66A73C35}" type="pres">
      <dgm:prSet presAssocID="{003E29A9-28F4-4539-86F5-252469BA6EAA}" presName="parentText" presStyleLbl="node1" presStyleIdx="2" presStyleCnt="3">
        <dgm:presLayoutVars>
          <dgm:chMax val="0"/>
          <dgm:bulletEnabled val="1"/>
        </dgm:presLayoutVars>
      </dgm:prSet>
      <dgm:spPr/>
    </dgm:pt>
    <dgm:pt modelId="{D73DA20B-150E-4E44-9C75-12AF24844D04}" type="pres">
      <dgm:prSet presAssocID="{003E29A9-28F4-4539-86F5-252469BA6EAA}" presName="negativeSpace" presStyleCnt="0"/>
      <dgm:spPr/>
    </dgm:pt>
    <dgm:pt modelId="{421F164B-7F3F-4BF2-9372-06EA091C874E}" type="pres">
      <dgm:prSet presAssocID="{003E29A9-28F4-4539-86F5-252469BA6EAA}" presName="childText" presStyleLbl="conFgAcc1" presStyleIdx="2" presStyleCnt="3">
        <dgm:presLayoutVars>
          <dgm:bulletEnabled val="1"/>
        </dgm:presLayoutVars>
      </dgm:prSet>
      <dgm:spPr/>
    </dgm:pt>
  </dgm:ptLst>
  <dgm:cxnLst>
    <dgm:cxn modelId="{79371F0C-9D9A-4C76-B3EF-E05846F673B9}" type="presOf" srcId="{56DC69DF-90CA-4E34-A3A9-CCFF3459FCB6}" destId="{0575F4E1-06F3-41E0-8912-344F7DE50926}" srcOrd="1" destOrd="0" presId="urn:microsoft.com/office/officeart/2005/8/layout/list1#1"/>
    <dgm:cxn modelId="{018C2614-21D7-4248-8C9D-3940A2F09D21}" srcId="{F65AD402-5BAD-4DED-A21D-8D3C08CC2133}" destId="{56DC69DF-90CA-4E34-A3A9-CCFF3459FCB6}" srcOrd="1" destOrd="0" parTransId="{6EAF30BC-7070-4FF8-B33C-29567B77A7E2}" sibTransId="{2B7408E3-A273-4E5C-B0BC-DF8DBB134F4F}"/>
    <dgm:cxn modelId="{91DB0236-1523-47A0-A455-11B5433A2AFD}" type="presOf" srcId="{56DC69DF-90CA-4E34-A3A9-CCFF3459FCB6}" destId="{6C65A7C6-FE8C-40F9-8BD6-CA41183AB18E}" srcOrd="0" destOrd="0" presId="urn:microsoft.com/office/officeart/2005/8/layout/list1#1"/>
    <dgm:cxn modelId="{B4A01137-1D0C-42CB-AB37-0DC6E70C0A33}" type="presOf" srcId="{D972ED3A-7A3B-42E5-B2F9-5115264DB540}" destId="{8F0FC375-65DD-47E7-8B86-58DB01E73747}" srcOrd="1" destOrd="0" presId="urn:microsoft.com/office/officeart/2005/8/layout/list1#1"/>
    <dgm:cxn modelId="{6525D57A-DF7B-4ADC-BCD4-BB0F565C1305}" type="presOf" srcId="{D972ED3A-7A3B-42E5-B2F9-5115264DB540}" destId="{CFF5F284-C32D-491B-BB5B-D0B35769D4B9}" srcOrd="0" destOrd="0" presId="urn:microsoft.com/office/officeart/2005/8/layout/list1#1"/>
    <dgm:cxn modelId="{06A0F17B-D6C0-4A4A-925B-DBCD50281F30}" srcId="{F65AD402-5BAD-4DED-A21D-8D3C08CC2133}" destId="{D972ED3A-7A3B-42E5-B2F9-5115264DB540}" srcOrd="0" destOrd="0" parTransId="{7F925322-38A2-47DD-BAB9-EABC1D606476}" sibTransId="{1946EB73-F087-4B0D-8633-6DCE5F0B8FB1}"/>
    <dgm:cxn modelId="{AC7047B2-F8AC-470C-B8DA-7797E9B2BFDA}" type="presOf" srcId="{F65AD402-5BAD-4DED-A21D-8D3C08CC2133}" destId="{C5E46868-3D62-4151-9A0B-76BB0EEE8B25}" srcOrd="0" destOrd="0" presId="urn:microsoft.com/office/officeart/2005/8/layout/list1#1"/>
    <dgm:cxn modelId="{919845B6-3165-4A1A-B8C2-42FC0993255B}" srcId="{F65AD402-5BAD-4DED-A21D-8D3C08CC2133}" destId="{003E29A9-28F4-4539-86F5-252469BA6EAA}" srcOrd="2" destOrd="0" parTransId="{E868FFD4-A97C-4FD9-A775-3EE01306742E}" sibTransId="{E342F1CD-54BA-4AB7-A354-21A125027258}"/>
    <dgm:cxn modelId="{2FA260D9-3755-442C-AD33-4B9CB82CA03D}" type="presOf" srcId="{003E29A9-28F4-4539-86F5-252469BA6EAA}" destId="{F2095BF1-7185-41EC-9C2E-DE4F66A73C35}" srcOrd="1" destOrd="0" presId="urn:microsoft.com/office/officeart/2005/8/layout/list1#1"/>
    <dgm:cxn modelId="{30AFF8FB-460F-4CD8-BAF8-CC055B0977A3}" type="presOf" srcId="{003E29A9-28F4-4539-86F5-252469BA6EAA}" destId="{5B2AF103-98CD-4135-BE0B-E85DC67540D2}" srcOrd="0" destOrd="0" presId="urn:microsoft.com/office/officeart/2005/8/layout/list1#1"/>
    <dgm:cxn modelId="{7EF7F13D-93ED-4502-A9F9-4F082DD6FAA1}" type="presParOf" srcId="{C5E46868-3D62-4151-9A0B-76BB0EEE8B25}" destId="{0CED4289-FC34-4F06-9BA0-766B6F872F44}" srcOrd="0" destOrd="0" presId="urn:microsoft.com/office/officeart/2005/8/layout/list1#1"/>
    <dgm:cxn modelId="{80C9343B-5BEB-4919-8495-8B9866A28836}" type="presParOf" srcId="{0CED4289-FC34-4F06-9BA0-766B6F872F44}" destId="{CFF5F284-C32D-491B-BB5B-D0B35769D4B9}" srcOrd="0" destOrd="0" presId="urn:microsoft.com/office/officeart/2005/8/layout/list1#1"/>
    <dgm:cxn modelId="{70A265D3-FE4D-4C12-B322-56983D215F5D}" type="presParOf" srcId="{0CED4289-FC34-4F06-9BA0-766B6F872F44}" destId="{8F0FC375-65DD-47E7-8B86-58DB01E73747}" srcOrd="1" destOrd="0" presId="urn:microsoft.com/office/officeart/2005/8/layout/list1#1"/>
    <dgm:cxn modelId="{98615B2F-2B9E-43DA-BAEB-40A7BA2DA007}" type="presParOf" srcId="{C5E46868-3D62-4151-9A0B-76BB0EEE8B25}" destId="{38250FF7-A1D4-49A0-A9CE-866EB535CF5C}" srcOrd="1" destOrd="0" presId="urn:microsoft.com/office/officeart/2005/8/layout/list1#1"/>
    <dgm:cxn modelId="{D56D4E82-7431-44EE-A38A-4F512C6AE339}" type="presParOf" srcId="{C5E46868-3D62-4151-9A0B-76BB0EEE8B25}" destId="{4EE533D2-DE69-48F6-B2DE-558ECA6028E3}" srcOrd="2" destOrd="0" presId="urn:microsoft.com/office/officeart/2005/8/layout/list1#1"/>
    <dgm:cxn modelId="{C5329FCF-24D6-4094-A2F5-7F100F8BA6F0}" type="presParOf" srcId="{C5E46868-3D62-4151-9A0B-76BB0EEE8B25}" destId="{F7117651-EDA4-420C-869C-F9C3A237983E}" srcOrd="3" destOrd="0" presId="urn:microsoft.com/office/officeart/2005/8/layout/list1#1"/>
    <dgm:cxn modelId="{4524025E-C1EC-49BE-8084-C9F44A8E3729}" type="presParOf" srcId="{C5E46868-3D62-4151-9A0B-76BB0EEE8B25}" destId="{E98E6169-A898-40CC-BC52-F2EA6A874F06}" srcOrd="4" destOrd="0" presId="urn:microsoft.com/office/officeart/2005/8/layout/list1#1"/>
    <dgm:cxn modelId="{517E1CD1-C3A0-464A-A237-CB18C843E49B}" type="presParOf" srcId="{E98E6169-A898-40CC-BC52-F2EA6A874F06}" destId="{6C65A7C6-FE8C-40F9-8BD6-CA41183AB18E}" srcOrd="0" destOrd="0" presId="urn:microsoft.com/office/officeart/2005/8/layout/list1#1"/>
    <dgm:cxn modelId="{0F66E5A3-FC11-4C90-A285-0E73DD715E79}" type="presParOf" srcId="{E98E6169-A898-40CC-BC52-F2EA6A874F06}" destId="{0575F4E1-06F3-41E0-8912-344F7DE50926}" srcOrd="1" destOrd="0" presId="urn:microsoft.com/office/officeart/2005/8/layout/list1#1"/>
    <dgm:cxn modelId="{0E18A408-BCA1-432C-8F40-B54A302A61A7}" type="presParOf" srcId="{C5E46868-3D62-4151-9A0B-76BB0EEE8B25}" destId="{055FAC49-73D5-4ADF-AD7E-FD944EB4FA87}" srcOrd="5" destOrd="0" presId="urn:microsoft.com/office/officeart/2005/8/layout/list1#1"/>
    <dgm:cxn modelId="{C850D531-7371-4FC4-AE9F-983F5A10190C}" type="presParOf" srcId="{C5E46868-3D62-4151-9A0B-76BB0EEE8B25}" destId="{1AEECF5D-9D3E-4197-BA82-99C62F4A9115}" srcOrd="6" destOrd="0" presId="urn:microsoft.com/office/officeart/2005/8/layout/list1#1"/>
    <dgm:cxn modelId="{43F61C87-0340-4BE5-8829-B913DE052615}" type="presParOf" srcId="{C5E46868-3D62-4151-9A0B-76BB0EEE8B25}" destId="{BE4C833C-2901-469F-8702-E7725BED4076}" srcOrd="7" destOrd="0" presId="urn:microsoft.com/office/officeart/2005/8/layout/list1#1"/>
    <dgm:cxn modelId="{E0BEE72E-72E7-40F3-9B66-D82F8C0DD18F}" type="presParOf" srcId="{C5E46868-3D62-4151-9A0B-76BB0EEE8B25}" destId="{B37C3502-4371-4ED3-A342-7E3B073A1973}" srcOrd="8" destOrd="0" presId="urn:microsoft.com/office/officeart/2005/8/layout/list1#1"/>
    <dgm:cxn modelId="{DF7B46FD-017A-4654-BA40-A2CA947FFD7C}" type="presParOf" srcId="{B37C3502-4371-4ED3-A342-7E3B073A1973}" destId="{5B2AF103-98CD-4135-BE0B-E85DC67540D2}" srcOrd="0" destOrd="0" presId="urn:microsoft.com/office/officeart/2005/8/layout/list1#1"/>
    <dgm:cxn modelId="{9154E362-2B20-4B97-8603-87D4A73A6225}" type="presParOf" srcId="{B37C3502-4371-4ED3-A342-7E3B073A1973}" destId="{F2095BF1-7185-41EC-9C2E-DE4F66A73C35}" srcOrd="1" destOrd="0" presId="urn:microsoft.com/office/officeart/2005/8/layout/list1#1"/>
    <dgm:cxn modelId="{C234469B-2E2D-481D-8BBB-D3FF2AE74709}" type="presParOf" srcId="{C5E46868-3D62-4151-9A0B-76BB0EEE8B25}" destId="{D73DA20B-150E-4E44-9C75-12AF24844D04}" srcOrd="9" destOrd="0" presId="urn:microsoft.com/office/officeart/2005/8/layout/list1#1"/>
    <dgm:cxn modelId="{8041E4BA-3695-417F-A5BF-D83ECFD5C48D}" type="presParOf" srcId="{C5E46868-3D62-4151-9A0B-76BB0EEE8B25}" destId="{421F164B-7F3F-4BF2-9372-06EA091C874E}" srcOrd="10" destOrd="0" presId="urn:microsoft.com/office/officeart/2005/8/layout/list1#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E533D2-DE69-48F6-B2DE-558ECA6028E3}">
      <dsp:nvSpPr>
        <dsp:cNvPr id="0" name=""/>
        <dsp:cNvSpPr/>
      </dsp:nvSpPr>
      <dsp:spPr>
        <a:xfrm>
          <a:off x="0" y="605280"/>
          <a:ext cx="5074920" cy="378000"/>
        </a:xfrm>
        <a:prstGeom prst="rect">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F0FC375-65DD-47E7-8B86-58DB01E73747}">
      <dsp:nvSpPr>
        <dsp:cNvPr id="0" name=""/>
        <dsp:cNvSpPr/>
      </dsp:nvSpPr>
      <dsp:spPr>
        <a:xfrm>
          <a:off x="253746" y="383879"/>
          <a:ext cx="3552444" cy="442800"/>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274" tIns="0" rIns="134274" bIns="0" numCol="1" spcCol="1270" anchor="ctr" anchorCtr="0">
          <a:noAutofit/>
        </a:bodyPr>
        <a:lstStyle/>
        <a:p>
          <a:pPr marL="0" lvl="0" indent="0" algn="l" defTabSz="666750">
            <a:lnSpc>
              <a:spcPct val="90000"/>
            </a:lnSpc>
            <a:spcBef>
              <a:spcPct val="0"/>
            </a:spcBef>
            <a:spcAft>
              <a:spcPct val="35000"/>
            </a:spcAft>
            <a:buNone/>
          </a:pPr>
          <a:r>
            <a:rPr lang="en-IN" sz="1500" kern="1200"/>
            <a:t>Communication skill</a:t>
          </a:r>
        </a:p>
      </dsp:txBody>
      <dsp:txXfrm>
        <a:off x="275362" y="405495"/>
        <a:ext cx="3509212" cy="399568"/>
      </dsp:txXfrm>
    </dsp:sp>
    <dsp:sp modelId="{1AEECF5D-9D3E-4197-BA82-99C62F4A9115}">
      <dsp:nvSpPr>
        <dsp:cNvPr id="0" name=""/>
        <dsp:cNvSpPr/>
      </dsp:nvSpPr>
      <dsp:spPr>
        <a:xfrm>
          <a:off x="0" y="1285680"/>
          <a:ext cx="5074920" cy="378000"/>
        </a:xfrm>
        <a:prstGeom prst="rect">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575F4E1-06F3-41E0-8912-344F7DE50926}">
      <dsp:nvSpPr>
        <dsp:cNvPr id="0" name=""/>
        <dsp:cNvSpPr/>
      </dsp:nvSpPr>
      <dsp:spPr>
        <a:xfrm>
          <a:off x="253746" y="1064280"/>
          <a:ext cx="3552444" cy="442800"/>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274" tIns="0" rIns="134274" bIns="0" numCol="1" spcCol="1270" anchor="ctr" anchorCtr="0">
          <a:noAutofit/>
        </a:bodyPr>
        <a:lstStyle/>
        <a:p>
          <a:pPr marL="0" lvl="0" indent="0" algn="l" defTabSz="666750">
            <a:lnSpc>
              <a:spcPct val="90000"/>
            </a:lnSpc>
            <a:spcBef>
              <a:spcPct val="0"/>
            </a:spcBef>
            <a:spcAft>
              <a:spcPct val="35000"/>
            </a:spcAft>
            <a:buNone/>
          </a:pPr>
          <a:r>
            <a:rPr lang="en-IN" sz="1500" kern="1200"/>
            <a:t>Teamwork skill</a:t>
          </a:r>
        </a:p>
      </dsp:txBody>
      <dsp:txXfrm>
        <a:off x="275362" y="1085896"/>
        <a:ext cx="3509212" cy="399568"/>
      </dsp:txXfrm>
    </dsp:sp>
    <dsp:sp modelId="{421F164B-7F3F-4BF2-9372-06EA091C874E}">
      <dsp:nvSpPr>
        <dsp:cNvPr id="0" name=""/>
        <dsp:cNvSpPr/>
      </dsp:nvSpPr>
      <dsp:spPr>
        <a:xfrm>
          <a:off x="0" y="1966080"/>
          <a:ext cx="5074920" cy="378000"/>
        </a:xfrm>
        <a:prstGeom prst="rect">
          <a:avLst/>
        </a:prstGeom>
        <a:solidFill>
          <a:schemeClr val="accent2">
            <a:alpha val="90000"/>
            <a:tint val="4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2095BF1-7185-41EC-9C2E-DE4F66A73C35}">
      <dsp:nvSpPr>
        <dsp:cNvPr id="0" name=""/>
        <dsp:cNvSpPr/>
      </dsp:nvSpPr>
      <dsp:spPr>
        <a:xfrm>
          <a:off x="253746" y="1744680"/>
          <a:ext cx="3552444" cy="442800"/>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274" tIns="0" rIns="134274" bIns="0" numCol="1" spcCol="1270" anchor="ctr" anchorCtr="0">
          <a:noAutofit/>
        </a:bodyPr>
        <a:lstStyle/>
        <a:p>
          <a:pPr marL="0" lvl="0" indent="0" algn="l" defTabSz="666750">
            <a:lnSpc>
              <a:spcPct val="90000"/>
            </a:lnSpc>
            <a:spcBef>
              <a:spcPct val="0"/>
            </a:spcBef>
            <a:spcAft>
              <a:spcPct val="35000"/>
            </a:spcAft>
            <a:buNone/>
          </a:pPr>
          <a:r>
            <a:rPr lang="en-IN" sz="1500" kern="1200"/>
            <a:t>Problem Solving &amp; Decision Making skill</a:t>
          </a:r>
        </a:p>
      </dsp:txBody>
      <dsp:txXfrm>
        <a:off x="275362" y="1766296"/>
        <a:ext cx="3509212" cy="399568"/>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678DB-85D9-4654-BF73-ECD2CBB30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2255</Words>
  <Characters>12857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2021-10-17T16:27:00Z</dcterms:created>
  <dcterms:modified xsi:type="dcterms:W3CDTF">2021-10-17T16:27:00Z</dcterms:modified>
</cp:coreProperties>
</file>