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sdt>
      <w:sdtPr>
        <w:rPr>
          <w:color w:val="4F81BD" w:themeColor="accent1"/>
        </w:rPr>
        <w:id w:val="-114912160"/>
        <w:docPartObj>
          <w:docPartGallery w:val="Cover Pages"/>
          <w:docPartUnique/>
        </w:docPartObj>
      </w:sdtPr>
      <w:sdtEndPr>
        <w:rPr>
          <w:rFonts w:ascii="Times New Roman" w:eastAsia="Times New Roman" w:hAnsi="Times New Roman" w:cs="Times New Roman"/>
          <w:b/>
          <w:color w:val="auto"/>
          <w:sz w:val="30"/>
          <w:szCs w:val="30"/>
          <w:lang w:val="en-GB" w:eastAsia="ro-RO"/>
        </w:rPr>
      </w:sdtEndPr>
      <w:sdtContent>
        <w:p w14:paraId="27D98FFF" w14:textId="7FDA80FF" w:rsidR="007A217F" w:rsidRDefault="007A217F">
          <w:pPr>
            <w:pStyle w:val="NoSpacing"/>
            <w:spacing w:before="1540" w:after="240"/>
            <w:jc w:val="center"/>
            <w:rPr>
              <w:color w:val="4F81BD" w:themeColor="accent1"/>
            </w:rPr>
          </w:pPr>
          <w:r>
            <w:rPr>
              <w:noProof/>
              <w:color w:val="4F81BD" w:themeColor="accent1"/>
            </w:rPr>
            <w:drawing>
              <wp:inline distT="0" distB="0" distL="0" distR="0" wp14:anchorId="0503966D" wp14:editId="75AE76E3">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F81BD" w:themeColor="accent1"/>
              <w:sz w:val="72"/>
              <w:szCs w:val="72"/>
            </w:rPr>
            <w:alias w:val="Title"/>
            <w:tag w:val=""/>
            <w:id w:val="1735040861"/>
            <w:placeholder>
              <w:docPart w:val="B3D8CE4747CB4476AB5979608FAA5497"/>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075E966" w14:textId="3E73BD03" w:rsidR="007A217F" w:rsidRDefault="007A217F">
              <w:pPr>
                <w:pStyle w:val="NoSpacing"/>
                <w:pBdr>
                  <w:top w:val="single" w:sz="6" w:space="6" w:color="4F81BD" w:themeColor="accent1"/>
                  <w:bottom w:val="single" w:sz="6" w:space="6" w:color="4F81BD" w:themeColor="accent1"/>
                </w:pBdr>
                <w:spacing w:after="240"/>
                <w:jc w:val="center"/>
                <w:rPr>
                  <w:rFonts w:asciiTheme="majorHAnsi" w:eastAsiaTheme="majorEastAsia" w:hAnsiTheme="majorHAnsi" w:cstheme="majorBidi"/>
                  <w:caps/>
                  <w:color w:val="4F81BD" w:themeColor="accent1"/>
                  <w:sz w:val="80"/>
                  <w:szCs w:val="80"/>
                </w:rPr>
              </w:pPr>
              <w:r>
                <w:rPr>
                  <w:rFonts w:asciiTheme="majorHAnsi" w:eastAsiaTheme="majorEastAsia" w:hAnsiTheme="majorHAnsi" w:cstheme="majorBidi"/>
                  <w:caps/>
                  <w:color w:val="4F81BD" w:themeColor="accent1"/>
                  <w:sz w:val="72"/>
                  <w:szCs w:val="72"/>
                </w:rPr>
                <w:t>Learning in the DIgital era</w:t>
              </w:r>
            </w:p>
          </w:sdtContent>
        </w:sdt>
        <w:p w14:paraId="2687DE00" w14:textId="698D9E6B" w:rsidR="007A217F" w:rsidRDefault="007A217F">
          <w:pPr>
            <w:pStyle w:val="NoSpacing"/>
            <w:jc w:val="center"/>
            <w:rPr>
              <w:color w:val="4F81BD" w:themeColor="accent1"/>
              <w:sz w:val="28"/>
              <w:szCs w:val="28"/>
            </w:rPr>
          </w:pPr>
        </w:p>
        <w:p w14:paraId="455C67B6" w14:textId="77777777" w:rsidR="007A217F" w:rsidRDefault="007A217F">
          <w:pPr>
            <w:pStyle w:val="NoSpacing"/>
            <w:spacing w:before="480"/>
            <w:jc w:val="center"/>
            <w:rPr>
              <w:color w:val="4F81BD" w:themeColor="accent1"/>
            </w:rPr>
          </w:pPr>
          <w:r>
            <w:rPr>
              <w:noProof/>
              <w:color w:val="4F81BD" w:themeColor="accent1"/>
            </w:rPr>
            <mc:AlternateContent>
              <mc:Choice Requires="wps">
                <w:drawing>
                  <wp:anchor distT="0" distB="0" distL="114300" distR="114300" simplePos="0" relativeHeight="251659264" behindDoc="0" locked="0" layoutInCell="1" allowOverlap="1" wp14:anchorId="4113D182" wp14:editId="3059498F">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3AF9E2" w14:textId="48100B04" w:rsidR="007A217F" w:rsidRPr="007A217F" w:rsidRDefault="007A217F">
                                <w:pPr>
                                  <w:pStyle w:val="NoSpacing"/>
                                  <w:spacing w:after="40"/>
                                  <w:jc w:val="center"/>
                                  <w:rPr>
                                    <w:caps/>
                                    <w:color w:val="4F81BD" w:themeColor="accent1"/>
                                    <w:sz w:val="48"/>
                                    <w:szCs w:val="48"/>
                                  </w:rPr>
                                </w:pPr>
                              </w:p>
                              <w:p w14:paraId="6091199C" w14:textId="7D0E7E15" w:rsidR="007A217F" w:rsidRPr="007A217F" w:rsidRDefault="007A217F">
                                <w:pPr>
                                  <w:pStyle w:val="NoSpacing"/>
                                  <w:jc w:val="center"/>
                                  <w:rPr>
                                    <w:color w:val="4F81BD" w:themeColor="accent1"/>
                                    <w:sz w:val="40"/>
                                    <w:szCs w:val="40"/>
                                  </w:rPr>
                                </w:pPr>
                                <w:sdt>
                                  <w:sdtPr>
                                    <w:rPr>
                                      <w:caps/>
                                      <w:color w:val="4F81BD" w:themeColor="accent1"/>
                                      <w:sz w:val="40"/>
                                      <w:szCs w:val="40"/>
                                    </w:rPr>
                                    <w:alias w:val="Company"/>
                                    <w:tag w:val=""/>
                                    <w:id w:val="1390145197"/>
                                    <w:dataBinding w:prefixMappings="xmlns:ns0='http://schemas.openxmlformats.org/officeDocument/2006/extended-properties' " w:xpath="/ns0:Properties[1]/ns0:Company[1]" w:storeItemID="{6668398D-A668-4E3E-A5EB-62B293D839F1}"/>
                                    <w:text/>
                                  </w:sdtPr>
                                  <w:sdtContent>
                                    <w:r w:rsidRPr="007A217F">
                                      <w:rPr>
                                        <w:caps/>
                                        <w:color w:val="4F81BD" w:themeColor="accent1"/>
                                        <w:sz w:val="40"/>
                                        <w:szCs w:val="40"/>
                                      </w:rPr>
                                      <w:t>Mihnea alexandru antonescu</w:t>
                                    </w:r>
                                  </w:sdtContent>
                                </w:sdt>
                              </w:p>
                              <w:p w14:paraId="39904C97" w14:textId="4D6969F4" w:rsidR="007A217F" w:rsidRPr="007A217F" w:rsidRDefault="007A217F">
                                <w:pPr>
                                  <w:pStyle w:val="NoSpacing"/>
                                  <w:jc w:val="center"/>
                                  <w:rPr>
                                    <w:color w:val="4F81BD" w:themeColor="accent1"/>
                                    <w:sz w:val="36"/>
                                    <w:szCs w:val="3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113D182"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3B3AF9E2" w14:textId="48100B04" w:rsidR="007A217F" w:rsidRPr="007A217F" w:rsidRDefault="007A217F">
                          <w:pPr>
                            <w:pStyle w:val="NoSpacing"/>
                            <w:spacing w:after="40"/>
                            <w:jc w:val="center"/>
                            <w:rPr>
                              <w:caps/>
                              <w:color w:val="4F81BD" w:themeColor="accent1"/>
                              <w:sz w:val="48"/>
                              <w:szCs w:val="48"/>
                            </w:rPr>
                          </w:pPr>
                        </w:p>
                        <w:p w14:paraId="6091199C" w14:textId="7D0E7E15" w:rsidR="007A217F" w:rsidRPr="007A217F" w:rsidRDefault="007A217F">
                          <w:pPr>
                            <w:pStyle w:val="NoSpacing"/>
                            <w:jc w:val="center"/>
                            <w:rPr>
                              <w:color w:val="4F81BD" w:themeColor="accent1"/>
                              <w:sz w:val="40"/>
                              <w:szCs w:val="40"/>
                            </w:rPr>
                          </w:pPr>
                          <w:sdt>
                            <w:sdtPr>
                              <w:rPr>
                                <w:caps/>
                                <w:color w:val="4F81BD" w:themeColor="accent1"/>
                                <w:sz w:val="40"/>
                                <w:szCs w:val="40"/>
                              </w:rPr>
                              <w:alias w:val="Company"/>
                              <w:tag w:val=""/>
                              <w:id w:val="1390145197"/>
                              <w:dataBinding w:prefixMappings="xmlns:ns0='http://schemas.openxmlformats.org/officeDocument/2006/extended-properties' " w:xpath="/ns0:Properties[1]/ns0:Company[1]" w:storeItemID="{6668398D-A668-4E3E-A5EB-62B293D839F1}"/>
                              <w:text/>
                            </w:sdtPr>
                            <w:sdtContent>
                              <w:r w:rsidRPr="007A217F">
                                <w:rPr>
                                  <w:caps/>
                                  <w:color w:val="4F81BD" w:themeColor="accent1"/>
                                  <w:sz w:val="40"/>
                                  <w:szCs w:val="40"/>
                                </w:rPr>
                                <w:t>Mihnea alexandru antonescu</w:t>
                              </w:r>
                            </w:sdtContent>
                          </w:sdt>
                        </w:p>
                        <w:p w14:paraId="39904C97" w14:textId="4D6969F4" w:rsidR="007A217F" w:rsidRPr="007A217F" w:rsidRDefault="007A217F">
                          <w:pPr>
                            <w:pStyle w:val="NoSpacing"/>
                            <w:jc w:val="center"/>
                            <w:rPr>
                              <w:color w:val="4F81BD" w:themeColor="accent1"/>
                              <w:sz w:val="36"/>
                              <w:szCs w:val="36"/>
                            </w:rPr>
                          </w:pPr>
                        </w:p>
                      </w:txbxContent>
                    </v:textbox>
                    <w10:wrap anchorx="margin" anchory="page"/>
                  </v:shape>
                </w:pict>
              </mc:Fallback>
            </mc:AlternateContent>
          </w:r>
          <w:r>
            <w:rPr>
              <w:noProof/>
              <w:color w:val="4F81BD" w:themeColor="accent1"/>
            </w:rPr>
            <w:drawing>
              <wp:inline distT="0" distB="0" distL="0" distR="0" wp14:anchorId="6C67CAEA" wp14:editId="64E05649">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A0D7360" w14:textId="0874A7D3" w:rsidR="007A217F" w:rsidRDefault="007A217F">
          <w:pPr>
            <w:rPr>
              <w:b/>
              <w:sz w:val="30"/>
              <w:szCs w:val="30"/>
            </w:rPr>
          </w:pPr>
          <w:r>
            <w:rPr>
              <w:b/>
              <w:sz w:val="30"/>
              <w:szCs w:val="30"/>
            </w:rPr>
            <w:br w:type="page"/>
          </w:r>
        </w:p>
      </w:sdtContent>
    </w:sdt>
    <w:p w14:paraId="0BFE3C01" w14:textId="77777777" w:rsidR="007A217F" w:rsidRDefault="007A217F">
      <w:pPr>
        <w:jc w:val="center"/>
        <w:rPr>
          <w:b/>
          <w:sz w:val="30"/>
          <w:szCs w:val="30"/>
        </w:rPr>
      </w:pPr>
    </w:p>
    <w:p w14:paraId="3783FFF4" w14:textId="77777777" w:rsidR="007A217F" w:rsidRDefault="007A217F">
      <w:pPr>
        <w:jc w:val="center"/>
        <w:rPr>
          <w:b/>
          <w:sz w:val="30"/>
          <w:szCs w:val="30"/>
        </w:rPr>
      </w:pPr>
    </w:p>
    <w:p w14:paraId="1898E8B1" w14:textId="77777777" w:rsidR="007A217F" w:rsidRDefault="007A217F">
      <w:pPr>
        <w:jc w:val="center"/>
        <w:rPr>
          <w:b/>
          <w:sz w:val="30"/>
          <w:szCs w:val="30"/>
        </w:rPr>
      </w:pPr>
    </w:p>
    <w:p w14:paraId="17F6ECCB" w14:textId="77777777" w:rsidR="007A217F" w:rsidRDefault="007A217F">
      <w:pPr>
        <w:jc w:val="center"/>
        <w:rPr>
          <w:b/>
          <w:sz w:val="30"/>
          <w:szCs w:val="30"/>
        </w:rPr>
      </w:pPr>
    </w:p>
    <w:p w14:paraId="12C81C1F" w14:textId="77777777" w:rsidR="007A217F" w:rsidRDefault="007A217F">
      <w:pPr>
        <w:jc w:val="center"/>
        <w:rPr>
          <w:b/>
          <w:sz w:val="30"/>
          <w:szCs w:val="30"/>
        </w:rPr>
      </w:pPr>
    </w:p>
    <w:p w14:paraId="651C03A3" w14:textId="77777777" w:rsidR="007A217F" w:rsidRDefault="007A217F">
      <w:pPr>
        <w:jc w:val="center"/>
        <w:rPr>
          <w:b/>
          <w:sz w:val="30"/>
          <w:szCs w:val="30"/>
        </w:rPr>
      </w:pPr>
    </w:p>
    <w:p w14:paraId="52F39BBC" w14:textId="77777777" w:rsidR="007A217F" w:rsidRDefault="007A217F">
      <w:pPr>
        <w:jc w:val="center"/>
        <w:rPr>
          <w:b/>
          <w:sz w:val="30"/>
          <w:szCs w:val="30"/>
        </w:rPr>
      </w:pPr>
    </w:p>
    <w:p w14:paraId="2F407502" w14:textId="77777777" w:rsidR="007A217F" w:rsidRDefault="007A217F">
      <w:pPr>
        <w:jc w:val="center"/>
        <w:rPr>
          <w:b/>
          <w:sz w:val="30"/>
          <w:szCs w:val="30"/>
        </w:rPr>
      </w:pPr>
    </w:p>
    <w:p w14:paraId="5D84779B" w14:textId="77777777" w:rsidR="007A217F" w:rsidRDefault="007A217F">
      <w:pPr>
        <w:jc w:val="center"/>
        <w:rPr>
          <w:b/>
          <w:sz w:val="30"/>
          <w:szCs w:val="30"/>
        </w:rPr>
      </w:pPr>
    </w:p>
    <w:p w14:paraId="4AFF729A" w14:textId="56D5A76A" w:rsidR="00CD2B7F" w:rsidRDefault="00000000">
      <w:pPr>
        <w:jc w:val="center"/>
        <w:rPr>
          <w:b/>
          <w:sz w:val="30"/>
          <w:szCs w:val="30"/>
        </w:rPr>
      </w:pPr>
      <w:r>
        <w:rPr>
          <w:b/>
          <w:sz w:val="30"/>
          <w:szCs w:val="30"/>
        </w:rPr>
        <w:t>BMPS4009 &amp; BMPL4007 Learning in the Digital Era</w:t>
      </w:r>
    </w:p>
    <w:p w14:paraId="44DC5A42" w14:textId="77777777" w:rsidR="00CD2B7F" w:rsidRDefault="00000000">
      <w:pPr>
        <w:jc w:val="center"/>
        <w:rPr>
          <w:b/>
          <w:sz w:val="30"/>
          <w:szCs w:val="30"/>
        </w:rPr>
      </w:pPr>
      <w:r>
        <w:rPr>
          <w:b/>
          <w:sz w:val="30"/>
          <w:szCs w:val="30"/>
        </w:rPr>
        <w:t>Evidence of Learning (E-Portfolio)</w:t>
      </w:r>
    </w:p>
    <w:p w14:paraId="547F676C" w14:textId="77777777" w:rsidR="00CD2B7F" w:rsidRDefault="00000000">
      <w:r>
        <w:br w:type="page"/>
      </w:r>
    </w:p>
    <w:p w14:paraId="36AF8515" w14:textId="77777777" w:rsidR="00CD2B7F" w:rsidRDefault="00000000">
      <w:pPr>
        <w:jc w:val="center"/>
        <w:rPr>
          <w:b/>
          <w:u w:val="single"/>
        </w:rPr>
      </w:pPr>
      <w:r>
        <w:rPr>
          <w:b/>
          <w:u w:val="single"/>
        </w:rPr>
        <w:lastRenderedPageBreak/>
        <w:t>Table of Contents</w:t>
      </w:r>
    </w:p>
    <w:sdt>
      <w:sdtPr>
        <w:id w:val="1734745815"/>
        <w:docPartObj>
          <w:docPartGallery w:val="Table of Contents"/>
          <w:docPartUnique/>
        </w:docPartObj>
      </w:sdtPr>
      <w:sdtContent>
        <w:p w14:paraId="06915139" w14:textId="77777777" w:rsidR="00CD2B7F" w:rsidRDefault="00000000">
          <w:pPr>
            <w:tabs>
              <w:tab w:val="right" w:pos="9025"/>
            </w:tabs>
            <w:spacing w:before="80" w:line="240" w:lineRule="auto"/>
            <w:rPr>
              <w:color w:val="000000"/>
            </w:rPr>
          </w:pPr>
          <w:r>
            <w:fldChar w:fldCharType="begin"/>
          </w:r>
          <w:r>
            <w:instrText xml:space="preserve"> TOC \h \u \z </w:instrText>
          </w:r>
          <w:r>
            <w:fldChar w:fldCharType="separate"/>
          </w:r>
          <w:hyperlink w:anchor="_h9rjl4gyhqg0">
            <w:r>
              <w:rPr>
                <w:color w:val="000000"/>
              </w:rPr>
              <w:t>1. “Preparing for Higher Education”</w:t>
            </w:r>
          </w:hyperlink>
          <w:r>
            <w:rPr>
              <w:color w:val="000000"/>
            </w:rPr>
            <w:tab/>
          </w:r>
          <w:r>
            <w:fldChar w:fldCharType="begin"/>
          </w:r>
          <w:r>
            <w:instrText xml:space="preserve"> PAGEREF _h9rjl4gyhqg0 \h </w:instrText>
          </w:r>
          <w:r>
            <w:fldChar w:fldCharType="separate"/>
          </w:r>
          <w:r>
            <w:rPr>
              <w:color w:val="000000"/>
            </w:rPr>
            <w:t>3</w:t>
          </w:r>
          <w:r>
            <w:fldChar w:fldCharType="end"/>
          </w:r>
        </w:p>
        <w:p w14:paraId="0FE59BFA" w14:textId="77777777" w:rsidR="00CD2B7F" w:rsidRDefault="00000000">
          <w:pPr>
            <w:tabs>
              <w:tab w:val="right" w:pos="9025"/>
            </w:tabs>
            <w:spacing w:line="240" w:lineRule="auto"/>
            <w:rPr>
              <w:color w:val="000000"/>
            </w:rPr>
          </w:pPr>
          <w:hyperlink w:anchor="_r44kk0nhm1h0">
            <w:r>
              <w:rPr>
                <w:color w:val="000000"/>
              </w:rPr>
              <w:t>2. Mind Map indicating process of “Becoming a Digital Learner”</w:t>
            </w:r>
          </w:hyperlink>
          <w:r>
            <w:rPr>
              <w:color w:val="000000"/>
            </w:rPr>
            <w:tab/>
          </w:r>
          <w:r>
            <w:fldChar w:fldCharType="begin"/>
          </w:r>
          <w:r>
            <w:instrText xml:space="preserve"> PAGEREF _r44kk0nhm1h0 \h </w:instrText>
          </w:r>
          <w:r>
            <w:fldChar w:fldCharType="separate"/>
          </w:r>
          <w:r>
            <w:rPr>
              <w:color w:val="000000"/>
            </w:rPr>
            <w:t>4</w:t>
          </w:r>
          <w:r>
            <w:fldChar w:fldCharType="end"/>
          </w:r>
        </w:p>
        <w:p w14:paraId="769D75FF" w14:textId="77777777" w:rsidR="00CD2B7F" w:rsidRDefault="00000000">
          <w:pPr>
            <w:tabs>
              <w:tab w:val="right" w:pos="9025"/>
            </w:tabs>
            <w:spacing w:line="240" w:lineRule="auto"/>
            <w:rPr>
              <w:color w:val="000000"/>
            </w:rPr>
          </w:pPr>
          <w:hyperlink w:anchor="_lwk1txxa7xfr">
            <w:r>
              <w:rPr>
                <w:color w:val="000000"/>
              </w:rPr>
              <w:t>3. “Becoming a team player”</w:t>
            </w:r>
          </w:hyperlink>
          <w:r>
            <w:rPr>
              <w:color w:val="000000"/>
            </w:rPr>
            <w:tab/>
          </w:r>
          <w:r>
            <w:fldChar w:fldCharType="begin"/>
          </w:r>
          <w:r>
            <w:instrText xml:space="preserve"> PAGEREF _lwk1txxa7xfr \h </w:instrText>
          </w:r>
          <w:r>
            <w:fldChar w:fldCharType="separate"/>
          </w:r>
          <w:r>
            <w:rPr>
              <w:color w:val="000000"/>
            </w:rPr>
            <w:t>5</w:t>
          </w:r>
          <w:r>
            <w:fldChar w:fldCharType="end"/>
          </w:r>
        </w:p>
        <w:p w14:paraId="11C4AFFA" w14:textId="77777777" w:rsidR="00CD2B7F" w:rsidRDefault="00000000">
          <w:pPr>
            <w:tabs>
              <w:tab w:val="right" w:pos="9025"/>
            </w:tabs>
            <w:spacing w:line="240" w:lineRule="auto"/>
            <w:rPr>
              <w:color w:val="000000"/>
            </w:rPr>
          </w:pPr>
          <w:hyperlink w:anchor="_3s9mygn4575e">
            <w:r>
              <w:rPr>
                <w:color w:val="000000"/>
              </w:rPr>
              <w:t>4. Reflection using “</w:t>
            </w:r>
          </w:hyperlink>
          <w:hyperlink w:anchor="_3s9mygn4575e">
            <w:r>
              <w:t>Bortons</w:t>
            </w:r>
          </w:hyperlink>
          <w:hyperlink w:anchor="_3s9mygn4575e">
            <w:r>
              <w:rPr>
                <w:color w:val="000000"/>
              </w:rPr>
              <w:t xml:space="preserve"> Reflective Tool”</w:t>
            </w:r>
          </w:hyperlink>
          <w:r>
            <w:rPr>
              <w:color w:val="000000"/>
            </w:rPr>
            <w:tab/>
          </w:r>
          <w:r>
            <w:fldChar w:fldCharType="begin"/>
          </w:r>
          <w:r>
            <w:instrText xml:space="preserve"> PAGEREF _3s9mygn4575e \h </w:instrText>
          </w:r>
          <w:r>
            <w:fldChar w:fldCharType="separate"/>
          </w:r>
          <w:r>
            <w:rPr>
              <w:color w:val="000000"/>
            </w:rPr>
            <w:t>6</w:t>
          </w:r>
          <w:r>
            <w:fldChar w:fldCharType="end"/>
          </w:r>
        </w:p>
        <w:p w14:paraId="419FB282" w14:textId="77777777" w:rsidR="00CD2B7F" w:rsidRDefault="00000000">
          <w:pPr>
            <w:tabs>
              <w:tab w:val="right" w:pos="9025"/>
            </w:tabs>
            <w:spacing w:after="80" w:line="240" w:lineRule="auto"/>
            <w:rPr>
              <w:color w:val="000000"/>
            </w:rPr>
          </w:pPr>
          <w:hyperlink w:anchor="_wulzluyz7qwo">
            <w:r>
              <w:rPr>
                <w:color w:val="000000"/>
              </w:rPr>
              <w:t>5. References</w:t>
            </w:r>
          </w:hyperlink>
          <w:r>
            <w:rPr>
              <w:color w:val="000000"/>
            </w:rPr>
            <w:tab/>
          </w:r>
          <w:r>
            <w:fldChar w:fldCharType="begin"/>
          </w:r>
          <w:r>
            <w:instrText xml:space="preserve"> PAGEREF _wulzluyz7qwo \h </w:instrText>
          </w:r>
          <w:r>
            <w:fldChar w:fldCharType="separate"/>
          </w:r>
          <w:r>
            <w:rPr>
              <w:color w:val="000000"/>
            </w:rPr>
            <w:t>8</w:t>
          </w:r>
          <w:r>
            <w:fldChar w:fldCharType="end"/>
          </w:r>
          <w:r>
            <w:fldChar w:fldCharType="end"/>
          </w:r>
        </w:p>
      </w:sdtContent>
    </w:sdt>
    <w:p w14:paraId="268FF0E8" w14:textId="77777777" w:rsidR="00CD2B7F" w:rsidRDefault="00CD2B7F"/>
    <w:p w14:paraId="7B19B949" w14:textId="77777777" w:rsidR="00CD2B7F" w:rsidRDefault="00000000">
      <w:r>
        <w:br w:type="page"/>
      </w:r>
    </w:p>
    <w:p w14:paraId="24E630E3" w14:textId="77777777" w:rsidR="00CD2B7F" w:rsidRDefault="00000000">
      <w:pPr>
        <w:pStyle w:val="Heading1"/>
      </w:pPr>
      <w:bookmarkStart w:id="0" w:name="_h9rjl4gyhqg0" w:colFirst="0" w:colLast="0"/>
      <w:bookmarkEnd w:id="0"/>
      <w:r>
        <w:lastRenderedPageBreak/>
        <w:t>1. “Preparing for Higher Education”</w:t>
      </w:r>
    </w:p>
    <w:p w14:paraId="2DEE489C" w14:textId="77777777" w:rsidR="00CD2B7F" w:rsidRDefault="00000000">
      <w:r>
        <w:t xml:space="preserve">“Preparing for higher education” is one of the most discussed topics among the education providers, scholars, educational researchers, and learners transitioning from school to university environments. </w:t>
      </w:r>
      <w:proofErr w:type="spellStart"/>
      <w:r>
        <w:t>Schnackenberg</w:t>
      </w:r>
      <w:proofErr w:type="spellEnd"/>
      <w:r>
        <w:t xml:space="preserve"> and Johnson (2019) share their view on this topic by stating that learners in schools are mostly habituated to learning within a controlled environment. Therefore, when they are required to study within higher education settings, they </w:t>
      </w:r>
      <w:proofErr w:type="gramStart"/>
      <w:r>
        <w:t>have to</w:t>
      </w:r>
      <w:proofErr w:type="gramEnd"/>
      <w:r>
        <w:t xml:space="preserve"> face challenges and pressure of transitioning to learning within an independent environment. Higher education settings require learners to take responsibility for themselves including their learning, development, improvement, achievements, and overall academic progress. These requirements, precisely within the first years of students in the university, are proven to cause stress, anxiety, and both psychological and physical strain on learners to cope up with a completely different environment (</w:t>
      </w:r>
      <w:proofErr w:type="spellStart"/>
      <w:r>
        <w:t>Ergashalievich</w:t>
      </w:r>
      <w:proofErr w:type="spellEnd"/>
      <w:r>
        <w:t xml:space="preserve">, 2022). Keeping these impacts into consideration, current learning procedures and approaches in schools have been adapted wherein young learners are provided with effective support from professionals like mentors and counsellors. They play the key roles in helping learners prepare for their future learning environments while enabling them to overcome the challenges of transitioning into higher education students (Crawford </w:t>
      </w:r>
      <w:r>
        <w:rPr>
          <w:i/>
        </w:rPr>
        <w:t>et al</w:t>
      </w:r>
      <w:r>
        <w:t>., 2020). They provide learners with a range of additional guidance, support, and provide insights on how and why they should develop themselves including theory skills and competencies within respective subject areas they intend to pursue. Some key activities and planning that learners must consider when preparing to enter higher education are:</w:t>
      </w:r>
    </w:p>
    <w:p w14:paraId="296461D7" w14:textId="77777777" w:rsidR="00CD2B7F" w:rsidRDefault="00000000">
      <w:r>
        <w:rPr>
          <w:b/>
          <w:i/>
        </w:rPr>
        <w:t>Gathering information about college expectations and requirements for admission:</w:t>
      </w:r>
      <w:r>
        <w:t xml:space="preserve"> The key to ensure that learners do not face major challenges when they are entering higher education is to collect information and understand what their target colleges are most likely to expect from them. Doing so can help them prepare accordingly for their higher education making it easier for them to get into institutes of their liking.</w:t>
      </w:r>
    </w:p>
    <w:p w14:paraId="0B0A2E6E" w14:textId="77777777" w:rsidR="00CD2B7F" w:rsidRDefault="00000000">
      <w:r>
        <w:rPr>
          <w:b/>
          <w:i/>
        </w:rPr>
        <w:t>Approaching and working collaboratively with guidance counsellors:</w:t>
      </w:r>
      <w:r>
        <w:t xml:space="preserve"> Taking appropriate guidance and insights about higher education from the guidance counsellors set in learners’ schools is initially the most important approach for successful transition of students into higher education.</w:t>
      </w:r>
    </w:p>
    <w:p w14:paraId="20A3E3B7" w14:textId="77777777" w:rsidR="00CD2B7F" w:rsidRDefault="00000000">
      <w:r>
        <w:rPr>
          <w:b/>
          <w:i/>
        </w:rPr>
        <w:lastRenderedPageBreak/>
        <w:t>Building relationships and appropriate performance background to achieve references:</w:t>
      </w:r>
      <w:r>
        <w:t xml:space="preserve"> Learners must build effective and positive rapport with different teachers who can regularly provide them with insights on their improvement and development to not </w:t>
      </w:r>
      <w:proofErr w:type="gramStart"/>
      <w:r>
        <w:t>lag behind</w:t>
      </w:r>
      <w:proofErr w:type="gramEnd"/>
      <w:r>
        <w:t xml:space="preserve"> their peers in universities and colleges. They can also provide written recommendations to colleges for the students with better performance and achievement records that can assist learners in getting into positive colleges.</w:t>
      </w:r>
    </w:p>
    <w:p w14:paraId="4A63AE55" w14:textId="77777777" w:rsidR="00CD2B7F" w:rsidRDefault="00000000">
      <w:r>
        <w:rPr>
          <w:b/>
          <w:i/>
        </w:rPr>
        <w:t>Researching relevant financial aid options:</w:t>
      </w:r>
      <w:r>
        <w:t xml:space="preserve"> Higher education can be challenging in various ways, one being the need for heavy financial support for overall requirements ranging from classroom activities to outdoor practices. Hence, finding and accessing best possible financial support can relieve one of the most impactful burdens pressuring the learners.</w:t>
      </w:r>
    </w:p>
    <w:p w14:paraId="6D23DE53" w14:textId="77777777" w:rsidR="00CD2B7F" w:rsidRDefault="00000000">
      <w:pPr>
        <w:pStyle w:val="Heading1"/>
      </w:pPr>
      <w:bookmarkStart w:id="1" w:name="_r44kk0nhm1h0" w:colFirst="0" w:colLast="0"/>
      <w:bookmarkEnd w:id="1"/>
      <w:r>
        <w:t>2. Mind Map indicating process of “Becoming a Digital Learner”</w:t>
      </w:r>
    </w:p>
    <w:p w14:paraId="14150221" w14:textId="77777777" w:rsidR="00CD2B7F" w:rsidRDefault="00000000">
      <w:pPr>
        <w:rPr>
          <w:b/>
        </w:rPr>
      </w:pPr>
      <w:r>
        <w:t>Mind mapping can be defined as the process of breaking down a large concept into relevant smaller sub-concept or relating ideas to radiate the central theme of the concept in concern (</w:t>
      </w:r>
      <w:proofErr w:type="spellStart"/>
      <w:r>
        <w:t>Polat</w:t>
      </w:r>
      <w:proofErr w:type="spellEnd"/>
      <w:r>
        <w:t xml:space="preserve"> and </w:t>
      </w:r>
      <w:proofErr w:type="spellStart"/>
      <w:r>
        <w:t>Aydın</w:t>
      </w:r>
      <w:proofErr w:type="spellEnd"/>
      <w:r>
        <w:t>, 2020). The primary advantage of using a mind-mapping teaching in learning is its capability to provide better insight into a particular topic in summarised and pictorial form. The mind map breaks down the process of becoming a digital learner into 4 related parts which have been defined briefly in the sections that follow.</w:t>
      </w:r>
    </w:p>
    <w:p w14:paraId="04FF55BA" w14:textId="77777777" w:rsidR="00CD2B7F" w:rsidRDefault="00000000">
      <w:pPr>
        <w:jc w:val="center"/>
        <w:rPr>
          <w:b/>
        </w:rPr>
      </w:pPr>
      <w:r>
        <w:rPr>
          <w:b/>
          <w:noProof/>
        </w:rPr>
        <w:drawing>
          <wp:inline distT="114300" distB="114300" distL="114300" distR="114300" wp14:anchorId="26727D01" wp14:editId="11326310">
            <wp:extent cx="5731200" cy="32258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731200" cy="3225800"/>
                    </a:xfrm>
                    <a:prstGeom prst="rect">
                      <a:avLst/>
                    </a:prstGeom>
                    <a:ln/>
                  </pic:spPr>
                </pic:pic>
              </a:graphicData>
            </a:graphic>
          </wp:inline>
        </w:drawing>
      </w:r>
    </w:p>
    <w:p w14:paraId="52887AB7" w14:textId="77777777" w:rsidR="00CD2B7F" w:rsidRDefault="00000000">
      <w:pPr>
        <w:jc w:val="center"/>
        <w:rPr>
          <w:b/>
        </w:rPr>
      </w:pPr>
      <w:r>
        <w:rPr>
          <w:b/>
        </w:rPr>
        <w:t xml:space="preserve">Figure: Mind Map of the Digital Learning Process </w:t>
      </w:r>
    </w:p>
    <w:p w14:paraId="58D89685" w14:textId="77777777" w:rsidR="00CD2B7F" w:rsidRDefault="00000000">
      <w:pPr>
        <w:jc w:val="center"/>
        <w:rPr>
          <w:b/>
        </w:rPr>
      </w:pPr>
      <w:r>
        <w:lastRenderedPageBreak/>
        <w:t>(Source: Created by the learner)</w:t>
      </w:r>
      <w:r>
        <w:rPr>
          <w:b/>
        </w:rPr>
        <w:t xml:space="preserve"> </w:t>
      </w:r>
    </w:p>
    <w:p w14:paraId="08135692" w14:textId="77777777" w:rsidR="00CD2B7F" w:rsidRDefault="00000000">
      <w:pPr>
        <w:rPr>
          <w:b/>
        </w:rPr>
      </w:pPr>
      <w:r>
        <w:rPr>
          <w:b/>
        </w:rPr>
        <w:t xml:space="preserve">Digital Learning </w:t>
      </w:r>
    </w:p>
    <w:p w14:paraId="68ECC1E1" w14:textId="77777777" w:rsidR="00CD2B7F" w:rsidRDefault="00000000">
      <w:r>
        <w:t>Digital learning can be defined as the process of using digital capabilities to enhance others. It is a web-based learning process that utilises "technology enhanced learning strategies" and information technologies (</w:t>
      </w:r>
      <w:proofErr w:type="spellStart"/>
      <w:r>
        <w:t>Sailer</w:t>
      </w:r>
      <w:proofErr w:type="spellEnd"/>
      <w:r>
        <w:t xml:space="preserve"> </w:t>
      </w:r>
      <w:r>
        <w:rPr>
          <w:i/>
        </w:rPr>
        <w:t>et al.,</w:t>
      </w:r>
      <w:r>
        <w:t xml:space="preserve"> 2021). </w:t>
      </w:r>
    </w:p>
    <w:p w14:paraId="5DD6C055" w14:textId="77777777" w:rsidR="00CD2B7F" w:rsidRDefault="00000000">
      <w:pPr>
        <w:rPr>
          <w:b/>
        </w:rPr>
      </w:pPr>
      <w:r>
        <w:rPr>
          <w:b/>
        </w:rPr>
        <w:t>The process of digital learning</w:t>
      </w:r>
    </w:p>
    <w:p w14:paraId="129D76CA" w14:textId="77777777" w:rsidR="00CD2B7F" w:rsidRDefault="00000000">
      <w:pPr>
        <w:rPr>
          <w:b/>
          <w:i/>
        </w:rPr>
      </w:pPr>
      <w:r>
        <w:rPr>
          <w:b/>
          <w:i/>
        </w:rPr>
        <w:t xml:space="preserve">Identifying learning requirements </w:t>
      </w:r>
    </w:p>
    <w:p w14:paraId="3DE2EB2A" w14:textId="77777777" w:rsidR="00CD2B7F" w:rsidRDefault="00000000">
      <w:pPr>
        <w:rPr>
          <w:b/>
          <w:i/>
        </w:rPr>
      </w:pPr>
      <w:r>
        <w:t>Identifying learning requirements is the first stage of digital learning. The learning requirement can be anything from developing a transferable skill to learning how to play a guitar.</w:t>
      </w:r>
    </w:p>
    <w:p w14:paraId="4564848C" w14:textId="77777777" w:rsidR="00CD2B7F" w:rsidRDefault="00000000">
      <w:pPr>
        <w:rPr>
          <w:b/>
          <w:i/>
        </w:rPr>
      </w:pPr>
      <w:r>
        <w:rPr>
          <w:b/>
          <w:i/>
        </w:rPr>
        <w:t>Utilising digital capabilities</w:t>
      </w:r>
    </w:p>
    <w:p w14:paraId="3C3DC3FA" w14:textId="77777777" w:rsidR="00CD2B7F" w:rsidRDefault="00000000">
      <w:r>
        <w:t>Utilising digital capabilities means using the knowledge of digital tools to enhance and facilitate learning. Some examples of using digital capabilities in learning might include enrolling into an online-learning program (</w:t>
      </w:r>
      <w:proofErr w:type="spellStart"/>
      <w:r>
        <w:t>Perifanou</w:t>
      </w:r>
      <w:proofErr w:type="spellEnd"/>
      <w:r>
        <w:t xml:space="preserve"> </w:t>
      </w:r>
      <w:r>
        <w:rPr>
          <w:i/>
        </w:rPr>
        <w:t>et al</w:t>
      </w:r>
      <w:r>
        <w:t xml:space="preserve">., 2021).  </w:t>
      </w:r>
    </w:p>
    <w:p w14:paraId="289434D9" w14:textId="77777777" w:rsidR="00CD2B7F" w:rsidRDefault="00000000">
      <w:pPr>
        <w:rPr>
          <w:b/>
          <w:i/>
        </w:rPr>
      </w:pPr>
      <w:r>
        <w:rPr>
          <w:b/>
          <w:i/>
        </w:rPr>
        <w:t>Using digital resources</w:t>
      </w:r>
    </w:p>
    <w:p w14:paraId="58BC394E" w14:textId="77777777" w:rsidR="00CD2B7F" w:rsidRDefault="00000000">
      <w:r>
        <w:t>Using digital resources to facilitate learning can help leverage his digital capabilities to attain the possibilities of effective learning. Resources might include online video tutorials, external websites, and perhaps adapting a personal online resources-based learning strategy.</w:t>
      </w:r>
    </w:p>
    <w:p w14:paraId="47EF4252" w14:textId="77777777" w:rsidR="00CD2B7F" w:rsidRDefault="00000000">
      <w:pPr>
        <w:rPr>
          <w:b/>
          <w:i/>
        </w:rPr>
      </w:pPr>
      <w:r>
        <w:rPr>
          <w:b/>
          <w:i/>
        </w:rPr>
        <w:t>Using digital tools</w:t>
      </w:r>
    </w:p>
    <w:p w14:paraId="40D02D97" w14:textId="77777777" w:rsidR="00CD2B7F" w:rsidRDefault="00000000">
      <w:r>
        <w:t xml:space="preserve">There are several digital tools that can facilitate an effective leading environment through digital medium. Tools such as online task managers, calendars can be significant in digital learning. Further, digital tools can be used to store information and </w:t>
      </w:r>
      <w:proofErr w:type="gramStart"/>
      <w:r>
        <w:t>data, and</w:t>
      </w:r>
      <w:proofErr w:type="gramEnd"/>
      <w:r>
        <w:t xml:space="preserve"> share them with other digital learners (Goldin </w:t>
      </w:r>
      <w:r>
        <w:rPr>
          <w:i/>
        </w:rPr>
        <w:t>et al</w:t>
      </w:r>
      <w:r>
        <w:t>., 2022).</w:t>
      </w:r>
    </w:p>
    <w:p w14:paraId="0D71BF9E" w14:textId="77777777" w:rsidR="00CD2B7F" w:rsidRDefault="00000000">
      <w:pPr>
        <w:pStyle w:val="Heading1"/>
      </w:pPr>
      <w:bookmarkStart w:id="2" w:name="_lwk1txxa7xfr" w:colFirst="0" w:colLast="0"/>
      <w:bookmarkEnd w:id="2"/>
      <w:r>
        <w:t xml:space="preserve">3. “Becoming a team player” </w:t>
      </w:r>
    </w:p>
    <w:p w14:paraId="5FD0C7FE" w14:textId="77777777" w:rsidR="00CD2B7F" w:rsidRDefault="00000000">
      <w:r>
        <w:t xml:space="preserve">My personal identity has been shaped significantly from my background and the values and beliefs that I hold dear. The locality that I grew up in always propagated the values of unity and oneness. It was a culturally diverse locality that welcomed everybody, irrespective of their social status and ethical and racial backgrounds. Everyone actively took part in community and </w:t>
      </w:r>
      <w:r>
        <w:lastRenderedPageBreak/>
        <w:t xml:space="preserve">voluntary services whenever there was a need and opportunity. As I grew up, I had been very much interested in sports like football and cricket. I used to play a lot with my friend. Although most of the games that I played were not high-stakes and friendly matches, the level of competition was always high. It taught me to be competitive in a positive way. Thus, the three values that have shaped my beliefs are </w:t>
      </w:r>
      <w:r>
        <w:rPr>
          <w:b/>
          <w:i/>
        </w:rPr>
        <w:t xml:space="preserve">positive competition, helpfulness </w:t>
      </w:r>
      <w:r>
        <w:t xml:space="preserve">and </w:t>
      </w:r>
      <w:r>
        <w:rPr>
          <w:b/>
          <w:i/>
        </w:rPr>
        <w:t>equality and diversity</w:t>
      </w:r>
      <w:r>
        <w:t xml:space="preserve">. </w:t>
      </w:r>
    </w:p>
    <w:p w14:paraId="679552EF" w14:textId="77777777" w:rsidR="00CD2B7F" w:rsidRDefault="00000000">
      <w:r>
        <w:t>I think these values are important for a team player. Positive competition helps maintain positive urgency which pushes individuals to become better. It is required in a team working setting as it helps propagate the sense of friendly competition and develops helps foster a culture or high performance. The other value, that is helpfulness, leverages the positive impacts of healthy or positive competition. Being a helpful team member helps maintain a positive team working environment, which fosters personal and professional growth and development (</w:t>
      </w:r>
      <w:proofErr w:type="spellStart"/>
      <w:r>
        <w:t>Figgers</w:t>
      </w:r>
      <w:proofErr w:type="spellEnd"/>
      <w:r>
        <w:t xml:space="preserve">, 2020). The final value, that is equality and diversity meaning rooting for equal opportunities for everybody irrespective of the existing diversity. Being able to accept diversity in ideologies and opinions is important in a team working situation to make the best possible decision. It also helps regulate a healthy working environment and help build better processes and practices. An effective team, as per Belbin’s </w:t>
      </w:r>
      <w:proofErr w:type="gramStart"/>
      <w:r>
        <w:t>team work</w:t>
      </w:r>
      <w:proofErr w:type="gramEnd"/>
      <w:r>
        <w:t xml:space="preserve"> theory, has nine roles (Flores </w:t>
      </w:r>
      <w:proofErr w:type="spellStart"/>
      <w:r>
        <w:t>Ureba</w:t>
      </w:r>
      <w:proofErr w:type="spellEnd"/>
      <w:r>
        <w:t xml:space="preserve"> </w:t>
      </w:r>
      <w:r>
        <w:rPr>
          <w:i/>
        </w:rPr>
        <w:t>et al</w:t>
      </w:r>
      <w:r>
        <w:t>., 2022). Each team member plays at least two roles which depend on their personalities and competence. Thus, as per these roles, people have different opinions, which substantiates the importance of having a perspective that holds equality and diversity in high regards.</w:t>
      </w:r>
    </w:p>
    <w:p w14:paraId="669B77BC" w14:textId="77777777" w:rsidR="00CD2B7F" w:rsidRDefault="00000000">
      <w:pPr>
        <w:pStyle w:val="Heading1"/>
      </w:pPr>
      <w:bookmarkStart w:id="3" w:name="_3s9mygn4575e" w:colFirst="0" w:colLast="0"/>
      <w:bookmarkEnd w:id="3"/>
      <w:r>
        <w:t>4. Reflection using “</w:t>
      </w:r>
      <w:proofErr w:type="spellStart"/>
      <w:r>
        <w:t>Borton’s</w:t>
      </w:r>
      <w:proofErr w:type="spellEnd"/>
      <w:r>
        <w:t xml:space="preserve"> Reflective Tool”</w:t>
      </w:r>
    </w:p>
    <w:p w14:paraId="754D4A20" w14:textId="77777777" w:rsidR="00CD2B7F" w:rsidRDefault="00000000">
      <w:r>
        <w:t xml:space="preserve">Reflection is the process of extracting knowledge from past experiences and events. It </w:t>
      </w:r>
      <w:proofErr w:type="gramStart"/>
      <w:r>
        <w:t>is considered to be</w:t>
      </w:r>
      <w:proofErr w:type="gramEnd"/>
      <w:r>
        <w:t xml:space="preserve"> one of the most effective methods of learning (Delves-Yates, 2021). It involves revisiting past experiences with the main purpose of extracting knowledge and information. There are numerous models of reflection that provide the process a structured approach. One of the most popular ones is </w:t>
      </w:r>
      <w:proofErr w:type="spellStart"/>
      <w:r>
        <w:t>Bortons</w:t>
      </w:r>
      <w:proofErr w:type="spellEnd"/>
      <w:r>
        <w:t xml:space="preserve"> Reflective model. It is a framework that provides a structured approach to the process of reflection by staging it into three questions: </w:t>
      </w:r>
      <w:r>
        <w:rPr>
          <w:b/>
          <w:i/>
        </w:rPr>
        <w:t xml:space="preserve">what, so what and now what </w:t>
      </w:r>
      <w:r>
        <w:t xml:space="preserve">(Nicol and Dosser, 2016).   </w:t>
      </w:r>
    </w:p>
    <w:p w14:paraId="31219DDE" w14:textId="77777777" w:rsidR="00CD2B7F" w:rsidRDefault="00000000">
      <w:pPr>
        <w:rPr>
          <w:b/>
        </w:rPr>
      </w:pPr>
      <w:r>
        <w:rPr>
          <w:b/>
        </w:rPr>
        <w:t xml:space="preserve">What </w:t>
      </w:r>
    </w:p>
    <w:p w14:paraId="71B22B62" w14:textId="77777777" w:rsidR="00CD2B7F" w:rsidRDefault="00000000">
      <w:r>
        <w:t xml:space="preserve">At the start of the university, I found it difficult to connect with people as I was new to the university environment. When I enrolled into the university, I was excited about new people, </w:t>
      </w:r>
      <w:r>
        <w:lastRenderedPageBreak/>
        <w:t>but when classes started, I was taken aback seeing how students in the university were compared to what I was accustomed to. I have always been quick in making friends, but in university I had no friends.</w:t>
      </w:r>
    </w:p>
    <w:p w14:paraId="5B37315B" w14:textId="77777777" w:rsidR="00CD2B7F" w:rsidRDefault="00000000">
      <w:pPr>
        <w:rPr>
          <w:b/>
        </w:rPr>
      </w:pPr>
      <w:proofErr w:type="gramStart"/>
      <w:r>
        <w:rPr>
          <w:b/>
        </w:rPr>
        <w:t>So</w:t>
      </w:r>
      <w:proofErr w:type="gramEnd"/>
      <w:r>
        <w:rPr>
          <w:b/>
        </w:rPr>
        <w:t xml:space="preserve"> What </w:t>
      </w:r>
    </w:p>
    <w:p w14:paraId="6F6D597B" w14:textId="77777777" w:rsidR="00CD2B7F" w:rsidRDefault="00000000">
      <w:r>
        <w:t xml:space="preserve">I realised that the physical distance created by the online learning platform made things very different. It was not like regular college or school. I felt isolated and started losing interest in studies. I realised how the learning preferences of different learners come into play when I felt isolated and witnessed my interest level deteriorating. However, in my first assignment, I took the opportunity of conversing with some of my peers, which marked the start of new friendship. They shared their </w:t>
      </w:r>
      <w:proofErr w:type="gramStart"/>
      <w:r>
        <w:t>experiences</w:t>
      </w:r>
      <w:proofErr w:type="gramEnd"/>
      <w:r>
        <w:t xml:space="preserve"> and I could relate to them.</w:t>
      </w:r>
    </w:p>
    <w:p w14:paraId="510EB353" w14:textId="77777777" w:rsidR="00CD2B7F" w:rsidRDefault="00000000">
      <w:pPr>
        <w:rPr>
          <w:b/>
        </w:rPr>
      </w:pPr>
      <w:r>
        <w:rPr>
          <w:b/>
        </w:rPr>
        <w:t xml:space="preserve">Now What </w:t>
      </w:r>
    </w:p>
    <w:p w14:paraId="3C0269DE" w14:textId="77777777" w:rsidR="00CD2B7F" w:rsidRDefault="00000000">
      <w:r>
        <w:t>I think expecting online learning to be the same as traditional or conventional methods of learning is not very appropriate. Now I think that online learning has its own possibilities which need to be explored and a comparison between which platform of learning is better is not just viable. I plan to make more friends and collaborate with other learners in assignments and tasks to capitalise on the opportunities that online learning platforms provide. To make the most of the online learning opportunity, I plan to work more on my ICT skills so that I can collaborate with other learners better and share resources and tools to leverage the possibilities of learning.</w:t>
      </w:r>
    </w:p>
    <w:p w14:paraId="43A44702" w14:textId="77777777" w:rsidR="00CD2B7F" w:rsidRDefault="00000000">
      <w:pPr>
        <w:pStyle w:val="Heading1"/>
      </w:pPr>
      <w:bookmarkStart w:id="4" w:name="_lxz46mgjtwet" w:colFirst="0" w:colLast="0"/>
      <w:bookmarkEnd w:id="4"/>
      <w:r>
        <w:br w:type="page"/>
      </w:r>
    </w:p>
    <w:p w14:paraId="1044FE02" w14:textId="77777777" w:rsidR="00CD2B7F" w:rsidRDefault="00000000">
      <w:pPr>
        <w:pStyle w:val="Heading1"/>
      </w:pPr>
      <w:bookmarkStart w:id="5" w:name="_wulzluyz7qwo" w:colFirst="0" w:colLast="0"/>
      <w:bookmarkEnd w:id="5"/>
      <w:r>
        <w:lastRenderedPageBreak/>
        <w:t>5. References</w:t>
      </w:r>
    </w:p>
    <w:p w14:paraId="41D143E1" w14:textId="77777777" w:rsidR="00CD2B7F" w:rsidRDefault="00000000">
      <w:r>
        <w:t xml:space="preserve">Crawford, J., Butler-Henderson, K., Rudolph, J., </w:t>
      </w:r>
      <w:proofErr w:type="spellStart"/>
      <w:r>
        <w:t>Malkawi</w:t>
      </w:r>
      <w:proofErr w:type="spellEnd"/>
      <w:r>
        <w:t xml:space="preserve">, B., </w:t>
      </w:r>
      <w:proofErr w:type="spellStart"/>
      <w:r>
        <w:t>Glowatz</w:t>
      </w:r>
      <w:proofErr w:type="spellEnd"/>
      <w:r>
        <w:t xml:space="preserve">, M., Burton, R., </w:t>
      </w:r>
      <w:proofErr w:type="spellStart"/>
      <w:r>
        <w:t>Magni</w:t>
      </w:r>
      <w:proofErr w:type="spellEnd"/>
      <w:r>
        <w:t>, P. and Lam, S., 2020. COVID-19: 20 countries' higher education intra-period digital pedagogy responses. Journal of Applied Learning &amp; Teaching, 3(1), pp.1-20.</w:t>
      </w:r>
    </w:p>
    <w:p w14:paraId="1425EE93" w14:textId="77777777" w:rsidR="00CD2B7F" w:rsidRDefault="00000000">
      <w:r>
        <w:t xml:space="preserve">Delves-Yates, C., 2021. 1 What is </w:t>
      </w:r>
      <w:proofErr w:type="gramStart"/>
      <w:r>
        <w:t>Reflection?.</w:t>
      </w:r>
      <w:proofErr w:type="gramEnd"/>
      <w:r>
        <w:t xml:space="preserve"> Beginner′ s Guide to Reflective Practice in Nursing, p.5.</w:t>
      </w:r>
    </w:p>
    <w:p w14:paraId="0E3E3D18" w14:textId="77777777" w:rsidR="00CD2B7F" w:rsidRDefault="00000000">
      <w:proofErr w:type="spellStart"/>
      <w:r>
        <w:t>Ergashalievich</w:t>
      </w:r>
      <w:proofErr w:type="spellEnd"/>
      <w:r>
        <w:t>, M.U., 2022. ACTUAL ISSUES OF PREPARING STUDENTS FOR HIGHER EDUCATION IN THE FIELD OF PHYSICAL CULTURE AND SPORTS. Spectrum Journal of Innovation, Reforms and Development, 8, pp.198-202.</w:t>
      </w:r>
    </w:p>
    <w:p w14:paraId="04BA8455" w14:textId="77777777" w:rsidR="00CD2B7F" w:rsidRDefault="00000000">
      <w:proofErr w:type="spellStart"/>
      <w:r>
        <w:t>Figgers</w:t>
      </w:r>
      <w:proofErr w:type="spellEnd"/>
      <w:r>
        <w:t xml:space="preserve">, M.S., 2020. Characteristics of an Effective Team Player: Effective Team Players Make Winning </w:t>
      </w:r>
      <w:proofErr w:type="gramStart"/>
      <w:r>
        <w:t>Teams!.</w:t>
      </w:r>
      <w:proofErr w:type="gramEnd"/>
      <w:r>
        <w:t xml:space="preserve"> </w:t>
      </w:r>
      <w:proofErr w:type="spellStart"/>
      <w:r>
        <w:t>WestBow</w:t>
      </w:r>
      <w:proofErr w:type="spellEnd"/>
      <w:r>
        <w:t xml:space="preserve"> Press.</w:t>
      </w:r>
    </w:p>
    <w:p w14:paraId="027376B7" w14:textId="77777777" w:rsidR="00CD2B7F" w:rsidRDefault="00000000">
      <w:r>
        <w:t xml:space="preserve">Flores </w:t>
      </w:r>
      <w:proofErr w:type="spellStart"/>
      <w:r>
        <w:t>Ureba</w:t>
      </w:r>
      <w:proofErr w:type="spellEnd"/>
      <w:r>
        <w:t xml:space="preserve">, S., Simón de Blas, C., </w:t>
      </w:r>
      <w:proofErr w:type="spellStart"/>
      <w:r>
        <w:t>Borrás-Gené</w:t>
      </w:r>
      <w:proofErr w:type="spellEnd"/>
      <w:r>
        <w:t xml:space="preserve">, O. and </w:t>
      </w:r>
      <w:proofErr w:type="spellStart"/>
      <w:r>
        <w:t>Macías-Guillén</w:t>
      </w:r>
      <w:proofErr w:type="spellEnd"/>
      <w:r>
        <w:t xml:space="preserve">, A., 2022. </w:t>
      </w:r>
      <w:proofErr w:type="spellStart"/>
      <w:r>
        <w:t>Analyzing</w:t>
      </w:r>
      <w:proofErr w:type="spellEnd"/>
      <w:r>
        <w:t xml:space="preserve"> the Influence of Belbin’s Roles on the Quality of Collaborative Learning for the Study of Business Fundamentals. Education Sciences, 12(9), p.594.</w:t>
      </w:r>
    </w:p>
    <w:p w14:paraId="229E090C" w14:textId="77777777" w:rsidR="00CD2B7F" w:rsidRDefault="00000000">
      <w:r>
        <w:t>Nicol, J.S. and Dosser, I., 2016. Understanding reflective practice. Nursing Standard (2014+), 30(36), p.34.</w:t>
      </w:r>
    </w:p>
    <w:p w14:paraId="23CDDE8A" w14:textId="77777777" w:rsidR="00CD2B7F" w:rsidRDefault="00000000">
      <w:proofErr w:type="spellStart"/>
      <w:r>
        <w:t>Perifanou</w:t>
      </w:r>
      <w:proofErr w:type="spellEnd"/>
      <w:r>
        <w:t xml:space="preserve">, M., Economides, A.A. and </w:t>
      </w:r>
      <w:proofErr w:type="spellStart"/>
      <w:r>
        <w:t>Tzafilkou</w:t>
      </w:r>
      <w:proofErr w:type="spellEnd"/>
      <w:r>
        <w:t>, K., 2021. Teachers’ digital skills readiness during COVID-19 pandemic.</w:t>
      </w:r>
    </w:p>
    <w:p w14:paraId="2BDF220F" w14:textId="77777777" w:rsidR="00CD2B7F" w:rsidRDefault="00000000">
      <w:proofErr w:type="spellStart"/>
      <w:r>
        <w:t>Polat</w:t>
      </w:r>
      <w:proofErr w:type="spellEnd"/>
      <w:r>
        <w:t xml:space="preserve">, Ö. and </w:t>
      </w:r>
      <w:proofErr w:type="spellStart"/>
      <w:r>
        <w:t>Aydın</w:t>
      </w:r>
      <w:proofErr w:type="spellEnd"/>
      <w:r>
        <w:t>, E., 2020. The effect of mind mapping on young children’s critical thinking skills. Thinking Skills and Creativity, 38, p.100743.</w:t>
      </w:r>
    </w:p>
    <w:p w14:paraId="2A2A6FB1" w14:textId="77777777" w:rsidR="00CD2B7F" w:rsidRDefault="00000000">
      <w:proofErr w:type="spellStart"/>
      <w:r>
        <w:t>Sailer</w:t>
      </w:r>
      <w:proofErr w:type="spellEnd"/>
      <w:r>
        <w:t xml:space="preserve">, M., </w:t>
      </w:r>
      <w:proofErr w:type="spellStart"/>
      <w:r>
        <w:t>Murböck</w:t>
      </w:r>
      <w:proofErr w:type="spellEnd"/>
      <w:r>
        <w:t xml:space="preserve">, J. and Fischer, F., 2021. Digital learning in schools: What does it take beyond digital </w:t>
      </w:r>
      <w:proofErr w:type="gramStart"/>
      <w:r>
        <w:t>technology?.</w:t>
      </w:r>
      <w:proofErr w:type="gramEnd"/>
      <w:r>
        <w:t xml:space="preserve"> Teaching and Teacher Education, 103, p.103346.</w:t>
      </w:r>
    </w:p>
    <w:p w14:paraId="390BB5C3" w14:textId="77777777" w:rsidR="00CD2B7F" w:rsidRDefault="00000000">
      <w:proofErr w:type="spellStart"/>
      <w:r>
        <w:t>Schnackenberg</w:t>
      </w:r>
      <w:proofErr w:type="spellEnd"/>
      <w:r>
        <w:t>, H.L. and Johnson, C. eds., 2019. Preparing the Higher Education Space for Gen Z. IGI Global.</w:t>
      </w:r>
    </w:p>
    <w:p w14:paraId="1148D93A" w14:textId="77777777" w:rsidR="00CD2B7F" w:rsidRDefault="00CD2B7F"/>
    <w:p w14:paraId="32C24250" w14:textId="77777777" w:rsidR="00CD2B7F" w:rsidRDefault="00CD2B7F"/>
    <w:p w14:paraId="6176D266" w14:textId="77777777" w:rsidR="00CD2B7F" w:rsidRDefault="00CD2B7F">
      <w:pPr>
        <w:rPr>
          <w:sz w:val="20"/>
          <w:szCs w:val="20"/>
        </w:rPr>
      </w:pPr>
    </w:p>
    <w:sectPr w:rsidR="00CD2B7F" w:rsidSect="007A217F">
      <w:footerReference w:type="default" r:id="rId9"/>
      <w:pgSz w:w="11906" w:h="16838"/>
      <w:pgMar w:top="1440" w:right="1440" w:bottom="1440" w:left="1440" w:header="720" w:footer="720" w:gutter="0"/>
      <w:pgNumType w:start="0"/>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85FC10" w14:textId="77777777" w:rsidR="0000538C" w:rsidRDefault="0000538C">
      <w:pPr>
        <w:spacing w:before="0" w:after="0" w:line="240" w:lineRule="auto"/>
      </w:pPr>
      <w:r>
        <w:separator/>
      </w:r>
    </w:p>
  </w:endnote>
  <w:endnote w:type="continuationSeparator" w:id="0">
    <w:p w14:paraId="735D0D74" w14:textId="77777777" w:rsidR="0000538C" w:rsidRDefault="0000538C">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EE"/>
    <w:family w:val="roman"/>
    <w:pitch w:val="variable"/>
    <w:sig w:usb0="E0002EFF" w:usb1="C000785B" w:usb2="00000009" w:usb3="00000000" w:csb0="000001FF" w:csb1="00000000"/>
  </w:font>
  <w:font w:name="Arial">
    <w:panose1 w:val="020B0604020202020204"/>
    <w:charset w:val="EE"/>
    <w:family w:val="swiss"/>
    <w:pitch w:val="variable"/>
    <w:sig w:usb0="E0002EFF" w:usb1="C000785B" w:usb2="00000009" w:usb3="00000000" w:csb0="000001FF" w:csb1="00000000"/>
  </w:font>
  <w:font w:name="Cambria">
    <w:panose1 w:val="02040503050406030204"/>
    <w:charset w:val="EE"/>
    <w:family w:val="roman"/>
    <w:pitch w:val="variable"/>
    <w:sig w:usb0="E00006FF" w:usb1="420024FF" w:usb2="02000000" w:usb3="00000000" w:csb0="0000019F" w:csb1="00000000"/>
  </w:font>
  <w:font w:name="Calibri">
    <w:panose1 w:val="020F0502020204030204"/>
    <w:charset w:val="EE"/>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0CD3D4" w14:textId="77777777" w:rsidR="00CD2B7F" w:rsidRDefault="00000000">
    <w:pPr>
      <w:jc w:val="right"/>
    </w:pPr>
    <w:r>
      <w:fldChar w:fldCharType="begin"/>
    </w:r>
    <w:r>
      <w:instrText>PAGE</w:instrText>
    </w:r>
    <w:r>
      <w:fldChar w:fldCharType="separate"/>
    </w:r>
    <w:r w:rsidR="007A217F">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7AB304" w14:textId="77777777" w:rsidR="0000538C" w:rsidRDefault="0000538C">
      <w:pPr>
        <w:spacing w:before="0" w:after="0" w:line="240" w:lineRule="auto"/>
      </w:pPr>
      <w:r>
        <w:separator/>
      </w:r>
    </w:p>
  </w:footnote>
  <w:footnote w:type="continuationSeparator" w:id="0">
    <w:p w14:paraId="1F04F64D" w14:textId="77777777" w:rsidR="0000538C" w:rsidRDefault="0000538C">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2B7F"/>
    <w:rsid w:val="0000538C"/>
    <w:rsid w:val="007A217F"/>
    <w:rsid w:val="00CD2B7F"/>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38E63A"/>
  <w15:docId w15:val="{00A7BD39-6BFC-4BC2-9318-D36D6B2D38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ro-RO"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paragraph" w:styleId="NoSpacing">
    <w:name w:val="No Spacing"/>
    <w:link w:val="NoSpacingChar"/>
    <w:uiPriority w:val="1"/>
    <w:qFormat/>
    <w:rsid w:val="007A217F"/>
    <w:pPr>
      <w:spacing w:before="0" w:after="0" w:line="240" w:lineRule="auto"/>
      <w:jc w:val="left"/>
    </w:pPr>
    <w:rPr>
      <w:rFonts w:asciiTheme="minorHAnsi" w:eastAsiaTheme="minorEastAsia" w:hAnsiTheme="minorHAnsi" w:cstheme="minorBidi"/>
      <w:sz w:val="22"/>
      <w:szCs w:val="22"/>
      <w:lang w:val="en-US" w:eastAsia="en-US"/>
    </w:rPr>
  </w:style>
  <w:style w:type="character" w:customStyle="1" w:styleId="NoSpacingChar">
    <w:name w:val="No Spacing Char"/>
    <w:basedOn w:val="DefaultParagraphFont"/>
    <w:link w:val="NoSpacing"/>
    <w:uiPriority w:val="1"/>
    <w:rsid w:val="007A217F"/>
    <w:rPr>
      <w:rFonts w:asciiTheme="minorHAnsi" w:eastAsiaTheme="minorEastAsia" w:hAnsiTheme="minorHAnsi" w:cstheme="minorBidi"/>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glossaryDocument" Target="glossary/document.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3D8CE4747CB4476AB5979608FAA5497"/>
        <w:category>
          <w:name w:val="General"/>
          <w:gallery w:val="placeholder"/>
        </w:category>
        <w:types>
          <w:type w:val="bbPlcHdr"/>
        </w:types>
        <w:behaviors>
          <w:behavior w:val="content"/>
        </w:behaviors>
        <w:guid w:val="{B0AB2FEA-024A-47BD-9E0C-32997F462EDF}"/>
      </w:docPartPr>
      <w:docPartBody>
        <w:p w:rsidR="00000000" w:rsidRDefault="00CA75A4" w:rsidP="00CA75A4">
          <w:pPr>
            <w:pStyle w:val="B3D8CE4747CB4476AB5979608FAA5497"/>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EE"/>
    <w:family w:val="roman"/>
    <w:pitch w:val="variable"/>
    <w:sig w:usb0="E0002EFF" w:usb1="C000785B" w:usb2="00000009" w:usb3="00000000" w:csb0="000001FF" w:csb1="00000000"/>
  </w:font>
  <w:font w:name="Arial">
    <w:panose1 w:val="020B0604020202020204"/>
    <w:charset w:val="EE"/>
    <w:family w:val="swiss"/>
    <w:pitch w:val="variable"/>
    <w:sig w:usb0="E0002EFF" w:usb1="C000785B" w:usb2="00000009" w:usb3="00000000" w:csb0="000001FF" w:csb1="00000000"/>
  </w:font>
  <w:font w:name="Cambria">
    <w:panose1 w:val="02040503050406030204"/>
    <w:charset w:val="EE"/>
    <w:family w:val="roman"/>
    <w:pitch w:val="variable"/>
    <w:sig w:usb0="E00006FF" w:usb1="420024FF" w:usb2="02000000" w:usb3="00000000" w:csb0="0000019F" w:csb1="00000000"/>
  </w:font>
  <w:font w:name="Calibri">
    <w:panose1 w:val="020F0502020204030204"/>
    <w:charset w:val="EE"/>
    <w:family w:val="swiss"/>
    <w:pitch w:val="variable"/>
    <w:sig w:usb0="E4002EFF" w:usb1="C000247B" w:usb2="00000009" w:usb3="00000000" w:csb0="000001FF" w:csb1="00000000"/>
  </w:font>
  <w:font w:name="Calibri Light">
    <w:panose1 w:val="020F0302020204030204"/>
    <w:charset w:val="EE"/>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75A4"/>
    <w:rsid w:val="00A51873"/>
    <w:rsid w:val="00CA75A4"/>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ro-RO" w:eastAsia="ro-RO"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3D8CE4747CB4476AB5979608FAA5497">
    <w:name w:val="B3D8CE4747CB4476AB5979608FAA5497"/>
    <w:rsid w:val="00CA75A4"/>
  </w:style>
  <w:style w:type="paragraph" w:customStyle="1" w:styleId="01017AC6CCBE46DE848349FD829AF115">
    <w:name w:val="01017AC6CCBE46DE848349FD829AF115"/>
    <w:rsid w:val="00CA75A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9</Pages>
  <Words>1807</Words>
  <Characters>10484</Characters>
  <Application>Microsoft Office Word</Application>
  <DocSecurity>0</DocSecurity>
  <Lines>87</Lines>
  <Paragraphs>24</Paragraphs>
  <ScaleCrop>false</ScaleCrop>
  <Company>Mihnea alexandru antonescu</Company>
  <LinksUpToDate>false</LinksUpToDate>
  <CharactersWithSpaces>12267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Learning in the DIgital era</dc:title>
  <cp:lastModifiedBy>mihnea.antonescu1@outlook.com</cp:lastModifiedBy>
  <cp:revision>2</cp:revision>
  <dcterms:created xsi:type="dcterms:W3CDTF">2022-11-11T20:37:00Z</dcterms:created>
  <dcterms:modified xsi:type="dcterms:W3CDTF">2022-11-11T20:39:00Z</dcterms:modified>
</cp:coreProperties>
</file>