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8F0B1" w14:textId="6A7A0239" w:rsidR="00F735B3" w:rsidRPr="00867D70" w:rsidRDefault="00F735B3" w:rsidP="00F735B3">
      <w:pPr>
        <w:pStyle w:val="NoSpacing"/>
        <w:rPr>
          <w:sz w:val="24"/>
          <w:szCs w:val="24"/>
          <w:u w:val="single"/>
          <w:lang w:val="en-GB"/>
        </w:rPr>
      </w:pPr>
      <w:r w:rsidRPr="00867D70">
        <w:rPr>
          <w:sz w:val="24"/>
          <w:szCs w:val="24"/>
          <w:u w:val="single"/>
          <w:lang w:val="en-GB"/>
        </w:rPr>
        <w:t>ECAD6001/C – Rhys Hughes</w:t>
      </w:r>
    </w:p>
    <w:p w14:paraId="65B43865" w14:textId="4DE465EA" w:rsidR="00867D70" w:rsidRDefault="00867D70" w:rsidP="00F735B3">
      <w:pPr>
        <w:pStyle w:val="NoSpacing"/>
        <w:rPr>
          <w:b/>
          <w:bCs/>
          <w:sz w:val="24"/>
          <w:szCs w:val="24"/>
          <w:u w:val="single"/>
          <w:lang w:val="en-GB"/>
        </w:rPr>
      </w:pPr>
    </w:p>
    <w:p w14:paraId="6E40B5CF" w14:textId="77777777" w:rsidR="00867D70" w:rsidRDefault="00867D70" w:rsidP="00867D70">
      <w:pPr>
        <w:pStyle w:val="NoSpacing"/>
        <w:spacing w:line="360" w:lineRule="auto"/>
        <w:rPr>
          <w:sz w:val="24"/>
          <w:szCs w:val="24"/>
        </w:rPr>
      </w:pPr>
      <w:r>
        <w:rPr>
          <w:b/>
          <w:bCs/>
          <w:sz w:val="24"/>
          <w:szCs w:val="24"/>
          <w:u w:val="single"/>
        </w:rPr>
        <w:t>Cyflwyniad</w:t>
      </w:r>
    </w:p>
    <w:p w14:paraId="438BB565" w14:textId="77777777" w:rsidR="00867D70" w:rsidRDefault="00867D70" w:rsidP="00867D70">
      <w:pPr>
        <w:pStyle w:val="NoSpacing"/>
        <w:spacing w:line="360" w:lineRule="auto"/>
        <w:rPr>
          <w:sz w:val="24"/>
          <w:szCs w:val="24"/>
        </w:rPr>
      </w:pPr>
      <w:r>
        <w:rPr>
          <w:rFonts w:ascii="Calibri" w:hAnsi="Calibri" w:cs="Calibri"/>
          <w:sz w:val="24"/>
          <w:szCs w:val="24"/>
        </w:rPr>
        <w:t>Awgryma Cremin a Burnett (2018, t.315) bod yr “ymyrraeth fwyaf effeithiol yn digwydd cyn i’r athro byth cyrraedd y dosbarth - yn y broses o gynllunio a threfnu gweithgareddau a dulliau.” Hynny yw bod pwyslais mawr ar yr hyn sydd yn digwydd y tu allan i’r gwersi ffurfiol, ac mae rôl fawr ar yr athro i gynllunio yn ofalus er mwyn sicrhau’r addysg gorau. Yn ystod y modiwl yma, edrychwyd ar nifer o feysydd gwahanol sy’n cael effaith ar ysgolion ac addysg plant heddiw. Yn benodol astudiwyd themâu megis trosglwyddiad, hawliau plant a thlodi ac amddifadedd, a’r gallu i weithredu ymyraethau er mwyn datrys problemau yn y meysydd hynny. Nod yr aseiniad yma felly yw cyflwyno ymyrraeth i’w weithredu o fewn ysgol gynradd benodol, a bydd yn cwmpasu rhai o’r themâu yma, er mwyn ateb gofyniad mewn ysgol a gwella'r ymarfer sydd yn digwydd ynddo. Bydd yr ymyrraeth yn cael ei gyflwyno ar ffurf fideo i grŵp o lywodraethwyr, gan esbonio ei bwrpas a sut yn union gweithredir yr ymyrraeth.</w:t>
      </w:r>
    </w:p>
    <w:p w14:paraId="61BAAC72" w14:textId="2325CF7A" w:rsidR="00867D70" w:rsidRDefault="00867D70" w:rsidP="00867D70">
      <w:pPr>
        <w:pStyle w:val="NoSpacing"/>
        <w:spacing w:line="360" w:lineRule="auto"/>
        <w:rPr>
          <w:rFonts w:ascii="Calibri" w:hAnsi="Calibri" w:cs="Calibri"/>
          <w:sz w:val="24"/>
          <w:szCs w:val="24"/>
        </w:rPr>
      </w:pPr>
      <w:r>
        <w:rPr>
          <w:rFonts w:ascii="Calibri" w:hAnsi="Calibri" w:cs="Calibri"/>
          <w:sz w:val="24"/>
          <w:szCs w:val="24"/>
        </w:rPr>
        <w:t>Yn benodol, wrth feddwl am y modiwl yma, mae’r gwaith ar drosglwyddo, cynnydd cwricwlaidd, ac ar y defnydd o rhanddeiliaid wedi cael effaith mawr ar yr ymyrraeth a ddisgrifir yn y ffeil yma. O ran trosglwyddo, yn benodol mae pwyslais mawr ar drosglwyddiad llorweddol effeithiol ynddo, gan geisio gwella'r ffordd mae plant yn mynd o un dasg i’r nesaf, gan sicrhau dilyniant yn y dysgu a gweithgareddau effeithiol. Hanfodol yw trosglwyddiad effeithiol wrth i blant mynd o wers i wers, gan mae dim wedyn y gellir eu gweld yn adeiladu ar wybodaeth, dealltwriaeth a sgiliau blaenorol. Gwelir pwysigrwydd dilyniant yn hyn felly, a’r angen am dasgau bydd yn helpu’r plant i symud ymlaen trwy weithio mewn “ffyrdd dadansoddol cynyddol, trin deunydd a syniadau mwy cymhleth, adeiladu profiadau eu hunain a gydag anogaeth, archwilio meysydd cynnwys sydd yn dechnegol yn gorwedd y tu allan i’r cwricwlwm” (Grigg, 2010, t.250). Y gobaith yw trwy’r ymyrraeth yma y bydd fwy o ddilyniant yn y dysgu, gyda safonau academaidd y plant yn cynyddu, a’r athro’n gwneud defnydd effeithiol o rhanddeiliaid yn y gymuned i gefnogi’r dysgu. Y gobaith yw y bydd gwelliant yn yr addysg yn Ysgol A, ac y bydd yr ymyrraeth yma’n cael effaith cadarnhaol dros ben. Yn y ffeil yma felly, cyflwynir yr ymyrraeth gan esbonio’i effaith a’i phwrpas.</w:t>
      </w:r>
    </w:p>
    <w:p w14:paraId="51E5D215" w14:textId="77777777" w:rsidR="00073E41" w:rsidRDefault="00073E41" w:rsidP="00867D70">
      <w:pPr>
        <w:pStyle w:val="NoSpacing"/>
        <w:spacing w:line="360" w:lineRule="auto"/>
        <w:rPr>
          <w:rFonts w:ascii="Calibri" w:hAnsi="Calibri" w:cs="Calibri"/>
          <w:sz w:val="24"/>
          <w:szCs w:val="24"/>
        </w:rPr>
      </w:pPr>
    </w:p>
    <w:p w14:paraId="59CAF299" w14:textId="1F491636" w:rsidR="00867D70" w:rsidRPr="0040461D" w:rsidRDefault="00867D70" w:rsidP="00867D70">
      <w:pPr>
        <w:pStyle w:val="NoSpacing"/>
        <w:spacing w:line="360" w:lineRule="auto"/>
        <w:rPr>
          <w:sz w:val="24"/>
          <w:szCs w:val="24"/>
        </w:rPr>
      </w:pPr>
      <w:r w:rsidRPr="0040461D">
        <w:rPr>
          <w:b/>
          <w:bCs/>
          <w:sz w:val="24"/>
          <w:szCs w:val="24"/>
          <w:u w:val="single"/>
        </w:rPr>
        <w:lastRenderedPageBreak/>
        <w:t>Cyd-destun yr Ysgol</w:t>
      </w:r>
    </w:p>
    <w:p w14:paraId="59C9B53E" w14:textId="02BB94DF" w:rsidR="00867D70" w:rsidRDefault="00867D70" w:rsidP="00867D70">
      <w:pPr>
        <w:pStyle w:val="NoSpacing"/>
        <w:spacing w:line="360" w:lineRule="auto"/>
        <w:rPr>
          <w:rFonts w:ascii="Calibri" w:hAnsi="Calibri" w:cs="Calibri"/>
          <w:sz w:val="24"/>
          <w:szCs w:val="24"/>
        </w:rPr>
      </w:pPr>
      <w:r>
        <w:rPr>
          <w:rFonts w:ascii="Calibri" w:hAnsi="Calibri" w:cs="Calibri"/>
          <w:sz w:val="24"/>
          <w:szCs w:val="24"/>
        </w:rPr>
        <w:t>Mae Ysgol A wedi ei leoli mewn pentref bach yng nghanol cefn gwlad Gwynedd. Mae 73 disgybl rhwng 4 ac 11 oed yn yr ysgol, gan gynnwys wyth yn y dosbarth meithrin. Maent yn cael eu rhannu i mewn i bedwar dosbarth oedran cymysg. Caiff y plant eu haddysgu gan dair athrawes ac un athro llawn-amser, yn ogystal ag athro CPA. Ysgol cyfrwng Cymraeg yw hi, ac mae tua 60% o’r disgyblion yn siarad Cymraeg yn eu cartrefi. Nid oes lawer o ddisgyblion yn yr ysgol sydd yn dod o gefndir lleiafrifol ethnig. Caiff prydau ysgol am ddim eu derbyn gan tua 20% o’r plant, a thua 18% o’r disgyblion fel rhai sy’n cael eu hadnabod fel rhai ag anghenion dysgu ychwanegol. Nifer fach iawn o blant sydd â datganiad o anghenion addysgol arbennig. Cyn mis Mesi 2019, cafodd yr arolygiad diwethaf yn yr ysgol ei gynnal gan Estyn yn 2014. Fe arolygwyd yr ysgol gan Estyn yn ddiweddar iawn felly, gan dderbyn sylwadau bod angen gwelliant mewn ystod o feysydd. Penodwyd y pennaeth i arwain yr ysgol yn 2017, a chyn hynny roedd yr ysgol yng ngofal y dirprwy pennaeth presennol am chwe mis.</w:t>
      </w:r>
    </w:p>
    <w:p w14:paraId="714AF152" w14:textId="1A83B202" w:rsidR="00A26320" w:rsidRDefault="00A26320" w:rsidP="00867D70">
      <w:pPr>
        <w:pStyle w:val="NoSpacing"/>
        <w:spacing w:line="360" w:lineRule="auto"/>
        <w:rPr>
          <w:rFonts w:ascii="Calibri" w:hAnsi="Calibri" w:cs="Calibri"/>
          <w:sz w:val="24"/>
          <w:szCs w:val="24"/>
        </w:rPr>
      </w:pPr>
    </w:p>
    <w:p w14:paraId="4950C088" w14:textId="39F6F806" w:rsidR="00A26320" w:rsidRDefault="00A26320" w:rsidP="00867D70">
      <w:pPr>
        <w:pStyle w:val="NoSpacing"/>
        <w:spacing w:line="360" w:lineRule="auto"/>
        <w:rPr>
          <w:rFonts w:ascii="Calibri" w:hAnsi="Calibri" w:cs="Calibri"/>
          <w:sz w:val="24"/>
          <w:szCs w:val="24"/>
        </w:rPr>
      </w:pPr>
    </w:p>
    <w:p w14:paraId="5295D71E" w14:textId="596A8B0A" w:rsidR="00A26320" w:rsidRDefault="00A26320" w:rsidP="00867D70">
      <w:pPr>
        <w:pStyle w:val="NoSpacing"/>
        <w:spacing w:line="360" w:lineRule="auto"/>
        <w:rPr>
          <w:rFonts w:ascii="Calibri" w:hAnsi="Calibri" w:cs="Calibri"/>
          <w:sz w:val="24"/>
          <w:szCs w:val="24"/>
        </w:rPr>
      </w:pPr>
    </w:p>
    <w:p w14:paraId="6764E31C" w14:textId="24699944" w:rsidR="00A26320" w:rsidRDefault="00A26320" w:rsidP="00867D70">
      <w:pPr>
        <w:pStyle w:val="NoSpacing"/>
        <w:spacing w:line="360" w:lineRule="auto"/>
        <w:rPr>
          <w:rFonts w:ascii="Calibri" w:hAnsi="Calibri" w:cs="Calibri"/>
          <w:sz w:val="24"/>
          <w:szCs w:val="24"/>
        </w:rPr>
      </w:pPr>
    </w:p>
    <w:p w14:paraId="0229955B" w14:textId="10537AC2" w:rsidR="00A26320" w:rsidRDefault="00A26320" w:rsidP="00867D70">
      <w:pPr>
        <w:pStyle w:val="NoSpacing"/>
        <w:spacing w:line="360" w:lineRule="auto"/>
        <w:rPr>
          <w:rFonts w:ascii="Calibri" w:hAnsi="Calibri" w:cs="Calibri"/>
          <w:sz w:val="24"/>
          <w:szCs w:val="24"/>
        </w:rPr>
      </w:pPr>
    </w:p>
    <w:p w14:paraId="6D992EE1" w14:textId="28A86CBE" w:rsidR="00A26320" w:rsidRDefault="00A26320" w:rsidP="00867D70">
      <w:pPr>
        <w:pStyle w:val="NoSpacing"/>
        <w:spacing w:line="360" w:lineRule="auto"/>
        <w:rPr>
          <w:rFonts w:ascii="Calibri" w:hAnsi="Calibri" w:cs="Calibri"/>
          <w:sz w:val="24"/>
          <w:szCs w:val="24"/>
        </w:rPr>
      </w:pPr>
    </w:p>
    <w:p w14:paraId="60608A5D" w14:textId="72A90DB7" w:rsidR="00A26320" w:rsidRDefault="00A26320" w:rsidP="00867D70">
      <w:pPr>
        <w:pStyle w:val="NoSpacing"/>
        <w:spacing w:line="360" w:lineRule="auto"/>
        <w:rPr>
          <w:rFonts w:ascii="Calibri" w:hAnsi="Calibri" w:cs="Calibri"/>
          <w:sz w:val="24"/>
          <w:szCs w:val="24"/>
        </w:rPr>
      </w:pPr>
    </w:p>
    <w:p w14:paraId="5A800FF4" w14:textId="7DF0E1D2" w:rsidR="00A26320" w:rsidRDefault="00A26320" w:rsidP="00867D70">
      <w:pPr>
        <w:pStyle w:val="NoSpacing"/>
        <w:spacing w:line="360" w:lineRule="auto"/>
        <w:rPr>
          <w:rFonts w:ascii="Calibri" w:hAnsi="Calibri" w:cs="Calibri"/>
          <w:sz w:val="24"/>
          <w:szCs w:val="24"/>
        </w:rPr>
      </w:pPr>
    </w:p>
    <w:p w14:paraId="1D1441DB" w14:textId="2D2F3F1C" w:rsidR="00A26320" w:rsidRDefault="00A26320" w:rsidP="00867D70">
      <w:pPr>
        <w:pStyle w:val="NoSpacing"/>
        <w:spacing w:line="360" w:lineRule="auto"/>
        <w:rPr>
          <w:rFonts w:ascii="Calibri" w:hAnsi="Calibri" w:cs="Calibri"/>
          <w:sz w:val="24"/>
          <w:szCs w:val="24"/>
        </w:rPr>
      </w:pPr>
    </w:p>
    <w:p w14:paraId="0894D2C4" w14:textId="50666884" w:rsidR="00A26320" w:rsidRDefault="00A26320" w:rsidP="00867D70">
      <w:pPr>
        <w:pStyle w:val="NoSpacing"/>
        <w:spacing w:line="360" w:lineRule="auto"/>
        <w:rPr>
          <w:rFonts w:ascii="Calibri" w:hAnsi="Calibri" w:cs="Calibri"/>
          <w:sz w:val="24"/>
          <w:szCs w:val="24"/>
        </w:rPr>
      </w:pPr>
    </w:p>
    <w:p w14:paraId="03C47C74" w14:textId="23E72238" w:rsidR="00A26320" w:rsidRDefault="00A26320" w:rsidP="00867D70">
      <w:pPr>
        <w:pStyle w:val="NoSpacing"/>
        <w:spacing w:line="360" w:lineRule="auto"/>
        <w:rPr>
          <w:rFonts w:ascii="Calibri" w:hAnsi="Calibri" w:cs="Calibri"/>
          <w:sz w:val="24"/>
          <w:szCs w:val="24"/>
        </w:rPr>
      </w:pPr>
    </w:p>
    <w:p w14:paraId="75187B08" w14:textId="4734E70E" w:rsidR="00A26320" w:rsidRDefault="00A26320" w:rsidP="00867D70">
      <w:pPr>
        <w:pStyle w:val="NoSpacing"/>
        <w:spacing w:line="360" w:lineRule="auto"/>
        <w:rPr>
          <w:rFonts w:ascii="Calibri" w:hAnsi="Calibri" w:cs="Calibri"/>
          <w:sz w:val="24"/>
          <w:szCs w:val="24"/>
        </w:rPr>
      </w:pPr>
    </w:p>
    <w:p w14:paraId="5390D562" w14:textId="7656ED82" w:rsidR="00A26320" w:rsidRDefault="00A26320" w:rsidP="00867D70">
      <w:pPr>
        <w:pStyle w:val="NoSpacing"/>
        <w:spacing w:line="360" w:lineRule="auto"/>
        <w:rPr>
          <w:rFonts w:ascii="Calibri" w:hAnsi="Calibri" w:cs="Calibri"/>
          <w:sz w:val="24"/>
          <w:szCs w:val="24"/>
        </w:rPr>
      </w:pPr>
    </w:p>
    <w:p w14:paraId="7FE29D6B" w14:textId="33BE0231" w:rsidR="00A26320" w:rsidRDefault="00A26320" w:rsidP="00867D70">
      <w:pPr>
        <w:pStyle w:val="NoSpacing"/>
        <w:spacing w:line="360" w:lineRule="auto"/>
        <w:rPr>
          <w:rFonts w:ascii="Calibri" w:hAnsi="Calibri" w:cs="Calibri"/>
          <w:sz w:val="24"/>
          <w:szCs w:val="24"/>
        </w:rPr>
      </w:pPr>
    </w:p>
    <w:p w14:paraId="1B66D012" w14:textId="5248F3D7" w:rsidR="00A26320" w:rsidRDefault="00A26320" w:rsidP="00867D70">
      <w:pPr>
        <w:pStyle w:val="NoSpacing"/>
        <w:spacing w:line="360" w:lineRule="auto"/>
        <w:rPr>
          <w:rFonts w:ascii="Calibri" w:hAnsi="Calibri" w:cs="Calibri"/>
          <w:sz w:val="24"/>
          <w:szCs w:val="24"/>
        </w:rPr>
      </w:pPr>
    </w:p>
    <w:p w14:paraId="53BF6CE0" w14:textId="71C0AB2F" w:rsidR="00A26320" w:rsidRDefault="00A26320" w:rsidP="00867D70">
      <w:pPr>
        <w:pStyle w:val="NoSpacing"/>
        <w:spacing w:line="360" w:lineRule="auto"/>
        <w:rPr>
          <w:rFonts w:ascii="Calibri" w:hAnsi="Calibri" w:cs="Calibri"/>
          <w:sz w:val="24"/>
          <w:szCs w:val="24"/>
        </w:rPr>
      </w:pPr>
    </w:p>
    <w:p w14:paraId="077413CD" w14:textId="0B285E57" w:rsidR="00A26320" w:rsidRDefault="00A26320" w:rsidP="00867D70">
      <w:pPr>
        <w:pStyle w:val="NoSpacing"/>
        <w:spacing w:line="360" w:lineRule="auto"/>
        <w:rPr>
          <w:rFonts w:ascii="Calibri" w:hAnsi="Calibri" w:cs="Calibri"/>
          <w:sz w:val="24"/>
          <w:szCs w:val="24"/>
        </w:rPr>
      </w:pPr>
    </w:p>
    <w:p w14:paraId="26B7F24B" w14:textId="77777777" w:rsidR="00A26320" w:rsidRDefault="00A26320" w:rsidP="00867D70">
      <w:pPr>
        <w:pStyle w:val="NoSpacing"/>
        <w:spacing w:line="360" w:lineRule="auto"/>
        <w:rPr>
          <w:rFonts w:ascii="Calibri" w:hAnsi="Calibri" w:cs="Calibri"/>
          <w:sz w:val="24"/>
          <w:szCs w:val="24"/>
        </w:rPr>
      </w:pPr>
    </w:p>
    <w:p w14:paraId="2717B05C" w14:textId="77777777" w:rsidR="00A26320" w:rsidRPr="009525B4" w:rsidRDefault="00A26320" w:rsidP="00A26320">
      <w:pPr>
        <w:pStyle w:val="NoSpacing"/>
        <w:spacing w:line="360" w:lineRule="auto"/>
        <w:rPr>
          <w:b/>
          <w:bCs/>
          <w:sz w:val="24"/>
          <w:szCs w:val="24"/>
          <w:u w:val="single"/>
        </w:rPr>
      </w:pPr>
      <w:r w:rsidRPr="009525B4">
        <w:rPr>
          <w:b/>
          <w:bCs/>
          <w:sz w:val="24"/>
          <w:szCs w:val="24"/>
          <w:u w:val="single"/>
        </w:rPr>
        <w:lastRenderedPageBreak/>
        <w:t>Disgrifiad o’r ymyrraeth</w:t>
      </w:r>
    </w:p>
    <w:p w14:paraId="52D57B22" w14:textId="77777777" w:rsidR="00A26320" w:rsidRPr="009525B4" w:rsidRDefault="00A26320" w:rsidP="00A26320">
      <w:pPr>
        <w:pStyle w:val="NoSpacing"/>
        <w:spacing w:line="360" w:lineRule="auto"/>
        <w:rPr>
          <w:sz w:val="24"/>
          <w:szCs w:val="24"/>
        </w:rPr>
      </w:pPr>
      <w:r w:rsidRPr="009525B4">
        <w:rPr>
          <w:rFonts w:ascii="Calibri" w:hAnsi="Calibri" w:cs="Calibri"/>
          <w:sz w:val="24"/>
          <w:szCs w:val="24"/>
        </w:rPr>
        <w:t>Mae nifer o resymau pam bod angen ar yr ymyrraeth. Ym mis Medi 2019, c</w:t>
      </w:r>
      <w:r>
        <w:rPr>
          <w:rFonts w:ascii="Calibri" w:hAnsi="Calibri" w:cs="Calibri"/>
          <w:sz w:val="24"/>
          <w:szCs w:val="24"/>
        </w:rPr>
        <w:t>ynhaliwyd</w:t>
      </w:r>
      <w:r w:rsidRPr="009525B4">
        <w:rPr>
          <w:rFonts w:ascii="Calibri" w:hAnsi="Calibri" w:cs="Calibri"/>
          <w:sz w:val="24"/>
          <w:szCs w:val="24"/>
        </w:rPr>
        <w:t xml:space="preserve"> arolygiad gan Estyn</w:t>
      </w:r>
      <w:r>
        <w:rPr>
          <w:rFonts w:ascii="Calibri" w:hAnsi="Calibri" w:cs="Calibri"/>
          <w:sz w:val="24"/>
          <w:szCs w:val="24"/>
        </w:rPr>
        <w:t xml:space="preserve"> yn Ysgol A</w:t>
      </w:r>
      <w:r w:rsidRPr="009525B4">
        <w:rPr>
          <w:rFonts w:ascii="Calibri" w:hAnsi="Calibri" w:cs="Calibri"/>
          <w:sz w:val="24"/>
          <w:szCs w:val="24"/>
        </w:rPr>
        <w:t>, ac yn anffodus uwcholeuwyd nifer o feysydd ble mae angen gwelliant. Mae pedwar o’r sylwadau a roddwyd ganddynt yn sail i’r ymyrraeth</w:t>
      </w:r>
      <w:r>
        <w:rPr>
          <w:rFonts w:ascii="Calibri" w:hAnsi="Calibri" w:cs="Calibri"/>
          <w:sz w:val="24"/>
          <w:szCs w:val="24"/>
        </w:rPr>
        <w:t xml:space="preserve"> yma felly,</w:t>
      </w:r>
      <w:r w:rsidRPr="009525B4">
        <w:rPr>
          <w:rFonts w:ascii="Calibri" w:hAnsi="Calibri" w:cs="Calibri"/>
          <w:sz w:val="24"/>
          <w:szCs w:val="24"/>
        </w:rPr>
        <w:t xml:space="preserve"> a’r bwriad yw y bydd yr ymyrraeth yn sicrhau gwelliant ym mhob un o’r meysydd </w:t>
      </w:r>
      <w:r>
        <w:rPr>
          <w:rFonts w:ascii="Calibri" w:hAnsi="Calibri" w:cs="Calibri"/>
          <w:sz w:val="24"/>
          <w:szCs w:val="24"/>
        </w:rPr>
        <w:t>dilynol</w:t>
      </w:r>
      <w:r w:rsidRPr="009525B4">
        <w:rPr>
          <w:rFonts w:ascii="Calibri" w:hAnsi="Calibri" w:cs="Calibri"/>
          <w:sz w:val="24"/>
          <w:szCs w:val="24"/>
        </w:rPr>
        <w:t>:</w:t>
      </w:r>
    </w:p>
    <w:p w14:paraId="62E1ACA7" w14:textId="77777777" w:rsidR="00A26320" w:rsidRPr="009525B4" w:rsidRDefault="00A26320" w:rsidP="00A26320">
      <w:pPr>
        <w:pStyle w:val="NoSpacing"/>
        <w:numPr>
          <w:ilvl w:val="0"/>
          <w:numId w:val="1"/>
        </w:numPr>
        <w:spacing w:line="360" w:lineRule="auto"/>
        <w:rPr>
          <w:sz w:val="24"/>
          <w:szCs w:val="24"/>
        </w:rPr>
      </w:pPr>
      <w:r>
        <w:rPr>
          <w:rFonts w:ascii="Calibri" w:hAnsi="Calibri" w:cs="Calibri"/>
          <w:sz w:val="24"/>
          <w:szCs w:val="24"/>
        </w:rPr>
        <w:t>Esboniwyd nad yw’r cynllunio yn ddigon da, ac oherwydd hynny nad oes ddigon o gysylltiad rhwng gwersi neu wahanol bynciau yn cael ei wneud. Golyga hyn bod tueddiad felly i wersi bod yn arunig ac yn amherthnasol i’w gilydd. Mae hefyd tueddiad i wahanol bynciau peidio cael eu plethu at ei gilydd, gan felly arwain at ddiffyg defnydd o sgiliau gwahanol o fewn yr un wers, a diffyg dilyniant yn y gwaith.</w:t>
      </w:r>
    </w:p>
    <w:p w14:paraId="06A972B1" w14:textId="77777777" w:rsidR="00A26320" w:rsidRPr="009525B4" w:rsidRDefault="00A26320" w:rsidP="00A26320">
      <w:pPr>
        <w:pStyle w:val="NoSpacing"/>
        <w:numPr>
          <w:ilvl w:val="0"/>
          <w:numId w:val="1"/>
        </w:numPr>
        <w:spacing w:line="360" w:lineRule="auto"/>
        <w:rPr>
          <w:sz w:val="24"/>
          <w:szCs w:val="24"/>
        </w:rPr>
      </w:pPr>
      <w:r w:rsidRPr="009525B4">
        <w:rPr>
          <w:rFonts w:ascii="Calibri" w:hAnsi="Calibri" w:cs="Calibri"/>
          <w:sz w:val="24"/>
          <w:szCs w:val="24"/>
        </w:rPr>
        <w:t xml:space="preserve">Esboniwyd nad oes digon o gyfleoedd i ddisgyblion dysgu trwy </w:t>
      </w:r>
      <w:r>
        <w:rPr>
          <w:rFonts w:ascii="Calibri" w:hAnsi="Calibri" w:cs="Calibri"/>
          <w:sz w:val="24"/>
          <w:szCs w:val="24"/>
        </w:rPr>
        <w:t>y</w:t>
      </w:r>
      <w:r w:rsidRPr="009525B4">
        <w:rPr>
          <w:rFonts w:ascii="Calibri" w:hAnsi="Calibri" w:cs="Calibri"/>
          <w:sz w:val="24"/>
          <w:szCs w:val="24"/>
        </w:rPr>
        <w:t xml:space="preserve">mweliadau y tu allan i’r ysgol, ac felly nad oes digon o gysylltiad neu ddefnydd yn cael ei wneud </w:t>
      </w:r>
      <w:r>
        <w:rPr>
          <w:rFonts w:ascii="Calibri" w:hAnsi="Calibri" w:cs="Calibri"/>
          <w:sz w:val="24"/>
          <w:szCs w:val="24"/>
        </w:rPr>
        <w:t>gyda</w:t>
      </w:r>
      <w:r w:rsidRPr="009525B4">
        <w:rPr>
          <w:rFonts w:ascii="Calibri" w:hAnsi="Calibri" w:cs="Calibri"/>
          <w:sz w:val="24"/>
          <w:szCs w:val="24"/>
        </w:rPr>
        <w:t>’r gymuned leol fel adnodd dysgu.</w:t>
      </w:r>
    </w:p>
    <w:p w14:paraId="2DA1929F" w14:textId="77777777" w:rsidR="00A26320" w:rsidRPr="009525B4" w:rsidRDefault="00A26320" w:rsidP="00A26320">
      <w:pPr>
        <w:pStyle w:val="NoSpacing"/>
        <w:numPr>
          <w:ilvl w:val="0"/>
          <w:numId w:val="1"/>
        </w:numPr>
        <w:spacing w:line="360" w:lineRule="auto"/>
        <w:rPr>
          <w:sz w:val="24"/>
          <w:szCs w:val="24"/>
        </w:rPr>
      </w:pPr>
      <w:r w:rsidRPr="009525B4">
        <w:rPr>
          <w:rFonts w:ascii="Calibri" w:hAnsi="Calibri" w:cs="Calibri"/>
          <w:sz w:val="24"/>
          <w:szCs w:val="24"/>
        </w:rPr>
        <w:t xml:space="preserve">Wrth arsylwi ar y gwersi, mynegwyd nad oedd </w:t>
      </w:r>
      <w:r>
        <w:rPr>
          <w:rFonts w:ascii="Calibri" w:hAnsi="Calibri" w:cs="Calibri"/>
          <w:sz w:val="24"/>
          <w:szCs w:val="24"/>
        </w:rPr>
        <w:t>digon o f</w:t>
      </w:r>
      <w:r w:rsidRPr="009525B4">
        <w:rPr>
          <w:rFonts w:ascii="Calibri" w:hAnsi="Calibri" w:cs="Calibri"/>
          <w:sz w:val="24"/>
          <w:szCs w:val="24"/>
        </w:rPr>
        <w:t>rwdfrydedd gan y plant, ac felly nad oeddynt yn barod i wneud y gwaith neu’n dysgu’n ymhellach. Yn benodol, disgrifiwyd y gallai hyn fod oherwydd diffyg sbardun ar gychwyn y gyfres o wersi, neu o achos cynnwys diflas.</w:t>
      </w:r>
    </w:p>
    <w:p w14:paraId="2A829895" w14:textId="77777777" w:rsidR="00A26320" w:rsidRPr="009525B4" w:rsidRDefault="00A26320" w:rsidP="00A26320">
      <w:pPr>
        <w:pStyle w:val="NoSpacing"/>
        <w:numPr>
          <w:ilvl w:val="0"/>
          <w:numId w:val="1"/>
        </w:numPr>
        <w:spacing w:line="360" w:lineRule="auto"/>
        <w:rPr>
          <w:sz w:val="24"/>
          <w:szCs w:val="24"/>
        </w:rPr>
      </w:pPr>
      <w:r w:rsidRPr="009525B4">
        <w:rPr>
          <w:rFonts w:ascii="Calibri" w:hAnsi="Calibri" w:cs="Calibri"/>
          <w:sz w:val="24"/>
          <w:szCs w:val="24"/>
        </w:rPr>
        <w:t xml:space="preserve">Esboniwyd nad oedd </w:t>
      </w:r>
      <w:r>
        <w:rPr>
          <w:rFonts w:ascii="Calibri" w:hAnsi="Calibri" w:cs="Calibri"/>
          <w:sz w:val="24"/>
          <w:szCs w:val="24"/>
        </w:rPr>
        <w:t xml:space="preserve">y plant yn cael eu cynnwys digon </w:t>
      </w:r>
      <w:r w:rsidRPr="009525B4">
        <w:rPr>
          <w:rFonts w:ascii="Calibri" w:hAnsi="Calibri" w:cs="Calibri"/>
          <w:sz w:val="24"/>
          <w:szCs w:val="24"/>
        </w:rPr>
        <w:t xml:space="preserve">wrth wneud penderfyniadau yn y dosbarth neu’r ysgol gyfan. </w:t>
      </w:r>
    </w:p>
    <w:p w14:paraId="6F245628" w14:textId="77777777" w:rsidR="00A26320" w:rsidRPr="009525B4" w:rsidRDefault="00A26320" w:rsidP="00A26320">
      <w:pPr>
        <w:pStyle w:val="NoSpacing"/>
        <w:spacing w:line="360" w:lineRule="auto"/>
        <w:rPr>
          <w:b/>
          <w:bCs/>
          <w:color w:val="FF0000"/>
          <w:sz w:val="24"/>
          <w:szCs w:val="24"/>
        </w:rPr>
      </w:pPr>
      <w:r>
        <w:rPr>
          <w:rFonts w:ascii="Calibri" w:hAnsi="Calibri" w:cs="Calibri"/>
          <w:sz w:val="24"/>
          <w:szCs w:val="24"/>
        </w:rPr>
        <w:t>Yn seiliedig ar y sylwadau yma gan Estyn felly, dyma ddisgrifiad o sut bydd yr ymyrraeth yn cael ei weithredu. Ei enw yw ‘Dysgu’n seiliedig ar brofiad gwaith’ a thargedir plant cyfnod allweddol dau, er mae sgôp y gellir ei ddefnyddio gyda rhai hun y cyfnod sylfaen os yw’n llwyddiannus.</w:t>
      </w:r>
      <w:r>
        <w:rPr>
          <w:rFonts w:ascii="Calibri" w:hAnsi="Calibri" w:cs="Calibri"/>
          <w:b/>
          <w:bCs/>
          <w:color w:val="FF0000"/>
          <w:sz w:val="24"/>
          <w:szCs w:val="24"/>
        </w:rPr>
        <w:t xml:space="preserve"> </w:t>
      </w:r>
      <w:r>
        <w:rPr>
          <w:rFonts w:ascii="Calibri" w:hAnsi="Calibri" w:cs="Calibri"/>
          <w:sz w:val="24"/>
          <w:szCs w:val="24"/>
        </w:rPr>
        <w:t xml:space="preserve">Mae dwy ran i’r ymyrraeth; y rhan profiad, a’r rhan dosbarth. Er hynny, cyn gweithrediad yr ymyrraeth, mae camau paratoi y bydd angen eu cynnal o flaen llaw. I gychwyn, ar ddiwedd y tymor cyntaf, bydd rhestr o feysydd gwahanol ble mae swyddi yn bodoli, yn cael eu cyflwyno i’r plant, megis yr amgylchedd, y stryd fawr a’r gwasanaethau argyfwng. Penodir gwers gan yr athro i drafod y themâu yma gyda’r plant, gan ofyn cwestiynau i sbarduno trafodaeth, ac i weld beth yw dealltwriaeth flaenorol y plant o’r meysydd yma. Bydd yna gyfle i’r plant pleidleisio yn y dosbarth dros y maes yr hoffent ei astudio ymhellach. Ni fydd yn datgelu'r enillydd i’r plant, ac yn wir ni fyddent yn cael gwybod nes eu bod yn dychwelyd yn ôl i’r ysgol ar ôl y gwyliau. Wedi’r drafodaeth a’r </w:t>
      </w:r>
      <w:r>
        <w:rPr>
          <w:rFonts w:ascii="Calibri" w:hAnsi="Calibri" w:cs="Calibri"/>
          <w:sz w:val="24"/>
          <w:szCs w:val="24"/>
        </w:rPr>
        <w:lastRenderedPageBreak/>
        <w:t>bleidlais, esbonnir i’r plant mai maes buddugol bydd thema’r dosbarth yn ystod yr hanner tymor nesaf, a’r maes a ddaeth yn ail bydd thema’r hanner tymor ar ôl hynny.</w:t>
      </w:r>
    </w:p>
    <w:p w14:paraId="600A280D" w14:textId="77777777" w:rsidR="00A26320" w:rsidRPr="009525B4" w:rsidRDefault="00A26320" w:rsidP="00A26320">
      <w:pPr>
        <w:pStyle w:val="NoSpacing"/>
        <w:spacing w:line="360" w:lineRule="auto"/>
        <w:rPr>
          <w:sz w:val="24"/>
          <w:szCs w:val="24"/>
        </w:rPr>
      </w:pPr>
      <w:r w:rsidRPr="009525B4">
        <w:rPr>
          <w:rFonts w:ascii="Calibri" w:hAnsi="Calibri" w:cs="Calibri"/>
          <w:sz w:val="24"/>
          <w:szCs w:val="24"/>
        </w:rPr>
        <w:t>Yn ystod wythnos gyntaf yr hanner tymor dilynol felly, bydd tri diwrnod yn cael eu treulio y tu allan i’r dosbarthiadau</w:t>
      </w:r>
      <w:r>
        <w:rPr>
          <w:rFonts w:ascii="Calibri" w:hAnsi="Calibri" w:cs="Calibri"/>
          <w:sz w:val="24"/>
          <w:szCs w:val="24"/>
        </w:rPr>
        <w:t xml:space="preserve">, ble fydd </w:t>
      </w:r>
      <w:r w:rsidRPr="009525B4">
        <w:rPr>
          <w:rFonts w:ascii="Calibri" w:hAnsi="Calibri" w:cs="Calibri"/>
          <w:sz w:val="24"/>
          <w:szCs w:val="24"/>
        </w:rPr>
        <w:t>cyfle i ymweld â thri gwahanol arbenigwr yn y maes dewisedig, gan hefyd profi a chymryd rhan yn y swydd sydd gan yr arbenigwr penodol. Yn seiliedig ar y thema ‘amgylchedd’, gallai hyn cynnwys diwrnod yn ‘gweithio’ ar fferm, diwrnod yn ‘gweithio’ fel warden y llyn gan gasglu sbwriel yno, a diwrnod yn ‘gweithio’ mewn canolfan garddio. Bydd y plant yn cael cymryd rhan yn y swyddi, gan brofi yn weledol a</w:t>
      </w:r>
      <w:r>
        <w:rPr>
          <w:rFonts w:ascii="Calibri" w:hAnsi="Calibri" w:cs="Calibri"/>
          <w:sz w:val="24"/>
          <w:szCs w:val="24"/>
        </w:rPr>
        <w:t xml:space="preserve">c yn ymarferol </w:t>
      </w:r>
      <w:r w:rsidRPr="009525B4">
        <w:rPr>
          <w:rFonts w:ascii="Calibri" w:hAnsi="Calibri" w:cs="Calibri"/>
          <w:sz w:val="24"/>
          <w:szCs w:val="24"/>
        </w:rPr>
        <w:t>y maes a ddewiswyd ganddynt. Bydd hefyd yn gyfle i’r plant gwasanaethu’r gymuned, gan ymestyn eu dealltwriaeth o’r swyddi a’r hyn sydd yn cael eu gwneud yn eu hardal leol, a phwysigrwydd cyfrannu at y gymdeithas. Mi fydd y lleoliadau i gyd o fewn ardal leol o’r ysgol a fydd yn cefnogi hyn. Yn amlwg mi fydd yr athro wedi ymweld â’r lleoliadau o flaen llaw, gan gwblhau asesiad risg a sicrhau eu bod yn addas i’r plant. Sicrheir hefyd y bydd cyfleoedd i’r rhai sydd ag anghenion dysgu ychwanegol i gael cymryd rhan, fel nad ydynt yn methu allan ar y profiadau dysgu allweddol yma.</w:t>
      </w:r>
    </w:p>
    <w:p w14:paraId="00AF6DBE" w14:textId="77777777" w:rsidR="00A26320" w:rsidRDefault="00A26320" w:rsidP="00A26320">
      <w:pPr>
        <w:pStyle w:val="NoSpacing"/>
        <w:spacing w:line="360" w:lineRule="auto"/>
        <w:rPr>
          <w:rFonts w:ascii="Calibri" w:hAnsi="Calibri" w:cs="Calibri"/>
          <w:sz w:val="24"/>
          <w:szCs w:val="24"/>
        </w:rPr>
      </w:pPr>
      <w:r>
        <w:rPr>
          <w:rFonts w:ascii="Calibri" w:hAnsi="Calibri" w:cs="Calibri"/>
          <w:sz w:val="24"/>
          <w:szCs w:val="24"/>
        </w:rPr>
        <w:t xml:space="preserve">Yr ail ran o’r ymyrraeth felly yw’r hyn a ddigwyddir yn y dosbarth. Yn dilyn y tri diwrnod yma ar ‘brofiad gwaith’, bydd yr athro yn defnyddio’r profiadau yma, yn ogystal â’r thema yn gyffredinol fel sylfaen i rai gweithgareddau yn y dosbarth. Pob prynhawn felly, yn hytrach na gwersi pynciol strwythuredig, bydd y plant yn cwblhau tasgau thematig trawsgwricwlaidd. Bydd y rhain yn cwmpasu ystod o sgiliau o wahanol feysydd o’r cwricwlwm, gan gysylltu i’r thema a’r profiadau y mae’r plant wedi eu cael yn ystod yr ymweliadau. Cynllunnir y tasgau yn ofalus, gan sicrhau bod dilyniant ynddynt er mwyn adeiladu ar wybodaeth flaenorol, a bod y sgiliau priodol o wahanol bynciau yn cael eu bwrw. Daw’r pwyslais ar drosglwyddo effeithiol yn amlwg yma felly, gan y bydd yr ymyrraeth yn sicrhau wrth fynd o dasg i dasg, bod cysylltiad â’r dasg flaenorol, dilyniant yn yr addysg, a pherthnasedd i’r hyn mae’r plant wedi ei wneud yn barod. Esiampl o dasg y gellir ei gynnal yw gofyn i’r plant creu fideo bwletin newyddion, yn cyfweld a rhywun sydd yn gweithio yn swydd un o’r arbenigwyr a welwyd yn ystod y diwrnodau profi. Byddai hyn felly nid yn unig yn datblygu sgiliau creadigol y plant wrth greu'r fideo a phenderfynu ar ei gynnwys a strwythur, ond hefyd eu sgiliau llythrennedd wrth gynllunio cwestiynau a pharatoi sgript, a’u sgiliau technoleg gwybodaeth wrth ffilmio a chreu’r fideo ei hun. Dyma un esiampl o dasg thematig posib, ond bydd amrywiaeth o dasgau yn cael eu cynnal bydd yn bwrw sgiliau o wahanol elfennau o’r </w:t>
      </w:r>
      <w:r>
        <w:rPr>
          <w:rFonts w:ascii="Calibri" w:hAnsi="Calibri" w:cs="Calibri"/>
          <w:sz w:val="24"/>
          <w:szCs w:val="24"/>
        </w:rPr>
        <w:lastRenderedPageBreak/>
        <w:t>cwricwlwm o fewn yr un dasg, mewn dull trawsgwricwlaidd. Yn amlwg yr athro bydd yn paratoi'r gweithgareddau yn ofalus, gan gynnig arweiniad a chymorth ble mae angen, ond bydd hefyd disgwyl i’r plant i weithio’n annibynnol ac mewn grwpiau, fel eu bod yn dysgu drostynt eu hunain, ac o’u cyfoedion.</w:t>
      </w:r>
    </w:p>
    <w:p w14:paraId="6511BE87" w14:textId="77777777" w:rsidR="00A26320" w:rsidRPr="009525B4" w:rsidRDefault="00A26320" w:rsidP="00A26320">
      <w:pPr>
        <w:pStyle w:val="NoSpacing"/>
        <w:spacing w:line="360" w:lineRule="auto"/>
        <w:rPr>
          <w:rFonts w:ascii="Calibri" w:hAnsi="Calibri" w:cs="Calibri"/>
          <w:sz w:val="24"/>
          <w:szCs w:val="24"/>
        </w:rPr>
      </w:pPr>
      <w:r>
        <w:rPr>
          <w:rFonts w:ascii="Calibri" w:hAnsi="Calibri" w:cs="Calibri"/>
          <w:sz w:val="24"/>
          <w:szCs w:val="24"/>
        </w:rPr>
        <w:t>Fel enghraifft o effeithiolrwydd ymyrraeth fel hyn, gellir edrych ar Ysgol Beca yn Sir Gaerfyrddin sydd yn gweithredu ymyrraeth debyg ble mae prynhawniau thematig yn y dosbarth. Gwelir wrth gynllunio gweithgareddau trawsgwricwlaidd yn seiliedig ar thema’r dosbarth, gan sichrau bod “y disgyblion yn derbyn cwricwlwm cyflawn” (Estyn, 2018), bod ymrwymiad a brwdfrydedd y plant yn cynyddu, yn ogystal â’u safonau academaidd. Gwelir trwy ymyrraeth fel hyn felly, nid yn unig ei fanteision o ran dilyniant yn y gwaith, a throsglwyddiad effeithiol o dasg i dasg, ond hefyd o ran cynnydd cwricwlaidd y plant a’r datblygiad sydd yn eu dealltwriaeth a’u sgiliau.</w:t>
      </w:r>
    </w:p>
    <w:p w14:paraId="74C73D33" w14:textId="78B95FDE" w:rsidR="00A26320" w:rsidRDefault="00A26320" w:rsidP="00A26320">
      <w:pPr>
        <w:pStyle w:val="NoSpacing"/>
        <w:spacing w:line="360" w:lineRule="auto"/>
        <w:rPr>
          <w:rFonts w:ascii="Calibri" w:hAnsi="Calibri" w:cs="Calibri"/>
          <w:sz w:val="24"/>
          <w:szCs w:val="24"/>
        </w:rPr>
      </w:pPr>
      <w:bookmarkStart w:id="0" w:name="cysill"/>
      <w:bookmarkEnd w:id="0"/>
      <w:r>
        <w:rPr>
          <w:rFonts w:ascii="Calibri" w:hAnsi="Calibri" w:cs="Calibri"/>
          <w:sz w:val="24"/>
          <w:szCs w:val="24"/>
        </w:rPr>
        <w:t>Wrth edrych yn ôl ar y sylwadau o’r arolygiad gan Estyn felly, y gobaith yw y bydd yr ymyrraeth yma’n sicrhau gwelliant yn y meysydd a nodwyd. I gychwyn, wrth ddefnyddio’r thema a’r profiadau a chafwyd gan y plant fel sail a sylfaen i’r gweithgareddau dosbarth, ac wrth i’r gweithgareddau cwmpasu sgiliau ac elfennau o bynciau gwahanol, mae hyn yn sicrhau cysylltiad trawsgwricwlaidd a dilyniant yn y gwaith, gyda’r pynciau yn cael eu plethu at ei gilydd. Yn ogystal â hynny, wrth i’r plant cwblhau'r tri diwrnod ar y ‘brofiad gwaith’ yn eu hardal leol, mae hyn y sicrhau y bydd defnydd positif o’r gymuned yn cael ei ddefnyddio fel adnodd dysgu allweddol, a bydd yna gyfleoedd i ddysgu y tu allan i’r dosbarth. Y gobaith yw hefyd y bydd y profiadau yma yn sbarduno brwdfrydedd yn y plant ar gychwyn y thema, gan eu gwneud yn fwy parod i gymryd rhan yn y dysgu, gan ei fod yn fwy perthnasol i’r hyn maent wedi ei brofi. Uwcholeua Hattie (2009, 30) hyn, gan nodi pwysigrwydd “ymrwymiad helaeth mewn gweithgareddau ymarfer perthnasol ar gyfer gwella perfformiad.” Bydd y ffaith eu bod yn cael eu defnyddio yn y broses o benodi thema, ac yn cael mwy o ryddid yn y tasgau thematig hefyd yn ychwanegu at hyn ac yn cynyddu eu teimlad o fwy o berchen dros y gwaith. Wrth feddwl yn benodol am wyddoniaeth, mae Lakin (2013) yn mynegi effeithiolrwydd “ceisio dal dychymyg y plant” a’u “tynnu nhw i mewn i’r her o ymchwilio trwy roi perchen iddyn nhw dros yr ymarfer.” Gweler felly'r gobaith y bydd yr ymyrraeth yma yn bwrw pedwar sylwad a wnaethpwyd gan Estyn, gan wella addysg yr ysgol yn syth.</w:t>
      </w:r>
    </w:p>
    <w:p w14:paraId="7A9FCB98" w14:textId="5F528179" w:rsidR="00073E41" w:rsidRDefault="00073E41" w:rsidP="00A26320">
      <w:pPr>
        <w:pStyle w:val="NoSpacing"/>
        <w:spacing w:line="360" w:lineRule="auto"/>
        <w:rPr>
          <w:rFonts w:ascii="Calibri" w:hAnsi="Calibri" w:cs="Calibri"/>
          <w:sz w:val="24"/>
          <w:szCs w:val="24"/>
        </w:rPr>
      </w:pPr>
    </w:p>
    <w:p w14:paraId="7FDB9A57" w14:textId="77777777" w:rsidR="006A57E4" w:rsidRDefault="006A57E4" w:rsidP="00073E41">
      <w:pPr>
        <w:pStyle w:val="NoSpacing"/>
        <w:spacing w:line="360" w:lineRule="auto"/>
        <w:rPr>
          <w:rFonts w:ascii="Calibri" w:hAnsi="Calibri" w:cs="Calibri"/>
          <w:sz w:val="24"/>
          <w:szCs w:val="24"/>
        </w:rPr>
      </w:pPr>
    </w:p>
    <w:p w14:paraId="181E4AB9" w14:textId="467489E9" w:rsidR="00073E41" w:rsidRPr="00073E41" w:rsidRDefault="00073E41" w:rsidP="00073E41">
      <w:pPr>
        <w:pStyle w:val="NoSpacing"/>
        <w:spacing w:line="360" w:lineRule="auto"/>
        <w:rPr>
          <w:b/>
          <w:bCs/>
          <w:sz w:val="24"/>
          <w:szCs w:val="24"/>
          <w:u w:val="single"/>
        </w:rPr>
      </w:pPr>
      <w:r w:rsidRPr="00F535F1">
        <w:rPr>
          <w:b/>
          <w:bCs/>
          <w:sz w:val="24"/>
          <w:szCs w:val="24"/>
          <w:u w:val="single"/>
        </w:rPr>
        <w:lastRenderedPageBreak/>
        <w:t>Deunydd Cefndirol</w:t>
      </w:r>
    </w:p>
    <w:p w14:paraId="5D254E88" w14:textId="77777777" w:rsidR="00073E41" w:rsidRPr="00073E41" w:rsidRDefault="00073E41" w:rsidP="00073E41">
      <w:pPr>
        <w:pStyle w:val="NoSpacing"/>
        <w:numPr>
          <w:ilvl w:val="0"/>
          <w:numId w:val="2"/>
        </w:numPr>
        <w:spacing w:line="360" w:lineRule="auto"/>
        <w:rPr>
          <w:sz w:val="24"/>
          <w:szCs w:val="24"/>
        </w:rPr>
      </w:pPr>
      <w:r w:rsidRPr="00073E41">
        <w:rPr>
          <w:sz w:val="24"/>
          <w:szCs w:val="24"/>
        </w:rPr>
        <w:t>Cross-curricular Learning 3-14</w:t>
      </w:r>
    </w:p>
    <w:p w14:paraId="7B42A180" w14:textId="77777777" w:rsidR="00073E41" w:rsidRPr="00B82BA6" w:rsidRDefault="00073E41" w:rsidP="00073E41">
      <w:pPr>
        <w:pStyle w:val="NoSpacing"/>
        <w:spacing w:line="360" w:lineRule="auto"/>
        <w:rPr>
          <w:sz w:val="24"/>
          <w:szCs w:val="24"/>
        </w:rPr>
      </w:pPr>
      <w:r>
        <w:rPr>
          <w:rFonts w:ascii="Calibri" w:hAnsi="Calibri" w:cs="Calibri"/>
          <w:sz w:val="24"/>
          <w:szCs w:val="24"/>
        </w:rPr>
        <w:t>Yn y llyfr yma, nodir mai dysgu trawsgwricwlaidd yw pryd mae “sgiliau, gwybodaeth ac agweddau o nifer o wahanol ddisgyblaethau yn cael eu cymhwyso at thema, problem, syniad neu brofiad sengl” (Barnes, 2015, t.62). Wrth archwilio hyn, mae’r awdur yn nodi mai un dull o addysg drawsgwricwlaidd yw’r dull ‘seiliedig ar thema’, sef pryd defnyddir “thema i gynhyrchu archwiliad trwy lygad amryw o bynciau gwahanol” (Barnes, 2015, t.69). Gwelir ei fod yn bosib dewis thema yn ofalus sydd yn berthnasol i’r plant, gan ei ddefnyddio i weld cynnydd yn nealltwriaeth y plant o’r thema ei hun ac ystod o bynciau gwahanol. Arweiniodd hyn felly at y syniad o ddefnyddio gweithgareddau thematig yn yr ymyrraeth, gan ymestyn sgiliau o’r cwricwlwm cyfan mewn tasgau yn seiliedig ar y thema. Mae gwaith Barnes, a’r pwysigrwydd mae o’n ei roi ar hyrwyddo sgiliau o wahanol elfennau o’r cwricwlwm o fewn yr un gweithgaredd, wedi bod yn allweddol iawn wrth gynllunio’r ymyrraeth yma.</w:t>
      </w:r>
    </w:p>
    <w:p w14:paraId="463AB37F" w14:textId="77777777" w:rsidR="00073E41" w:rsidRDefault="00073E41" w:rsidP="00073E41">
      <w:pPr>
        <w:pStyle w:val="NoSpacing"/>
        <w:spacing w:line="360" w:lineRule="auto"/>
        <w:rPr>
          <w:rFonts w:ascii="Calibri" w:hAnsi="Calibri" w:cs="Calibri"/>
          <w:sz w:val="24"/>
          <w:szCs w:val="24"/>
        </w:rPr>
      </w:pPr>
      <w:r>
        <w:rPr>
          <w:rFonts w:ascii="Calibri" w:hAnsi="Calibri" w:cs="Calibri"/>
          <w:sz w:val="24"/>
          <w:szCs w:val="24"/>
        </w:rPr>
        <w:t>Yn ogystal â hynny, nodir effeithiolrwydd cynllunio profiad cyfrannol i gynorthwyo’r dysgu trawsgwricwlaidd, gan ddweud bod “rhai ysgolion yn cychwyn eu thema drawsgwricwlaidd gyda gweithgaredd cyfrannol” (Barnes, 2015, t.236). Mae hyn felly gyda’r potensial o wneud y dysgu yn fwy perthnasol i’r plant, ac i’r plant ymgysylltu a’r thema drawsgwricwlaidd mewn ffordd ymarferol. Mae hyn hefyd wedi cael dylanwad ar beth welir yn yr ymyrraeth, wrth i’r proses dysgu a’r thema gyfan cael ei gychwyn gan dri ymweliad yn y gymuned leol. Fel eglura Barnes (2015, t.235), mae hyn yn cynnig y cyfle i symud i ffwrdd o’r arfer o beidio gwneud defnydd o’r synhwyrau o “cyffwrdd, clywed, gwahaniaethu gweledol, blas ac empathi” y plant, gan roi cyfle iddynt brofi’r maes mewn ffordd ymarferol.</w:t>
      </w:r>
    </w:p>
    <w:p w14:paraId="5504DCB0" w14:textId="77777777" w:rsidR="00073E41" w:rsidRPr="00F535F1" w:rsidRDefault="00073E41" w:rsidP="00073E41">
      <w:pPr>
        <w:pStyle w:val="NoSpacing"/>
        <w:spacing w:line="360" w:lineRule="auto"/>
        <w:rPr>
          <w:sz w:val="24"/>
          <w:szCs w:val="24"/>
        </w:rPr>
      </w:pPr>
    </w:p>
    <w:p w14:paraId="369325B4" w14:textId="77777777" w:rsidR="00073E41" w:rsidRPr="00073E41" w:rsidRDefault="00073E41" w:rsidP="00073E41">
      <w:pPr>
        <w:pStyle w:val="NoSpacing"/>
        <w:numPr>
          <w:ilvl w:val="0"/>
          <w:numId w:val="2"/>
        </w:numPr>
        <w:spacing w:line="360" w:lineRule="auto"/>
        <w:rPr>
          <w:sz w:val="24"/>
          <w:szCs w:val="24"/>
        </w:rPr>
      </w:pPr>
      <w:r w:rsidRPr="00073E41">
        <w:rPr>
          <w:sz w:val="24"/>
          <w:szCs w:val="24"/>
        </w:rPr>
        <w:t>Ways of Learning</w:t>
      </w:r>
    </w:p>
    <w:p w14:paraId="461A3518" w14:textId="77777777" w:rsidR="00073E41" w:rsidRDefault="00073E41" w:rsidP="00073E41">
      <w:pPr>
        <w:pStyle w:val="NoSpacing"/>
        <w:spacing w:line="360" w:lineRule="auto"/>
        <w:rPr>
          <w:rFonts w:ascii="Calibri" w:hAnsi="Calibri" w:cs="Calibri"/>
          <w:sz w:val="24"/>
          <w:szCs w:val="24"/>
        </w:rPr>
      </w:pPr>
      <w:r>
        <w:rPr>
          <w:rFonts w:ascii="Calibri" w:hAnsi="Calibri" w:cs="Calibri"/>
          <w:sz w:val="24"/>
          <w:szCs w:val="24"/>
        </w:rPr>
        <w:t xml:space="preserve">Yn y llyfr yma, mae Pritchard yn disgrifio'r theori adeileddiaeth ac adeileddiaeth gymdeithasol. Caiff adeileddiaeth ei ddisgrifio fel pryd caiff “gwybodaeth newydd ei adeiladu i mewn i a’i hychwanegu at adeiledd presennol yr unigolyn o wybodaeth, dealltwriaeth a sgiliau” (Pritchard, 2008, t.17). Nodir bod gwaith Piaget yn cynnig dwy ffordd y caiff dealltwriaeth ei addasu, a’i fod yn gallu bod yn broses o newid adeileddau meddyliol er mwyn “ymdopi gyda’r profiad newydd sydd wedi gwrth-ddweud y model blaenorol” (Pritchard, 2008, t.20). Mae’r ymchwil yma wedi arwain at yr hyn digwyddir yn ystod y gweithgareddau thematig yn yr ymyrraeth, gan fod y plant yn adeiladu ar sgiliau blaenorol </w:t>
      </w:r>
      <w:r>
        <w:rPr>
          <w:rFonts w:ascii="Calibri" w:hAnsi="Calibri" w:cs="Calibri"/>
          <w:sz w:val="24"/>
          <w:szCs w:val="24"/>
        </w:rPr>
        <w:lastRenderedPageBreak/>
        <w:t>trwy’r defnydd o dasgau a bydd yn annog cysylltiad o sgiliau gwahanol at ei gilydd a defnydd ymhellach ohonynt. Daw’r theori yma yn realiti yn ystod yr ymyrraeth, gan fod y plant yn datblygu eu sgiliau a dealltwriaeth, gan adeiladu ar yr hyn roeddynt yn gwybod ac yn gallu gwneud yn barod.</w:t>
      </w:r>
    </w:p>
    <w:p w14:paraId="7673B73A" w14:textId="77777777" w:rsidR="00073E41" w:rsidRPr="00F535F1" w:rsidRDefault="00073E41" w:rsidP="00073E41">
      <w:pPr>
        <w:pStyle w:val="NoSpacing"/>
        <w:spacing w:line="360" w:lineRule="auto"/>
        <w:rPr>
          <w:sz w:val="24"/>
          <w:szCs w:val="24"/>
        </w:rPr>
      </w:pPr>
      <w:r>
        <w:rPr>
          <w:rFonts w:ascii="Calibri" w:hAnsi="Calibri" w:cs="Calibri"/>
          <w:sz w:val="24"/>
          <w:szCs w:val="24"/>
        </w:rPr>
        <w:t>Theori arall hefyd yw adeileddiaeth gymdeithasol, ble mae emphasis yn cael ei roi ar “rhyngweithiad rhwng y dysgwr ag eraill” (Pritchard, 2008, t.24), megis cyfoedion, arbenigon, neu staff. Yn yr ymyrraeth mae hyn wedi bod yn allweddol, gan y bydd y plant yn dysgu trwy ryngweithiad ag arbenigon yn y maes dewisol yn ystod y diwrnodau profiad, a hefyd â phlant eraill yn ystod rhai o’r tasgau thematig yn y prynhawniau. Peth positif yw hyn, gan fod gwybodaeth a dealltwriaeth newydd yn gallu deillio o gyfathrebiad ag eraill.</w:t>
      </w:r>
    </w:p>
    <w:p w14:paraId="50492049" w14:textId="77777777" w:rsidR="00073E41" w:rsidRPr="00F535F1" w:rsidRDefault="00073E41" w:rsidP="00073E41">
      <w:pPr>
        <w:pStyle w:val="NoSpacing"/>
        <w:spacing w:line="360" w:lineRule="auto"/>
        <w:rPr>
          <w:sz w:val="24"/>
          <w:szCs w:val="24"/>
        </w:rPr>
      </w:pPr>
    </w:p>
    <w:p w14:paraId="20685FDF" w14:textId="77777777" w:rsidR="00073E41" w:rsidRPr="00073E41" w:rsidRDefault="00073E41" w:rsidP="00073E41">
      <w:pPr>
        <w:pStyle w:val="NoSpacing"/>
        <w:numPr>
          <w:ilvl w:val="0"/>
          <w:numId w:val="2"/>
        </w:numPr>
        <w:spacing w:line="360" w:lineRule="auto"/>
        <w:rPr>
          <w:sz w:val="24"/>
          <w:szCs w:val="24"/>
        </w:rPr>
      </w:pPr>
      <w:r w:rsidRPr="00073E41">
        <w:rPr>
          <w:sz w:val="24"/>
          <w:szCs w:val="24"/>
        </w:rPr>
        <w:t>Dyfodol Llwyddiannus</w:t>
      </w:r>
    </w:p>
    <w:p w14:paraId="5F32AF33" w14:textId="77777777" w:rsidR="00073E41" w:rsidRPr="00F535F1" w:rsidRDefault="00073E41" w:rsidP="00073E41">
      <w:pPr>
        <w:pStyle w:val="NoSpacing"/>
        <w:spacing w:line="360" w:lineRule="auto"/>
        <w:rPr>
          <w:sz w:val="24"/>
          <w:szCs w:val="24"/>
        </w:rPr>
      </w:pPr>
      <w:r>
        <w:rPr>
          <w:rFonts w:ascii="Calibri" w:hAnsi="Calibri" w:cs="Calibri"/>
          <w:sz w:val="24"/>
          <w:szCs w:val="24"/>
        </w:rPr>
        <w:t>Mae dwy agwedd o’r ddogfen yma wedi cael argraff ar yr ymyrraeth a chynigwyd. I gychwyn, y math o wersi sydd ei angen mewn ysgolion. Disgrifia Donaldson (2015, t.17) y pwysigrwydd o gael gwersi sy’n fwy “perthnasol a diddorol, gyda mwy o wersi ymarferol, mwy o hwyl, mwy o ryngweithio, a mwy o weithgareddau y tu allan i’r dosbarth.” Mae’r disgrifiadau yma wedi cael dylanwad mawr ar y syniad o brynhawniau thematig sydd yn bodoli yn yr ymyrraeth. Y gobaith yw y bydd y gweithgareddau yma yn fwy perthnasol o achos profiadau’r plant ar y diwrnodau profiad a’r cysylltiad gyda’r ardal leol, ond hefyd yn cynnig cyfleoedd am ddysgu rhydd, am ryngweithio gydag eraill ac am weithgaredd mwy ymarferol sydd yn “hybu dilyniant yn y dysgu” (Donaldson, 2015, t. 35). Awgrymir hefyd gan Donaldson (2015, t.88), fel y dyfynnwyd yn y sgript, y pwysigrwydd bod athrawon yn teimlo’n fwy rhydd i greu cysylltiadau gwirioneddol rhwng Meysydd”, ac mae hyn yn gysylltiedig eto gyda’r tasgau thematig, trawsgwricwlaidd a welir yn yr ymyrraeth. Mae’r ddogfen yma o blaid dysgu integredig a thrawsgwricwlaidd yn gryf, gan fynegi’r angen am weithgareddau sydd yn hybu sgiliau o fwy nag un elfen o’r cwricwlwm.</w:t>
      </w:r>
    </w:p>
    <w:p w14:paraId="3678126B" w14:textId="77777777" w:rsidR="00073E41" w:rsidRPr="00F535F1" w:rsidRDefault="00073E41" w:rsidP="00073E41">
      <w:pPr>
        <w:pStyle w:val="NoSpacing"/>
        <w:spacing w:line="360" w:lineRule="auto"/>
        <w:rPr>
          <w:sz w:val="24"/>
          <w:szCs w:val="24"/>
        </w:rPr>
      </w:pPr>
      <w:r w:rsidRPr="00F535F1">
        <w:rPr>
          <w:rFonts w:ascii="Calibri" w:hAnsi="Calibri" w:cs="Calibri"/>
          <w:sz w:val="24"/>
          <w:szCs w:val="24"/>
        </w:rPr>
        <w:t xml:space="preserve">Yr ail agwedd o’r ddogfen a chafodd dylanwad mawr ar yr ymyrraeth, yw’r math o blant </w:t>
      </w:r>
      <w:r>
        <w:rPr>
          <w:rFonts w:ascii="Calibri" w:hAnsi="Calibri" w:cs="Calibri"/>
          <w:sz w:val="24"/>
          <w:szCs w:val="24"/>
        </w:rPr>
        <w:t xml:space="preserve">rydym am ei </w:t>
      </w:r>
      <w:r w:rsidRPr="00F535F1">
        <w:rPr>
          <w:rFonts w:ascii="Calibri" w:hAnsi="Calibri" w:cs="Calibri"/>
          <w:sz w:val="24"/>
          <w:szCs w:val="24"/>
        </w:rPr>
        <w:t>weld yn cael eu datblygu. Cynig</w:t>
      </w:r>
      <w:r>
        <w:rPr>
          <w:rFonts w:ascii="Calibri" w:hAnsi="Calibri" w:cs="Calibri"/>
          <w:sz w:val="24"/>
          <w:szCs w:val="24"/>
        </w:rPr>
        <w:t>ir</w:t>
      </w:r>
      <w:r w:rsidRPr="00F535F1">
        <w:rPr>
          <w:rFonts w:ascii="Calibri" w:hAnsi="Calibri" w:cs="Calibri"/>
          <w:sz w:val="24"/>
          <w:szCs w:val="24"/>
        </w:rPr>
        <w:t xml:space="preserve"> pwysigrwydd datblygu plant sydd yn “ymholgar ac yn mwynhau datrys problemau” ond sydd hefyd “yn cysylltu ag yn cymhwyso eu gwybodaeth a’u sgiliau i greu syniadau a chynhyrchion” (Donaldson, 2015, t.29). Y bwriad yw y bydd y gweithgareddau thematig yn sicrhau bod y plant yn datblygu i fod yn rhai ymholgar sydd yn defnyddio amryw o sgiliau i gwblhau’r dasg, gan hefyd cysylltu </w:t>
      </w:r>
      <w:r w:rsidRPr="00F535F1">
        <w:rPr>
          <w:rFonts w:ascii="Calibri" w:hAnsi="Calibri" w:cs="Calibri"/>
          <w:sz w:val="24"/>
          <w:szCs w:val="24"/>
        </w:rPr>
        <w:lastRenderedPageBreak/>
        <w:t>gwybodaeth a sgiliau blaenorol i’w helpu i wneud hynny. Amly</w:t>
      </w:r>
      <w:r>
        <w:rPr>
          <w:rFonts w:ascii="Calibri" w:hAnsi="Calibri" w:cs="Calibri"/>
          <w:sz w:val="24"/>
          <w:szCs w:val="24"/>
        </w:rPr>
        <w:t>gir</w:t>
      </w:r>
      <w:r w:rsidRPr="00F535F1">
        <w:rPr>
          <w:rFonts w:ascii="Calibri" w:hAnsi="Calibri" w:cs="Calibri"/>
          <w:sz w:val="24"/>
          <w:szCs w:val="24"/>
        </w:rPr>
        <w:t xml:space="preserve"> hefyd bod angen datblygu plant sydd yn “ddinasyddion egwyddorol, gwybodus” (Donaldson, 2015, t.30), ac un o dargedau’r diwrnodau profiad gwaith yw y bydd y plant yn cael y cyfle i wasanaethu’r gymuned, gan felly ymestyn eu dealltwriaeth o bwysigrwydd gwneud hynny.</w:t>
      </w:r>
    </w:p>
    <w:p w14:paraId="37675303" w14:textId="77777777" w:rsidR="00073E41" w:rsidRPr="00F535F1" w:rsidRDefault="00073E41" w:rsidP="00073E41">
      <w:pPr>
        <w:pStyle w:val="NoSpacing"/>
        <w:spacing w:line="360" w:lineRule="auto"/>
        <w:rPr>
          <w:sz w:val="24"/>
          <w:szCs w:val="24"/>
        </w:rPr>
      </w:pPr>
    </w:p>
    <w:p w14:paraId="11E86027" w14:textId="77777777" w:rsidR="00073E41" w:rsidRPr="00073E41" w:rsidRDefault="00073E41" w:rsidP="00073E41">
      <w:pPr>
        <w:pStyle w:val="NoSpacing"/>
        <w:numPr>
          <w:ilvl w:val="0"/>
          <w:numId w:val="2"/>
        </w:numPr>
        <w:spacing w:line="360" w:lineRule="auto"/>
        <w:rPr>
          <w:sz w:val="24"/>
          <w:szCs w:val="24"/>
        </w:rPr>
      </w:pPr>
      <w:r w:rsidRPr="00073E41">
        <w:rPr>
          <w:sz w:val="24"/>
          <w:szCs w:val="24"/>
        </w:rPr>
        <w:t>A Framework for More and Better Learning through Community School Partnerships</w:t>
      </w:r>
    </w:p>
    <w:p w14:paraId="1ABD6547" w14:textId="77777777" w:rsidR="00073E41" w:rsidRPr="00F535F1" w:rsidRDefault="00073E41" w:rsidP="00073E41">
      <w:pPr>
        <w:pStyle w:val="NoSpacing"/>
        <w:spacing w:line="360" w:lineRule="auto"/>
        <w:rPr>
          <w:sz w:val="24"/>
          <w:szCs w:val="24"/>
        </w:rPr>
      </w:pPr>
      <w:r>
        <w:rPr>
          <w:rFonts w:ascii="Calibri" w:hAnsi="Calibri" w:cs="Calibri"/>
          <w:sz w:val="24"/>
          <w:szCs w:val="24"/>
        </w:rPr>
        <w:t>Yn yr erthygl yma, disgrifir sut mae gwneud defnydd ehangach o gysylltiadau gyda’r gymuned yn gallu bod yn effeithiol. Fel esboniwyd gan Jacobson a Blank (2015, t.5), mae plant “yn cymryd perchen dros yr addysg eu hunain pan maen nhw’n dysgu rhywbeth maen nhw’n teimlo sy’n ystyrlon a phan maen nhw’n ei gymhwyso at y byd y tu allan i’r ysgol.” Yn yr ymyrraeth gwelir y realiti o hyn wrth i’r plant cymryd rhan yn y diwrnodau profi. Y gobaith yw trwy’r ymweliadau, y bydd y plant yn fwy parod i ymrwymo at y dysgu yn y dosbarth wedyn gan gymhwyso'r hyn maen nhw’n ei ddysgu yn y dosbarth at eu profiadau go iawn. Esboniwyd bod gweithio gyda’r gymuned yn denu plant “trwy eu darparu gyda gweithgareddau perthnasol, byd go-iawn sydd yn cysylltu i’w diddordebau ac angerddoldebau” (Jacobson a Blank, 2015, t.6), ac felly uwcholeuodd hyn pa mor effeithiol y gallai cychwyn y thema gyda’r ymweliadau yn gallu bod, a wnaeth arwain at y syniad o gychwyn y thema gyda’r ymweliadau.</w:t>
      </w:r>
    </w:p>
    <w:p w14:paraId="6EE3159A" w14:textId="77777777" w:rsidR="00073E41" w:rsidRPr="00F535F1" w:rsidRDefault="00073E41" w:rsidP="00073E41">
      <w:pPr>
        <w:pStyle w:val="NoSpacing"/>
        <w:spacing w:line="360" w:lineRule="auto"/>
        <w:rPr>
          <w:sz w:val="24"/>
          <w:szCs w:val="24"/>
        </w:rPr>
      </w:pPr>
    </w:p>
    <w:p w14:paraId="18C0B9B9" w14:textId="77777777" w:rsidR="00073E41" w:rsidRPr="00073E41" w:rsidRDefault="00073E41" w:rsidP="00073E41">
      <w:pPr>
        <w:pStyle w:val="NoSpacing"/>
        <w:numPr>
          <w:ilvl w:val="0"/>
          <w:numId w:val="2"/>
        </w:numPr>
        <w:spacing w:line="360" w:lineRule="auto"/>
        <w:rPr>
          <w:sz w:val="24"/>
          <w:szCs w:val="24"/>
        </w:rPr>
      </w:pPr>
      <w:r w:rsidRPr="00073E41">
        <w:rPr>
          <w:sz w:val="24"/>
          <w:szCs w:val="24"/>
        </w:rPr>
        <w:t>Estyn – Dysgu Gweithredol a Thrwy Brofiad</w:t>
      </w:r>
    </w:p>
    <w:p w14:paraId="34A19C97" w14:textId="77777777" w:rsidR="00073E41" w:rsidRDefault="00073E41" w:rsidP="00073E41">
      <w:pPr>
        <w:pStyle w:val="NoSpacing"/>
        <w:spacing w:line="360" w:lineRule="auto"/>
        <w:rPr>
          <w:sz w:val="24"/>
          <w:szCs w:val="24"/>
        </w:rPr>
      </w:pPr>
      <w:r>
        <w:rPr>
          <w:rFonts w:ascii="Calibri" w:hAnsi="Calibri" w:cs="Calibri"/>
          <w:sz w:val="24"/>
          <w:szCs w:val="24"/>
        </w:rPr>
        <w:t>Er bod y ddogfen yma yn benodol ar gyfer gwaith yn y cyfnod sylfaen, mae agweddau ynddo sydd wedi cael dylanwad ar yr hyn a chynigiwyd yn yr ymyrraeth, yn benodol y pwyslais unwaith eto a roddir ar ddefnyddio’r ardal leol. Mae’r ddogfen yn disgrifio nifer o esiamplau o hyn, gan ddweud yn un bod “ymweliadau rheolaidd oddi ar y safle yn cyfoethogi a gwella profiadau dysgu disgyblion ac yn rhoi amrywiaeth a manylder i’r cwricwlwm a gynigir gan yr ysgol” (Estyn, 2017, t.36). Mae esiampl arall yn nodi ble mae “athrawon yn defnyddio’r amgylchedd lleol yn effeithiol fel cyd-destun ysgogol i gyflwyno ac atgyfnerthu medrau newydd” (Estyn, 2017, 43). Mi wnaeth hyn arwain yn fawr at y dewis nid yn unig i ddefnyddio ymweliadau fel sbardun a phrofiad effeithiol yn yr ymyrraeth, ond i sicrhau hefyd bod y profiadau thematig yn cysylltu â phrofiadau’r plant yn ystod yr ymweliadau yna.</w:t>
      </w:r>
    </w:p>
    <w:p w14:paraId="3701110B" w14:textId="7B68EFD3" w:rsidR="00073E41" w:rsidRDefault="00073E41" w:rsidP="00073E41">
      <w:pPr>
        <w:pStyle w:val="NoSpacing"/>
        <w:spacing w:line="360" w:lineRule="auto"/>
        <w:rPr>
          <w:sz w:val="24"/>
          <w:szCs w:val="24"/>
        </w:rPr>
      </w:pPr>
    </w:p>
    <w:p w14:paraId="03C56306" w14:textId="77777777" w:rsidR="006A57E4" w:rsidRPr="00F535F1" w:rsidRDefault="006A57E4" w:rsidP="00073E41">
      <w:pPr>
        <w:pStyle w:val="NoSpacing"/>
        <w:spacing w:line="360" w:lineRule="auto"/>
        <w:rPr>
          <w:sz w:val="24"/>
          <w:szCs w:val="24"/>
        </w:rPr>
      </w:pPr>
    </w:p>
    <w:p w14:paraId="3EF791B6" w14:textId="77777777" w:rsidR="00073E41" w:rsidRPr="00073E41" w:rsidRDefault="00073E41" w:rsidP="00073E41">
      <w:pPr>
        <w:pStyle w:val="NoSpacing"/>
        <w:numPr>
          <w:ilvl w:val="0"/>
          <w:numId w:val="2"/>
        </w:numPr>
        <w:spacing w:line="360" w:lineRule="auto"/>
        <w:rPr>
          <w:sz w:val="24"/>
          <w:szCs w:val="24"/>
        </w:rPr>
      </w:pPr>
      <w:r w:rsidRPr="00073E41">
        <w:rPr>
          <w:rFonts w:ascii="Calibri" w:hAnsi="Calibri" w:cs="Calibri"/>
          <w:sz w:val="24"/>
          <w:szCs w:val="24"/>
        </w:rPr>
        <w:lastRenderedPageBreak/>
        <w:t>Y ddwy esiampl o arfer dda gan Estyn</w:t>
      </w:r>
    </w:p>
    <w:p w14:paraId="3A9DCE3B" w14:textId="20724F4F" w:rsidR="00073E41" w:rsidRDefault="00073E41" w:rsidP="00073E41">
      <w:pPr>
        <w:pStyle w:val="NoSpacing"/>
        <w:spacing w:line="360" w:lineRule="auto"/>
        <w:rPr>
          <w:rFonts w:ascii="Calibri" w:hAnsi="Calibri" w:cs="Calibri"/>
          <w:sz w:val="24"/>
          <w:szCs w:val="24"/>
        </w:rPr>
      </w:pPr>
      <w:r>
        <w:rPr>
          <w:rFonts w:ascii="Calibri" w:hAnsi="Calibri" w:cs="Calibri"/>
          <w:sz w:val="24"/>
          <w:szCs w:val="24"/>
        </w:rPr>
        <w:t>Roedd y ddwy ddogfen yma’n ddefnyddiol er mwyn penderfynu yn union ar y fath o weithgareddau byddai’n effeithiol yn y prynhawniau thematig. Daeth y syniad o brynhawniau thematig ei hun o’r ddogfen am Ysgol Beca, sydd yn disgrifio sut maen nhw’n cynnal gweithgareddau thematig ble mae’r athrawon yn “adnabod unrhyw fylchau yn y ddarpariaeth a chynllunio’n fwriadus i sicrhau bod y disgyblion yn derbyn cwricwlwm cyflawn” (Estyn, 2018). Mae’r adroddiad am Ysgol y Wern hefyd yn dangos sut mae gweithgareddau trawsgwricwlaidd yn rhywbeth sydd yn effeithiol heddiw, ac yn syniad cyfoes a fydd yn effeithiol i’r dyfodol. Disgrifiwyd hyn yn amlwg wrth i Estyn (2018) dweud bod “cynnig profiad dysgu arloesol o’r fath, a oedd yn cwmpasu’r holl fedrau, yn galluogi pob dysgwr i fod yn uchelgeisiol, hyderus a gwybodus.” Uwcholeua’r ddwy esiampl felly, yr effaith positif y gallai’r ymyrraeth cael nid yn unig ar gynnydd cwricwlaidd y plant, ond hefyd ar y dilyniant yn yr addysg, ac ar frwdfrydedd ac ymrwymiad y plant.</w:t>
      </w:r>
    </w:p>
    <w:p w14:paraId="5C5957EC" w14:textId="6A8EEAD9" w:rsidR="00067940" w:rsidRDefault="00067940" w:rsidP="00073E41">
      <w:pPr>
        <w:pStyle w:val="NoSpacing"/>
        <w:spacing w:line="360" w:lineRule="auto"/>
        <w:rPr>
          <w:rFonts w:ascii="Calibri" w:hAnsi="Calibri" w:cs="Calibri"/>
          <w:sz w:val="24"/>
          <w:szCs w:val="24"/>
        </w:rPr>
      </w:pPr>
    </w:p>
    <w:p w14:paraId="07D4792D" w14:textId="7D396DDD" w:rsidR="00067940" w:rsidRDefault="00067940" w:rsidP="00073E41">
      <w:pPr>
        <w:pStyle w:val="NoSpacing"/>
        <w:spacing w:line="360" w:lineRule="auto"/>
        <w:rPr>
          <w:rFonts w:ascii="Calibri" w:hAnsi="Calibri" w:cs="Calibri"/>
          <w:sz w:val="24"/>
          <w:szCs w:val="24"/>
        </w:rPr>
      </w:pPr>
    </w:p>
    <w:p w14:paraId="1F38B22B" w14:textId="5D17F143" w:rsidR="00067940" w:rsidRDefault="00067940" w:rsidP="00073E41">
      <w:pPr>
        <w:pStyle w:val="NoSpacing"/>
        <w:spacing w:line="360" w:lineRule="auto"/>
        <w:rPr>
          <w:rFonts w:ascii="Calibri" w:hAnsi="Calibri" w:cs="Calibri"/>
          <w:sz w:val="24"/>
          <w:szCs w:val="24"/>
        </w:rPr>
      </w:pPr>
    </w:p>
    <w:p w14:paraId="7A8F88C7" w14:textId="6F7F3AA4" w:rsidR="00067940" w:rsidRDefault="00067940" w:rsidP="00073E41">
      <w:pPr>
        <w:pStyle w:val="NoSpacing"/>
        <w:spacing w:line="360" w:lineRule="auto"/>
        <w:rPr>
          <w:rFonts w:ascii="Calibri" w:hAnsi="Calibri" w:cs="Calibri"/>
          <w:sz w:val="24"/>
          <w:szCs w:val="24"/>
        </w:rPr>
      </w:pPr>
    </w:p>
    <w:p w14:paraId="7EF9AB9F" w14:textId="4B39F151" w:rsidR="00067940" w:rsidRDefault="00067940" w:rsidP="00073E41">
      <w:pPr>
        <w:pStyle w:val="NoSpacing"/>
        <w:spacing w:line="360" w:lineRule="auto"/>
        <w:rPr>
          <w:rFonts w:ascii="Calibri" w:hAnsi="Calibri" w:cs="Calibri"/>
          <w:sz w:val="24"/>
          <w:szCs w:val="24"/>
        </w:rPr>
      </w:pPr>
    </w:p>
    <w:p w14:paraId="08EB8253" w14:textId="4DF37215" w:rsidR="00067940" w:rsidRDefault="00067940" w:rsidP="00073E41">
      <w:pPr>
        <w:pStyle w:val="NoSpacing"/>
        <w:spacing w:line="360" w:lineRule="auto"/>
        <w:rPr>
          <w:rFonts w:ascii="Calibri" w:hAnsi="Calibri" w:cs="Calibri"/>
          <w:sz w:val="24"/>
          <w:szCs w:val="24"/>
        </w:rPr>
      </w:pPr>
    </w:p>
    <w:p w14:paraId="0F6C77DC" w14:textId="4F3ED96F" w:rsidR="00067940" w:rsidRDefault="00067940" w:rsidP="00073E41">
      <w:pPr>
        <w:pStyle w:val="NoSpacing"/>
        <w:spacing w:line="360" w:lineRule="auto"/>
        <w:rPr>
          <w:rFonts w:ascii="Calibri" w:hAnsi="Calibri" w:cs="Calibri"/>
          <w:sz w:val="24"/>
          <w:szCs w:val="24"/>
        </w:rPr>
      </w:pPr>
    </w:p>
    <w:p w14:paraId="39285F1A" w14:textId="5CD531E0" w:rsidR="00067940" w:rsidRDefault="00067940" w:rsidP="00073E41">
      <w:pPr>
        <w:pStyle w:val="NoSpacing"/>
        <w:spacing w:line="360" w:lineRule="auto"/>
        <w:rPr>
          <w:rFonts w:ascii="Calibri" w:hAnsi="Calibri" w:cs="Calibri"/>
          <w:sz w:val="24"/>
          <w:szCs w:val="24"/>
        </w:rPr>
      </w:pPr>
    </w:p>
    <w:p w14:paraId="79E73883" w14:textId="366FE723" w:rsidR="00067940" w:rsidRDefault="00067940" w:rsidP="00073E41">
      <w:pPr>
        <w:pStyle w:val="NoSpacing"/>
        <w:spacing w:line="360" w:lineRule="auto"/>
        <w:rPr>
          <w:rFonts w:ascii="Calibri" w:hAnsi="Calibri" w:cs="Calibri"/>
          <w:sz w:val="24"/>
          <w:szCs w:val="24"/>
        </w:rPr>
      </w:pPr>
    </w:p>
    <w:p w14:paraId="7E02F2C4" w14:textId="52284D3A" w:rsidR="00067940" w:rsidRDefault="00067940" w:rsidP="00073E41">
      <w:pPr>
        <w:pStyle w:val="NoSpacing"/>
        <w:spacing w:line="360" w:lineRule="auto"/>
        <w:rPr>
          <w:rFonts w:ascii="Calibri" w:hAnsi="Calibri" w:cs="Calibri"/>
          <w:sz w:val="24"/>
          <w:szCs w:val="24"/>
        </w:rPr>
      </w:pPr>
    </w:p>
    <w:p w14:paraId="6F278601" w14:textId="5A4CCFB2" w:rsidR="00067940" w:rsidRDefault="00067940" w:rsidP="00073E41">
      <w:pPr>
        <w:pStyle w:val="NoSpacing"/>
        <w:spacing w:line="360" w:lineRule="auto"/>
        <w:rPr>
          <w:rFonts w:ascii="Calibri" w:hAnsi="Calibri" w:cs="Calibri"/>
          <w:sz w:val="24"/>
          <w:szCs w:val="24"/>
        </w:rPr>
      </w:pPr>
    </w:p>
    <w:p w14:paraId="4FC8B8E7" w14:textId="626A5C91" w:rsidR="00067940" w:rsidRDefault="00067940" w:rsidP="00073E41">
      <w:pPr>
        <w:pStyle w:val="NoSpacing"/>
        <w:spacing w:line="360" w:lineRule="auto"/>
        <w:rPr>
          <w:rFonts w:ascii="Calibri" w:hAnsi="Calibri" w:cs="Calibri"/>
          <w:sz w:val="24"/>
          <w:szCs w:val="24"/>
        </w:rPr>
      </w:pPr>
    </w:p>
    <w:p w14:paraId="256E2109" w14:textId="0CF62180" w:rsidR="00067940" w:rsidRDefault="00067940" w:rsidP="00073E41">
      <w:pPr>
        <w:pStyle w:val="NoSpacing"/>
        <w:spacing w:line="360" w:lineRule="auto"/>
        <w:rPr>
          <w:rFonts w:ascii="Calibri" w:hAnsi="Calibri" w:cs="Calibri"/>
          <w:sz w:val="24"/>
          <w:szCs w:val="24"/>
        </w:rPr>
      </w:pPr>
    </w:p>
    <w:p w14:paraId="596FED10" w14:textId="35E6562E" w:rsidR="00067940" w:rsidRDefault="00067940" w:rsidP="00073E41">
      <w:pPr>
        <w:pStyle w:val="NoSpacing"/>
        <w:spacing w:line="360" w:lineRule="auto"/>
        <w:rPr>
          <w:rFonts w:ascii="Calibri" w:hAnsi="Calibri" w:cs="Calibri"/>
          <w:sz w:val="24"/>
          <w:szCs w:val="24"/>
        </w:rPr>
      </w:pPr>
    </w:p>
    <w:p w14:paraId="6084F49B" w14:textId="67A8CC9A" w:rsidR="00067940" w:rsidRDefault="00067940" w:rsidP="00073E41">
      <w:pPr>
        <w:pStyle w:val="NoSpacing"/>
        <w:spacing w:line="360" w:lineRule="auto"/>
        <w:rPr>
          <w:rFonts w:ascii="Calibri" w:hAnsi="Calibri" w:cs="Calibri"/>
          <w:sz w:val="24"/>
          <w:szCs w:val="24"/>
        </w:rPr>
      </w:pPr>
    </w:p>
    <w:p w14:paraId="51BE182B" w14:textId="04B21CDD" w:rsidR="00067940" w:rsidRDefault="00067940" w:rsidP="00073E41">
      <w:pPr>
        <w:pStyle w:val="NoSpacing"/>
        <w:spacing w:line="360" w:lineRule="auto"/>
        <w:rPr>
          <w:rFonts w:ascii="Calibri" w:hAnsi="Calibri" w:cs="Calibri"/>
          <w:sz w:val="24"/>
          <w:szCs w:val="24"/>
        </w:rPr>
      </w:pPr>
    </w:p>
    <w:p w14:paraId="400A0BB3" w14:textId="5C6F9B75" w:rsidR="00067940" w:rsidRDefault="00067940" w:rsidP="00073E41">
      <w:pPr>
        <w:pStyle w:val="NoSpacing"/>
        <w:spacing w:line="360" w:lineRule="auto"/>
        <w:rPr>
          <w:rFonts w:ascii="Calibri" w:hAnsi="Calibri" w:cs="Calibri"/>
          <w:sz w:val="24"/>
          <w:szCs w:val="24"/>
        </w:rPr>
      </w:pPr>
    </w:p>
    <w:p w14:paraId="40ABB1A5" w14:textId="15CACE20" w:rsidR="00067940" w:rsidRDefault="00067940" w:rsidP="00073E41">
      <w:pPr>
        <w:pStyle w:val="NoSpacing"/>
        <w:spacing w:line="360" w:lineRule="auto"/>
        <w:rPr>
          <w:rFonts w:ascii="Calibri" w:hAnsi="Calibri" w:cs="Calibri"/>
          <w:sz w:val="24"/>
          <w:szCs w:val="24"/>
        </w:rPr>
      </w:pPr>
    </w:p>
    <w:p w14:paraId="28B323F6" w14:textId="7B775E8B" w:rsidR="00067940" w:rsidRDefault="00067940" w:rsidP="00073E41">
      <w:pPr>
        <w:pStyle w:val="NoSpacing"/>
        <w:spacing w:line="360" w:lineRule="auto"/>
        <w:rPr>
          <w:rFonts w:ascii="Calibri" w:hAnsi="Calibri" w:cs="Calibri"/>
          <w:sz w:val="24"/>
          <w:szCs w:val="24"/>
        </w:rPr>
      </w:pPr>
    </w:p>
    <w:p w14:paraId="2E05C26A" w14:textId="77777777" w:rsidR="00067940" w:rsidRPr="00427890" w:rsidRDefault="00067940" w:rsidP="00067940">
      <w:pPr>
        <w:pStyle w:val="NoSpacing"/>
        <w:spacing w:line="360" w:lineRule="auto"/>
        <w:rPr>
          <w:sz w:val="24"/>
          <w:szCs w:val="24"/>
        </w:rPr>
      </w:pPr>
      <w:r w:rsidRPr="00427890">
        <w:rPr>
          <w:b/>
          <w:bCs/>
          <w:sz w:val="24"/>
          <w:szCs w:val="24"/>
          <w:u w:val="single"/>
        </w:rPr>
        <w:lastRenderedPageBreak/>
        <w:t>Gwerthusiad</w:t>
      </w:r>
    </w:p>
    <w:p w14:paraId="2E003021" w14:textId="77777777" w:rsidR="00067940" w:rsidRPr="00427890" w:rsidRDefault="00067940" w:rsidP="00067940">
      <w:pPr>
        <w:pStyle w:val="NoSpacing"/>
        <w:spacing w:line="360" w:lineRule="auto"/>
        <w:rPr>
          <w:sz w:val="24"/>
          <w:szCs w:val="24"/>
        </w:rPr>
      </w:pPr>
      <w:r>
        <w:rPr>
          <w:rFonts w:ascii="Calibri" w:hAnsi="Calibri" w:cs="Calibri"/>
          <w:sz w:val="24"/>
          <w:szCs w:val="24"/>
        </w:rPr>
        <w:t>Wrth fyfyrio ar yr ymyrraeth a gynigiwyd yn yr aseiniaid, ac ar yr hyn a wnaethpwyd wrth ei gyflwyno, daw’n amlwg bod agweddau positif a negatif i’r gwaith. Peth positif yw bod yr ymyrraeth yn cwmpasu dull cyfoes a pherthnasol o addysgu, gan ystyried yr hyn fydd yn cael ei weld yn y cwricwlwm newydd yng Nghymru. Daw’n amlwg wrth ddarllen arolygiad Donaldson, bod y dull mwy integredig, a trawsgwricwlaidd o addysgu am fod yn allweddol mewn ysgolion yng Nghymru yn y dyfodol. Fel esboniwyd gan Donaldson (2015, t.65), “mae addysgeg sy’n gwneud pob defnydd o sgiliau ehangach o fewn ac ar draws pob Maes Dysgu a Phrofiad, yn enwedig sgiliau datrys problemau, sgiliau creadigol a’r gallu i feddwl mewn modd beirniadol” yn debyg o ysgogi a hybu dysgu effeithiol yn y plant. Cytuna Kerry (2010, t.44) gyda phwysigrwydd hyn, gan ddweud mai gallu'r athro yw hi i helpu plant i wneud “cysylltiadau ar draws meysydd dysgu a phrofiad, trwy integreiddio gwybodaeth cynnwys pwnc yn ogystal â phrofiadau bywyd go-iawn, a gwneud defnydd creadigol o amgylcheddau tu fewn a thu allan.” Yn yr ymyrraeth felly, wrth i’r athro defnyddio’r prynhawniau thematig i gynnal gweithgareddau sydd nid yn unig yn cyfuno sgiliau ac agweddau o wahanol feysydd dysgu, ond sydd hefyd yn cysylltu â’r thema a phrofiadau’r plant, mae hyn yn cysylltu ag addysg y dyfodol. Peth positif yw felly bod yr ymyrraeth yn gwneud hyn, gan mai dyma’r math o ddysgu bydd yn cael ei weld yng Nghymru dros y blynyddoedd nesaf.</w:t>
      </w:r>
    </w:p>
    <w:p w14:paraId="584330BD" w14:textId="77777777" w:rsidR="00067940" w:rsidRPr="00427890" w:rsidRDefault="00067940" w:rsidP="00067940">
      <w:pPr>
        <w:pStyle w:val="NoSpacing"/>
        <w:spacing w:line="360" w:lineRule="auto"/>
        <w:rPr>
          <w:sz w:val="24"/>
          <w:szCs w:val="24"/>
        </w:rPr>
      </w:pPr>
      <w:r>
        <w:rPr>
          <w:rFonts w:ascii="Calibri" w:hAnsi="Calibri" w:cs="Calibri"/>
          <w:sz w:val="24"/>
          <w:szCs w:val="24"/>
        </w:rPr>
        <w:t>Er hynny, rwy’n cydnabod bod nifer o agweddau ble mae angen mwy o sylw a gwelliant yn yr ymyrraeth ac yn y gwaith yn gyffredinol. O ran yr ymyrraeth, wrth edrych yn ôl gwelir bod angen rhoi mwy o sylw i’r plant ag anghenion dysgu ychwanegol, yn enwedig wrth feddwl am yr ymweliadau allanol, a’r tasgau thematig. Nid oedd digon o feddwl wedi mynd i gynnwys y plant yna ag anghenion dysgu ychwanegol, gan sicrhau bod y profiadau yn mynd i fod yn rhai a fydd yn eu cynnwys a hefyd yn cefnogi eu dysgu nhw. Fel eglura Dauncey (2016, t.42), mae’r Llywodraeth “eisiau i'r system newydd fabwysiadu dull gweithredu sy'n canolbwyntio'n fwy ar y person, gan arwain at fwy o gyfranogiad gan y dysgwyr eu hunain.” Mae angen sicrhau felly y bydd y profiadau yn addas i bob plentyn, a bod y gweithgareddau a gynlluniwyd yn mynd i hybu dysgu gan ymestyn sgiliau pawb yn y dosbarth. Oherwydd hynny felly, gellir dadlau bod angen addasu cwpl o agweddau o’r ymyrraeth, er mwyn iddo fod yn addas i bawb.</w:t>
      </w:r>
    </w:p>
    <w:p w14:paraId="24B198D4" w14:textId="77777777" w:rsidR="00067940" w:rsidRPr="00427890" w:rsidRDefault="00067940" w:rsidP="00067940">
      <w:pPr>
        <w:pStyle w:val="NoSpacing"/>
        <w:spacing w:line="360" w:lineRule="auto"/>
        <w:rPr>
          <w:sz w:val="24"/>
          <w:szCs w:val="24"/>
        </w:rPr>
      </w:pPr>
      <w:r w:rsidRPr="00427890">
        <w:rPr>
          <w:rFonts w:ascii="Calibri" w:hAnsi="Calibri" w:cs="Calibri"/>
          <w:sz w:val="24"/>
          <w:szCs w:val="24"/>
        </w:rPr>
        <w:t xml:space="preserve">O ran yr esboniad o’r ymyrraeth i’r llywodraethwr, mae cwpl o agweddau lle </w:t>
      </w:r>
      <w:r>
        <w:rPr>
          <w:rFonts w:ascii="Calibri" w:hAnsi="Calibri" w:cs="Calibri"/>
          <w:sz w:val="24"/>
          <w:szCs w:val="24"/>
        </w:rPr>
        <w:t>efallai</w:t>
      </w:r>
      <w:r w:rsidRPr="00427890">
        <w:rPr>
          <w:rFonts w:ascii="Calibri" w:hAnsi="Calibri" w:cs="Calibri"/>
          <w:sz w:val="24"/>
          <w:szCs w:val="24"/>
        </w:rPr>
        <w:t xml:space="preserve"> roedd angen bod yn fwy manwl. Yn benodol wrth ddisgrifio’r gost o’r ymyrraeth, roedd angen </w:t>
      </w:r>
      <w:r w:rsidRPr="00427890">
        <w:rPr>
          <w:rFonts w:ascii="Calibri" w:hAnsi="Calibri" w:cs="Calibri"/>
          <w:sz w:val="24"/>
          <w:szCs w:val="24"/>
        </w:rPr>
        <w:lastRenderedPageBreak/>
        <w:t>disgrifio</w:t>
      </w:r>
      <w:r>
        <w:rPr>
          <w:rFonts w:ascii="Calibri" w:hAnsi="Calibri" w:cs="Calibri"/>
          <w:sz w:val="24"/>
          <w:szCs w:val="24"/>
        </w:rPr>
        <w:t>’n</w:t>
      </w:r>
      <w:r w:rsidRPr="00427890">
        <w:rPr>
          <w:rFonts w:ascii="Calibri" w:hAnsi="Calibri" w:cs="Calibri"/>
          <w:sz w:val="24"/>
          <w:szCs w:val="24"/>
        </w:rPr>
        <w:t xml:space="preserve"> ymhellach yn union </w:t>
      </w:r>
      <w:r>
        <w:rPr>
          <w:rFonts w:ascii="Calibri" w:hAnsi="Calibri" w:cs="Calibri"/>
          <w:sz w:val="24"/>
          <w:szCs w:val="24"/>
        </w:rPr>
        <w:t xml:space="preserve">ar </w:t>
      </w:r>
      <w:r w:rsidRPr="00427890">
        <w:rPr>
          <w:rFonts w:ascii="Calibri" w:hAnsi="Calibri" w:cs="Calibri"/>
          <w:sz w:val="24"/>
          <w:szCs w:val="24"/>
        </w:rPr>
        <w:t xml:space="preserve">beth roedd yr arian am gael ei wario. Byddai hefyd mwy o wybodaeth am yr hyn byddai’r plant yn ei gyflawni yn ystod y diwrnodau profiad hefyd wedi bod yn effeithiol. Pwysig yw bod y llywodraethwyr yn deall popeth am yr ymyrraeth, ac felly wrth gyflwyno’r ymyrraeth eto byddwn i yn ceisio cynnwys y wybodaeth ychwanegol yma. O ran y fideo, er bod y cynnwys yn gyflawn gyda phopeth </w:t>
      </w:r>
      <w:r>
        <w:rPr>
          <w:rFonts w:ascii="Calibri" w:hAnsi="Calibri" w:cs="Calibri"/>
          <w:sz w:val="24"/>
          <w:szCs w:val="24"/>
        </w:rPr>
        <w:t>a pharatowyd</w:t>
      </w:r>
      <w:r w:rsidRPr="00427890">
        <w:rPr>
          <w:rFonts w:ascii="Calibri" w:hAnsi="Calibri" w:cs="Calibri"/>
          <w:sz w:val="24"/>
          <w:szCs w:val="24"/>
        </w:rPr>
        <w:t xml:space="preserve"> yn cael ei ddweud, teimlaf fy mod i wedi siarad ychydig yn gyflymach na ddylwn i. Byddai pwyllo, gan siarad yn araf</w:t>
      </w:r>
      <w:r>
        <w:rPr>
          <w:rFonts w:ascii="Calibri" w:hAnsi="Calibri" w:cs="Calibri"/>
          <w:sz w:val="24"/>
          <w:szCs w:val="24"/>
        </w:rPr>
        <w:t>ach</w:t>
      </w:r>
      <w:r w:rsidRPr="00427890">
        <w:rPr>
          <w:rFonts w:ascii="Calibri" w:hAnsi="Calibri" w:cs="Calibri"/>
          <w:sz w:val="24"/>
          <w:szCs w:val="24"/>
        </w:rPr>
        <w:t>, wedi golygu bod yr esboniad yn llawer mwy clir gyda’r wybodaeth yn cael ei drosglwyddo yn fwy effeithiol.</w:t>
      </w:r>
    </w:p>
    <w:p w14:paraId="4C40D282" w14:textId="3E20F311" w:rsidR="00067940" w:rsidRDefault="00067940" w:rsidP="00067940">
      <w:pPr>
        <w:pStyle w:val="NoSpacing"/>
        <w:spacing w:line="360" w:lineRule="auto"/>
        <w:rPr>
          <w:rFonts w:ascii="Calibri" w:hAnsi="Calibri" w:cs="Calibri"/>
          <w:sz w:val="24"/>
          <w:szCs w:val="24"/>
        </w:rPr>
      </w:pPr>
      <w:r>
        <w:rPr>
          <w:rFonts w:ascii="Calibri" w:hAnsi="Calibri" w:cs="Calibri"/>
          <w:sz w:val="24"/>
          <w:szCs w:val="24"/>
        </w:rPr>
        <w:t>Ar y cyfan, mae’r ymyrraeth yn ymateb i’r anghenion, gan ddatrys y broblem oedd yn bodoli yn yr ysgol benodol yma. Er bod angen ychydig o waith arno, credaf y byddai’n gwneud trosglwyddiad y plant o wers i wers, yn ogystal â’r dilyniant yn yr addysg yn fwy effeithiol. Mae hefyd yn gwneud defnydd positif o’r gymuned, gan weld y plant yn frwdfrydig ac ymroddi yn fwy i’r gwaith. Fel esbonia Nottingham (2013, t.44), mae “dysgu am wneud cynnydd, dim am fod yn well neu yn waeth na rhywun arall.” Credaf er bod angen gwella ar y ffordd a chyflwynir yr ymyrraeth i’r llywodraethwyr ac yn gyffredinol, y gallai’r ymyrraeth yma wrth gael ei weithredu, cefnogi’r plant i wneud cynnydd ymhob agwedd o’r cwricwlwm, gan ddatblygu’r sgiliau sydd eu hangen arnynt. Bydd yn arwain at ac yn chwarae rhan mewn “datblygu proffesiwn addysg o safon uchel”, sef un o amcanion Llywodraeth Cymru (2017). Trwy’r ymyrraeth yma, mae’r safonau newydd ar gyfer athrawon hefyd yn cael eu cyrraedd, gyda’r athro yn “sicrhau’n gyson y deilliannau gorau i ddysgwyr drwy fireinio dulliau addysgu’n raddol, dylanwadu ar ddysgwyr a hybu dysgu”, a hefyd yn “manteisio ar gyfleoedd i gydweithio mewn ffordd gynhyrchiol â’r holl bartneriaid ym maes dysgu er mwyn cynyddu effeithiolrwydd proffesiynol” (Llywodraeth Cymru, 2019).</w:t>
      </w:r>
    </w:p>
    <w:p w14:paraId="1119BAE1" w14:textId="23230C34" w:rsidR="00834827" w:rsidRDefault="00834827" w:rsidP="00067940">
      <w:pPr>
        <w:pStyle w:val="NoSpacing"/>
        <w:spacing w:line="360" w:lineRule="auto"/>
        <w:rPr>
          <w:rFonts w:ascii="Calibri" w:hAnsi="Calibri" w:cs="Calibri"/>
          <w:sz w:val="24"/>
          <w:szCs w:val="24"/>
        </w:rPr>
      </w:pPr>
    </w:p>
    <w:p w14:paraId="1297DECA" w14:textId="674AB230" w:rsidR="00834827" w:rsidRDefault="00834827" w:rsidP="00067940">
      <w:pPr>
        <w:pStyle w:val="NoSpacing"/>
        <w:spacing w:line="360" w:lineRule="auto"/>
        <w:rPr>
          <w:rFonts w:ascii="Calibri" w:hAnsi="Calibri" w:cs="Calibri"/>
          <w:sz w:val="24"/>
          <w:szCs w:val="24"/>
        </w:rPr>
      </w:pPr>
    </w:p>
    <w:p w14:paraId="37A2CE3A" w14:textId="07E7213B" w:rsidR="00834827" w:rsidRDefault="00834827" w:rsidP="00067940">
      <w:pPr>
        <w:pStyle w:val="NoSpacing"/>
        <w:spacing w:line="360" w:lineRule="auto"/>
        <w:rPr>
          <w:rFonts w:ascii="Calibri" w:hAnsi="Calibri" w:cs="Calibri"/>
          <w:b/>
          <w:bCs/>
          <w:sz w:val="24"/>
          <w:szCs w:val="24"/>
        </w:rPr>
      </w:pPr>
      <w:r>
        <w:rPr>
          <w:rFonts w:ascii="Calibri" w:hAnsi="Calibri" w:cs="Calibri"/>
          <w:b/>
          <w:bCs/>
          <w:sz w:val="24"/>
          <w:szCs w:val="24"/>
        </w:rPr>
        <w:t>Nifer o eiriau – 4,125</w:t>
      </w:r>
    </w:p>
    <w:p w14:paraId="48F285F6" w14:textId="1B0A0AAE" w:rsidR="00BF01EF" w:rsidRDefault="00BF01EF" w:rsidP="00067940">
      <w:pPr>
        <w:pStyle w:val="NoSpacing"/>
        <w:spacing w:line="360" w:lineRule="auto"/>
        <w:rPr>
          <w:rFonts w:ascii="Calibri" w:hAnsi="Calibri" w:cs="Calibri"/>
          <w:b/>
          <w:bCs/>
          <w:sz w:val="24"/>
          <w:szCs w:val="24"/>
        </w:rPr>
      </w:pPr>
    </w:p>
    <w:p w14:paraId="6B4886A8" w14:textId="5862C5E1" w:rsidR="00BF01EF" w:rsidRDefault="00BF01EF" w:rsidP="00067940">
      <w:pPr>
        <w:pStyle w:val="NoSpacing"/>
        <w:spacing w:line="360" w:lineRule="auto"/>
        <w:rPr>
          <w:rFonts w:ascii="Calibri" w:hAnsi="Calibri" w:cs="Calibri"/>
          <w:b/>
          <w:bCs/>
          <w:sz w:val="24"/>
          <w:szCs w:val="24"/>
        </w:rPr>
      </w:pPr>
    </w:p>
    <w:p w14:paraId="604E237A" w14:textId="30B3D7E3" w:rsidR="00BF01EF" w:rsidRDefault="00BF01EF" w:rsidP="00067940">
      <w:pPr>
        <w:pStyle w:val="NoSpacing"/>
        <w:spacing w:line="360" w:lineRule="auto"/>
        <w:rPr>
          <w:rFonts w:ascii="Calibri" w:hAnsi="Calibri" w:cs="Calibri"/>
          <w:b/>
          <w:bCs/>
          <w:sz w:val="24"/>
          <w:szCs w:val="24"/>
        </w:rPr>
      </w:pPr>
    </w:p>
    <w:p w14:paraId="7E6DEDC3" w14:textId="5A474AEC" w:rsidR="00BF01EF" w:rsidRDefault="00BF01EF" w:rsidP="00067940">
      <w:pPr>
        <w:pStyle w:val="NoSpacing"/>
        <w:spacing w:line="360" w:lineRule="auto"/>
        <w:rPr>
          <w:rFonts w:ascii="Calibri" w:hAnsi="Calibri" w:cs="Calibri"/>
          <w:b/>
          <w:bCs/>
          <w:sz w:val="24"/>
          <w:szCs w:val="24"/>
        </w:rPr>
      </w:pPr>
    </w:p>
    <w:p w14:paraId="7C122DF3" w14:textId="6079CAE5" w:rsidR="00BF01EF" w:rsidRDefault="00BF01EF" w:rsidP="00067940">
      <w:pPr>
        <w:pStyle w:val="NoSpacing"/>
        <w:spacing w:line="360" w:lineRule="auto"/>
        <w:rPr>
          <w:rFonts w:ascii="Calibri" w:hAnsi="Calibri" w:cs="Calibri"/>
          <w:b/>
          <w:bCs/>
          <w:sz w:val="24"/>
          <w:szCs w:val="24"/>
        </w:rPr>
      </w:pPr>
    </w:p>
    <w:p w14:paraId="3B69AAB4" w14:textId="5FC68A5D" w:rsidR="00BF01EF" w:rsidRDefault="00BF01EF" w:rsidP="00067940">
      <w:pPr>
        <w:pStyle w:val="NoSpacing"/>
        <w:spacing w:line="360" w:lineRule="auto"/>
        <w:rPr>
          <w:rFonts w:ascii="Calibri" w:hAnsi="Calibri" w:cs="Calibri"/>
          <w:b/>
          <w:bCs/>
          <w:sz w:val="24"/>
          <w:szCs w:val="24"/>
        </w:rPr>
      </w:pPr>
    </w:p>
    <w:p w14:paraId="2D0F4D0E" w14:textId="77777777" w:rsidR="00BF01EF" w:rsidRPr="004F3DC2" w:rsidRDefault="00BF01EF" w:rsidP="00BF01EF">
      <w:pPr>
        <w:pStyle w:val="NoSpacing"/>
        <w:rPr>
          <w:sz w:val="24"/>
          <w:szCs w:val="24"/>
        </w:rPr>
      </w:pPr>
      <w:r w:rsidRPr="004F3DC2">
        <w:rPr>
          <w:b/>
          <w:bCs/>
          <w:sz w:val="24"/>
          <w:szCs w:val="24"/>
          <w:u w:val="single"/>
        </w:rPr>
        <w:lastRenderedPageBreak/>
        <w:t>Rhestr Cyfeirnodi / Llyfryddiaeth</w:t>
      </w:r>
    </w:p>
    <w:p w14:paraId="3F0BD05A" w14:textId="77777777" w:rsidR="00BF01EF" w:rsidRPr="004F3DC2" w:rsidRDefault="00BF01EF" w:rsidP="00BF01EF">
      <w:pPr>
        <w:pStyle w:val="NoSpacing"/>
        <w:rPr>
          <w:sz w:val="24"/>
          <w:szCs w:val="24"/>
        </w:rPr>
      </w:pPr>
    </w:p>
    <w:p w14:paraId="4344E45D" w14:textId="77777777" w:rsidR="00BF01EF" w:rsidRPr="004F3DC2" w:rsidRDefault="00BF01EF" w:rsidP="00BF01EF">
      <w:pPr>
        <w:pStyle w:val="NoSpacing"/>
        <w:rPr>
          <w:sz w:val="24"/>
          <w:szCs w:val="24"/>
        </w:rPr>
      </w:pPr>
      <w:r w:rsidRPr="004F3DC2">
        <w:rPr>
          <w:sz w:val="24"/>
          <w:szCs w:val="24"/>
        </w:rPr>
        <w:t>Barnes, J. (201</w:t>
      </w:r>
      <w:r>
        <w:rPr>
          <w:sz w:val="24"/>
          <w:szCs w:val="24"/>
        </w:rPr>
        <w:t>5</w:t>
      </w:r>
      <w:r w:rsidRPr="004F3DC2">
        <w:rPr>
          <w:sz w:val="24"/>
          <w:szCs w:val="24"/>
        </w:rPr>
        <w:t xml:space="preserve">) </w:t>
      </w:r>
      <w:r w:rsidRPr="004F3DC2">
        <w:rPr>
          <w:i/>
          <w:iCs/>
          <w:sz w:val="24"/>
          <w:szCs w:val="24"/>
        </w:rPr>
        <w:t>Cross-curricular Learning 3-14</w:t>
      </w:r>
      <w:r w:rsidRPr="004F3DC2">
        <w:rPr>
          <w:sz w:val="24"/>
          <w:szCs w:val="24"/>
        </w:rPr>
        <w:t xml:space="preserve">. </w:t>
      </w:r>
      <w:r>
        <w:rPr>
          <w:sz w:val="24"/>
          <w:szCs w:val="24"/>
        </w:rPr>
        <w:t>3r</w:t>
      </w:r>
      <w:r w:rsidRPr="004F3DC2">
        <w:rPr>
          <w:sz w:val="24"/>
          <w:szCs w:val="24"/>
        </w:rPr>
        <w:t>d ed. London: Sage.</w:t>
      </w:r>
    </w:p>
    <w:p w14:paraId="44F98B31" w14:textId="77777777" w:rsidR="00BF01EF" w:rsidRDefault="00BF01EF" w:rsidP="00BF01EF">
      <w:pPr>
        <w:pStyle w:val="NoSpacing"/>
        <w:rPr>
          <w:sz w:val="24"/>
          <w:szCs w:val="24"/>
        </w:rPr>
      </w:pPr>
    </w:p>
    <w:p w14:paraId="345DB49D" w14:textId="77777777" w:rsidR="00BF01EF" w:rsidRDefault="00BF01EF" w:rsidP="00BF01EF">
      <w:pPr>
        <w:pStyle w:val="NoSpacing"/>
        <w:rPr>
          <w:sz w:val="24"/>
          <w:szCs w:val="24"/>
        </w:rPr>
      </w:pPr>
      <w:r w:rsidRPr="004F3DC2">
        <w:rPr>
          <w:sz w:val="24"/>
          <w:szCs w:val="24"/>
        </w:rPr>
        <w:t xml:space="preserve">Cremin, T. &amp; Burnett, C. (2018) </w:t>
      </w:r>
      <w:r w:rsidRPr="004F3DC2">
        <w:rPr>
          <w:i/>
          <w:iCs/>
          <w:sz w:val="24"/>
          <w:szCs w:val="24"/>
        </w:rPr>
        <w:t>Learning to teach in the primary school</w:t>
      </w:r>
      <w:r w:rsidRPr="004F3DC2">
        <w:rPr>
          <w:sz w:val="24"/>
          <w:szCs w:val="24"/>
        </w:rPr>
        <w:t>. 4th ed. London: Routledge.</w:t>
      </w:r>
    </w:p>
    <w:p w14:paraId="09E6AE66" w14:textId="77777777" w:rsidR="00BF01EF" w:rsidRDefault="00BF01EF" w:rsidP="00BF01EF">
      <w:pPr>
        <w:pStyle w:val="NoSpacing"/>
        <w:rPr>
          <w:sz w:val="24"/>
          <w:szCs w:val="24"/>
        </w:rPr>
      </w:pPr>
    </w:p>
    <w:p w14:paraId="71BD3DD8" w14:textId="77777777" w:rsidR="00BF01EF" w:rsidRPr="00C36ACA" w:rsidRDefault="00BF01EF" w:rsidP="00BF01EF">
      <w:pPr>
        <w:pStyle w:val="NoSpacing"/>
        <w:rPr>
          <w:sz w:val="24"/>
          <w:szCs w:val="24"/>
        </w:rPr>
      </w:pPr>
      <w:r>
        <w:rPr>
          <w:sz w:val="24"/>
          <w:szCs w:val="24"/>
        </w:rPr>
        <w:t xml:space="preserve">Dauncey, M. (2016). </w:t>
      </w:r>
      <w:r w:rsidRPr="00C36ACA">
        <w:rPr>
          <w:i/>
          <w:iCs/>
          <w:sz w:val="24"/>
          <w:szCs w:val="24"/>
        </w:rPr>
        <w:t>Anghenion Dysgu Ychwanegol yng Nghymru</w:t>
      </w:r>
      <w:r>
        <w:rPr>
          <w:i/>
          <w:iCs/>
          <w:sz w:val="24"/>
          <w:szCs w:val="24"/>
        </w:rPr>
        <w:t xml:space="preserve">. </w:t>
      </w:r>
      <w:r>
        <w:rPr>
          <w:sz w:val="24"/>
          <w:szCs w:val="24"/>
        </w:rPr>
        <w:t xml:space="preserve">Caerdydd: </w:t>
      </w:r>
      <w:r w:rsidRPr="00C36ACA">
        <w:rPr>
          <w:sz w:val="24"/>
          <w:szCs w:val="24"/>
        </w:rPr>
        <w:t>Hawlfraint Comisiwn Cynulliad Cenedlaethol Cymru</w:t>
      </w:r>
    </w:p>
    <w:p w14:paraId="03FA698E" w14:textId="77777777" w:rsidR="00BF01EF" w:rsidRDefault="00BF01EF" w:rsidP="00BF01EF">
      <w:pPr>
        <w:pStyle w:val="NoSpacing"/>
        <w:rPr>
          <w:sz w:val="24"/>
          <w:szCs w:val="24"/>
        </w:rPr>
      </w:pPr>
    </w:p>
    <w:p w14:paraId="38B01739" w14:textId="77777777" w:rsidR="00BF01EF" w:rsidRPr="004F3DC2" w:rsidRDefault="00BF01EF" w:rsidP="00BF01EF">
      <w:pPr>
        <w:pStyle w:val="NoSpacing"/>
        <w:rPr>
          <w:sz w:val="24"/>
          <w:szCs w:val="24"/>
        </w:rPr>
      </w:pPr>
      <w:r w:rsidRPr="004F3DC2">
        <w:rPr>
          <w:sz w:val="24"/>
          <w:szCs w:val="24"/>
        </w:rPr>
        <w:t xml:space="preserve">Donaldson, G. (2015) </w:t>
      </w:r>
      <w:r w:rsidRPr="004F3DC2">
        <w:rPr>
          <w:i/>
          <w:iCs/>
          <w:sz w:val="24"/>
          <w:szCs w:val="24"/>
        </w:rPr>
        <w:t>Dyfodol Llwyddiannus</w:t>
      </w:r>
      <w:r w:rsidRPr="004F3DC2">
        <w:rPr>
          <w:sz w:val="24"/>
          <w:szCs w:val="24"/>
        </w:rPr>
        <w:t>. Caerdydd: Llywodraeth Cymru.</w:t>
      </w:r>
    </w:p>
    <w:p w14:paraId="5677A6BE" w14:textId="77777777" w:rsidR="00BF01EF" w:rsidRDefault="00BF01EF" w:rsidP="00BF01EF">
      <w:pPr>
        <w:pStyle w:val="NoSpacing"/>
        <w:rPr>
          <w:sz w:val="24"/>
          <w:szCs w:val="24"/>
        </w:rPr>
      </w:pPr>
    </w:p>
    <w:p w14:paraId="4744BA57" w14:textId="77777777" w:rsidR="00BF01EF" w:rsidRDefault="00BF01EF" w:rsidP="00BF01EF">
      <w:pPr>
        <w:pStyle w:val="NoSpacing"/>
        <w:rPr>
          <w:sz w:val="24"/>
          <w:szCs w:val="24"/>
        </w:rPr>
      </w:pPr>
      <w:r w:rsidRPr="004F3DC2">
        <w:rPr>
          <w:sz w:val="24"/>
          <w:szCs w:val="24"/>
        </w:rPr>
        <w:t xml:space="preserve">Estyn. (2017) </w:t>
      </w:r>
      <w:r w:rsidRPr="004F3DC2">
        <w:rPr>
          <w:i/>
          <w:iCs/>
          <w:sz w:val="24"/>
          <w:szCs w:val="24"/>
        </w:rPr>
        <w:t>Dysgu gweithredol a thrwy brofiad</w:t>
      </w:r>
      <w:r w:rsidRPr="004F3DC2">
        <w:rPr>
          <w:sz w:val="24"/>
          <w:szCs w:val="24"/>
        </w:rPr>
        <w:t>. Caerdydd: Hawlfraint y Goron.</w:t>
      </w:r>
    </w:p>
    <w:p w14:paraId="32AD63FD" w14:textId="77777777" w:rsidR="00BF01EF" w:rsidRDefault="00BF01EF" w:rsidP="00BF01EF">
      <w:pPr>
        <w:pStyle w:val="NoSpacing"/>
        <w:rPr>
          <w:sz w:val="24"/>
          <w:szCs w:val="24"/>
        </w:rPr>
      </w:pPr>
    </w:p>
    <w:p w14:paraId="40E1A638" w14:textId="77777777" w:rsidR="00BF01EF" w:rsidRPr="00FC086E" w:rsidRDefault="00BF01EF" w:rsidP="00BF01EF">
      <w:pPr>
        <w:pStyle w:val="NoSpacing"/>
        <w:rPr>
          <w:sz w:val="24"/>
          <w:szCs w:val="24"/>
        </w:rPr>
      </w:pPr>
      <w:r>
        <w:rPr>
          <w:sz w:val="24"/>
          <w:szCs w:val="24"/>
        </w:rPr>
        <w:t xml:space="preserve">Estyn. (2017) </w:t>
      </w:r>
      <w:r>
        <w:rPr>
          <w:i/>
          <w:iCs/>
          <w:sz w:val="24"/>
          <w:szCs w:val="24"/>
        </w:rPr>
        <w:t>Adroddiad ar Ysgol Gynradd Brynsiencyn</w:t>
      </w:r>
      <w:r>
        <w:rPr>
          <w:sz w:val="24"/>
          <w:szCs w:val="24"/>
        </w:rPr>
        <w:t>. Caerdydd: Hawlfraint y Goron.</w:t>
      </w:r>
    </w:p>
    <w:p w14:paraId="2BB28CDC" w14:textId="77777777" w:rsidR="00BF01EF" w:rsidRDefault="00BF01EF" w:rsidP="00BF01EF">
      <w:pPr>
        <w:pStyle w:val="NoSpacing"/>
        <w:rPr>
          <w:sz w:val="24"/>
          <w:szCs w:val="24"/>
        </w:rPr>
      </w:pPr>
    </w:p>
    <w:p w14:paraId="7BD29794" w14:textId="77777777" w:rsidR="00BF01EF" w:rsidRPr="004F3DC2" w:rsidRDefault="00BF01EF" w:rsidP="00BF01EF">
      <w:pPr>
        <w:pStyle w:val="NoSpacing"/>
        <w:rPr>
          <w:sz w:val="24"/>
          <w:szCs w:val="24"/>
        </w:rPr>
      </w:pPr>
      <w:r w:rsidRPr="004F3DC2">
        <w:rPr>
          <w:sz w:val="24"/>
          <w:szCs w:val="24"/>
        </w:rPr>
        <w:t xml:space="preserve">Estyn. (2018) </w:t>
      </w:r>
      <w:r w:rsidRPr="004F3DC2">
        <w:rPr>
          <w:i/>
          <w:iCs/>
          <w:sz w:val="24"/>
          <w:szCs w:val="24"/>
        </w:rPr>
        <w:t>Datblygu cwricwlwm sy’n gwella medrau disgyblion a’u brwdfrydedd tuag at ddysgu</w:t>
      </w:r>
      <w:r w:rsidRPr="004F3DC2">
        <w:rPr>
          <w:sz w:val="24"/>
          <w:szCs w:val="24"/>
        </w:rPr>
        <w:t>.</w:t>
      </w:r>
    </w:p>
    <w:p w14:paraId="590E09CA" w14:textId="77777777" w:rsidR="00BF01EF" w:rsidRDefault="00BF01EF" w:rsidP="00BF01EF">
      <w:pPr>
        <w:pStyle w:val="NoSpacing"/>
        <w:rPr>
          <w:sz w:val="24"/>
          <w:szCs w:val="24"/>
        </w:rPr>
      </w:pPr>
      <w:r w:rsidRPr="004F3DC2">
        <w:rPr>
          <w:sz w:val="24"/>
          <w:szCs w:val="24"/>
        </w:rPr>
        <w:t xml:space="preserve">Ar gael ar: </w:t>
      </w:r>
    </w:p>
    <w:p w14:paraId="0A9A827F" w14:textId="77777777" w:rsidR="00BF01EF" w:rsidRPr="004F3DC2" w:rsidRDefault="00BF01EF" w:rsidP="00BF01EF">
      <w:pPr>
        <w:pStyle w:val="NoSpacing"/>
        <w:rPr>
          <w:sz w:val="24"/>
          <w:szCs w:val="24"/>
        </w:rPr>
      </w:pPr>
      <w:hyperlink r:id="rId5" w:history="1">
        <w:r w:rsidRPr="0061435E">
          <w:rPr>
            <w:rStyle w:val="Hyperlink"/>
            <w:sz w:val="24"/>
            <w:szCs w:val="24"/>
          </w:rPr>
          <w:t>https://www.estyn.llyw.cymru/arfer-effeithiol/datblygu-cwricwlwm-sy%E2%80%99n-gwella-medrau-disgyblion-a%E2%80%99u-brwdfrydedd-tuag-ddysgu?_ga=2.38255011.1052139448.1573229041-1917826503.1573121432</w:t>
        </w:r>
      </w:hyperlink>
    </w:p>
    <w:p w14:paraId="648CFC21" w14:textId="77777777" w:rsidR="00BF01EF" w:rsidRDefault="00BF01EF" w:rsidP="00BF01EF">
      <w:pPr>
        <w:pStyle w:val="NoSpacing"/>
        <w:rPr>
          <w:sz w:val="24"/>
          <w:szCs w:val="24"/>
        </w:rPr>
      </w:pPr>
      <w:r w:rsidRPr="004F3DC2">
        <w:rPr>
          <w:sz w:val="24"/>
          <w:szCs w:val="24"/>
        </w:rPr>
        <w:t>(Ymwelwyd ar: 14eg o Dachwedd, 2019)</w:t>
      </w:r>
    </w:p>
    <w:p w14:paraId="0FB16E75" w14:textId="77777777" w:rsidR="00BF01EF" w:rsidRDefault="00BF01EF" w:rsidP="00BF01EF">
      <w:pPr>
        <w:pStyle w:val="NoSpacing"/>
        <w:rPr>
          <w:sz w:val="24"/>
          <w:szCs w:val="24"/>
        </w:rPr>
      </w:pPr>
    </w:p>
    <w:p w14:paraId="24E74AA2" w14:textId="77777777" w:rsidR="00BF01EF" w:rsidRPr="004F3DC2" w:rsidRDefault="00BF01EF" w:rsidP="00BF01EF">
      <w:pPr>
        <w:pStyle w:val="NoSpacing"/>
        <w:rPr>
          <w:sz w:val="24"/>
          <w:szCs w:val="24"/>
        </w:rPr>
      </w:pPr>
      <w:r w:rsidRPr="004F3DC2">
        <w:rPr>
          <w:sz w:val="24"/>
          <w:szCs w:val="24"/>
        </w:rPr>
        <w:t xml:space="preserve">Estyn. (2018) </w:t>
      </w:r>
      <w:r w:rsidRPr="004F3DC2">
        <w:rPr>
          <w:i/>
          <w:iCs/>
          <w:sz w:val="24"/>
          <w:szCs w:val="24"/>
        </w:rPr>
        <w:t>Darparu profiadau wedi’u cyfoethogi i ddatblygu medrau</w:t>
      </w:r>
      <w:r w:rsidRPr="004F3DC2">
        <w:rPr>
          <w:sz w:val="24"/>
          <w:szCs w:val="24"/>
        </w:rPr>
        <w:t>.</w:t>
      </w:r>
    </w:p>
    <w:p w14:paraId="5826F14E" w14:textId="77777777" w:rsidR="00BF01EF" w:rsidRDefault="00BF01EF" w:rsidP="00BF01EF">
      <w:pPr>
        <w:pStyle w:val="NoSpacing"/>
        <w:rPr>
          <w:sz w:val="24"/>
          <w:szCs w:val="24"/>
        </w:rPr>
      </w:pPr>
      <w:r w:rsidRPr="004F3DC2">
        <w:rPr>
          <w:sz w:val="24"/>
          <w:szCs w:val="24"/>
        </w:rPr>
        <w:t xml:space="preserve">Ar gael ar: </w:t>
      </w:r>
    </w:p>
    <w:p w14:paraId="69042FF9" w14:textId="77777777" w:rsidR="00BF01EF" w:rsidRPr="004F3DC2" w:rsidRDefault="00BF01EF" w:rsidP="00BF01EF">
      <w:pPr>
        <w:pStyle w:val="NoSpacing"/>
        <w:rPr>
          <w:sz w:val="24"/>
          <w:szCs w:val="24"/>
        </w:rPr>
      </w:pPr>
      <w:hyperlink r:id="rId6" w:history="1">
        <w:r w:rsidRPr="0061435E">
          <w:rPr>
            <w:rStyle w:val="Hyperlink"/>
            <w:sz w:val="24"/>
            <w:szCs w:val="24"/>
          </w:rPr>
          <w:t>https://www.estyn.llyw.cymru/arfer-effeithiol/darparu-profiadau-wedi%E2%80%99u-cyfoethogi-i-ddatblygu-medrau?_ga=2.102136193.1052139448.1573229041-1917826503.1573121432</w:t>
        </w:r>
      </w:hyperlink>
    </w:p>
    <w:p w14:paraId="60B16036" w14:textId="77777777" w:rsidR="00BF01EF" w:rsidRPr="004F3DC2" w:rsidRDefault="00BF01EF" w:rsidP="00BF01EF">
      <w:pPr>
        <w:pStyle w:val="NoSpacing"/>
        <w:rPr>
          <w:sz w:val="24"/>
          <w:szCs w:val="24"/>
        </w:rPr>
      </w:pPr>
      <w:r w:rsidRPr="004F3DC2">
        <w:rPr>
          <w:sz w:val="24"/>
          <w:szCs w:val="24"/>
        </w:rPr>
        <w:t>(Ymwelwyd ar: 14eg o Dachwedd, 2019)</w:t>
      </w:r>
    </w:p>
    <w:p w14:paraId="0FC4E205" w14:textId="77777777" w:rsidR="00BF01EF" w:rsidRDefault="00BF01EF" w:rsidP="00BF01EF">
      <w:pPr>
        <w:pStyle w:val="NoSpacing"/>
        <w:rPr>
          <w:sz w:val="24"/>
          <w:szCs w:val="24"/>
        </w:rPr>
      </w:pPr>
    </w:p>
    <w:p w14:paraId="0F1F8A99" w14:textId="77777777" w:rsidR="00BF01EF" w:rsidRDefault="00BF01EF" w:rsidP="00BF01EF">
      <w:pPr>
        <w:pStyle w:val="NoSpacing"/>
        <w:rPr>
          <w:sz w:val="24"/>
          <w:szCs w:val="24"/>
        </w:rPr>
      </w:pPr>
      <w:r w:rsidRPr="004F3DC2">
        <w:rPr>
          <w:sz w:val="24"/>
          <w:szCs w:val="24"/>
        </w:rPr>
        <w:t xml:space="preserve">Grigg, R. (2010) </w:t>
      </w:r>
      <w:r w:rsidRPr="004F3DC2">
        <w:rPr>
          <w:i/>
          <w:iCs/>
          <w:sz w:val="24"/>
          <w:szCs w:val="24"/>
        </w:rPr>
        <w:t>Becoming an outstanding primary school teacher</w:t>
      </w:r>
      <w:r w:rsidRPr="004F3DC2">
        <w:rPr>
          <w:sz w:val="24"/>
          <w:szCs w:val="24"/>
        </w:rPr>
        <w:t>. Harlow: Longman.</w:t>
      </w:r>
    </w:p>
    <w:p w14:paraId="4814CC93" w14:textId="77777777" w:rsidR="00BF01EF" w:rsidRDefault="00BF01EF" w:rsidP="00BF01EF">
      <w:pPr>
        <w:pStyle w:val="NoSpacing"/>
        <w:rPr>
          <w:sz w:val="24"/>
          <w:szCs w:val="24"/>
        </w:rPr>
      </w:pPr>
    </w:p>
    <w:p w14:paraId="60F8F7B2" w14:textId="77777777" w:rsidR="00BF01EF" w:rsidRDefault="00BF01EF" w:rsidP="00BF01EF">
      <w:pPr>
        <w:pStyle w:val="NoSpacing"/>
        <w:rPr>
          <w:sz w:val="24"/>
          <w:szCs w:val="24"/>
        </w:rPr>
      </w:pPr>
      <w:r w:rsidRPr="00796E04">
        <w:rPr>
          <w:sz w:val="24"/>
          <w:szCs w:val="24"/>
        </w:rPr>
        <w:t xml:space="preserve">Hattie, J. </w:t>
      </w:r>
      <w:r>
        <w:rPr>
          <w:sz w:val="24"/>
          <w:szCs w:val="24"/>
        </w:rPr>
        <w:t>(</w:t>
      </w:r>
      <w:r w:rsidRPr="00796E04">
        <w:rPr>
          <w:sz w:val="24"/>
          <w:szCs w:val="24"/>
        </w:rPr>
        <w:t>2009</w:t>
      </w:r>
      <w:r>
        <w:rPr>
          <w:sz w:val="24"/>
          <w:szCs w:val="24"/>
        </w:rPr>
        <w:t>)</w:t>
      </w:r>
      <w:r w:rsidRPr="00796E04">
        <w:rPr>
          <w:sz w:val="24"/>
          <w:szCs w:val="24"/>
        </w:rPr>
        <w:t xml:space="preserve"> </w:t>
      </w:r>
      <w:r w:rsidRPr="00796E04">
        <w:rPr>
          <w:i/>
          <w:iCs/>
          <w:sz w:val="24"/>
          <w:szCs w:val="24"/>
        </w:rPr>
        <w:t>Visible learning: a synthesis of over 800 meta-analyses relating to achievement</w:t>
      </w:r>
      <w:r>
        <w:rPr>
          <w:i/>
          <w:iCs/>
          <w:sz w:val="24"/>
          <w:szCs w:val="24"/>
        </w:rPr>
        <w:t>.</w:t>
      </w:r>
      <w:r w:rsidRPr="00796E04">
        <w:rPr>
          <w:i/>
          <w:iCs/>
          <w:sz w:val="24"/>
          <w:szCs w:val="24"/>
        </w:rPr>
        <w:t xml:space="preserve"> </w:t>
      </w:r>
      <w:r w:rsidRPr="00796E04">
        <w:rPr>
          <w:sz w:val="24"/>
          <w:szCs w:val="24"/>
        </w:rPr>
        <w:t>London: Routledge.</w:t>
      </w:r>
    </w:p>
    <w:p w14:paraId="4A434EC4" w14:textId="77777777" w:rsidR="00BF01EF" w:rsidRDefault="00BF01EF" w:rsidP="00BF01EF">
      <w:pPr>
        <w:pStyle w:val="NoSpacing"/>
        <w:rPr>
          <w:sz w:val="24"/>
          <w:szCs w:val="24"/>
        </w:rPr>
      </w:pPr>
    </w:p>
    <w:p w14:paraId="13318CA6" w14:textId="77777777" w:rsidR="00BF01EF" w:rsidRDefault="00BF01EF" w:rsidP="00BF01EF">
      <w:pPr>
        <w:pStyle w:val="NoSpacing"/>
        <w:rPr>
          <w:sz w:val="24"/>
          <w:szCs w:val="24"/>
        </w:rPr>
      </w:pPr>
      <w:r w:rsidRPr="001966B7">
        <w:rPr>
          <w:sz w:val="24"/>
          <w:szCs w:val="24"/>
        </w:rPr>
        <w:t xml:space="preserve">Hayes, D. </w:t>
      </w:r>
      <w:r>
        <w:rPr>
          <w:sz w:val="24"/>
          <w:szCs w:val="24"/>
        </w:rPr>
        <w:t>(</w:t>
      </w:r>
      <w:r w:rsidRPr="001966B7">
        <w:rPr>
          <w:sz w:val="24"/>
          <w:szCs w:val="24"/>
        </w:rPr>
        <w:t>2007</w:t>
      </w:r>
      <w:r>
        <w:rPr>
          <w:sz w:val="24"/>
          <w:szCs w:val="24"/>
        </w:rPr>
        <w:t>)</w:t>
      </w:r>
      <w:r w:rsidRPr="001966B7">
        <w:rPr>
          <w:sz w:val="24"/>
          <w:szCs w:val="24"/>
        </w:rPr>
        <w:t xml:space="preserve"> </w:t>
      </w:r>
      <w:r w:rsidRPr="001966B7">
        <w:rPr>
          <w:i/>
          <w:iCs/>
          <w:sz w:val="24"/>
          <w:szCs w:val="24"/>
        </w:rPr>
        <w:t>Joyful teaching and learning in the primary school</w:t>
      </w:r>
      <w:r>
        <w:rPr>
          <w:i/>
          <w:iCs/>
          <w:sz w:val="24"/>
          <w:szCs w:val="24"/>
        </w:rPr>
        <w:t>.</w:t>
      </w:r>
      <w:r w:rsidRPr="001966B7">
        <w:rPr>
          <w:sz w:val="24"/>
          <w:szCs w:val="24"/>
        </w:rPr>
        <w:t xml:space="preserve"> Exeter: Learning Matters.</w:t>
      </w:r>
    </w:p>
    <w:p w14:paraId="6EED6ECE" w14:textId="77777777" w:rsidR="00BF01EF" w:rsidRDefault="00BF01EF" w:rsidP="00BF01EF">
      <w:pPr>
        <w:pStyle w:val="NoSpacing"/>
        <w:rPr>
          <w:sz w:val="24"/>
          <w:szCs w:val="24"/>
        </w:rPr>
      </w:pPr>
    </w:p>
    <w:p w14:paraId="25C0BF03" w14:textId="77777777" w:rsidR="00BF01EF" w:rsidRDefault="00BF01EF" w:rsidP="00BF01EF">
      <w:pPr>
        <w:pStyle w:val="NoSpacing"/>
        <w:rPr>
          <w:sz w:val="24"/>
          <w:szCs w:val="24"/>
        </w:rPr>
      </w:pPr>
      <w:r w:rsidRPr="004F3DC2">
        <w:rPr>
          <w:sz w:val="24"/>
          <w:szCs w:val="24"/>
        </w:rPr>
        <w:t xml:space="preserve">Jacobson, R. &amp; Blank, M. (2015) </w:t>
      </w:r>
      <w:r w:rsidRPr="004F3DC2">
        <w:rPr>
          <w:i/>
          <w:iCs/>
          <w:sz w:val="24"/>
          <w:szCs w:val="24"/>
        </w:rPr>
        <w:t>A framework for more and better learning through community school partnerships.</w:t>
      </w:r>
      <w:r w:rsidRPr="004F3DC2">
        <w:rPr>
          <w:sz w:val="24"/>
          <w:szCs w:val="24"/>
        </w:rPr>
        <w:t xml:space="preserve"> Washington: Institute for Educational Leadership.</w:t>
      </w:r>
    </w:p>
    <w:p w14:paraId="6E6C9866" w14:textId="77777777" w:rsidR="00BF01EF" w:rsidRDefault="00BF01EF" w:rsidP="00BF01EF">
      <w:pPr>
        <w:pStyle w:val="NoSpacing"/>
        <w:rPr>
          <w:sz w:val="24"/>
          <w:szCs w:val="24"/>
        </w:rPr>
      </w:pPr>
    </w:p>
    <w:p w14:paraId="571F77BD" w14:textId="77777777" w:rsidR="00BF01EF" w:rsidRDefault="00BF01EF" w:rsidP="00BF01EF">
      <w:pPr>
        <w:pStyle w:val="NoSpacing"/>
        <w:rPr>
          <w:sz w:val="24"/>
          <w:szCs w:val="24"/>
        </w:rPr>
      </w:pPr>
      <w:r w:rsidRPr="00C26575">
        <w:rPr>
          <w:sz w:val="24"/>
          <w:szCs w:val="24"/>
        </w:rPr>
        <w:t xml:space="preserve">Kerry, T. </w:t>
      </w:r>
      <w:r>
        <w:rPr>
          <w:sz w:val="24"/>
          <w:szCs w:val="24"/>
        </w:rPr>
        <w:t>(</w:t>
      </w:r>
      <w:r w:rsidRPr="00C26575">
        <w:rPr>
          <w:sz w:val="24"/>
          <w:szCs w:val="24"/>
        </w:rPr>
        <w:t>2010</w:t>
      </w:r>
      <w:r>
        <w:rPr>
          <w:sz w:val="24"/>
          <w:szCs w:val="24"/>
        </w:rPr>
        <w:t>)</w:t>
      </w:r>
      <w:r w:rsidRPr="00C26575">
        <w:rPr>
          <w:sz w:val="24"/>
          <w:szCs w:val="24"/>
        </w:rPr>
        <w:t xml:space="preserve"> </w:t>
      </w:r>
      <w:r w:rsidRPr="00C26575">
        <w:rPr>
          <w:i/>
          <w:iCs/>
          <w:sz w:val="24"/>
          <w:szCs w:val="24"/>
        </w:rPr>
        <w:t>Cross-curricular teaching in the primary school - planning and facilitating imaginative lessons</w:t>
      </w:r>
      <w:r>
        <w:rPr>
          <w:sz w:val="24"/>
          <w:szCs w:val="24"/>
        </w:rPr>
        <w:t xml:space="preserve">. </w:t>
      </w:r>
      <w:r w:rsidRPr="00C26575">
        <w:rPr>
          <w:sz w:val="24"/>
          <w:szCs w:val="24"/>
        </w:rPr>
        <w:t>New York: Routledge.</w:t>
      </w:r>
    </w:p>
    <w:p w14:paraId="6D418312" w14:textId="77777777" w:rsidR="00BF01EF" w:rsidRDefault="00BF01EF" w:rsidP="00BF01EF">
      <w:pPr>
        <w:pStyle w:val="NoSpacing"/>
        <w:rPr>
          <w:sz w:val="24"/>
          <w:szCs w:val="24"/>
        </w:rPr>
      </w:pPr>
    </w:p>
    <w:p w14:paraId="2550884A" w14:textId="77777777" w:rsidR="00BF01EF" w:rsidRDefault="00BF01EF" w:rsidP="00BF01EF">
      <w:pPr>
        <w:pStyle w:val="NoSpacing"/>
        <w:rPr>
          <w:sz w:val="24"/>
          <w:szCs w:val="24"/>
        </w:rPr>
      </w:pPr>
      <w:bookmarkStart w:id="1" w:name="_GoBack"/>
      <w:bookmarkEnd w:id="1"/>
      <w:r w:rsidRPr="00EE401B">
        <w:rPr>
          <w:sz w:val="24"/>
          <w:szCs w:val="24"/>
        </w:rPr>
        <w:t xml:space="preserve">Lakin, L. </w:t>
      </w:r>
      <w:r>
        <w:rPr>
          <w:sz w:val="24"/>
          <w:szCs w:val="24"/>
        </w:rPr>
        <w:t>(</w:t>
      </w:r>
      <w:r w:rsidRPr="00EE401B">
        <w:rPr>
          <w:sz w:val="24"/>
          <w:szCs w:val="24"/>
        </w:rPr>
        <w:t>2013</w:t>
      </w:r>
      <w:r>
        <w:rPr>
          <w:sz w:val="24"/>
          <w:szCs w:val="24"/>
        </w:rPr>
        <w:t>)</w:t>
      </w:r>
      <w:r w:rsidRPr="00EE401B">
        <w:rPr>
          <w:sz w:val="24"/>
          <w:szCs w:val="24"/>
        </w:rPr>
        <w:t xml:space="preserve"> </w:t>
      </w:r>
      <w:r w:rsidRPr="00EE401B">
        <w:rPr>
          <w:i/>
          <w:iCs/>
          <w:sz w:val="24"/>
          <w:szCs w:val="24"/>
        </w:rPr>
        <w:t>Developing independent learning in science: practical ideas and activities for 7-12 year olds</w:t>
      </w:r>
      <w:r>
        <w:rPr>
          <w:i/>
          <w:iCs/>
          <w:sz w:val="24"/>
          <w:szCs w:val="24"/>
        </w:rPr>
        <w:t xml:space="preserve">. </w:t>
      </w:r>
      <w:r>
        <w:rPr>
          <w:sz w:val="24"/>
          <w:szCs w:val="24"/>
        </w:rPr>
        <w:t>Maidenhead: Open University Press</w:t>
      </w:r>
    </w:p>
    <w:p w14:paraId="1D894B76" w14:textId="77777777" w:rsidR="00BF01EF" w:rsidRDefault="00BF01EF" w:rsidP="00BF01EF">
      <w:pPr>
        <w:pStyle w:val="NoSpacing"/>
        <w:rPr>
          <w:sz w:val="24"/>
          <w:szCs w:val="24"/>
        </w:rPr>
      </w:pPr>
    </w:p>
    <w:p w14:paraId="3720B9C5" w14:textId="77777777" w:rsidR="00BF01EF" w:rsidRPr="004412D0" w:rsidRDefault="00BF01EF" w:rsidP="00BF01EF">
      <w:pPr>
        <w:pStyle w:val="NoSpacing"/>
        <w:rPr>
          <w:sz w:val="24"/>
          <w:szCs w:val="24"/>
        </w:rPr>
      </w:pPr>
      <w:r>
        <w:rPr>
          <w:sz w:val="24"/>
          <w:szCs w:val="24"/>
        </w:rPr>
        <w:t xml:space="preserve">Llywodraeth Cymru. (2017) </w:t>
      </w:r>
      <w:r w:rsidRPr="004412D0">
        <w:rPr>
          <w:i/>
          <w:iCs/>
          <w:sz w:val="24"/>
          <w:szCs w:val="24"/>
        </w:rPr>
        <w:t>Addysg yng Nghymru:</w:t>
      </w:r>
      <w:r>
        <w:rPr>
          <w:i/>
          <w:iCs/>
          <w:sz w:val="24"/>
          <w:szCs w:val="24"/>
        </w:rPr>
        <w:t xml:space="preserve"> </w:t>
      </w:r>
      <w:r w:rsidRPr="004412D0">
        <w:rPr>
          <w:i/>
          <w:iCs/>
          <w:sz w:val="24"/>
          <w:szCs w:val="24"/>
        </w:rPr>
        <w:t>Cenhadaeth ein cenedl</w:t>
      </w:r>
      <w:r>
        <w:rPr>
          <w:i/>
          <w:iCs/>
          <w:sz w:val="24"/>
          <w:szCs w:val="24"/>
        </w:rPr>
        <w:t>.</w:t>
      </w:r>
      <w:r>
        <w:t xml:space="preserve"> </w:t>
      </w:r>
      <w:r w:rsidRPr="004412D0">
        <w:rPr>
          <w:sz w:val="24"/>
          <w:szCs w:val="24"/>
        </w:rPr>
        <w:t>Caerdydd: Hawlfraint y Goron</w:t>
      </w:r>
    </w:p>
    <w:p w14:paraId="7D83947A" w14:textId="77777777" w:rsidR="00BF01EF" w:rsidRDefault="00BF01EF" w:rsidP="00BF01EF">
      <w:pPr>
        <w:pStyle w:val="NoSpacing"/>
        <w:rPr>
          <w:sz w:val="24"/>
          <w:szCs w:val="24"/>
        </w:rPr>
      </w:pPr>
    </w:p>
    <w:p w14:paraId="3BE40B53" w14:textId="77777777" w:rsidR="00BF01EF" w:rsidRPr="004412D0" w:rsidRDefault="00BF01EF" w:rsidP="00BF01EF">
      <w:pPr>
        <w:pStyle w:val="NoSpacing"/>
        <w:rPr>
          <w:sz w:val="24"/>
          <w:szCs w:val="24"/>
        </w:rPr>
      </w:pPr>
      <w:r>
        <w:rPr>
          <w:sz w:val="24"/>
          <w:szCs w:val="24"/>
        </w:rPr>
        <w:t xml:space="preserve">Llywodraeth Cymru. (2019) </w:t>
      </w:r>
      <w:r w:rsidRPr="004412D0">
        <w:rPr>
          <w:i/>
          <w:iCs/>
          <w:sz w:val="24"/>
          <w:szCs w:val="24"/>
        </w:rPr>
        <w:t>Safonau proffesiynol ar gyfer addysgu ac arweinyddiaeth</w:t>
      </w:r>
      <w:r>
        <w:rPr>
          <w:i/>
          <w:iCs/>
          <w:sz w:val="24"/>
          <w:szCs w:val="24"/>
        </w:rPr>
        <w:t>.</w:t>
      </w:r>
      <w:r>
        <w:rPr>
          <w:sz w:val="24"/>
          <w:szCs w:val="24"/>
        </w:rPr>
        <w:t xml:space="preserve"> Caerdydd: Hawlfraint y Goron</w:t>
      </w:r>
    </w:p>
    <w:p w14:paraId="3693447F" w14:textId="77777777" w:rsidR="00BF01EF" w:rsidRDefault="00BF01EF" w:rsidP="00BF01EF">
      <w:pPr>
        <w:pStyle w:val="NoSpacing"/>
        <w:rPr>
          <w:sz w:val="24"/>
          <w:szCs w:val="24"/>
        </w:rPr>
      </w:pPr>
    </w:p>
    <w:p w14:paraId="4AB791B4" w14:textId="77777777" w:rsidR="00BF01EF" w:rsidRPr="00F53B48" w:rsidRDefault="00BF01EF" w:rsidP="00BF01EF">
      <w:pPr>
        <w:pStyle w:val="NoSpacing"/>
        <w:rPr>
          <w:sz w:val="24"/>
          <w:szCs w:val="24"/>
        </w:rPr>
      </w:pPr>
      <w:r w:rsidRPr="00F53B48">
        <w:rPr>
          <w:sz w:val="24"/>
          <w:szCs w:val="24"/>
        </w:rPr>
        <w:t xml:space="preserve">Nottingham, J. </w:t>
      </w:r>
      <w:r>
        <w:rPr>
          <w:sz w:val="24"/>
          <w:szCs w:val="24"/>
        </w:rPr>
        <w:t>(</w:t>
      </w:r>
      <w:r w:rsidRPr="00F53B48">
        <w:rPr>
          <w:sz w:val="24"/>
          <w:szCs w:val="24"/>
        </w:rPr>
        <w:t>2013</w:t>
      </w:r>
      <w:r>
        <w:rPr>
          <w:sz w:val="24"/>
          <w:szCs w:val="24"/>
        </w:rPr>
        <w:t>)</w:t>
      </w:r>
      <w:r w:rsidRPr="00F53B48">
        <w:rPr>
          <w:sz w:val="24"/>
          <w:szCs w:val="24"/>
        </w:rPr>
        <w:t xml:space="preserve"> </w:t>
      </w:r>
      <w:r w:rsidRPr="00F53B48">
        <w:rPr>
          <w:i/>
          <w:iCs/>
          <w:sz w:val="24"/>
          <w:szCs w:val="24"/>
        </w:rPr>
        <w:t>Encouraging learning</w:t>
      </w:r>
      <w:r>
        <w:rPr>
          <w:i/>
          <w:iCs/>
          <w:sz w:val="24"/>
          <w:szCs w:val="24"/>
        </w:rPr>
        <w:t xml:space="preserve">. </w:t>
      </w:r>
      <w:r>
        <w:rPr>
          <w:sz w:val="24"/>
          <w:szCs w:val="24"/>
        </w:rPr>
        <w:t>London: Routledge</w:t>
      </w:r>
    </w:p>
    <w:p w14:paraId="7F5D90DC" w14:textId="77777777" w:rsidR="00BF01EF" w:rsidRDefault="00BF01EF" w:rsidP="00BF01EF">
      <w:pPr>
        <w:pStyle w:val="NoSpacing"/>
        <w:rPr>
          <w:sz w:val="24"/>
          <w:szCs w:val="24"/>
        </w:rPr>
      </w:pPr>
    </w:p>
    <w:p w14:paraId="438B4C65" w14:textId="77777777" w:rsidR="00BF01EF" w:rsidRDefault="00BF01EF" w:rsidP="00BF01EF">
      <w:pPr>
        <w:pStyle w:val="NoSpacing"/>
        <w:rPr>
          <w:sz w:val="24"/>
          <w:szCs w:val="24"/>
        </w:rPr>
      </w:pPr>
      <w:r w:rsidRPr="000808C3">
        <w:rPr>
          <w:sz w:val="24"/>
          <w:szCs w:val="24"/>
        </w:rPr>
        <w:t xml:space="preserve">Pound, L. </w:t>
      </w:r>
      <w:r>
        <w:rPr>
          <w:sz w:val="24"/>
          <w:szCs w:val="24"/>
        </w:rPr>
        <w:t>(</w:t>
      </w:r>
      <w:r w:rsidRPr="000808C3">
        <w:rPr>
          <w:sz w:val="24"/>
          <w:szCs w:val="24"/>
        </w:rPr>
        <w:t>2006</w:t>
      </w:r>
      <w:r>
        <w:rPr>
          <w:sz w:val="24"/>
          <w:szCs w:val="24"/>
        </w:rPr>
        <w:t>)</w:t>
      </w:r>
      <w:r w:rsidRPr="000808C3">
        <w:rPr>
          <w:sz w:val="24"/>
          <w:szCs w:val="24"/>
        </w:rPr>
        <w:t xml:space="preserve"> </w:t>
      </w:r>
      <w:r w:rsidRPr="000808C3">
        <w:rPr>
          <w:i/>
          <w:iCs/>
          <w:sz w:val="24"/>
          <w:szCs w:val="24"/>
        </w:rPr>
        <w:t>How children lear</w:t>
      </w:r>
      <w:r>
        <w:rPr>
          <w:i/>
          <w:iCs/>
          <w:sz w:val="24"/>
          <w:szCs w:val="24"/>
        </w:rPr>
        <w:t>n</w:t>
      </w:r>
      <w:r>
        <w:rPr>
          <w:sz w:val="24"/>
          <w:szCs w:val="24"/>
        </w:rPr>
        <w:t>.</w:t>
      </w:r>
      <w:r w:rsidRPr="000808C3">
        <w:rPr>
          <w:sz w:val="24"/>
          <w:szCs w:val="24"/>
        </w:rPr>
        <w:t xml:space="preserve"> London: Practical Pre-School Books.</w:t>
      </w:r>
    </w:p>
    <w:p w14:paraId="51FE9DED" w14:textId="77777777" w:rsidR="00BF01EF" w:rsidRDefault="00BF01EF" w:rsidP="00BF01EF">
      <w:pPr>
        <w:pStyle w:val="NoSpacing"/>
        <w:rPr>
          <w:sz w:val="24"/>
          <w:szCs w:val="24"/>
        </w:rPr>
      </w:pPr>
    </w:p>
    <w:p w14:paraId="2FFD61C5" w14:textId="77777777" w:rsidR="00BF01EF" w:rsidRDefault="00BF01EF" w:rsidP="00BF01EF">
      <w:pPr>
        <w:pStyle w:val="NoSpacing"/>
        <w:rPr>
          <w:sz w:val="24"/>
          <w:szCs w:val="24"/>
        </w:rPr>
      </w:pPr>
      <w:r>
        <w:rPr>
          <w:sz w:val="24"/>
          <w:szCs w:val="24"/>
        </w:rPr>
        <w:t xml:space="preserve">Prifysgol Caerdydd a Phrifysgol Metropolitan Caerdydd. (2018) </w:t>
      </w:r>
      <w:r w:rsidRPr="002F2F49">
        <w:rPr>
          <w:i/>
          <w:iCs/>
          <w:sz w:val="24"/>
          <w:szCs w:val="24"/>
        </w:rPr>
        <w:t xml:space="preserve">Research to support the national professional learning approach for Wales – Area 9. </w:t>
      </w:r>
      <w:r>
        <w:rPr>
          <w:sz w:val="24"/>
          <w:szCs w:val="24"/>
        </w:rPr>
        <w:t>Caerdydd: Llywodraeth Cymru.</w:t>
      </w:r>
    </w:p>
    <w:p w14:paraId="269C7FC9" w14:textId="77777777" w:rsidR="00BF01EF" w:rsidRDefault="00BF01EF" w:rsidP="00BF01EF">
      <w:pPr>
        <w:pStyle w:val="NoSpacing"/>
        <w:rPr>
          <w:sz w:val="24"/>
          <w:szCs w:val="24"/>
        </w:rPr>
      </w:pPr>
    </w:p>
    <w:p w14:paraId="5CDF04DB" w14:textId="77777777" w:rsidR="00BF01EF" w:rsidRDefault="00BF01EF" w:rsidP="00BF01EF">
      <w:pPr>
        <w:pStyle w:val="NoSpacing"/>
        <w:rPr>
          <w:sz w:val="24"/>
          <w:szCs w:val="24"/>
        </w:rPr>
      </w:pPr>
      <w:r w:rsidRPr="004F3DC2">
        <w:rPr>
          <w:sz w:val="24"/>
          <w:szCs w:val="24"/>
        </w:rPr>
        <w:t xml:space="preserve">Pritchard, A. (2008) </w:t>
      </w:r>
      <w:r w:rsidRPr="004F3DC2">
        <w:rPr>
          <w:i/>
          <w:iCs/>
          <w:sz w:val="24"/>
          <w:szCs w:val="24"/>
        </w:rPr>
        <w:t>Ways of learning</w:t>
      </w:r>
      <w:r w:rsidRPr="004F3DC2">
        <w:rPr>
          <w:sz w:val="24"/>
          <w:szCs w:val="24"/>
        </w:rPr>
        <w:t>. 2nd ed. Abingdon, Oxon: Routledge.</w:t>
      </w:r>
    </w:p>
    <w:p w14:paraId="72CA204B" w14:textId="77777777" w:rsidR="00BF01EF" w:rsidRPr="004F3DC2" w:rsidRDefault="00BF01EF" w:rsidP="00BF01EF">
      <w:pPr>
        <w:pStyle w:val="NoSpacing"/>
        <w:rPr>
          <w:sz w:val="24"/>
          <w:szCs w:val="24"/>
        </w:rPr>
      </w:pPr>
    </w:p>
    <w:p w14:paraId="5EB6FCDB" w14:textId="77777777" w:rsidR="00BF01EF" w:rsidRPr="00834827" w:rsidRDefault="00BF01EF" w:rsidP="00067940">
      <w:pPr>
        <w:pStyle w:val="NoSpacing"/>
        <w:spacing w:line="360" w:lineRule="auto"/>
        <w:rPr>
          <w:b/>
          <w:bCs/>
          <w:sz w:val="24"/>
          <w:szCs w:val="24"/>
        </w:rPr>
      </w:pPr>
    </w:p>
    <w:p w14:paraId="2D72F3F5" w14:textId="77777777" w:rsidR="00067940" w:rsidRPr="00C0715C" w:rsidRDefault="00067940" w:rsidP="00073E41">
      <w:pPr>
        <w:pStyle w:val="NoSpacing"/>
        <w:spacing w:line="360" w:lineRule="auto"/>
        <w:rPr>
          <w:rFonts w:ascii="Calibri" w:hAnsi="Calibri" w:cs="Calibri"/>
          <w:sz w:val="24"/>
          <w:szCs w:val="24"/>
        </w:rPr>
      </w:pPr>
    </w:p>
    <w:p w14:paraId="1B6BF838" w14:textId="77777777" w:rsidR="00073E41" w:rsidRPr="000E5ADC" w:rsidRDefault="00073E41" w:rsidP="00A26320">
      <w:pPr>
        <w:pStyle w:val="NoSpacing"/>
        <w:spacing w:line="360" w:lineRule="auto"/>
        <w:rPr>
          <w:rFonts w:ascii="Calibri" w:hAnsi="Calibri" w:cs="Calibri"/>
          <w:color w:val="FF0000"/>
          <w:sz w:val="24"/>
          <w:szCs w:val="24"/>
        </w:rPr>
      </w:pPr>
    </w:p>
    <w:p w14:paraId="498FA773" w14:textId="77777777" w:rsidR="00A26320" w:rsidRPr="00C66AC3" w:rsidRDefault="00A26320" w:rsidP="00867D70">
      <w:pPr>
        <w:pStyle w:val="NoSpacing"/>
        <w:spacing w:line="360" w:lineRule="auto"/>
        <w:rPr>
          <w:sz w:val="24"/>
          <w:szCs w:val="24"/>
        </w:rPr>
      </w:pPr>
    </w:p>
    <w:p w14:paraId="4E269913" w14:textId="77777777" w:rsidR="00867D70" w:rsidRPr="00F735B3" w:rsidRDefault="00867D70" w:rsidP="00F735B3">
      <w:pPr>
        <w:pStyle w:val="NoSpacing"/>
        <w:rPr>
          <w:b/>
          <w:bCs/>
          <w:sz w:val="24"/>
          <w:szCs w:val="24"/>
          <w:u w:val="single"/>
          <w:lang w:val="en-GB"/>
        </w:rPr>
      </w:pPr>
    </w:p>
    <w:sectPr w:rsidR="00867D70" w:rsidRPr="00F735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631937"/>
    <w:multiLevelType w:val="hybridMultilevel"/>
    <w:tmpl w:val="BB624278"/>
    <w:lvl w:ilvl="0" w:tplc="6F0C9CD8">
      <w:start w:val="1"/>
      <w:numFmt w:val="decimal"/>
      <w:lvlText w:val="%1)"/>
      <w:lvlJc w:val="left"/>
      <w:pPr>
        <w:ind w:left="360" w:hanging="360"/>
      </w:pPr>
      <w:rPr>
        <w:rFonts w:ascii="Calibri" w:hAnsi="Calibri" w:cs="Calibri" w:hint="default"/>
      </w:r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1" w15:restartNumberingAfterBreak="0">
    <w:nsid w:val="2802206E"/>
    <w:multiLevelType w:val="hybridMultilevel"/>
    <w:tmpl w:val="8260163C"/>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5B3"/>
    <w:rsid w:val="00067940"/>
    <w:rsid w:val="00073E41"/>
    <w:rsid w:val="00282603"/>
    <w:rsid w:val="006A57E4"/>
    <w:rsid w:val="00834827"/>
    <w:rsid w:val="00867D70"/>
    <w:rsid w:val="00A26320"/>
    <w:rsid w:val="00B22143"/>
    <w:rsid w:val="00BF01EF"/>
    <w:rsid w:val="00F735B3"/>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970C7"/>
  <w15:chartTrackingRefBased/>
  <w15:docId w15:val="{A5A99741-5416-4B41-BBC8-EE8A0E715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735B3"/>
    <w:pPr>
      <w:spacing w:after="0" w:line="240" w:lineRule="auto"/>
    </w:pPr>
  </w:style>
  <w:style w:type="character" w:styleId="Hyperlink">
    <w:name w:val="Hyperlink"/>
    <w:basedOn w:val="DefaultParagraphFont"/>
    <w:uiPriority w:val="99"/>
    <w:unhideWhenUsed/>
    <w:rsid w:val="00BF01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llyw.cymru/arfer-effeithiol/darparu-profiadau-wedi%E2%80%99u-cyfoethogi-i-ddatblygu-medrau?_ga=2.102136193.1052139448.1573229041-1917826503.1573121432" TargetMode="External"/><Relationship Id="rId5" Type="http://schemas.openxmlformats.org/officeDocument/2006/relationships/hyperlink" Target="https://www.estyn.llyw.cymru/arfer-effeithiol/datblygu-cwricwlwm-sy%E2%80%99n-gwella-medrau-disgyblion-a%E2%80%99u-brwdfrydedd-tuag-ddysgu?_ga=2.38255011.1052139448.1573229041-1917826503.157312143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4058</Words>
  <Characters>23135</Characters>
  <Application>Microsoft Office Word</Application>
  <DocSecurity>0</DocSecurity>
  <Lines>192</Lines>
  <Paragraphs>54</Paragraphs>
  <ScaleCrop>false</ScaleCrop>
  <Company/>
  <LinksUpToDate>false</LinksUpToDate>
  <CharactersWithSpaces>27139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Hughes</dc:creator>
  <cp:keywords/>
  <dc:description/>
  <cp:lastModifiedBy>Rhys Hughes</cp:lastModifiedBy>
  <cp:revision>13</cp:revision>
  <dcterms:created xsi:type="dcterms:W3CDTF">2019-11-14T23:23:00Z</dcterms:created>
  <dcterms:modified xsi:type="dcterms:W3CDTF">2019-11-15T00:28:00Z</dcterms:modified>
</cp:coreProperties>
</file>