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7B6723" w14:textId="77777777" w:rsidR="005133E7" w:rsidRPr="00E6749A" w:rsidRDefault="005133E7">
      <w:pPr>
        <w:rPr>
          <w:lang w:val="en-GB"/>
        </w:rPr>
      </w:pPr>
    </w:p>
    <w:p w14:paraId="30305BB1" w14:textId="77777777" w:rsidR="005133E7" w:rsidRPr="00E6749A" w:rsidRDefault="005133E7">
      <w:pPr>
        <w:rPr>
          <w:lang w:val="en-GB"/>
        </w:rPr>
      </w:pPr>
    </w:p>
    <w:p w14:paraId="2D2A1AB4" w14:textId="77777777" w:rsidR="00066C51" w:rsidRPr="00C201B6" w:rsidRDefault="00066C51" w:rsidP="00066C51">
      <w:pPr>
        <w:spacing w:before="88"/>
        <w:ind w:right="290"/>
        <w:jc w:val="center"/>
        <w:rPr>
          <w:rFonts w:ascii="Arial" w:hAnsi="Arial" w:cs="Arial"/>
          <w:b/>
          <w:bCs/>
          <w:sz w:val="40"/>
          <w:szCs w:val="40"/>
        </w:rPr>
      </w:pPr>
      <w:r w:rsidRPr="00C201B6">
        <w:rPr>
          <w:rFonts w:ascii="Arial" w:hAnsi="Arial" w:cs="Arial"/>
          <w:b/>
          <w:bCs/>
          <w:spacing w:val="-1"/>
          <w:sz w:val="40"/>
          <w:szCs w:val="40"/>
        </w:rPr>
        <w:t>MASTER OF</w:t>
      </w:r>
      <w:r w:rsidRPr="00C201B6">
        <w:rPr>
          <w:rFonts w:ascii="Arial" w:hAnsi="Arial" w:cs="Arial"/>
          <w:b/>
          <w:bCs/>
          <w:spacing w:val="2"/>
          <w:sz w:val="40"/>
          <w:szCs w:val="40"/>
        </w:rPr>
        <w:t xml:space="preserve"> </w:t>
      </w:r>
      <w:r w:rsidRPr="00C201B6">
        <w:rPr>
          <w:rFonts w:ascii="Arial" w:hAnsi="Arial" w:cs="Arial"/>
          <w:b/>
          <w:bCs/>
          <w:spacing w:val="-1"/>
          <w:sz w:val="40"/>
          <w:szCs w:val="40"/>
        </w:rPr>
        <w:t>BUSINESS</w:t>
      </w:r>
      <w:r w:rsidRPr="00C201B6">
        <w:rPr>
          <w:rFonts w:ascii="Arial" w:hAnsi="Arial" w:cs="Arial"/>
          <w:b/>
          <w:bCs/>
          <w:spacing w:val="-22"/>
          <w:sz w:val="40"/>
          <w:szCs w:val="40"/>
        </w:rPr>
        <w:t xml:space="preserve"> </w:t>
      </w:r>
      <w:r w:rsidRPr="00C201B6">
        <w:rPr>
          <w:rFonts w:ascii="Arial" w:hAnsi="Arial" w:cs="Arial"/>
          <w:b/>
          <w:bCs/>
          <w:spacing w:val="-1"/>
          <w:sz w:val="40"/>
          <w:szCs w:val="40"/>
        </w:rPr>
        <w:t>ADMINISTRATION</w:t>
      </w:r>
    </w:p>
    <w:p w14:paraId="434F2ADB" w14:textId="77777777" w:rsidR="00066C51" w:rsidRPr="00C201B6" w:rsidRDefault="00066C51" w:rsidP="00066C51">
      <w:pPr>
        <w:jc w:val="center"/>
        <w:rPr>
          <w:rFonts w:ascii="Arial" w:hAnsi="Arial" w:cs="Arial"/>
          <w:b/>
          <w:bCs/>
          <w:sz w:val="40"/>
          <w:szCs w:val="40"/>
        </w:rPr>
      </w:pPr>
      <w:r w:rsidRPr="00C201B6">
        <w:rPr>
          <w:rFonts w:ascii="Arial" w:hAnsi="Arial" w:cs="Arial"/>
          <w:b/>
          <w:bCs/>
          <w:sz w:val="40"/>
          <w:szCs w:val="40"/>
        </w:rPr>
        <w:t>Student Name: KUMARI KANAK</w:t>
      </w:r>
    </w:p>
    <w:p w14:paraId="4F2BE7A1" w14:textId="77777777" w:rsidR="00066C51" w:rsidRPr="00C201B6" w:rsidRDefault="00066C51" w:rsidP="00066C51">
      <w:pPr>
        <w:jc w:val="center"/>
        <w:rPr>
          <w:rFonts w:ascii="Arial" w:hAnsi="Arial" w:cs="Arial"/>
          <w:b/>
          <w:bCs/>
          <w:sz w:val="40"/>
          <w:szCs w:val="40"/>
        </w:rPr>
      </w:pPr>
      <w:r w:rsidRPr="00C201B6">
        <w:rPr>
          <w:rFonts w:ascii="Arial" w:hAnsi="Arial" w:cs="Arial"/>
          <w:b/>
          <w:bCs/>
          <w:sz w:val="40"/>
          <w:szCs w:val="40"/>
        </w:rPr>
        <w:t>Student ID: 2239372</w:t>
      </w:r>
    </w:p>
    <w:p w14:paraId="6261DDAF" w14:textId="212B5B60" w:rsidR="00066C51" w:rsidRPr="00C201B6" w:rsidRDefault="00066C51" w:rsidP="00066C51">
      <w:pPr>
        <w:jc w:val="center"/>
        <w:rPr>
          <w:rFonts w:ascii="Arial" w:hAnsi="Arial" w:cs="Arial"/>
          <w:b/>
          <w:bCs/>
          <w:sz w:val="40"/>
          <w:szCs w:val="40"/>
        </w:rPr>
      </w:pPr>
      <w:r w:rsidRPr="00C201B6">
        <w:rPr>
          <w:rFonts w:ascii="Arial" w:hAnsi="Arial" w:cs="Arial"/>
          <w:b/>
          <w:bCs/>
          <w:sz w:val="40"/>
          <w:szCs w:val="40"/>
        </w:rPr>
        <w:t xml:space="preserve">Module: </w:t>
      </w:r>
      <w:r>
        <w:rPr>
          <w:rFonts w:ascii="Arial" w:hAnsi="Arial" w:cs="Arial"/>
          <w:b/>
          <w:bCs/>
          <w:sz w:val="40"/>
          <w:szCs w:val="40"/>
        </w:rPr>
        <w:t>INTERNATIONAL BUSINESS</w:t>
      </w:r>
    </w:p>
    <w:p w14:paraId="5F826661" w14:textId="47B56786" w:rsidR="00066C51" w:rsidRPr="00C201B6" w:rsidRDefault="00066C51" w:rsidP="00066C51">
      <w:pPr>
        <w:jc w:val="center"/>
        <w:rPr>
          <w:rFonts w:ascii="Arial" w:hAnsi="Arial" w:cs="Arial"/>
          <w:b/>
          <w:bCs/>
          <w:sz w:val="40"/>
          <w:szCs w:val="40"/>
        </w:rPr>
      </w:pPr>
      <w:r w:rsidRPr="00C201B6">
        <w:rPr>
          <w:rFonts w:ascii="Arial" w:hAnsi="Arial" w:cs="Arial"/>
          <w:b/>
          <w:bCs/>
          <w:sz w:val="40"/>
          <w:szCs w:val="40"/>
        </w:rPr>
        <w:t>Module Code: LCMB70</w:t>
      </w:r>
      <w:r>
        <w:rPr>
          <w:rFonts w:ascii="Arial" w:hAnsi="Arial" w:cs="Arial"/>
          <w:b/>
          <w:bCs/>
          <w:sz w:val="40"/>
          <w:szCs w:val="40"/>
        </w:rPr>
        <w:t>14</w:t>
      </w:r>
    </w:p>
    <w:p w14:paraId="6114618F" w14:textId="4401DA72" w:rsidR="00066C51" w:rsidRDefault="00066C51" w:rsidP="00066C51">
      <w:pPr>
        <w:jc w:val="center"/>
        <w:rPr>
          <w:rFonts w:ascii="Arial" w:hAnsi="Arial" w:cs="Arial"/>
          <w:b/>
          <w:bCs/>
          <w:sz w:val="48"/>
          <w:szCs w:val="48"/>
        </w:rPr>
      </w:pPr>
      <w:r w:rsidRPr="00C201B6">
        <w:rPr>
          <w:rFonts w:ascii="Arial" w:hAnsi="Arial" w:cs="Arial"/>
          <w:b/>
          <w:bCs/>
          <w:sz w:val="40"/>
          <w:szCs w:val="40"/>
        </w:rPr>
        <w:t xml:space="preserve">Lecturer: </w:t>
      </w:r>
      <w:r>
        <w:rPr>
          <w:rFonts w:ascii="Arial" w:hAnsi="Arial" w:cs="Arial"/>
          <w:b/>
          <w:bCs/>
          <w:sz w:val="40"/>
          <w:szCs w:val="40"/>
        </w:rPr>
        <w:t>Liyanage Rodrigo</w:t>
      </w:r>
      <w:r w:rsidRPr="00C201B6">
        <w:rPr>
          <w:rFonts w:ascii="Arial" w:hAnsi="Arial" w:cs="Arial"/>
          <w:b/>
          <w:bCs/>
          <w:sz w:val="48"/>
          <w:szCs w:val="48"/>
        </w:rPr>
        <w:t xml:space="preserve"> </w:t>
      </w:r>
    </w:p>
    <w:p w14:paraId="5218524A" w14:textId="055297A2" w:rsidR="00066C51" w:rsidRDefault="00066C51" w:rsidP="00066C51">
      <w:pPr>
        <w:jc w:val="center"/>
        <w:rPr>
          <w:rFonts w:ascii="Arial" w:hAnsi="Arial" w:cs="Arial"/>
          <w:b/>
          <w:bCs/>
          <w:sz w:val="48"/>
          <w:szCs w:val="48"/>
        </w:rPr>
      </w:pPr>
      <w:r>
        <w:rPr>
          <w:rFonts w:ascii="Arial" w:hAnsi="Arial" w:cs="Arial"/>
          <w:b/>
          <w:bCs/>
          <w:sz w:val="48"/>
          <w:szCs w:val="48"/>
        </w:rPr>
        <w:t>MNE: TOYOTA</w:t>
      </w:r>
    </w:p>
    <w:p w14:paraId="470E7122" w14:textId="28D94DEB" w:rsidR="00066C51" w:rsidRPr="00C201B6" w:rsidRDefault="00066C51" w:rsidP="00066C51">
      <w:pPr>
        <w:jc w:val="center"/>
        <w:rPr>
          <w:rFonts w:ascii="Arial" w:hAnsi="Arial" w:cs="Arial"/>
          <w:b/>
          <w:bCs/>
          <w:sz w:val="48"/>
          <w:szCs w:val="48"/>
        </w:rPr>
      </w:pPr>
      <w:r>
        <w:rPr>
          <w:rFonts w:ascii="Arial" w:hAnsi="Arial" w:cs="Arial"/>
          <w:b/>
          <w:bCs/>
          <w:sz w:val="48"/>
          <w:szCs w:val="48"/>
        </w:rPr>
        <w:t>Submission Date:11/17/2023</w:t>
      </w:r>
    </w:p>
    <w:p w14:paraId="4EF06EF6" w14:textId="77777777" w:rsidR="005133E7" w:rsidRPr="00E6749A" w:rsidRDefault="00496D27">
      <w:pPr>
        <w:rPr>
          <w:lang w:val="en-GB"/>
        </w:rPr>
      </w:pPr>
      <w:r w:rsidRPr="00E6749A">
        <w:rPr>
          <w:lang w:val="en-GB"/>
        </w:rPr>
        <w:t> </w:t>
      </w:r>
    </w:p>
    <w:p w14:paraId="78DDC448" w14:textId="77777777" w:rsidR="005133E7" w:rsidRPr="00E6749A" w:rsidRDefault="00496D27">
      <w:pPr>
        <w:rPr>
          <w:lang w:val="en-GB"/>
        </w:rPr>
      </w:pPr>
      <w:r w:rsidRPr="00E6749A">
        <w:rPr>
          <w:lang w:val="en-GB"/>
        </w:rPr>
        <w:br w:type="page"/>
      </w:r>
    </w:p>
    <w:bookmarkStart w:id="0" w:name="_fc3vg79c3zk0" w:colFirst="0" w:colLast="0" w:displacedByCustomXml="next"/>
    <w:bookmarkEnd w:id="0" w:displacedByCustomXml="next"/>
    <w:sdt>
      <w:sdtPr>
        <w:rPr>
          <w:rFonts w:ascii="Times New Roman" w:eastAsia="Times New Roman" w:hAnsi="Times New Roman" w:cs="Times New Roman"/>
          <w:color w:val="auto"/>
          <w:sz w:val="24"/>
          <w:szCs w:val="24"/>
          <w:lang w:val="en-GB" w:eastAsia="zh-CN"/>
        </w:rPr>
        <w:id w:val="-457637265"/>
        <w:docPartObj>
          <w:docPartGallery w:val="Table of Contents"/>
          <w:docPartUnique/>
        </w:docPartObj>
      </w:sdtPr>
      <w:sdtEndPr>
        <w:rPr>
          <w:b/>
          <w:bCs/>
          <w:noProof/>
        </w:rPr>
      </w:sdtEndPr>
      <w:sdtContent>
        <w:p w14:paraId="6EBFF417" w14:textId="77777777" w:rsidR="003412BC" w:rsidRPr="00E6749A" w:rsidRDefault="003412BC" w:rsidP="003412BC">
          <w:pPr>
            <w:pStyle w:val="TOCHeading"/>
            <w:spacing w:line="360" w:lineRule="auto"/>
            <w:jc w:val="center"/>
            <w:rPr>
              <w:rFonts w:ascii="Times New Roman" w:hAnsi="Times New Roman" w:cs="Times New Roman"/>
              <w:b/>
              <w:bCs/>
              <w:color w:val="auto"/>
              <w:sz w:val="24"/>
              <w:szCs w:val="24"/>
              <w:lang w:val="en-GB"/>
            </w:rPr>
          </w:pPr>
          <w:r w:rsidRPr="00E6749A">
            <w:rPr>
              <w:rFonts w:ascii="Times New Roman" w:hAnsi="Times New Roman" w:cs="Times New Roman"/>
              <w:b/>
              <w:bCs/>
              <w:color w:val="auto"/>
              <w:sz w:val="24"/>
              <w:szCs w:val="24"/>
              <w:lang w:val="en-GB"/>
            </w:rPr>
            <w:t>Table of Contents</w:t>
          </w:r>
        </w:p>
        <w:p w14:paraId="550412F6" w14:textId="77777777" w:rsidR="003412BC" w:rsidRPr="00E6749A" w:rsidRDefault="00B07E0B" w:rsidP="003412BC">
          <w:pPr>
            <w:pStyle w:val="TOC1"/>
            <w:tabs>
              <w:tab w:val="right" w:leader="dot" w:pos="9350"/>
            </w:tabs>
            <w:rPr>
              <w:noProof/>
              <w:lang w:val="en-GB"/>
            </w:rPr>
          </w:pPr>
          <w:r w:rsidRPr="00E6749A">
            <w:rPr>
              <w:lang w:val="en-GB"/>
            </w:rPr>
            <w:fldChar w:fldCharType="begin"/>
          </w:r>
          <w:r w:rsidR="003412BC" w:rsidRPr="00E6749A">
            <w:rPr>
              <w:lang w:val="en-GB"/>
            </w:rPr>
            <w:instrText xml:space="preserve"> TOC \o "1-3" \h \z \u </w:instrText>
          </w:r>
          <w:r w:rsidRPr="00E6749A">
            <w:rPr>
              <w:lang w:val="en-GB"/>
            </w:rPr>
            <w:fldChar w:fldCharType="separate"/>
          </w:r>
          <w:hyperlink w:anchor="_Toc151070095" w:history="1">
            <w:r w:rsidR="003412BC" w:rsidRPr="00E6749A">
              <w:rPr>
                <w:rStyle w:val="Hyperlink"/>
                <w:noProof/>
                <w:lang w:val="en-GB"/>
              </w:rPr>
              <w:t>Introduction</w:t>
            </w:r>
            <w:r w:rsidR="003412BC" w:rsidRPr="00E6749A">
              <w:rPr>
                <w:noProof/>
                <w:webHidden/>
                <w:lang w:val="en-GB"/>
              </w:rPr>
              <w:tab/>
            </w:r>
            <w:r w:rsidRPr="00E6749A">
              <w:rPr>
                <w:noProof/>
                <w:webHidden/>
                <w:lang w:val="en-GB"/>
              </w:rPr>
              <w:fldChar w:fldCharType="begin"/>
            </w:r>
            <w:r w:rsidR="003412BC" w:rsidRPr="00E6749A">
              <w:rPr>
                <w:noProof/>
                <w:webHidden/>
                <w:lang w:val="en-GB"/>
              </w:rPr>
              <w:instrText xml:space="preserve"> PAGEREF _Toc151070095 \h </w:instrText>
            </w:r>
            <w:r w:rsidRPr="00E6749A">
              <w:rPr>
                <w:noProof/>
                <w:webHidden/>
                <w:lang w:val="en-GB"/>
              </w:rPr>
            </w:r>
            <w:r w:rsidRPr="00E6749A">
              <w:rPr>
                <w:noProof/>
                <w:webHidden/>
                <w:lang w:val="en-GB"/>
              </w:rPr>
              <w:fldChar w:fldCharType="separate"/>
            </w:r>
            <w:r w:rsidR="003412BC" w:rsidRPr="00E6749A">
              <w:rPr>
                <w:noProof/>
                <w:webHidden/>
                <w:lang w:val="en-GB"/>
              </w:rPr>
              <w:t>3</w:t>
            </w:r>
            <w:r w:rsidRPr="00E6749A">
              <w:rPr>
                <w:noProof/>
                <w:webHidden/>
                <w:lang w:val="en-GB"/>
              </w:rPr>
              <w:fldChar w:fldCharType="end"/>
            </w:r>
          </w:hyperlink>
        </w:p>
        <w:p w14:paraId="185843E8" w14:textId="77777777" w:rsidR="003412BC" w:rsidRPr="00E6749A" w:rsidRDefault="00066C51" w:rsidP="003412BC">
          <w:pPr>
            <w:pStyle w:val="TOC1"/>
            <w:tabs>
              <w:tab w:val="right" w:leader="dot" w:pos="9350"/>
            </w:tabs>
            <w:rPr>
              <w:noProof/>
              <w:lang w:val="en-GB"/>
            </w:rPr>
          </w:pPr>
          <w:hyperlink w:anchor="_Toc151070096" w:history="1">
            <w:r w:rsidR="003412BC" w:rsidRPr="00E6749A">
              <w:rPr>
                <w:rStyle w:val="Hyperlink"/>
                <w:noProof/>
                <w:lang w:val="en-GB"/>
              </w:rPr>
              <w:t>Background Analysis of the Organisation</w:t>
            </w:r>
            <w:r w:rsidR="003412BC" w:rsidRPr="00E6749A">
              <w:rPr>
                <w:noProof/>
                <w:webHidden/>
                <w:lang w:val="en-GB"/>
              </w:rPr>
              <w:tab/>
            </w:r>
            <w:r w:rsidR="00B07E0B" w:rsidRPr="00E6749A">
              <w:rPr>
                <w:noProof/>
                <w:webHidden/>
                <w:lang w:val="en-GB"/>
              </w:rPr>
              <w:fldChar w:fldCharType="begin"/>
            </w:r>
            <w:r w:rsidR="003412BC" w:rsidRPr="00E6749A">
              <w:rPr>
                <w:noProof/>
                <w:webHidden/>
                <w:lang w:val="en-GB"/>
              </w:rPr>
              <w:instrText xml:space="preserve"> PAGEREF _Toc151070096 \h </w:instrText>
            </w:r>
            <w:r w:rsidR="00B07E0B" w:rsidRPr="00E6749A">
              <w:rPr>
                <w:noProof/>
                <w:webHidden/>
                <w:lang w:val="en-GB"/>
              </w:rPr>
            </w:r>
            <w:r w:rsidR="00B07E0B" w:rsidRPr="00E6749A">
              <w:rPr>
                <w:noProof/>
                <w:webHidden/>
                <w:lang w:val="en-GB"/>
              </w:rPr>
              <w:fldChar w:fldCharType="separate"/>
            </w:r>
            <w:r w:rsidR="003412BC" w:rsidRPr="00E6749A">
              <w:rPr>
                <w:noProof/>
                <w:webHidden/>
                <w:lang w:val="en-GB"/>
              </w:rPr>
              <w:t>3</w:t>
            </w:r>
            <w:r w:rsidR="00B07E0B" w:rsidRPr="00E6749A">
              <w:rPr>
                <w:noProof/>
                <w:webHidden/>
                <w:lang w:val="en-GB"/>
              </w:rPr>
              <w:fldChar w:fldCharType="end"/>
            </w:r>
          </w:hyperlink>
        </w:p>
        <w:p w14:paraId="0D31DB46" w14:textId="77777777" w:rsidR="003412BC" w:rsidRPr="00E6749A" w:rsidRDefault="00066C51" w:rsidP="003412BC">
          <w:pPr>
            <w:pStyle w:val="TOC1"/>
            <w:tabs>
              <w:tab w:val="right" w:leader="dot" w:pos="9350"/>
            </w:tabs>
            <w:rPr>
              <w:noProof/>
              <w:lang w:val="en-GB"/>
            </w:rPr>
          </w:pPr>
          <w:hyperlink w:anchor="_Toc151070097" w:history="1">
            <w:r w:rsidR="003412BC" w:rsidRPr="00E6749A">
              <w:rPr>
                <w:rStyle w:val="Hyperlink"/>
                <w:noProof/>
                <w:lang w:val="en-GB"/>
              </w:rPr>
              <w:t>Internationalization Strategies</w:t>
            </w:r>
            <w:r w:rsidR="003412BC" w:rsidRPr="00E6749A">
              <w:rPr>
                <w:noProof/>
                <w:webHidden/>
                <w:lang w:val="en-GB"/>
              </w:rPr>
              <w:tab/>
            </w:r>
            <w:r w:rsidR="00B07E0B" w:rsidRPr="00E6749A">
              <w:rPr>
                <w:noProof/>
                <w:webHidden/>
                <w:lang w:val="en-GB"/>
              </w:rPr>
              <w:fldChar w:fldCharType="begin"/>
            </w:r>
            <w:r w:rsidR="003412BC" w:rsidRPr="00E6749A">
              <w:rPr>
                <w:noProof/>
                <w:webHidden/>
                <w:lang w:val="en-GB"/>
              </w:rPr>
              <w:instrText xml:space="preserve"> PAGEREF _Toc151070097 \h </w:instrText>
            </w:r>
            <w:r w:rsidR="00B07E0B" w:rsidRPr="00E6749A">
              <w:rPr>
                <w:noProof/>
                <w:webHidden/>
                <w:lang w:val="en-GB"/>
              </w:rPr>
            </w:r>
            <w:r w:rsidR="00B07E0B" w:rsidRPr="00E6749A">
              <w:rPr>
                <w:noProof/>
                <w:webHidden/>
                <w:lang w:val="en-GB"/>
              </w:rPr>
              <w:fldChar w:fldCharType="separate"/>
            </w:r>
            <w:r w:rsidR="003412BC" w:rsidRPr="00E6749A">
              <w:rPr>
                <w:noProof/>
                <w:webHidden/>
                <w:lang w:val="en-GB"/>
              </w:rPr>
              <w:t>6</w:t>
            </w:r>
            <w:r w:rsidR="00B07E0B" w:rsidRPr="00E6749A">
              <w:rPr>
                <w:noProof/>
                <w:webHidden/>
                <w:lang w:val="en-GB"/>
              </w:rPr>
              <w:fldChar w:fldCharType="end"/>
            </w:r>
          </w:hyperlink>
        </w:p>
        <w:p w14:paraId="4CB5C48D" w14:textId="77777777" w:rsidR="003412BC" w:rsidRPr="00E6749A" w:rsidRDefault="00066C51" w:rsidP="003412BC">
          <w:pPr>
            <w:pStyle w:val="TOC1"/>
            <w:tabs>
              <w:tab w:val="right" w:leader="dot" w:pos="9350"/>
            </w:tabs>
            <w:rPr>
              <w:noProof/>
              <w:lang w:val="en-GB"/>
            </w:rPr>
          </w:pPr>
          <w:hyperlink w:anchor="_Toc151070098" w:history="1">
            <w:r w:rsidR="003412BC" w:rsidRPr="00E6749A">
              <w:rPr>
                <w:rStyle w:val="Hyperlink"/>
                <w:noProof/>
                <w:lang w:val="en-GB"/>
              </w:rPr>
              <w:t>Company’s Internationalisation Approach</w:t>
            </w:r>
            <w:r w:rsidR="003412BC" w:rsidRPr="00E6749A">
              <w:rPr>
                <w:noProof/>
                <w:webHidden/>
                <w:lang w:val="en-GB"/>
              </w:rPr>
              <w:tab/>
            </w:r>
            <w:r w:rsidR="00B07E0B" w:rsidRPr="00E6749A">
              <w:rPr>
                <w:noProof/>
                <w:webHidden/>
                <w:lang w:val="en-GB"/>
              </w:rPr>
              <w:fldChar w:fldCharType="begin"/>
            </w:r>
            <w:r w:rsidR="003412BC" w:rsidRPr="00E6749A">
              <w:rPr>
                <w:noProof/>
                <w:webHidden/>
                <w:lang w:val="en-GB"/>
              </w:rPr>
              <w:instrText xml:space="preserve"> PAGEREF _Toc151070098 \h </w:instrText>
            </w:r>
            <w:r w:rsidR="00B07E0B" w:rsidRPr="00E6749A">
              <w:rPr>
                <w:noProof/>
                <w:webHidden/>
                <w:lang w:val="en-GB"/>
              </w:rPr>
            </w:r>
            <w:r w:rsidR="00B07E0B" w:rsidRPr="00E6749A">
              <w:rPr>
                <w:noProof/>
                <w:webHidden/>
                <w:lang w:val="en-GB"/>
              </w:rPr>
              <w:fldChar w:fldCharType="separate"/>
            </w:r>
            <w:r w:rsidR="003412BC" w:rsidRPr="00E6749A">
              <w:rPr>
                <w:noProof/>
                <w:webHidden/>
                <w:lang w:val="en-GB"/>
              </w:rPr>
              <w:t>10</w:t>
            </w:r>
            <w:r w:rsidR="00B07E0B" w:rsidRPr="00E6749A">
              <w:rPr>
                <w:noProof/>
                <w:webHidden/>
                <w:lang w:val="en-GB"/>
              </w:rPr>
              <w:fldChar w:fldCharType="end"/>
            </w:r>
          </w:hyperlink>
        </w:p>
        <w:p w14:paraId="744230EF" w14:textId="77777777" w:rsidR="003412BC" w:rsidRPr="00E6749A" w:rsidRDefault="00066C51" w:rsidP="003412BC">
          <w:pPr>
            <w:pStyle w:val="TOC1"/>
            <w:tabs>
              <w:tab w:val="right" w:leader="dot" w:pos="9350"/>
            </w:tabs>
            <w:rPr>
              <w:noProof/>
              <w:lang w:val="en-GB"/>
            </w:rPr>
          </w:pPr>
          <w:hyperlink w:anchor="_Toc151070099" w:history="1">
            <w:r w:rsidR="003412BC" w:rsidRPr="00E6749A">
              <w:rPr>
                <w:rStyle w:val="Hyperlink"/>
                <w:noProof/>
                <w:lang w:val="en-GB"/>
              </w:rPr>
              <w:t>Impact of contextual factors on organizational expansion</w:t>
            </w:r>
            <w:r w:rsidR="003412BC" w:rsidRPr="00E6749A">
              <w:rPr>
                <w:noProof/>
                <w:webHidden/>
                <w:lang w:val="en-GB"/>
              </w:rPr>
              <w:tab/>
            </w:r>
            <w:r w:rsidR="00B07E0B" w:rsidRPr="00E6749A">
              <w:rPr>
                <w:noProof/>
                <w:webHidden/>
                <w:lang w:val="en-GB"/>
              </w:rPr>
              <w:fldChar w:fldCharType="begin"/>
            </w:r>
            <w:r w:rsidR="003412BC" w:rsidRPr="00E6749A">
              <w:rPr>
                <w:noProof/>
                <w:webHidden/>
                <w:lang w:val="en-GB"/>
              </w:rPr>
              <w:instrText xml:space="preserve"> PAGEREF _Toc151070099 \h </w:instrText>
            </w:r>
            <w:r w:rsidR="00B07E0B" w:rsidRPr="00E6749A">
              <w:rPr>
                <w:noProof/>
                <w:webHidden/>
                <w:lang w:val="en-GB"/>
              </w:rPr>
            </w:r>
            <w:r w:rsidR="00B07E0B" w:rsidRPr="00E6749A">
              <w:rPr>
                <w:noProof/>
                <w:webHidden/>
                <w:lang w:val="en-GB"/>
              </w:rPr>
              <w:fldChar w:fldCharType="separate"/>
            </w:r>
            <w:r w:rsidR="003412BC" w:rsidRPr="00E6749A">
              <w:rPr>
                <w:noProof/>
                <w:webHidden/>
                <w:lang w:val="en-GB"/>
              </w:rPr>
              <w:t>20</w:t>
            </w:r>
            <w:r w:rsidR="00B07E0B" w:rsidRPr="00E6749A">
              <w:rPr>
                <w:noProof/>
                <w:webHidden/>
                <w:lang w:val="en-GB"/>
              </w:rPr>
              <w:fldChar w:fldCharType="end"/>
            </w:r>
          </w:hyperlink>
        </w:p>
        <w:p w14:paraId="2A5C2741" w14:textId="77777777" w:rsidR="003412BC" w:rsidRPr="00E6749A" w:rsidRDefault="00066C51" w:rsidP="003412BC">
          <w:pPr>
            <w:pStyle w:val="TOC1"/>
            <w:tabs>
              <w:tab w:val="right" w:leader="dot" w:pos="9350"/>
            </w:tabs>
            <w:rPr>
              <w:noProof/>
              <w:lang w:val="en-GB"/>
            </w:rPr>
          </w:pPr>
          <w:hyperlink w:anchor="_Toc151070100" w:history="1">
            <w:r w:rsidR="003412BC" w:rsidRPr="00E6749A">
              <w:rPr>
                <w:rStyle w:val="Hyperlink"/>
                <w:noProof/>
                <w:lang w:val="en-GB"/>
              </w:rPr>
              <w:t>Recommendation</w:t>
            </w:r>
            <w:r w:rsidR="003412BC" w:rsidRPr="00E6749A">
              <w:rPr>
                <w:noProof/>
                <w:webHidden/>
                <w:lang w:val="en-GB"/>
              </w:rPr>
              <w:tab/>
            </w:r>
            <w:r w:rsidR="00B07E0B" w:rsidRPr="00E6749A">
              <w:rPr>
                <w:noProof/>
                <w:webHidden/>
                <w:lang w:val="en-GB"/>
              </w:rPr>
              <w:fldChar w:fldCharType="begin"/>
            </w:r>
            <w:r w:rsidR="003412BC" w:rsidRPr="00E6749A">
              <w:rPr>
                <w:noProof/>
                <w:webHidden/>
                <w:lang w:val="en-GB"/>
              </w:rPr>
              <w:instrText xml:space="preserve"> PAGEREF _Toc151070100 \h </w:instrText>
            </w:r>
            <w:r w:rsidR="00B07E0B" w:rsidRPr="00E6749A">
              <w:rPr>
                <w:noProof/>
                <w:webHidden/>
                <w:lang w:val="en-GB"/>
              </w:rPr>
            </w:r>
            <w:r w:rsidR="00B07E0B" w:rsidRPr="00E6749A">
              <w:rPr>
                <w:noProof/>
                <w:webHidden/>
                <w:lang w:val="en-GB"/>
              </w:rPr>
              <w:fldChar w:fldCharType="separate"/>
            </w:r>
            <w:r w:rsidR="003412BC" w:rsidRPr="00E6749A">
              <w:rPr>
                <w:noProof/>
                <w:webHidden/>
                <w:lang w:val="en-GB"/>
              </w:rPr>
              <w:t>22</w:t>
            </w:r>
            <w:r w:rsidR="00B07E0B" w:rsidRPr="00E6749A">
              <w:rPr>
                <w:noProof/>
                <w:webHidden/>
                <w:lang w:val="en-GB"/>
              </w:rPr>
              <w:fldChar w:fldCharType="end"/>
            </w:r>
          </w:hyperlink>
        </w:p>
        <w:p w14:paraId="2C5AA7C8" w14:textId="77777777" w:rsidR="003412BC" w:rsidRPr="00E6749A" w:rsidRDefault="00066C51" w:rsidP="003412BC">
          <w:pPr>
            <w:pStyle w:val="TOC1"/>
            <w:tabs>
              <w:tab w:val="right" w:leader="dot" w:pos="9350"/>
            </w:tabs>
            <w:rPr>
              <w:noProof/>
              <w:lang w:val="en-GB"/>
            </w:rPr>
          </w:pPr>
          <w:hyperlink w:anchor="_Toc151070101" w:history="1">
            <w:r w:rsidR="003412BC" w:rsidRPr="00E6749A">
              <w:rPr>
                <w:rStyle w:val="Hyperlink"/>
                <w:noProof/>
                <w:lang w:val="en-GB"/>
              </w:rPr>
              <w:t>Conclusion</w:t>
            </w:r>
            <w:r w:rsidR="003412BC" w:rsidRPr="00E6749A">
              <w:rPr>
                <w:noProof/>
                <w:webHidden/>
                <w:lang w:val="en-GB"/>
              </w:rPr>
              <w:tab/>
            </w:r>
            <w:r w:rsidR="00B07E0B" w:rsidRPr="00E6749A">
              <w:rPr>
                <w:noProof/>
                <w:webHidden/>
                <w:lang w:val="en-GB"/>
              </w:rPr>
              <w:fldChar w:fldCharType="begin"/>
            </w:r>
            <w:r w:rsidR="003412BC" w:rsidRPr="00E6749A">
              <w:rPr>
                <w:noProof/>
                <w:webHidden/>
                <w:lang w:val="en-GB"/>
              </w:rPr>
              <w:instrText xml:space="preserve"> PAGEREF _Toc151070101 \h </w:instrText>
            </w:r>
            <w:r w:rsidR="00B07E0B" w:rsidRPr="00E6749A">
              <w:rPr>
                <w:noProof/>
                <w:webHidden/>
                <w:lang w:val="en-GB"/>
              </w:rPr>
            </w:r>
            <w:r w:rsidR="00B07E0B" w:rsidRPr="00E6749A">
              <w:rPr>
                <w:noProof/>
                <w:webHidden/>
                <w:lang w:val="en-GB"/>
              </w:rPr>
              <w:fldChar w:fldCharType="separate"/>
            </w:r>
            <w:r w:rsidR="003412BC" w:rsidRPr="00E6749A">
              <w:rPr>
                <w:noProof/>
                <w:webHidden/>
                <w:lang w:val="en-GB"/>
              </w:rPr>
              <w:t>24</w:t>
            </w:r>
            <w:r w:rsidR="00B07E0B" w:rsidRPr="00E6749A">
              <w:rPr>
                <w:noProof/>
                <w:webHidden/>
                <w:lang w:val="en-GB"/>
              </w:rPr>
              <w:fldChar w:fldCharType="end"/>
            </w:r>
          </w:hyperlink>
        </w:p>
        <w:p w14:paraId="2CE35BDB" w14:textId="77777777" w:rsidR="003412BC" w:rsidRPr="00E6749A" w:rsidRDefault="00066C51" w:rsidP="003412BC">
          <w:pPr>
            <w:pStyle w:val="TOC1"/>
            <w:tabs>
              <w:tab w:val="right" w:leader="dot" w:pos="9350"/>
            </w:tabs>
            <w:rPr>
              <w:noProof/>
              <w:lang w:val="en-GB"/>
            </w:rPr>
          </w:pPr>
          <w:hyperlink w:anchor="_Toc151070102" w:history="1">
            <w:r w:rsidR="003412BC" w:rsidRPr="00E6749A">
              <w:rPr>
                <w:rStyle w:val="Hyperlink"/>
                <w:noProof/>
                <w:lang w:val="en-GB"/>
              </w:rPr>
              <w:t>References</w:t>
            </w:r>
            <w:r w:rsidR="003412BC" w:rsidRPr="00E6749A">
              <w:rPr>
                <w:noProof/>
                <w:webHidden/>
                <w:lang w:val="en-GB"/>
              </w:rPr>
              <w:tab/>
            </w:r>
            <w:r w:rsidR="00B07E0B" w:rsidRPr="00E6749A">
              <w:rPr>
                <w:noProof/>
                <w:webHidden/>
                <w:lang w:val="en-GB"/>
              </w:rPr>
              <w:fldChar w:fldCharType="begin"/>
            </w:r>
            <w:r w:rsidR="003412BC" w:rsidRPr="00E6749A">
              <w:rPr>
                <w:noProof/>
                <w:webHidden/>
                <w:lang w:val="en-GB"/>
              </w:rPr>
              <w:instrText xml:space="preserve"> PAGEREF _Toc151070102 \h </w:instrText>
            </w:r>
            <w:r w:rsidR="00B07E0B" w:rsidRPr="00E6749A">
              <w:rPr>
                <w:noProof/>
                <w:webHidden/>
                <w:lang w:val="en-GB"/>
              </w:rPr>
            </w:r>
            <w:r w:rsidR="00B07E0B" w:rsidRPr="00E6749A">
              <w:rPr>
                <w:noProof/>
                <w:webHidden/>
                <w:lang w:val="en-GB"/>
              </w:rPr>
              <w:fldChar w:fldCharType="separate"/>
            </w:r>
            <w:r w:rsidR="003412BC" w:rsidRPr="00E6749A">
              <w:rPr>
                <w:noProof/>
                <w:webHidden/>
                <w:lang w:val="en-GB"/>
              </w:rPr>
              <w:t>25</w:t>
            </w:r>
            <w:r w:rsidR="00B07E0B" w:rsidRPr="00E6749A">
              <w:rPr>
                <w:noProof/>
                <w:webHidden/>
                <w:lang w:val="en-GB"/>
              </w:rPr>
              <w:fldChar w:fldCharType="end"/>
            </w:r>
          </w:hyperlink>
        </w:p>
        <w:p w14:paraId="29479CE1" w14:textId="77777777" w:rsidR="003412BC" w:rsidRPr="00E6749A" w:rsidRDefault="00B07E0B" w:rsidP="003412BC">
          <w:pPr>
            <w:rPr>
              <w:lang w:val="en-GB"/>
            </w:rPr>
          </w:pPr>
          <w:r w:rsidRPr="00E6749A">
            <w:rPr>
              <w:b/>
              <w:bCs/>
              <w:noProof/>
              <w:lang w:val="en-GB"/>
            </w:rPr>
            <w:fldChar w:fldCharType="end"/>
          </w:r>
        </w:p>
      </w:sdtContent>
    </w:sdt>
    <w:p w14:paraId="3B5A1FAE" w14:textId="77777777" w:rsidR="003412BC" w:rsidRPr="00E6749A" w:rsidRDefault="003412BC">
      <w:pPr>
        <w:rPr>
          <w:b/>
          <w:lang w:val="en-GB"/>
        </w:rPr>
      </w:pPr>
      <w:r w:rsidRPr="00E6749A">
        <w:rPr>
          <w:lang w:val="en-GB"/>
        </w:rPr>
        <w:br w:type="page"/>
      </w:r>
    </w:p>
    <w:p w14:paraId="0B7E3C0B" w14:textId="77777777" w:rsidR="005133E7" w:rsidRPr="00E6749A" w:rsidRDefault="00496D27">
      <w:pPr>
        <w:pStyle w:val="Heading1"/>
        <w:rPr>
          <w:lang w:val="en-GB"/>
        </w:rPr>
      </w:pPr>
      <w:bookmarkStart w:id="1" w:name="_Toc151070095"/>
      <w:r w:rsidRPr="00E6749A">
        <w:rPr>
          <w:lang w:val="en-GB"/>
        </w:rPr>
        <w:lastRenderedPageBreak/>
        <w:t>Introduction</w:t>
      </w:r>
      <w:bookmarkEnd w:id="1"/>
    </w:p>
    <w:p w14:paraId="04D21FB5" w14:textId="77777777" w:rsidR="005133E7" w:rsidRPr="00E6749A" w:rsidRDefault="00496D27">
      <w:pPr>
        <w:rPr>
          <w:lang w:val="en-GB"/>
        </w:rPr>
      </w:pPr>
      <w:r w:rsidRPr="00E6749A">
        <w:rPr>
          <w:lang w:val="en-GB"/>
        </w:rPr>
        <w:t xml:space="preserve">Trade, foreign direct investment, and the activities of multinational firms all fall under the category of international commerce, which is the transfer of products, services, and resources across national boundaries. It necessitates handling complex financial situations, managing international supply chains, negotiating a variety of cultural, legal, and economic environments, and customising marketing tactics for various countries. Strategic planning, flexibility, and a thorough grasp of global dynamics are essential for success in an international company. These dynamics bring both possibilities and problems, including political risk and cultural differences, as well as chances for expansion and diversification. This particular assessment is associated with the discussion of Toyota and its associated international business strategies. With the help of a thorough background analysis of Toyota, understanding the context of the organisation will become easy. Along with this, different strategies for internationalization will be evaluated and compared to identify and understand the internationalization strategy utilised by Toyota can be identified along with potential benefits and consequences. Moreover, by conducting a PESTLE analysis understanding all external factors related to the organisational context to understand its decision-making process and find out areas of interest. </w:t>
      </w:r>
    </w:p>
    <w:p w14:paraId="0C170E97" w14:textId="77777777" w:rsidR="005133E7" w:rsidRPr="00E6749A" w:rsidRDefault="00496D27">
      <w:pPr>
        <w:pStyle w:val="Heading1"/>
        <w:rPr>
          <w:lang w:val="en-GB"/>
        </w:rPr>
      </w:pPr>
      <w:bookmarkStart w:id="2" w:name="_pcxq56do1l5w" w:colFirst="0" w:colLast="0"/>
      <w:bookmarkStart w:id="3" w:name="_Toc151070096"/>
      <w:bookmarkEnd w:id="2"/>
      <w:r w:rsidRPr="00E6749A">
        <w:rPr>
          <w:lang w:val="en-GB"/>
        </w:rPr>
        <w:t>Background Analysis of the Organisation</w:t>
      </w:r>
      <w:bookmarkEnd w:id="3"/>
    </w:p>
    <w:p w14:paraId="6B97744B" w14:textId="77777777" w:rsidR="005133E7" w:rsidRPr="00E6749A" w:rsidRDefault="00496D27">
      <w:pPr>
        <w:rPr>
          <w:lang w:val="en-GB"/>
        </w:rPr>
      </w:pPr>
      <w:r w:rsidRPr="00E6749A">
        <w:rPr>
          <w:lang w:val="en-GB"/>
        </w:rPr>
        <w:t>Established in 1937 by Kiichiro Toyoda as a branch of Toyoda Automatic Loom Works, Toyota Motor Corporation has grown into one of the world's largest automotive companies, known for its dedication to both innovation and quality. With production facilities and sales offices spread across many nations, the company's Toyota Production System (TPS) has established industry standards for productivity and waste minimization. Toyota's commitment to technical innovation is reflected in its pioneering efforts in fuel efficiency, safety features, and hybrid/electric vehicle technology (Corporation., 2022). Toyota has a varied product line that includes cars, SUVs, trucks, and hybrids. Toyota's approach is centred on environmental awareness, which is demonstrated by its proactive involvement in sustainability with cars like the Mirai, which runs on hydrogen fuel cells.</w:t>
      </w:r>
      <w:r w:rsidRPr="00E6749A">
        <w:rPr>
          <w:b/>
          <w:i/>
          <w:lang w:val="en-GB"/>
        </w:rPr>
        <w:t xml:space="preserve"> In the fiscal year that ended in March 2023, Toyota Motor Corporation's net revenue increased by almost 18.4% year over year to just under 37.2 trillion </w:t>
      </w:r>
      <w:r w:rsidRPr="00E6749A">
        <w:rPr>
          <w:b/>
          <w:i/>
          <w:lang w:val="en-GB"/>
        </w:rPr>
        <w:lastRenderedPageBreak/>
        <w:t>Japanese yen. This amount is about equivalent to 279 billion USD</w:t>
      </w:r>
      <w:r w:rsidRPr="00E6749A">
        <w:rPr>
          <w:lang w:val="en-GB"/>
        </w:rPr>
        <w:t xml:space="preserve"> (Statista, 2023). Toyota has a reputation for building dependable, high-quality cars, and it has ingrained a culture of excellence in every aspect of its business. Toyota is still a major force in determining the direction of the automotive industry by adjusting to movements in the market, such as the move towards electric and driverless cars (Toyota.com, 2022). </w:t>
      </w:r>
    </w:p>
    <w:p w14:paraId="2C555F5A" w14:textId="77777777" w:rsidR="005133E7" w:rsidRPr="00E6749A" w:rsidRDefault="00496D27">
      <w:pPr>
        <w:jc w:val="center"/>
        <w:rPr>
          <w:lang w:val="en-GB"/>
        </w:rPr>
      </w:pPr>
      <w:r w:rsidRPr="00E6749A">
        <w:rPr>
          <w:noProof/>
          <w:lang w:val="en-US" w:eastAsia="en-US"/>
        </w:rPr>
        <w:drawing>
          <wp:inline distT="114300" distB="114300" distL="114300" distR="114300" wp14:anchorId="71FDB429" wp14:editId="2CF576AA">
            <wp:extent cx="5781675" cy="3975610"/>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5781675" cy="3975610"/>
                    </a:xfrm>
                    <a:prstGeom prst="rect">
                      <a:avLst/>
                    </a:prstGeom>
                    <a:ln/>
                  </pic:spPr>
                </pic:pic>
              </a:graphicData>
            </a:graphic>
          </wp:inline>
        </w:drawing>
      </w:r>
    </w:p>
    <w:p w14:paraId="6237CE25" w14:textId="77777777" w:rsidR="005133E7" w:rsidRPr="00E6749A" w:rsidRDefault="00496D27">
      <w:pPr>
        <w:jc w:val="center"/>
        <w:rPr>
          <w:b/>
          <w:lang w:val="en-GB"/>
        </w:rPr>
      </w:pPr>
      <w:r w:rsidRPr="00E6749A">
        <w:rPr>
          <w:b/>
          <w:lang w:val="en-GB"/>
        </w:rPr>
        <w:t>Figure 1: Toyota's net revenue 2012-2023</w:t>
      </w:r>
    </w:p>
    <w:p w14:paraId="11EC421A" w14:textId="77777777" w:rsidR="005133E7" w:rsidRPr="00E6749A" w:rsidRDefault="00496D27">
      <w:pPr>
        <w:jc w:val="center"/>
        <w:rPr>
          <w:lang w:val="en-GB"/>
        </w:rPr>
      </w:pPr>
      <w:r w:rsidRPr="00E6749A">
        <w:rPr>
          <w:lang w:val="en-GB"/>
        </w:rPr>
        <w:t>(Source: Statista, 2023)</w:t>
      </w:r>
    </w:p>
    <w:p w14:paraId="2FB09F10" w14:textId="77777777" w:rsidR="005133E7" w:rsidRPr="00E6749A" w:rsidRDefault="00496D27">
      <w:pPr>
        <w:rPr>
          <w:lang w:val="en-GB"/>
        </w:rPr>
      </w:pPr>
      <w:r w:rsidRPr="00E6749A">
        <w:rPr>
          <w:lang w:val="en-GB"/>
        </w:rPr>
        <w:t xml:space="preserve">Toyota has a well-balanced internationalisation strategy that blends local responsiveness with global integration. The business has built a strong worldwide network of production sites, placing them in key locations to maximise productivity and meet consumer demand. Toyota places a strong emphasis on localization by tailoring its products to meet local needs and regulations, all the while upholding a constant commitment to quality and efficiency through the </w:t>
      </w:r>
      <w:r w:rsidRPr="00E6749A">
        <w:rPr>
          <w:lang w:val="en-GB"/>
        </w:rPr>
        <w:lastRenderedPageBreak/>
        <w:t>Toyota Production System (Toyota Mission and Vision Statement Analysis, 2023). To stay ahead of growing industry trends like sustainable mobility, the firm invests in research and development, forms strategic alliances, and capitalises on its expertise in hybrid technology (Isaksson and Mitra, 2019). Toyota has maintained its position as a worldwide leader in the automobile industry because of its agility, social responsibility programmes, and customer-centric philosophy.</w:t>
      </w:r>
    </w:p>
    <w:p w14:paraId="25D2E475" w14:textId="77777777" w:rsidR="005133E7" w:rsidRPr="00E6749A" w:rsidRDefault="00496D27">
      <w:pPr>
        <w:rPr>
          <w:lang w:val="en-GB"/>
        </w:rPr>
      </w:pPr>
      <w:r w:rsidRPr="00E6749A">
        <w:rPr>
          <w:lang w:val="en-GB"/>
        </w:rPr>
        <w:t>Toyota Motor Corporation is advancing innovation in fields that are vital to the automotive industry's future, building on its rich history. Technology related to autonomous driving is one important field. With the eventual goal of having completely driverless cars, Toyota is actively working on technology that will improve vehicle economy and safety. Toyota is dedicated to advancing autonomous driving technology as part of a larger effort to make transportation safer and more environmentally friendly. Toyota is also making great progress in electrification. With the legendary Prius, Toyota has previously led the way in hybrid technology. Now, it is focusing on completely electric cars (EVs). The business has made plans to launch a variety of electric vehicles (EVs), catering to a broad segment of the market from small city cars to bigger SUVs and trucks. This growth is consistent with both Toyota's commitment to sustainability and worldwide trends towards lower carbon emissions.</w:t>
      </w:r>
    </w:p>
    <w:p w14:paraId="26932676" w14:textId="77777777" w:rsidR="005133E7" w:rsidRPr="00E6749A" w:rsidRDefault="00496D27">
      <w:pPr>
        <w:rPr>
          <w:lang w:val="en-GB"/>
        </w:rPr>
      </w:pPr>
      <w:r w:rsidRPr="00E6749A">
        <w:rPr>
          <w:lang w:val="en-GB"/>
        </w:rPr>
        <w:t>Toyota's corporate social responsibility (CSR) programmes provide as another evidence of the company's dedication to improving both the environment and society. The organisation makes global investments in a range of community-based initiatives with an emphasis on health and safety, education, and environmental preservation. Toyota is committed to creating a better society, not simply better automobiles, as seen by these programmes. Toyota is still improving its storied Toyota Production System in the field of manufacturing. Acknowledged for its effectiveness and adherence to lean manufacturing principles, the TPS is now being improved via the incorporation of digital technologies like as artificial intelligence (AI) and the Internet of Things (IoT). The aforementioned innovations are intended to enhance manufacturing process optimisation, minimise waste, and augment overall productivity.</w:t>
      </w:r>
    </w:p>
    <w:p w14:paraId="76373B0E" w14:textId="77777777" w:rsidR="005133E7" w:rsidRPr="00E6749A" w:rsidRDefault="00496D27">
      <w:pPr>
        <w:rPr>
          <w:lang w:val="en-GB"/>
        </w:rPr>
      </w:pPr>
      <w:r w:rsidRPr="00E6749A">
        <w:rPr>
          <w:lang w:val="en-GB"/>
        </w:rPr>
        <w:lastRenderedPageBreak/>
        <w:t>Toyota's strategy continues to be based on globalisation. A thorough awareness of local customs, laws, and tastes is essential to the company's strategy for breaking into and succeeding in a variety of markets. Toyota's success in North America, Europe, and Asia may be attributed in large part to this localization approach. Toyota is not only working on automotive technology when it comes to research and development (R&amp;D). The business is investigating a variety of cutting-edge technologies, such as hydrogen fuel cells, which have the potential to completely transform not only the automobile industry but also other industries like energy and transportation. Toyota's approach to innovation goes beyond technology to include fostering an environment of constant innovation and worker adaptation. To make sure that its workers are prepared to take on the demands of a quickly changing sector, the firm makes investments in training and development programmes.</w:t>
      </w:r>
    </w:p>
    <w:p w14:paraId="3FE17F26" w14:textId="77777777" w:rsidR="005133E7" w:rsidRPr="00E6749A" w:rsidRDefault="00496D27">
      <w:pPr>
        <w:pStyle w:val="Heading1"/>
        <w:rPr>
          <w:lang w:val="en-GB"/>
        </w:rPr>
      </w:pPr>
      <w:bookmarkStart w:id="4" w:name="_mcvw8tqpmduj" w:colFirst="0" w:colLast="0"/>
      <w:bookmarkStart w:id="5" w:name="_Toc151070097"/>
      <w:bookmarkEnd w:id="4"/>
      <w:r w:rsidRPr="00E6749A">
        <w:rPr>
          <w:lang w:val="en-GB"/>
        </w:rPr>
        <w:t>Internationalization Strategies</w:t>
      </w:r>
      <w:bookmarkEnd w:id="5"/>
    </w:p>
    <w:p w14:paraId="48D7A068" w14:textId="77777777" w:rsidR="005133E7" w:rsidRPr="00E6749A" w:rsidRDefault="00496D27">
      <w:pPr>
        <w:rPr>
          <w:b/>
          <w:lang w:val="en-GB"/>
        </w:rPr>
      </w:pPr>
      <w:r w:rsidRPr="00E6749A">
        <w:rPr>
          <w:b/>
          <w:lang w:val="en-GB"/>
        </w:rPr>
        <w:t xml:space="preserve">Ethnocentric Approach: </w:t>
      </w:r>
    </w:p>
    <w:p w14:paraId="13319A30" w14:textId="77777777" w:rsidR="005133E7" w:rsidRPr="00E6749A" w:rsidRDefault="00496D27">
      <w:pPr>
        <w:rPr>
          <w:lang w:val="en-GB"/>
        </w:rPr>
      </w:pPr>
      <w:r w:rsidRPr="00E6749A">
        <w:rPr>
          <w:b/>
          <w:lang w:val="en-GB"/>
        </w:rPr>
        <w:t>Characteristics</w:t>
      </w:r>
      <w:r w:rsidRPr="00E6749A">
        <w:rPr>
          <w:lang w:val="en-GB"/>
        </w:rPr>
        <w:t>: The decision-making process is centralised at the headquarters, which is usually situated in the nation of origin. Important roles are frequently filled by nationals, demonstrating the company's conviction in the quality of its domestic procedures (Baber et al., 2023</w:t>
      </w:r>
      <w:proofErr w:type="gramStart"/>
      <w:r w:rsidRPr="00E6749A">
        <w:rPr>
          <w:lang w:val="en-GB"/>
        </w:rPr>
        <w:t>).Although</w:t>
      </w:r>
      <w:proofErr w:type="gramEnd"/>
      <w:r w:rsidRPr="00E6749A">
        <w:rPr>
          <w:lang w:val="en-GB"/>
        </w:rPr>
        <w:t xml:space="preserve"> this strategy could preserve control and promote a cohesive company culture, it might make it difficult to adjust to the peculiarities and preferences of local markets (Dobrowolski and </w:t>
      </w:r>
      <w:proofErr w:type="spellStart"/>
      <w:r w:rsidRPr="00E6749A">
        <w:rPr>
          <w:lang w:val="en-GB"/>
        </w:rPr>
        <w:t>Sułkowski</w:t>
      </w:r>
      <w:proofErr w:type="spellEnd"/>
      <w:r w:rsidRPr="00E6749A">
        <w:rPr>
          <w:lang w:val="en-GB"/>
        </w:rPr>
        <w:t>, 2020). It could also make it more difficult for the business to adapt successfully to changing market conditions.</w:t>
      </w:r>
    </w:p>
    <w:p w14:paraId="70F4E632" w14:textId="77777777" w:rsidR="005133E7" w:rsidRPr="00E6749A" w:rsidRDefault="00496D27">
      <w:pPr>
        <w:rPr>
          <w:b/>
          <w:lang w:val="en-GB"/>
        </w:rPr>
      </w:pPr>
      <w:r w:rsidRPr="00E6749A">
        <w:rPr>
          <w:b/>
          <w:lang w:val="en-GB"/>
        </w:rPr>
        <w:t xml:space="preserve">Polycentric strategy: </w:t>
      </w:r>
    </w:p>
    <w:p w14:paraId="7E30064B" w14:textId="77777777" w:rsidR="005133E7" w:rsidRPr="00E6749A" w:rsidRDefault="00496D27">
      <w:pPr>
        <w:rPr>
          <w:lang w:val="en-GB"/>
        </w:rPr>
      </w:pPr>
      <w:r w:rsidRPr="00E6749A">
        <w:rPr>
          <w:lang w:val="en-GB"/>
        </w:rPr>
        <w:t>Features: The polycentric strategy gives regional offices or subsidiaries a high degree of autonomy by decentralising decision-making to them. Local employees frequently hold important positions because they understand how important it is for them to be flexible and adaptable (</w:t>
      </w:r>
      <w:proofErr w:type="spellStart"/>
      <w:r w:rsidRPr="00E6749A">
        <w:rPr>
          <w:lang w:val="en-GB"/>
        </w:rPr>
        <w:t>Ewurum</w:t>
      </w:r>
      <w:proofErr w:type="spellEnd"/>
      <w:r w:rsidRPr="00E6749A">
        <w:rPr>
          <w:lang w:val="en-GB"/>
        </w:rPr>
        <w:t xml:space="preserve">, Aso and </w:t>
      </w:r>
      <w:proofErr w:type="spellStart"/>
      <w:r w:rsidRPr="00E6749A">
        <w:rPr>
          <w:lang w:val="en-GB"/>
        </w:rPr>
        <w:t>Ewurum</w:t>
      </w:r>
      <w:proofErr w:type="spellEnd"/>
      <w:r w:rsidRPr="00E6749A">
        <w:rPr>
          <w:lang w:val="en-GB"/>
        </w:rPr>
        <w:t>, 2020</w:t>
      </w:r>
      <w:proofErr w:type="gramStart"/>
      <w:r w:rsidRPr="00E6749A">
        <w:rPr>
          <w:lang w:val="en-GB"/>
        </w:rPr>
        <w:t>).By</w:t>
      </w:r>
      <w:proofErr w:type="gramEnd"/>
      <w:r w:rsidRPr="00E6749A">
        <w:rPr>
          <w:lang w:val="en-GB"/>
        </w:rPr>
        <w:t xml:space="preserve"> fostering a deeper comprehension of regional markets and cultural nuances, this strategy encourages responsiveness to local client demands. </w:t>
      </w:r>
      <w:r w:rsidRPr="00E6749A">
        <w:rPr>
          <w:lang w:val="en-GB"/>
        </w:rPr>
        <w:lastRenderedPageBreak/>
        <w:t>But it can also lead to less global integration and effort duplication, which could restrict economies of scale.</w:t>
      </w:r>
    </w:p>
    <w:p w14:paraId="136E6E73" w14:textId="77777777" w:rsidR="005133E7" w:rsidRPr="00E6749A" w:rsidRDefault="00496D27">
      <w:pPr>
        <w:rPr>
          <w:b/>
          <w:lang w:val="en-GB"/>
        </w:rPr>
      </w:pPr>
      <w:r w:rsidRPr="00E6749A">
        <w:rPr>
          <w:b/>
          <w:lang w:val="en-GB"/>
        </w:rPr>
        <w:t xml:space="preserve">Geocentric method: </w:t>
      </w:r>
    </w:p>
    <w:p w14:paraId="0E8FE75B" w14:textId="77777777" w:rsidR="005133E7" w:rsidRPr="00E6749A" w:rsidRDefault="00496D27">
      <w:pPr>
        <w:rPr>
          <w:lang w:val="en-GB"/>
        </w:rPr>
      </w:pPr>
      <w:r w:rsidRPr="00E6749A">
        <w:rPr>
          <w:lang w:val="en-GB"/>
        </w:rPr>
        <w:t xml:space="preserve">The geocentric method aims to strike a balance between local responsiveness and global integration. It advocates for hiring the most qualified employees, irrespective of their country, and it supports a uniform strategy for conducting business </w:t>
      </w:r>
      <w:proofErr w:type="spellStart"/>
      <w:r w:rsidRPr="00E6749A">
        <w:rPr>
          <w:lang w:val="en-GB"/>
        </w:rPr>
        <w:t>internationallyThe</w:t>
      </w:r>
      <w:proofErr w:type="spellEnd"/>
      <w:r w:rsidRPr="00E6749A">
        <w:rPr>
          <w:lang w:val="en-GB"/>
        </w:rPr>
        <w:t xml:space="preserve"> geocentric strategy seeks to establish synergy across worldwide operations by utilising both local adaptability and global consistency (Diab, 2022). Many people believe that this approach is more adaptable and sensitive to local and international market changes.</w:t>
      </w:r>
    </w:p>
    <w:p w14:paraId="41AB3CAA" w14:textId="77777777" w:rsidR="005133E7" w:rsidRPr="00E6749A" w:rsidRDefault="00496D27">
      <w:pPr>
        <w:rPr>
          <w:lang w:val="en-GB"/>
        </w:rPr>
      </w:pPr>
      <w:r w:rsidRPr="00E6749A">
        <w:rPr>
          <w:lang w:val="en-GB"/>
        </w:rPr>
        <w:t>Further exploring the ramifications of internationalisation strategies for many facets of international operations, such as marketing and human resource management (HRM), is crucial to extending the understanding of these methods.</w:t>
      </w:r>
    </w:p>
    <w:p w14:paraId="61431ED9" w14:textId="77777777" w:rsidR="005133E7" w:rsidRPr="00E6749A" w:rsidRDefault="00A0235A">
      <w:pPr>
        <w:rPr>
          <w:lang w:val="en-GB"/>
        </w:rPr>
      </w:pPr>
      <w:r>
        <w:rPr>
          <w:b/>
          <w:lang w:val="en-GB"/>
        </w:rPr>
        <w:t xml:space="preserve">Chosen </w:t>
      </w:r>
      <w:r w:rsidR="006A6FFD">
        <w:rPr>
          <w:b/>
          <w:lang w:val="en-GB"/>
        </w:rPr>
        <w:t>Strategy</w:t>
      </w:r>
    </w:p>
    <w:p w14:paraId="6703438C" w14:textId="77777777" w:rsidR="00093EE2" w:rsidRDefault="00093EE2">
      <w:pPr>
        <w:rPr>
          <w:lang w:val="en-GB"/>
        </w:rPr>
      </w:pPr>
      <w:r>
        <w:rPr>
          <w:lang w:val="en-GB"/>
        </w:rPr>
        <w:t xml:space="preserve">Selecting a </w:t>
      </w:r>
      <w:r w:rsidRPr="006A6FFD">
        <w:rPr>
          <w:b/>
          <w:bCs/>
          <w:i/>
          <w:iCs/>
          <w:lang w:val="en-GB"/>
        </w:rPr>
        <w:t xml:space="preserve">polycentric approach </w:t>
      </w:r>
      <w:r>
        <w:rPr>
          <w:lang w:val="en-GB"/>
        </w:rPr>
        <w:t>to internationalisation is a wise move for businesses seeking to fully integrate into a variety of international markets. This strategy includes a number of important benefits and implementation concerns while also acknowledging and respecting the operational and cultural variations across different areas.</w:t>
      </w:r>
    </w:p>
    <w:p w14:paraId="03432E1A" w14:textId="77777777" w:rsidR="00093EE2" w:rsidRPr="006A6FFD" w:rsidRDefault="00093EE2">
      <w:pPr>
        <w:rPr>
          <w:b/>
          <w:bCs/>
          <w:i/>
          <w:iCs/>
          <w:lang w:val="en-GB"/>
        </w:rPr>
      </w:pPr>
      <w:r w:rsidRPr="006A6FFD">
        <w:rPr>
          <w:b/>
          <w:bCs/>
          <w:i/>
          <w:iCs/>
          <w:lang w:val="en-GB"/>
        </w:rPr>
        <w:t>Utilising Local Knowledge</w:t>
      </w:r>
    </w:p>
    <w:p w14:paraId="434C3F90" w14:textId="77777777" w:rsidR="00093EE2" w:rsidRDefault="00093EE2">
      <w:pPr>
        <w:rPr>
          <w:lang w:val="en-GB"/>
        </w:rPr>
      </w:pPr>
      <w:r>
        <w:rPr>
          <w:lang w:val="en-GB"/>
        </w:rPr>
        <w:t>Local expertise is essential to a polycentric strategy’s success. Your business may modify its goods, services, and operational plans to conform to local customs and preferences by giving local subsidiaries and offices more authority. This strategy works especially well in markets where corporate practises, laws, and consumer behaviour diverge greatly from the home nation.</w:t>
      </w:r>
    </w:p>
    <w:p w14:paraId="5F2F3FEB" w14:textId="77777777" w:rsidR="00093EE2" w:rsidRPr="006A6FFD" w:rsidRDefault="006A6FFD">
      <w:pPr>
        <w:rPr>
          <w:b/>
          <w:bCs/>
          <w:i/>
          <w:iCs/>
          <w:lang w:val="en-GB"/>
        </w:rPr>
      </w:pPr>
      <w:r w:rsidRPr="006A6FFD">
        <w:rPr>
          <w:b/>
          <w:bCs/>
          <w:i/>
          <w:iCs/>
          <w:lang w:val="en-GB"/>
        </w:rPr>
        <w:t xml:space="preserve">Human </w:t>
      </w:r>
      <w:proofErr w:type="spellStart"/>
      <w:r w:rsidRPr="006A6FFD">
        <w:rPr>
          <w:b/>
          <w:bCs/>
          <w:i/>
          <w:iCs/>
          <w:lang w:val="en-GB"/>
        </w:rPr>
        <w:t>Resources</w:t>
      </w:r>
      <w:r w:rsidR="00093EE2" w:rsidRPr="006A6FFD">
        <w:rPr>
          <w:b/>
          <w:bCs/>
          <w:i/>
          <w:iCs/>
          <w:lang w:val="en-GB"/>
        </w:rPr>
        <w:t>Management</w:t>
      </w:r>
      <w:proofErr w:type="spellEnd"/>
      <w:r w:rsidR="00093EE2" w:rsidRPr="006A6FFD">
        <w:rPr>
          <w:b/>
          <w:bCs/>
          <w:i/>
          <w:iCs/>
          <w:lang w:val="en-GB"/>
        </w:rPr>
        <w:t xml:space="preserve"> </w:t>
      </w:r>
    </w:p>
    <w:p w14:paraId="32B40B97" w14:textId="77777777" w:rsidR="00093EE2" w:rsidRDefault="00093EE2">
      <w:pPr>
        <w:rPr>
          <w:lang w:val="en-GB"/>
        </w:rPr>
      </w:pPr>
      <w:r>
        <w:rPr>
          <w:lang w:val="en-GB"/>
        </w:rPr>
        <w:t xml:space="preserve">Local recruiting is given priority in a polycentric strategy, bringing in staff members who are well-versed in the local market. This tactic may lessen cultural misunderstandings and increase </w:t>
      </w:r>
      <w:r>
        <w:rPr>
          <w:lang w:val="en-GB"/>
        </w:rPr>
        <w:lastRenderedPageBreak/>
        <w:t>staff engagement. It does, however, also make it more difficult to maintain a unified corporate culture and guarantee uniform training and development requirements across all sites.</w:t>
      </w:r>
    </w:p>
    <w:p w14:paraId="402D64F1" w14:textId="77777777" w:rsidR="00093EE2" w:rsidRPr="006A6FFD" w:rsidRDefault="00093EE2">
      <w:pPr>
        <w:rPr>
          <w:b/>
          <w:bCs/>
          <w:i/>
          <w:iCs/>
          <w:lang w:val="en-GB"/>
        </w:rPr>
      </w:pPr>
      <w:r w:rsidRPr="006A6FFD">
        <w:rPr>
          <w:b/>
          <w:bCs/>
          <w:i/>
          <w:iCs/>
          <w:lang w:val="en-GB"/>
        </w:rPr>
        <w:t>Modification for Marketing</w:t>
      </w:r>
    </w:p>
    <w:p w14:paraId="28863729" w14:textId="77777777" w:rsidR="006A6FFD" w:rsidRDefault="00093EE2">
      <w:pPr>
        <w:rPr>
          <w:lang w:val="en-GB"/>
        </w:rPr>
      </w:pPr>
      <w:r>
        <w:rPr>
          <w:lang w:val="en-GB"/>
        </w:rPr>
        <w:t>A polycentric strategy will result in highly localised marketing tactics. Advertising, product offers, and customer service must all be customised to accommodate regional tastes and preferences. This may raise marketing expenses and make it more difficult to keep a consistent worldwide brand image, but it may also boost market relevance and consumer happiness.</w:t>
      </w:r>
    </w:p>
    <w:p w14:paraId="3FFEEFEB" w14:textId="77777777" w:rsidR="00093EE2" w:rsidRPr="006A6FFD" w:rsidRDefault="00093EE2">
      <w:pPr>
        <w:rPr>
          <w:b/>
          <w:bCs/>
          <w:i/>
          <w:iCs/>
          <w:lang w:val="en-GB"/>
        </w:rPr>
      </w:pPr>
      <w:r w:rsidRPr="006A6FFD">
        <w:rPr>
          <w:b/>
          <w:bCs/>
          <w:i/>
          <w:iCs/>
          <w:lang w:val="en-GB"/>
        </w:rPr>
        <w:t>Decentralised Option Selection</w:t>
      </w:r>
    </w:p>
    <w:p w14:paraId="3246E3E9" w14:textId="77777777" w:rsidR="00093EE2" w:rsidRDefault="00093EE2">
      <w:pPr>
        <w:rPr>
          <w:lang w:val="en-GB"/>
        </w:rPr>
      </w:pPr>
      <w:r>
        <w:rPr>
          <w:lang w:val="en-GB"/>
        </w:rPr>
        <w:t>The decentralisation of decision-making is a fundamental component of the polycentric approach. The freedom to choose the course of action that best suits their market is granted to local management. This may result in more operational flexibility and faster reaction times to changes in the market. But it may also lead to possible inefficiencies from redundant work and a lack of coherence in the overall business plan.</w:t>
      </w:r>
    </w:p>
    <w:p w14:paraId="64A23DCE" w14:textId="77777777" w:rsidR="00093EE2" w:rsidRPr="006A6FFD" w:rsidRDefault="00093EE2">
      <w:pPr>
        <w:rPr>
          <w:b/>
          <w:bCs/>
          <w:i/>
          <w:iCs/>
          <w:lang w:val="en-GB"/>
        </w:rPr>
      </w:pPr>
      <w:r w:rsidRPr="006A6FFD">
        <w:rPr>
          <w:b/>
          <w:bCs/>
          <w:i/>
          <w:iCs/>
          <w:lang w:val="en-GB"/>
        </w:rPr>
        <w:t>Juggling National and International Needs:</w:t>
      </w:r>
    </w:p>
    <w:p w14:paraId="3F29F1B6" w14:textId="77777777" w:rsidR="00093EE2" w:rsidRDefault="00093EE2">
      <w:pPr>
        <w:rPr>
          <w:lang w:val="en-GB"/>
        </w:rPr>
      </w:pPr>
      <w:r>
        <w:rPr>
          <w:lang w:val="en-GB"/>
        </w:rPr>
        <w:t>It’s critical to maintain some degree of coordination and communication with the headquarters while concentrating on local adaptation. This harmony makes sure that the regional offices don’t stray too far from the company’s overarching objectives.</w:t>
      </w:r>
    </w:p>
    <w:p w14:paraId="472A9FD8" w14:textId="77777777" w:rsidR="00093EE2" w:rsidRPr="006A6FFD" w:rsidRDefault="00093EE2">
      <w:pPr>
        <w:rPr>
          <w:b/>
          <w:bCs/>
          <w:i/>
          <w:iCs/>
          <w:lang w:val="en-GB"/>
        </w:rPr>
      </w:pPr>
      <w:r w:rsidRPr="006A6FFD">
        <w:rPr>
          <w:b/>
          <w:bCs/>
          <w:i/>
          <w:iCs/>
          <w:lang w:val="en-GB"/>
        </w:rPr>
        <w:t>Dealing with Scale Economies:</w:t>
      </w:r>
    </w:p>
    <w:p w14:paraId="4942FB4F" w14:textId="77777777" w:rsidR="00093EE2" w:rsidRDefault="00093EE2">
      <w:pPr>
        <w:rPr>
          <w:lang w:val="en-GB"/>
        </w:rPr>
      </w:pPr>
      <w:r>
        <w:rPr>
          <w:lang w:val="en-GB"/>
        </w:rPr>
        <w:t>A polycentric approach’s possible drawback is the difficulty in obtaining economies of scale. The economies of scale associated with centralised manufacturing and distribution may be lost when each subsidiary runs on its own. It is crucial to strike a balance so that operational efficiency is not entirely eclipsed by local response.</w:t>
      </w:r>
    </w:p>
    <w:p w14:paraId="29AFD75F" w14:textId="77777777" w:rsidR="00093EE2" w:rsidRPr="006A6FFD" w:rsidRDefault="00093EE2">
      <w:pPr>
        <w:rPr>
          <w:b/>
          <w:bCs/>
          <w:i/>
          <w:iCs/>
          <w:lang w:val="en-GB"/>
        </w:rPr>
      </w:pPr>
      <w:r w:rsidRPr="006A6FFD">
        <w:rPr>
          <w:b/>
          <w:bCs/>
          <w:i/>
          <w:iCs/>
          <w:lang w:val="en-GB"/>
        </w:rPr>
        <w:t>Long-Term Flexibility:</w:t>
      </w:r>
    </w:p>
    <w:p w14:paraId="59E630E6" w14:textId="77777777" w:rsidR="005133E7" w:rsidRPr="00E6749A" w:rsidRDefault="00093EE2">
      <w:pPr>
        <w:rPr>
          <w:lang w:val="en-GB"/>
        </w:rPr>
      </w:pPr>
      <w:r>
        <w:rPr>
          <w:lang w:val="en-GB"/>
        </w:rPr>
        <w:lastRenderedPageBreak/>
        <w:t>Using a polycentric approach necessitates a dedication to long-term flexibility. The dynamic nature of the market and customer tastes necessitates that your local operations be flexible enough to adapt to these changes</w:t>
      </w:r>
      <w:r w:rsidR="006A6FFD">
        <w:rPr>
          <w:lang w:val="en-GB"/>
        </w:rPr>
        <w:t>.</w:t>
      </w:r>
    </w:p>
    <w:p w14:paraId="6EEEDC24" w14:textId="77777777" w:rsidR="005133E7" w:rsidRPr="00E6749A" w:rsidRDefault="00496D27">
      <w:pPr>
        <w:pStyle w:val="Heading1"/>
        <w:rPr>
          <w:lang w:val="en-GB"/>
        </w:rPr>
      </w:pPr>
      <w:bookmarkStart w:id="6" w:name="_l7x61l32s52f" w:colFirst="0" w:colLast="0"/>
      <w:bookmarkStart w:id="7" w:name="_Toc151070098"/>
      <w:bookmarkEnd w:id="6"/>
      <w:r w:rsidRPr="00E6749A">
        <w:rPr>
          <w:lang w:val="en-GB"/>
        </w:rPr>
        <w:t>Company’s Internationalisation Approach</w:t>
      </w:r>
      <w:bookmarkEnd w:id="7"/>
    </w:p>
    <w:p w14:paraId="5C804331" w14:textId="77777777" w:rsidR="005133E7" w:rsidRPr="00E6749A" w:rsidRDefault="00496D27">
      <w:pPr>
        <w:rPr>
          <w:lang w:val="en-GB"/>
        </w:rPr>
      </w:pPr>
      <w:proofErr w:type="spellStart"/>
      <w:r w:rsidRPr="00E6749A">
        <w:rPr>
          <w:lang w:val="en-GB"/>
        </w:rPr>
        <w:t>Toyato's</w:t>
      </w:r>
      <w:proofErr w:type="spellEnd"/>
      <w:r w:rsidRPr="00E6749A">
        <w:rPr>
          <w:lang w:val="en-GB"/>
        </w:rPr>
        <w:t xml:space="preserve"> internationalisation plan will be analysed and identified by looking at the company's product offers, marketing tactics, HR policies, and leadership structure. </w:t>
      </w:r>
    </w:p>
    <w:p w14:paraId="3F9EA137" w14:textId="77777777" w:rsidR="005133E7" w:rsidRPr="00E6749A" w:rsidRDefault="00496D27">
      <w:pPr>
        <w:rPr>
          <w:b/>
          <w:i/>
          <w:lang w:val="en-GB"/>
        </w:rPr>
      </w:pPr>
      <w:r w:rsidRPr="00E6749A">
        <w:rPr>
          <w:b/>
          <w:i/>
          <w:lang w:val="en-GB"/>
        </w:rPr>
        <w:t>Evidence of Strategy</w:t>
      </w:r>
    </w:p>
    <w:p w14:paraId="439BA2D5" w14:textId="77777777" w:rsidR="005133E7" w:rsidRPr="00E6749A" w:rsidRDefault="00496D27">
      <w:pPr>
        <w:rPr>
          <w:lang w:val="en-GB"/>
        </w:rPr>
      </w:pPr>
      <w:r w:rsidRPr="00E6749A">
        <w:rPr>
          <w:b/>
          <w:i/>
          <w:lang w:val="en-GB"/>
        </w:rPr>
        <w:t>1. Leadership Composition</w:t>
      </w:r>
      <w:r w:rsidRPr="00E6749A">
        <w:rPr>
          <w:lang w:val="en-GB"/>
        </w:rPr>
        <w:t xml:space="preserve">: </w:t>
      </w:r>
      <w:proofErr w:type="spellStart"/>
      <w:r w:rsidRPr="00E6749A">
        <w:rPr>
          <w:lang w:val="en-GB"/>
        </w:rPr>
        <w:t>Toyoto's</w:t>
      </w:r>
      <w:proofErr w:type="spellEnd"/>
      <w:r w:rsidRPr="00E6749A">
        <w:rPr>
          <w:lang w:val="en-GB"/>
        </w:rPr>
        <w:t xml:space="preserve"> internationalisation plan may be inferred a lot from the makeup of its leadership team. A leadership team mostly composed of citizens of the company's native nation that centrally makes the majority of important decisions is indicative of an ethnocentric approach. A polycentric approach, on the other hand, would demonstrate a more varied leadership group with a sizable representation from different foreign markets, suggesting decentralised decision-making.</w:t>
      </w:r>
    </w:p>
    <w:p w14:paraId="44C295C7" w14:textId="77777777" w:rsidR="005133E7" w:rsidRPr="00E6749A" w:rsidRDefault="00496D27">
      <w:pPr>
        <w:rPr>
          <w:lang w:val="en-GB"/>
        </w:rPr>
      </w:pPr>
      <w:r w:rsidRPr="00E6749A">
        <w:rPr>
          <w:b/>
          <w:i/>
          <w:lang w:val="en-GB"/>
        </w:rPr>
        <w:t>2. Marketing Strategies and Product Offerings:</w:t>
      </w:r>
      <w:r w:rsidRPr="00E6749A">
        <w:rPr>
          <w:lang w:val="en-GB"/>
        </w:rPr>
        <w:t xml:space="preserve"> It is important to look at how </w:t>
      </w:r>
      <w:proofErr w:type="spellStart"/>
      <w:r w:rsidRPr="00E6749A">
        <w:rPr>
          <w:lang w:val="en-GB"/>
        </w:rPr>
        <w:t>Toyato</w:t>
      </w:r>
      <w:proofErr w:type="spellEnd"/>
      <w:r w:rsidRPr="00E6749A">
        <w:rPr>
          <w:lang w:val="en-GB"/>
        </w:rPr>
        <w:t xml:space="preserve"> advertises and customises its goods for use in various geographic areas (Limpo and </w:t>
      </w:r>
      <w:proofErr w:type="spellStart"/>
      <w:r w:rsidRPr="00E6749A">
        <w:rPr>
          <w:lang w:val="en-GB"/>
        </w:rPr>
        <w:t>Kamase</w:t>
      </w:r>
      <w:proofErr w:type="spellEnd"/>
      <w:r w:rsidRPr="00E6749A">
        <w:rPr>
          <w:lang w:val="en-GB"/>
        </w:rPr>
        <w:t xml:space="preserve">, 2022). </w:t>
      </w:r>
      <w:proofErr w:type="spellStart"/>
      <w:r w:rsidRPr="00E6749A">
        <w:rPr>
          <w:lang w:val="en-GB"/>
        </w:rPr>
        <w:t>Toyato</w:t>
      </w:r>
      <w:proofErr w:type="spellEnd"/>
      <w:r w:rsidRPr="00E6749A">
        <w:rPr>
          <w:lang w:val="en-GB"/>
        </w:rPr>
        <w:t xml:space="preserve"> would use an ethnocentric approach if it were to use a uniform marketing plan and range of products in various markets. However, if </w:t>
      </w:r>
      <w:proofErr w:type="spellStart"/>
      <w:r w:rsidRPr="00E6749A">
        <w:rPr>
          <w:lang w:val="en-GB"/>
        </w:rPr>
        <w:t>Toyato</w:t>
      </w:r>
      <w:proofErr w:type="spellEnd"/>
      <w:r w:rsidRPr="00E6749A">
        <w:rPr>
          <w:lang w:val="en-GB"/>
        </w:rPr>
        <w:t xml:space="preserve"> considerably modifies its offerings and advertising strategies to correspond with regional tastes and preferences in every area, then a polycentric strategy would be apparent.</w:t>
      </w:r>
    </w:p>
    <w:p w14:paraId="77F8C94F" w14:textId="77777777" w:rsidR="005133E7" w:rsidRPr="00E6749A" w:rsidRDefault="00496D27">
      <w:pPr>
        <w:rPr>
          <w:lang w:val="en-GB"/>
        </w:rPr>
      </w:pPr>
      <w:r w:rsidRPr="00E6749A">
        <w:rPr>
          <w:b/>
          <w:i/>
          <w:lang w:val="en-GB"/>
        </w:rPr>
        <w:t>3. HR Policies and Practises</w:t>
      </w:r>
      <w:r w:rsidRPr="00E6749A">
        <w:rPr>
          <w:lang w:val="en-GB"/>
        </w:rPr>
        <w:t xml:space="preserve">: </w:t>
      </w:r>
      <w:proofErr w:type="spellStart"/>
      <w:r w:rsidRPr="00E6749A">
        <w:rPr>
          <w:lang w:val="en-GB"/>
        </w:rPr>
        <w:t>Toyoto's</w:t>
      </w:r>
      <w:proofErr w:type="spellEnd"/>
      <w:r w:rsidRPr="00E6749A">
        <w:rPr>
          <w:lang w:val="en-GB"/>
        </w:rPr>
        <w:t xml:space="preserve"> internationalisation plan may also be shown by its HR practises. If </w:t>
      </w:r>
      <w:proofErr w:type="spellStart"/>
      <w:r w:rsidRPr="00E6749A">
        <w:rPr>
          <w:lang w:val="en-GB"/>
        </w:rPr>
        <w:t>Toyato</w:t>
      </w:r>
      <w:proofErr w:type="spellEnd"/>
      <w:r w:rsidRPr="00E6749A">
        <w:rPr>
          <w:lang w:val="en-GB"/>
        </w:rPr>
        <w:t xml:space="preserve"> has a broad workforce with a range of nationalities and implements global HR rules that are tailored to local situations, then a geocentric strategy would be recommended. This strategy denotes a harmony between local requirements and international best practises.</w:t>
      </w:r>
    </w:p>
    <w:p w14:paraId="1E4FC99F" w14:textId="77777777" w:rsidR="005133E7" w:rsidRPr="00E6749A" w:rsidRDefault="00496D27">
      <w:pPr>
        <w:rPr>
          <w:b/>
          <w:i/>
          <w:lang w:val="en-GB"/>
        </w:rPr>
      </w:pPr>
      <w:r w:rsidRPr="00E6749A">
        <w:rPr>
          <w:b/>
          <w:i/>
          <w:lang w:val="en-GB"/>
        </w:rPr>
        <w:t>Justification</w:t>
      </w:r>
    </w:p>
    <w:p w14:paraId="75F69E38" w14:textId="77777777" w:rsidR="005133E7" w:rsidRPr="00E6749A" w:rsidRDefault="00496D27">
      <w:pPr>
        <w:rPr>
          <w:lang w:val="en-GB"/>
        </w:rPr>
      </w:pPr>
      <w:r w:rsidRPr="00E6749A">
        <w:rPr>
          <w:lang w:val="en-GB"/>
        </w:rPr>
        <w:t xml:space="preserve">In order to bolster the identification, specific instances of </w:t>
      </w:r>
      <w:proofErr w:type="spellStart"/>
      <w:r w:rsidRPr="00E6749A">
        <w:rPr>
          <w:lang w:val="en-GB"/>
        </w:rPr>
        <w:t>Toyato's</w:t>
      </w:r>
      <w:proofErr w:type="spellEnd"/>
      <w:r w:rsidRPr="00E6749A">
        <w:rPr>
          <w:lang w:val="en-GB"/>
        </w:rPr>
        <w:t xml:space="preserve"> actions must be given. For instance, a polycentric or geocentric strategy might be suggested if </w:t>
      </w:r>
      <w:proofErr w:type="spellStart"/>
      <w:r w:rsidRPr="00E6749A">
        <w:rPr>
          <w:lang w:val="en-GB"/>
        </w:rPr>
        <w:t>Toyato's</w:t>
      </w:r>
      <w:proofErr w:type="spellEnd"/>
      <w:r w:rsidRPr="00E6749A">
        <w:rPr>
          <w:lang w:val="en-GB"/>
        </w:rPr>
        <w:t xml:space="preserve"> leadership team has </w:t>
      </w:r>
      <w:r w:rsidRPr="00E6749A">
        <w:rPr>
          <w:lang w:val="en-GB"/>
        </w:rPr>
        <w:lastRenderedPageBreak/>
        <w:t xml:space="preserve">a sizable number of executives from several nations in which it does business. Likewise, product attributes or marketing efforts created especially for several geographic areas would point to a polycentric strategy (Iwashita, 2021). A strong basis for the identification would be provided by citing references from </w:t>
      </w:r>
      <w:proofErr w:type="spellStart"/>
      <w:r w:rsidRPr="00E6749A">
        <w:rPr>
          <w:lang w:val="en-GB"/>
        </w:rPr>
        <w:t>Toyato's</w:t>
      </w:r>
      <w:proofErr w:type="spellEnd"/>
      <w:r w:rsidRPr="00E6749A">
        <w:rPr>
          <w:lang w:val="en-GB"/>
        </w:rPr>
        <w:t xml:space="preserve"> scholarly publications, market assessments, and yearly reports that address its worldwide strategy. The aforementioned sources may provide more clarification to </w:t>
      </w:r>
      <w:proofErr w:type="spellStart"/>
      <w:r w:rsidRPr="00E6749A">
        <w:rPr>
          <w:lang w:val="en-GB"/>
        </w:rPr>
        <w:t>Toyato's</w:t>
      </w:r>
      <w:proofErr w:type="spellEnd"/>
      <w:r w:rsidRPr="00E6749A">
        <w:rPr>
          <w:lang w:val="en-GB"/>
        </w:rPr>
        <w:t xml:space="preserve"> ethnocentric, polycentric, or geocentric strategy by providing insights into the company's approach to leadership, marketing, and HR management throughout its global operations. </w:t>
      </w:r>
    </w:p>
    <w:p w14:paraId="1120B2CC" w14:textId="77777777" w:rsidR="005133E7" w:rsidRPr="000036B6" w:rsidRDefault="00496D27">
      <w:pPr>
        <w:rPr>
          <w:b/>
          <w:iCs/>
          <w:lang w:val="en-GB"/>
        </w:rPr>
      </w:pPr>
      <w:r w:rsidRPr="000036B6">
        <w:rPr>
          <w:b/>
          <w:iCs/>
          <w:lang w:val="en-GB"/>
        </w:rPr>
        <w:t>Impact on International Operations</w:t>
      </w:r>
    </w:p>
    <w:p w14:paraId="2E77F7AE" w14:textId="77777777" w:rsidR="005133E7" w:rsidRPr="000036B6" w:rsidRDefault="00496D27">
      <w:pPr>
        <w:rPr>
          <w:iCs/>
          <w:lang w:val="en-GB"/>
        </w:rPr>
      </w:pPr>
      <w:r w:rsidRPr="000036B6">
        <w:rPr>
          <w:iCs/>
          <w:lang w:val="en-GB"/>
        </w:rPr>
        <w:t xml:space="preserve">A firm like </w:t>
      </w:r>
      <w:proofErr w:type="spellStart"/>
      <w:r w:rsidRPr="000036B6">
        <w:rPr>
          <w:iCs/>
          <w:lang w:val="en-GB"/>
        </w:rPr>
        <w:t>Toyato's</w:t>
      </w:r>
      <w:proofErr w:type="spellEnd"/>
      <w:r w:rsidRPr="000036B6">
        <w:rPr>
          <w:iCs/>
          <w:lang w:val="en-GB"/>
        </w:rPr>
        <w:t xml:space="preserve"> internationalisation strategy has a big influence on how it operates in different international markets.</w:t>
      </w:r>
    </w:p>
    <w:p w14:paraId="4B659132" w14:textId="77777777" w:rsidR="005133E7" w:rsidRPr="000036B6" w:rsidRDefault="00496D27">
      <w:pPr>
        <w:rPr>
          <w:b/>
          <w:iCs/>
          <w:lang w:val="en-GB"/>
        </w:rPr>
      </w:pPr>
      <w:r w:rsidRPr="000036B6">
        <w:rPr>
          <w:b/>
          <w:iCs/>
          <w:lang w:val="en-GB"/>
        </w:rPr>
        <w:t>Understanding Local Market Dynamics</w:t>
      </w:r>
    </w:p>
    <w:p w14:paraId="128013D8" w14:textId="77777777" w:rsidR="00496D27" w:rsidRDefault="00496D27">
      <w:pPr>
        <w:rPr>
          <w:bCs/>
          <w:iCs/>
          <w:lang w:val="en-GB"/>
        </w:rPr>
      </w:pPr>
      <w:r>
        <w:rPr>
          <w:bCs/>
          <w:iCs/>
          <w:lang w:val="en-GB"/>
        </w:rPr>
        <w:t>Toyota’s internationalisation strategy, which takes a polycentric approach, has a significant impact on how the company operates in different international markets. This approach, which is focused on adjusting to the peculiarities of the local market, offers a number of advantages as well as difficulties.</w:t>
      </w:r>
    </w:p>
    <w:p w14:paraId="5685EF6D" w14:textId="77777777" w:rsidR="00496D27" w:rsidRPr="00496D27" w:rsidRDefault="00496D27">
      <w:pPr>
        <w:rPr>
          <w:b/>
          <w:i/>
          <w:lang w:val="en-GB"/>
        </w:rPr>
      </w:pPr>
      <w:r w:rsidRPr="00496D27">
        <w:rPr>
          <w:b/>
          <w:i/>
          <w:lang w:val="en-GB"/>
        </w:rPr>
        <w:t>Knowing the Dynamics of Local Markets</w:t>
      </w:r>
    </w:p>
    <w:p w14:paraId="6B3F1E02" w14:textId="77777777" w:rsidR="00496D27" w:rsidRDefault="00496D27">
      <w:pPr>
        <w:rPr>
          <w:bCs/>
          <w:iCs/>
          <w:lang w:val="en-GB"/>
        </w:rPr>
      </w:pPr>
      <w:r>
        <w:rPr>
          <w:bCs/>
          <w:iCs/>
          <w:lang w:val="en-GB"/>
        </w:rPr>
        <w:t>Toyota is better able to comprehend and adjust to the specific dynamics of local markets by using a polycentric strategy. Consumer happiness and market penetration are anticipated to increase when goods and marketing tactics are tailored to regional tastes and cultural quirks (CIACHIR and WOODHAMS, 2022). This approach gives Toyota a competitive advantage in a variety of settings and enables it to adapt to specific market needs.</w:t>
      </w:r>
    </w:p>
    <w:p w14:paraId="6F6F24C4" w14:textId="77777777" w:rsidR="00496D27" w:rsidRPr="00496D27" w:rsidRDefault="00496D27">
      <w:pPr>
        <w:rPr>
          <w:b/>
          <w:i/>
          <w:lang w:val="en-GB"/>
        </w:rPr>
      </w:pPr>
      <w:proofErr w:type="spellStart"/>
      <w:r w:rsidRPr="00496D27">
        <w:rPr>
          <w:b/>
          <w:i/>
          <w:lang w:val="en-GB"/>
        </w:rPr>
        <w:t>Affect</w:t>
      </w:r>
      <w:proofErr w:type="spellEnd"/>
      <w:r w:rsidRPr="00496D27">
        <w:rPr>
          <w:b/>
          <w:i/>
          <w:lang w:val="en-GB"/>
        </w:rPr>
        <w:t xml:space="preserve"> on Brand Identity and Marketing</w:t>
      </w:r>
    </w:p>
    <w:p w14:paraId="15E25EBA" w14:textId="77777777" w:rsidR="00496D27" w:rsidRDefault="00496D27">
      <w:pPr>
        <w:rPr>
          <w:bCs/>
          <w:iCs/>
          <w:lang w:val="en-GB"/>
        </w:rPr>
      </w:pPr>
      <w:r>
        <w:rPr>
          <w:bCs/>
          <w:iCs/>
          <w:lang w:val="en-GB"/>
        </w:rPr>
        <w:t xml:space="preserve">The polycentric strategy might make it more difficult to maintain a consistent worldwide brand identity, even while it helps with local market adaptation. Toyota has to strike a balance between its broader brand message and localised marketing, which might result in a varied product lineup </w:t>
      </w:r>
      <w:r>
        <w:rPr>
          <w:bCs/>
          <w:iCs/>
          <w:lang w:val="en-GB"/>
        </w:rPr>
        <w:lastRenderedPageBreak/>
        <w:t>catered to certain regional needs. Although this might weaken the brand’s reputation internationally, it is justified by the possibility of increased market share and client loyalty brought about by this kind of personalization.</w:t>
      </w:r>
    </w:p>
    <w:p w14:paraId="2858D239" w14:textId="77777777" w:rsidR="00496D27" w:rsidRPr="00496D27" w:rsidRDefault="00496D27">
      <w:pPr>
        <w:rPr>
          <w:b/>
          <w:i/>
          <w:lang w:val="en-GB"/>
        </w:rPr>
      </w:pPr>
      <w:r w:rsidRPr="00496D27">
        <w:rPr>
          <w:b/>
          <w:i/>
          <w:lang w:val="en-GB"/>
        </w:rPr>
        <w:t>Operations with Efficiency</w:t>
      </w:r>
    </w:p>
    <w:p w14:paraId="7285A793" w14:textId="77777777" w:rsidR="00496D27" w:rsidRDefault="00496D27">
      <w:pPr>
        <w:rPr>
          <w:bCs/>
          <w:iCs/>
          <w:lang w:val="en-GB"/>
        </w:rPr>
      </w:pPr>
      <w:r>
        <w:rPr>
          <w:bCs/>
          <w:iCs/>
          <w:lang w:val="en-GB"/>
        </w:rPr>
        <w:t>Under a polycentric strategy, operational efficiency may encounter more complexity. Because there are less standardised procedures when using localised marketing and product development methods, operational expenses may increase (CIACHIR and WOODHAMS, 2022). Nevertheless, the benefits of increased market penetration and client loyalty outweigh the costs associated with local markets.</w:t>
      </w:r>
    </w:p>
    <w:p w14:paraId="0C7AAE90" w14:textId="77777777" w:rsidR="00496D27" w:rsidRPr="00496D27" w:rsidRDefault="00496D27">
      <w:pPr>
        <w:rPr>
          <w:b/>
          <w:i/>
          <w:lang w:val="en-GB"/>
        </w:rPr>
      </w:pPr>
      <w:r w:rsidRPr="00496D27">
        <w:rPr>
          <w:b/>
          <w:i/>
          <w:lang w:val="en-GB"/>
        </w:rPr>
        <w:t>Decentralised Selection Processes</w:t>
      </w:r>
    </w:p>
    <w:p w14:paraId="59877D0A" w14:textId="77777777" w:rsidR="00496D27" w:rsidRDefault="00496D27">
      <w:pPr>
        <w:rPr>
          <w:bCs/>
          <w:iCs/>
          <w:lang w:val="en-GB"/>
        </w:rPr>
      </w:pPr>
      <w:r>
        <w:rPr>
          <w:bCs/>
          <w:iCs/>
          <w:lang w:val="en-GB"/>
        </w:rPr>
        <w:t>Significant decentralisation is a feature of this approach, which gives local subsidiaries the ability to decide in a way that suits the market. Although this independence promotes flexibility and speedier market reaction, it also makes significant coordination necessary to match decentralised decision-making with Toyota’s overarching business plan (CIACHIR and WOODHAMS, 2022).</w:t>
      </w:r>
    </w:p>
    <w:p w14:paraId="3DD4C159" w14:textId="77777777" w:rsidR="00496D27" w:rsidRPr="00496D27" w:rsidRDefault="00496D27">
      <w:pPr>
        <w:rPr>
          <w:b/>
          <w:i/>
          <w:lang w:val="en-GB"/>
        </w:rPr>
      </w:pPr>
      <w:r w:rsidRPr="00496D27">
        <w:rPr>
          <w:b/>
          <w:i/>
          <w:lang w:val="en-GB"/>
        </w:rPr>
        <w:t>HRM and Local Talent Utilisation</w:t>
      </w:r>
    </w:p>
    <w:p w14:paraId="260A4F92" w14:textId="77777777" w:rsidR="00496D27" w:rsidRPr="00496D27" w:rsidRDefault="00496D27">
      <w:pPr>
        <w:rPr>
          <w:bCs/>
          <w:iCs/>
          <w:lang w:val="en-GB"/>
        </w:rPr>
      </w:pPr>
      <w:r>
        <w:rPr>
          <w:bCs/>
          <w:iCs/>
          <w:lang w:val="en-GB"/>
        </w:rPr>
        <w:t>A polycentric approach to HRM places a strong emphasis on employing local talent that understands the unique dynamics and demands of their market. This improves Toyota’s capacity to function well in a variety of cultural settings. Including these various workforces into Toyota’s worldwide corporate culture while honouring regional customs is a problem (CIACHIR and WOODHAMS, 2022).</w:t>
      </w:r>
    </w:p>
    <w:p w14:paraId="749B5E84" w14:textId="77777777" w:rsidR="005133E7" w:rsidRPr="00E6749A" w:rsidRDefault="00496D27">
      <w:pPr>
        <w:rPr>
          <w:b/>
          <w:i/>
          <w:lang w:val="en-GB"/>
        </w:rPr>
      </w:pPr>
      <w:r w:rsidRPr="00E6749A">
        <w:rPr>
          <w:b/>
          <w:i/>
          <w:lang w:val="en-GB"/>
        </w:rPr>
        <w:t>Strategic Decision-Making</w:t>
      </w:r>
    </w:p>
    <w:p w14:paraId="0785DCED" w14:textId="77777777" w:rsidR="005133E7" w:rsidRPr="00E6749A" w:rsidRDefault="00496D27">
      <w:pPr>
        <w:rPr>
          <w:lang w:val="en-GB"/>
        </w:rPr>
      </w:pPr>
      <w:r w:rsidRPr="00E6749A">
        <w:rPr>
          <w:b/>
          <w:i/>
          <w:lang w:val="en-GB"/>
        </w:rPr>
        <w:t>Entry New Markets</w:t>
      </w:r>
      <w:r w:rsidRPr="00E6749A">
        <w:rPr>
          <w:lang w:val="en-GB"/>
        </w:rPr>
        <w:t xml:space="preserve">: An ethnocentric attitude might result in a methodical and cautious approach to entering new markets, which could cause one to lose out on regional prospects. Also, </w:t>
      </w:r>
      <w:proofErr w:type="spellStart"/>
      <w:r w:rsidRPr="00E6749A">
        <w:rPr>
          <w:lang w:val="en-GB"/>
        </w:rPr>
        <w:t>Toyato's</w:t>
      </w:r>
      <w:proofErr w:type="spellEnd"/>
      <w:r w:rsidRPr="00E6749A">
        <w:rPr>
          <w:lang w:val="en-GB"/>
        </w:rPr>
        <w:t xml:space="preserve"> ability to adapt quickly to changes in the local market may be hampered by this strategy. Although it could take more time and money for market research and adaptation, a polycentric </w:t>
      </w:r>
      <w:r w:rsidRPr="00E6749A">
        <w:rPr>
          <w:lang w:val="en-GB"/>
        </w:rPr>
        <w:lastRenderedPageBreak/>
        <w:t xml:space="preserve">approach would probably lead to a more nuanced and locally-informed market entrance, enabling </w:t>
      </w:r>
      <w:proofErr w:type="spellStart"/>
      <w:r w:rsidRPr="00E6749A">
        <w:rPr>
          <w:lang w:val="en-GB"/>
        </w:rPr>
        <w:t>Toyato</w:t>
      </w:r>
      <w:proofErr w:type="spellEnd"/>
      <w:r w:rsidRPr="00E6749A">
        <w:rPr>
          <w:lang w:val="en-GB"/>
        </w:rPr>
        <w:t xml:space="preserve"> to take advantage of local possibilities and preferences.</w:t>
      </w:r>
    </w:p>
    <w:p w14:paraId="35792406" w14:textId="77777777" w:rsidR="005133E7" w:rsidRPr="00E6749A" w:rsidRDefault="00496D27">
      <w:pPr>
        <w:rPr>
          <w:lang w:val="en-GB"/>
        </w:rPr>
      </w:pPr>
      <w:r w:rsidRPr="00E6749A">
        <w:rPr>
          <w:b/>
          <w:i/>
          <w:lang w:val="en-GB"/>
        </w:rPr>
        <w:t xml:space="preserve">Product creation and Competitive Positioning: </w:t>
      </w:r>
      <w:r w:rsidRPr="00E6749A">
        <w:rPr>
          <w:lang w:val="en-GB"/>
        </w:rPr>
        <w:t>An ethnocentric approach to product creation would give priority to preferences in the home market, which might result in goods that are not completely optimised for global markets. A polycentric strategy, on the other hand, promotes the creation of goods specific to regional markets, strengthening the brand's competitive positioning while perhaps dividing its range of products.</w:t>
      </w:r>
    </w:p>
    <w:p w14:paraId="0367CF4D" w14:textId="77777777" w:rsidR="005133E7" w:rsidRPr="00E6749A" w:rsidRDefault="00496D27">
      <w:pPr>
        <w:rPr>
          <w:lang w:val="en-GB"/>
        </w:rPr>
      </w:pPr>
      <w:r w:rsidRPr="00E6749A">
        <w:rPr>
          <w:b/>
          <w:i/>
          <w:lang w:val="en-GB"/>
        </w:rPr>
        <w:t>Risk Management and Adaptation to Market Trends</w:t>
      </w:r>
      <w:r w:rsidRPr="00E6749A">
        <w:rPr>
          <w:lang w:val="en-GB"/>
        </w:rPr>
        <w:t xml:space="preserve">: Because ethnocentric tactics prioritise the local market, they may not be as successful in reducing risks resulting from geopolitical shifts or global market trends. A polycentric strategy, on the other hand, enables a better reaction to such changes since local subsidiaries can respond more rapidly and are more sensitive to regional movements (Omar, 2023). Adaptability to changes in the global market is another variable. If implemented, a geocentric strategy would provide </w:t>
      </w:r>
      <w:proofErr w:type="spellStart"/>
      <w:r w:rsidRPr="00E6749A">
        <w:rPr>
          <w:lang w:val="en-GB"/>
        </w:rPr>
        <w:t>Toyato</w:t>
      </w:r>
      <w:proofErr w:type="spellEnd"/>
      <w:r w:rsidRPr="00E6749A">
        <w:rPr>
          <w:lang w:val="en-GB"/>
        </w:rPr>
        <w:t xml:space="preserve"> with the best of both worlds by allowing it to remain flexible in response to changes in the local market while maintaining a global viewpoint. But doing so calls for careful planning and coordination between the main office and regional branches.</w:t>
      </w:r>
    </w:p>
    <w:p w14:paraId="40887DA3" w14:textId="77777777" w:rsidR="005133E7" w:rsidRPr="00E6749A" w:rsidRDefault="00496D27">
      <w:pPr>
        <w:rPr>
          <w:b/>
          <w:i/>
          <w:lang w:val="en-GB"/>
        </w:rPr>
      </w:pPr>
      <w:r w:rsidRPr="00E6749A">
        <w:rPr>
          <w:b/>
          <w:i/>
          <w:lang w:val="en-GB"/>
        </w:rPr>
        <w:t>Strategy-Specific Focus: Localization vs Standardization</w:t>
      </w:r>
    </w:p>
    <w:p w14:paraId="4F48A6B0" w14:textId="77777777" w:rsidR="005133E7" w:rsidRPr="00E6749A" w:rsidRDefault="00496D27">
      <w:pPr>
        <w:rPr>
          <w:lang w:val="en-GB"/>
        </w:rPr>
      </w:pPr>
      <w:r w:rsidRPr="00E6749A">
        <w:rPr>
          <w:b/>
          <w:i/>
          <w:lang w:val="en-GB"/>
        </w:rPr>
        <w:t>Localization</w:t>
      </w:r>
      <w:r w:rsidRPr="00E6749A">
        <w:rPr>
          <w:lang w:val="en-GB"/>
        </w:rPr>
        <w:t xml:space="preserve">: </w:t>
      </w:r>
      <w:proofErr w:type="spellStart"/>
      <w:r w:rsidRPr="00E6749A">
        <w:rPr>
          <w:lang w:val="en-GB"/>
        </w:rPr>
        <w:t>Toyato</w:t>
      </w:r>
      <w:proofErr w:type="spellEnd"/>
      <w:r w:rsidRPr="00E6749A">
        <w:rPr>
          <w:lang w:val="en-GB"/>
        </w:rPr>
        <w:t xml:space="preserve"> can better fulfil unique market demands with its goods and practises to a strategy that leans towards localization, increasing market relevance and consumer happiness. This strategy works especially well in markets that are varied and have different customer preferences and cultures. However, since it necessitates different methods for every market, the downside is higher operational complexity and expense.</w:t>
      </w:r>
    </w:p>
    <w:p w14:paraId="312F8AED" w14:textId="77777777" w:rsidR="005133E7" w:rsidRPr="00E6749A" w:rsidRDefault="00496D27">
      <w:pPr>
        <w:rPr>
          <w:lang w:val="en-GB"/>
        </w:rPr>
      </w:pPr>
      <w:r w:rsidRPr="00E6749A">
        <w:rPr>
          <w:b/>
          <w:i/>
          <w:lang w:val="en-GB"/>
        </w:rPr>
        <w:t>Standardisation</w:t>
      </w:r>
      <w:r w:rsidRPr="00E6749A">
        <w:rPr>
          <w:lang w:val="en-GB"/>
        </w:rPr>
        <w:t>: On the other hand, a standardised strategy maintains worldwide brand consistency and streamlines processes, which may result in economies of scale and efficient management. The drawback is that it could not sufficiently take into account the preferences of the local market, which might result in lower market penetration and client involvement in certain areas.</w:t>
      </w:r>
    </w:p>
    <w:p w14:paraId="07F16989" w14:textId="77777777" w:rsidR="005133E7" w:rsidRPr="00E6749A" w:rsidRDefault="00496D27">
      <w:pPr>
        <w:rPr>
          <w:lang w:val="en-GB"/>
        </w:rPr>
      </w:pPr>
      <w:r w:rsidRPr="00E6749A">
        <w:rPr>
          <w:lang w:val="en-GB"/>
        </w:rPr>
        <w:lastRenderedPageBreak/>
        <w:t>PESTLE Analysis</w:t>
      </w:r>
    </w:p>
    <w:tbl>
      <w:tblPr>
        <w:tblStyle w:val="a0"/>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5133E7" w:rsidRPr="00E6749A" w14:paraId="02868EAA" w14:textId="77777777">
        <w:trPr>
          <w:jc w:val="center"/>
        </w:trPr>
        <w:tc>
          <w:tcPr>
            <w:tcW w:w="4680" w:type="dxa"/>
            <w:shd w:val="clear" w:color="auto" w:fill="auto"/>
            <w:tcMar>
              <w:top w:w="100" w:type="dxa"/>
              <w:left w:w="100" w:type="dxa"/>
              <w:bottom w:w="100" w:type="dxa"/>
              <w:right w:w="100" w:type="dxa"/>
            </w:tcMar>
          </w:tcPr>
          <w:p w14:paraId="536A7287" w14:textId="77777777" w:rsidR="005133E7" w:rsidRPr="00E6749A" w:rsidRDefault="00496D27">
            <w:pPr>
              <w:widowControl w:val="0"/>
              <w:rPr>
                <w:b/>
                <w:lang w:val="en-GB"/>
              </w:rPr>
            </w:pPr>
            <w:r w:rsidRPr="00E6749A">
              <w:rPr>
                <w:b/>
                <w:lang w:val="en-GB"/>
              </w:rPr>
              <w:t>PESTLE</w:t>
            </w:r>
          </w:p>
        </w:tc>
        <w:tc>
          <w:tcPr>
            <w:tcW w:w="4680" w:type="dxa"/>
            <w:shd w:val="clear" w:color="auto" w:fill="auto"/>
            <w:tcMar>
              <w:top w:w="100" w:type="dxa"/>
              <w:left w:w="100" w:type="dxa"/>
              <w:bottom w:w="100" w:type="dxa"/>
              <w:right w:w="100" w:type="dxa"/>
            </w:tcMar>
          </w:tcPr>
          <w:p w14:paraId="35B88301" w14:textId="77777777" w:rsidR="005133E7" w:rsidRPr="00E6749A" w:rsidRDefault="00496D27">
            <w:pPr>
              <w:widowControl w:val="0"/>
              <w:rPr>
                <w:b/>
                <w:lang w:val="en-GB"/>
              </w:rPr>
            </w:pPr>
            <w:r w:rsidRPr="00E6749A">
              <w:rPr>
                <w:b/>
                <w:lang w:val="en-GB"/>
              </w:rPr>
              <w:t>Analysis</w:t>
            </w:r>
          </w:p>
        </w:tc>
      </w:tr>
      <w:tr w:rsidR="005133E7" w:rsidRPr="00E6749A" w14:paraId="053F5140" w14:textId="77777777">
        <w:trPr>
          <w:jc w:val="center"/>
        </w:trPr>
        <w:tc>
          <w:tcPr>
            <w:tcW w:w="4680" w:type="dxa"/>
            <w:shd w:val="clear" w:color="auto" w:fill="auto"/>
            <w:tcMar>
              <w:top w:w="100" w:type="dxa"/>
              <w:left w:w="100" w:type="dxa"/>
              <w:bottom w:w="100" w:type="dxa"/>
              <w:right w:w="100" w:type="dxa"/>
            </w:tcMar>
          </w:tcPr>
          <w:p w14:paraId="7F1BC64D" w14:textId="77777777" w:rsidR="005133E7" w:rsidRPr="00E6749A" w:rsidRDefault="00496D27">
            <w:pPr>
              <w:widowControl w:val="0"/>
              <w:rPr>
                <w:lang w:val="en-GB"/>
              </w:rPr>
            </w:pPr>
            <w:r w:rsidRPr="00E6749A">
              <w:rPr>
                <w:lang w:val="en-GB"/>
              </w:rPr>
              <w:t>Political</w:t>
            </w:r>
          </w:p>
        </w:tc>
        <w:tc>
          <w:tcPr>
            <w:tcW w:w="4680" w:type="dxa"/>
            <w:shd w:val="clear" w:color="auto" w:fill="auto"/>
            <w:tcMar>
              <w:top w:w="100" w:type="dxa"/>
              <w:left w:w="100" w:type="dxa"/>
              <w:bottom w:w="100" w:type="dxa"/>
              <w:right w:w="100" w:type="dxa"/>
            </w:tcMar>
          </w:tcPr>
          <w:p w14:paraId="6793812B" w14:textId="77777777" w:rsidR="005133E7" w:rsidRPr="00E6749A" w:rsidRDefault="00496D27">
            <w:pPr>
              <w:widowControl w:val="0"/>
              <w:numPr>
                <w:ilvl w:val="0"/>
                <w:numId w:val="4"/>
              </w:numPr>
              <w:spacing w:after="0"/>
              <w:rPr>
                <w:lang w:val="en-GB"/>
              </w:rPr>
            </w:pPr>
            <w:r w:rsidRPr="00E6749A">
              <w:rPr>
                <w:lang w:val="en-GB"/>
              </w:rPr>
              <w:t>The political stability index of Japan in 2021 is 1.03 (Theglobaeconomy.com, 2023).</w:t>
            </w:r>
          </w:p>
          <w:p w14:paraId="20CF2F81" w14:textId="77777777" w:rsidR="005133E7" w:rsidRPr="00E6749A" w:rsidRDefault="00496D27">
            <w:pPr>
              <w:widowControl w:val="0"/>
              <w:numPr>
                <w:ilvl w:val="0"/>
                <w:numId w:val="4"/>
              </w:numPr>
              <w:spacing w:before="0" w:after="0"/>
              <w:rPr>
                <w:lang w:val="en-GB"/>
              </w:rPr>
            </w:pPr>
            <w:r w:rsidRPr="00E6749A">
              <w:rPr>
                <w:lang w:val="en-GB"/>
              </w:rPr>
              <w:t>The US-Japan trade agreement eliminates tariffs on approximately $7.2 billion (Trade.gov, 2023).</w:t>
            </w:r>
          </w:p>
          <w:p w14:paraId="475E3C62" w14:textId="77777777" w:rsidR="005133E7" w:rsidRPr="00E6749A" w:rsidRDefault="00496D27">
            <w:pPr>
              <w:widowControl w:val="0"/>
              <w:numPr>
                <w:ilvl w:val="0"/>
                <w:numId w:val="4"/>
              </w:numPr>
              <w:spacing w:before="0"/>
              <w:rPr>
                <w:lang w:val="en-GB"/>
              </w:rPr>
            </w:pPr>
            <w:r w:rsidRPr="00E6749A">
              <w:rPr>
                <w:lang w:val="en-GB"/>
              </w:rPr>
              <w:t>In 2017, Japan produced 9.69 million vehicles, of which 8.35 million were passenger cars, 1.35 million were buses, and 4.7 million were light or heavy trucks (Lexology.com, 2023).</w:t>
            </w:r>
          </w:p>
        </w:tc>
      </w:tr>
      <w:tr w:rsidR="005133E7" w:rsidRPr="00E6749A" w14:paraId="292C67DC" w14:textId="77777777">
        <w:trPr>
          <w:jc w:val="center"/>
        </w:trPr>
        <w:tc>
          <w:tcPr>
            <w:tcW w:w="4680" w:type="dxa"/>
            <w:shd w:val="clear" w:color="auto" w:fill="auto"/>
            <w:tcMar>
              <w:top w:w="100" w:type="dxa"/>
              <w:left w:w="100" w:type="dxa"/>
              <w:bottom w:w="100" w:type="dxa"/>
              <w:right w:w="100" w:type="dxa"/>
            </w:tcMar>
          </w:tcPr>
          <w:p w14:paraId="691CA8F6" w14:textId="77777777" w:rsidR="005133E7" w:rsidRPr="00E6749A" w:rsidRDefault="00496D27">
            <w:pPr>
              <w:widowControl w:val="0"/>
              <w:rPr>
                <w:lang w:val="en-GB"/>
              </w:rPr>
            </w:pPr>
            <w:r w:rsidRPr="00E6749A">
              <w:rPr>
                <w:lang w:val="en-GB"/>
              </w:rPr>
              <w:t>Economical</w:t>
            </w:r>
          </w:p>
        </w:tc>
        <w:tc>
          <w:tcPr>
            <w:tcW w:w="4680" w:type="dxa"/>
            <w:shd w:val="clear" w:color="auto" w:fill="auto"/>
            <w:tcMar>
              <w:top w:w="100" w:type="dxa"/>
              <w:left w:w="100" w:type="dxa"/>
              <w:bottom w:w="100" w:type="dxa"/>
              <w:right w:w="100" w:type="dxa"/>
            </w:tcMar>
          </w:tcPr>
          <w:p w14:paraId="0B8AE5B9" w14:textId="77777777" w:rsidR="005133E7" w:rsidRPr="00E6749A" w:rsidRDefault="00496D27">
            <w:pPr>
              <w:widowControl w:val="0"/>
              <w:numPr>
                <w:ilvl w:val="0"/>
                <w:numId w:val="7"/>
              </w:numPr>
              <w:spacing w:after="0"/>
              <w:rPr>
                <w:lang w:val="en-GB"/>
              </w:rPr>
            </w:pPr>
            <w:r w:rsidRPr="00E6749A">
              <w:rPr>
                <w:lang w:val="en-GB"/>
              </w:rPr>
              <w:t>Japan's third-quarter GDP shrank by 0.50 percent compared to the prior quarter in 2023 (Tradingeconomics.com, 2023).</w:t>
            </w:r>
          </w:p>
          <w:p w14:paraId="6A9BA373" w14:textId="77777777" w:rsidR="005133E7" w:rsidRPr="00E6749A" w:rsidRDefault="00496D27">
            <w:pPr>
              <w:widowControl w:val="0"/>
              <w:numPr>
                <w:ilvl w:val="0"/>
                <w:numId w:val="7"/>
              </w:numPr>
              <w:spacing w:before="0" w:after="0"/>
              <w:rPr>
                <w:lang w:val="en-GB"/>
              </w:rPr>
            </w:pPr>
            <w:r w:rsidRPr="00E6749A">
              <w:rPr>
                <w:lang w:val="en-GB"/>
              </w:rPr>
              <w:t>The GDP of Japan in 2022 is $4.23 trillion (Data.worldbank.org)</w:t>
            </w:r>
          </w:p>
          <w:p w14:paraId="6FDA6A49" w14:textId="77777777" w:rsidR="005133E7" w:rsidRPr="00E6749A" w:rsidRDefault="00496D27">
            <w:pPr>
              <w:widowControl w:val="0"/>
              <w:numPr>
                <w:ilvl w:val="0"/>
                <w:numId w:val="7"/>
              </w:numPr>
              <w:spacing w:before="0"/>
              <w:rPr>
                <w:lang w:val="en-GB"/>
              </w:rPr>
            </w:pPr>
            <w:r w:rsidRPr="00E6749A">
              <w:rPr>
                <w:lang w:val="en-GB"/>
              </w:rPr>
              <w:t>Inflation in Japan in 2022 was 2.50% (Macrotends.net, 2023).</w:t>
            </w:r>
          </w:p>
        </w:tc>
      </w:tr>
      <w:tr w:rsidR="005133E7" w:rsidRPr="00E6749A" w14:paraId="2E893BCE" w14:textId="77777777">
        <w:trPr>
          <w:jc w:val="center"/>
        </w:trPr>
        <w:tc>
          <w:tcPr>
            <w:tcW w:w="4680" w:type="dxa"/>
            <w:shd w:val="clear" w:color="auto" w:fill="auto"/>
            <w:tcMar>
              <w:top w:w="100" w:type="dxa"/>
              <w:left w:w="100" w:type="dxa"/>
              <w:bottom w:w="100" w:type="dxa"/>
              <w:right w:w="100" w:type="dxa"/>
            </w:tcMar>
          </w:tcPr>
          <w:p w14:paraId="279927C8" w14:textId="77777777" w:rsidR="005133E7" w:rsidRPr="00E6749A" w:rsidRDefault="00496D27">
            <w:pPr>
              <w:widowControl w:val="0"/>
              <w:rPr>
                <w:lang w:val="en-GB"/>
              </w:rPr>
            </w:pPr>
            <w:r w:rsidRPr="00E6749A">
              <w:rPr>
                <w:lang w:val="en-GB"/>
              </w:rPr>
              <w:t>Social</w:t>
            </w:r>
          </w:p>
        </w:tc>
        <w:tc>
          <w:tcPr>
            <w:tcW w:w="4680" w:type="dxa"/>
            <w:shd w:val="clear" w:color="auto" w:fill="auto"/>
            <w:tcMar>
              <w:top w:w="100" w:type="dxa"/>
              <w:left w:w="100" w:type="dxa"/>
              <w:bottom w:w="100" w:type="dxa"/>
              <w:right w:w="100" w:type="dxa"/>
            </w:tcMar>
          </w:tcPr>
          <w:p w14:paraId="3997FAB9" w14:textId="77777777" w:rsidR="005133E7" w:rsidRPr="00E6749A" w:rsidRDefault="00496D27">
            <w:pPr>
              <w:widowControl w:val="0"/>
              <w:numPr>
                <w:ilvl w:val="0"/>
                <w:numId w:val="1"/>
              </w:numPr>
              <w:spacing w:after="0"/>
              <w:rPr>
                <w:lang w:val="en-GB"/>
              </w:rPr>
            </w:pPr>
            <w:r w:rsidRPr="00E6749A">
              <w:rPr>
                <w:lang w:val="en-GB"/>
              </w:rPr>
              <w:t xml:space="preserve">In 2023, Japan’s population was 123,042,331 (Worldometer.info, </w:t>
            </w:r>
            <w:r w:rsidRPr="00E6749A">
              <w:rPr>
                <w:lang w:val="en-GB"/>
              </w:rPr>
              <w:lastRenderedPageBreak/>
              <w:t>2023).</w:t>
            </w:r>
          </w:p>
          <w:p w14:paraId="167A6799" w14:textId="77777777" w:rsidR="005133E7" w:rsidRPr="00E6749A" w:rsidRDefault="00496D27">
            <w:pPr>
              <w:widowControl w:val="0"/>
              <w:numPr>
                <w:ilvl w:val="0"/>
                <w:numId w:val="1"/>
              </w:numPr>
              <w:spacing w:before="0" w:after="0"/>
              <w:rPr>
                <w:lang w:val="en-GB"/>
              </w:rPr>
            </w:pPr>
            <w:r w:rsidRPr="00E6749A">
              <w:rPr>
                <w:lang w:val="en-GB"/>
              </w:rPr>
              <w:t>In Japan, the gender ratio is 0.94, or 94 men for every 100 women (States101.com, 2023).</w:t>
            </w:r>
          </w:p>
          <w:p w14:paraId="70E50AA2" w14:textId="77777777" w:rsidR="005133E7" w:rsidRPr="00E6749A" w:rsidRDefault="00496D27">
            <w:pPr>
              <w:widowControl w:val="0"/>
              <w:numPr>
                <w:ilvl w:val="0"/>
                <w:numId w:val="1"/>
              </w:numPr>
              <w:spacing w:before="0" w:after="0"/>
              <w:rPr>
                <w:lang w:val="en-GB"/>
              </w:rPr>
            </w:pPr>
            <w:r w:rsidRPr="00E6749A">
              <w:rPr>
                <w:lang w:val="en-GB"/>
              </w:rPr>
              <w:t>Japan has an approximate adult literacy rate of 99 percent (Statista.com, 2023).</w:t>
            </w:r>
          </w:p>
          <w:p w14:paraId="1DD5CF95" w14:textId="77777777" w:rsidR="005133E7" w:rsidRPr="00E6749A" w:rsidRDefault="00496D27">
            <w:pPr>
              <w:widowControl w:val="0"/>
              <w:numPr>
                <w:ilvl w:val="0"/>
                <w:numId w:val="1"/>
              </w:numPr>
              <w:spacing w:before="0"/>
              <w:rPr>
                <w:lang w:val="en-GB"/>
              </w:rPr>
            </w:pPr>
            <w:r w:rsidRPr="00E6749A">
              <w:rPr>
                <w:lang w:val="en-GB"/>
              </w:rPr>
              <w:t xml:space="preserve">Approximately 11% of respondents said this factor was essential, while 45% said it was important that the </w:t>
            </w:r>
            <w:proofErr w:type="gramStart"/>
            <w:r w:rsidRPr="00E6749A">
              <w:rPr>
                <w:lang w:val="en-GB"/>
              </w:rPr>
              <w:t>things</w:t>
            </w:r>
            <w:proofErr w:type="gramEnd"/>
            <w:r w:rsidRPr="00E6749A">
              <w:rPr>
                <w:lang w:val="en-GB"/>
              </w:rPr>
              <w:t xml:space="preserve"> they bought were ecologically friendly (Statista.com, 2023).</w:t>
            </w:r>
          </w:p>
        </w:tc>
      </w:tr>
      <w:tr w:rsidR="005133E7" w:rsidRPr="00E6749A" w14:paraId="67DEFA25" w14:textId="77777777">
        <w:trPr>
          <w:jc w:val="center"/>
        </w:trPr>
        <w:tc>
          <w:tcPr>
            <w:tcW w:w="4680" w:type="dxa"/>
            <w:shd w:val="clear" w:color="auto" w:fill="auto"/>
            <w:tcMar>
              <w:top w:w="100" w:type="dxa"/>
              <w:left w:w="100" w:type="dxa"/>
              <w:bottom w:w="100" w:type="dxa"/>
              <w:right w:w="100" w:type="dxa"/>
            </w:tcMar>
          </w:tcPr>
          <w:p w14:paraId="61C81BE9" w14:textId="77777777" w:rsidR="005133E7" w:rsidRPr="00E6749A" w:rsidRDefault="00496D27">
            <w:pPr>
              <w:widowControl w:val="0"/>
              <w:rPr>
                <w:lang w:val="en-GB"/>
              </w:rPr>
            </w:pPr>
            <w:r w:rsidRPr="00E6749A">
              <w:rPr>
                <w:lang w:val="en-GB"/>
              </w:rPr>
              <w:lastRenderedPageBreak/>
              <w:t>Technological</w:t>
            </w:r>
          </w:p>
        </w:tc>
        <w:tc>
          <w:tcPr>
            <w:tcW w:w="4680" w:type="dxa"/>
            <w:shd w:val="clear" w:color="auto" w:fill="auto"/>
            <w:tcMar>
              <w:top w:w="100" w:type="dxa"/>
              <w:left w:w="100" w:type="dxa"/>
              <w:bottom w:w="100" w:type="dxa"/>
              <w:right w:w="100" w:type="dxa"/>
            </w:tcMar>
          </w:tcPr>
          <w:p w14:paraId="54E39DD3" w14:textId="77777777" w:rsidR="005133E7" w:rsidRPr="00E6749A" w:rsidRDefault="00496D27">
            <w:pPr>
              <w:widowControl w:val="0"/>
              <w:numPr>
                <w:ilvl w:val="0"/>
                <w:numId w:val="12"/>
              </w:numPr>
              <w:spacing w:after="0"/>
              <w:rPr>
                <w:lang w:val="en-GB"/>
              </w:rPr>
            </w:pPr>
            <w:r w:rsidRPr="00E6749A">
              <w:rPr>
                <w:lang w:val="en-GB"/>
              </w:rPr>
              <w:t>Toyota spent over 1.24 trillion Japanese yen on research and development (R&amp;D) during the fiscal year that concluded on March 31, 2023 (Statista.com, 2023).</w:t>
            </w:r>
          </w:p>
          <w:p w14:paraId="3B2A7BDF" w14:textId="77777777" w:rsidR="005133E7" w:rsidRPr="00E6749A" w:rsidRDefault="00496D27">
            <w:pPr>
              <w:widowControl w:val="0"/>
              <w:numPr>
                <w:ilvl w:val="0"/>
                <w:numId w:val="12"/>
              </w:numPr>
              <w:spacing w:before="0"/>
              <w:rPr>
                <w:lang w:val="en-GB"/>
              </w:rPr>
            </w:pPr>
            <w:r w:rsidRPr="00E6749A">
              <w:rPr>
                <w:lang w:val="en-GB"/>
              </w:rPr>
              <w:t>The quantity of hybrid electric passenger cars sold in Japan during the 2021 fiscal year was roughly 1.02 million (Statista.com, 2023).</w:t>
            </w:r>
          </w:p>
        </w:tc>
      </w:tr>
      <w:tr w:rsidR="005133E7" w:rsidRPr="00E6749A" w14:paraId="267FA48B" w14:textId="77777777">
        <w:trPr>
          <w:jc w:val="center"/>
        </w:trPr>
        <w:tc>
          <w:tcPr>
            <w:tcW w:w="4680" w:type="dxa"/>
            <w:shd w:val="clear" w:color="auto" w:fill="auto"/>
            <w:tcMar>
              <w:top w:w="100" w:type="dxa"/>
              <w:left w:w="100" w:type="dxa"/>
              <w:bottom w:w="100" w:type="dxa"/>
              <w:right w:w="100" w:type="dxa"/>
            </w:tcMar>
          </w:tcPr>
          <w:p w14:paraId="702F3900" w14:textId="77777777" w:rsidR="005133E7" w:rsidRPr="00E6749A" w:rsidRDefault="00496D27">
            <w:pPr>
              <w:widowControl w:val="0"/>
              <w:rPr>
                <w:lang w:val="en-GB"/>
              </w:rPr>
            </w:pPr>
            <w:r w:rsidRPr="00E6749A">
              <w:rPr>
                <w:lang w:val="en-GB"/>
              </w:rPr>
              <w:t>Legal</w:t>
            </w:r>
          </w:p>
        </w:tc>
        <w:tc>
          <w:tcPr>
            <w:tcW w:w="4680" w:type="dxa"/>
            <w:shd w:val="clear" w:color="auto" w:fill="auto"/>
            <w:tcMar>
              <w:top w:w="100" w:type="dxa"/>
              <w:left w:w="100" w:type="dxa"/>
              <w:bottom w:w="100" w:type="dxa"/>
              <w:right w:w="100" w:type="dxa"/>
            </w:tcMar>
          </w:tcPr>
          <w:p w14:paraId="5EAAB3DA" w14:textId="77777777" w:rsidR="005133E7" w:rsidRPr="00E6749A" w:rsidRDefault="00496D27">
            <w:pPr>
              <w:widowControl w:val="0"/>
              <w:numPr>
                <w:ilvl w:val="0"/>
                <w:numId w:val="9"/>
              </w:numPr>
              <w:spacing w:after="0"/>
              <w:rPr>
                <w:lang w:val="en-GB"/>
              </w:rPr>
            </w:pPr>
            <w:r w:rsidRPr="00E6749A">
              <w:rPr>
                <w:lang w:val="en-GB"/>
              </w:rPr>
              <w:t xml:space="preserve">Since October 2016, WHDC-based emission regulations for heavy-duty vehicles have been in effect. For NOx and PM, the emission limit values are 0.4g/kWh and 0.010g/kWh, </w:t>
            </w:r>
            <w:r w:rsidRPr="00E6749A">
              <w:rPr>
                <w:lang w:val="en-GB"/>
              </w:rPr>
              <w:lastRenderedPageBreak/>
              <w:t>respectively (Theicct.org, 2023).</w:t>
            </w:r>
          </w:p>
          <w:p w14:paraId="55C29FF7" w14:textId="77777777" w:rsidR="005133E7" w:rsidRPr="00E6749A" w:rsidRDefault="00496D27">
            <w:pPr>
              <w:widowControl w:val="0"/>
              <w:numPr>
                <w:ilvl w:val="0"/>
                <w:numId w:val="9"/>
              </w:numPr>
              <w:spacing w:before="0"/>
              <w:rPr>
                <w:lang w:val="en-GB"/>
              </w:rPr>
            </w:pPr>
            <w:r w:rsidRPr="00E6749A">
              <w:rPr>
                <w:lang w:val="en-GB"/>
              </w:rPr>
              <w:t>National Labour Law of Japan, 1986 (Ilo.org, 2023).</w:t>
            </w:r>
          </w:p>
        </w:tc>
      </w:tr>
      <w:tr w:rsidR="005133E7" w:rsidRPr="00E6749A" w14:paraId="52ADBA73" w14:textId="77777777">
        <w:trPr>
          <w:jc w:val="center"/>
        </w:trPr>
        <w:tc>
          <w:tcPr>
            <w:tcW w:w="4680" w:type="dxa"/>
            <w:shd w:val="clear" w:color="auto" w:fill="auto"/>
            <w:tcMar>
              <w:top w:w="100" w:type="dxa"/>
              <w:left w:w="100" w:type="dxa"/>
              <w:bottom w:w="100" w:type="dxa"/>
              <w:right w:w="100" w:type="dxa"/>
            </w:tcMar>
          </w:tcPr>
          <w:p w14:paraId="09D82BDC" w14:textId="77777777" w:rsidR="005133E7" w:rsidRPr="00E6749A" w:rsidRDefault="00496D27">
            <w:pPr>
              <w:widowControl w:val="0"/>
              <w:rPr>
                <w:lang w:val="en-GB"/>
              </w:rPr>
            </w:pPr>
            <w:r w:rsidRPr="00E6749A">
              <w:rPr>
                <w:lang w:val="en-GB"/>
              </w:rPr>
              <w:lastRenderedPageBreak/>
              <w:t>Environmental</w:t>
            </w:r>
          </w:p>
        </w:tc>
        <w:tc>
          <w:tcPr>
            <w:tcW w:w="4680" w:type="dxa"/>
            <w:shd w:val="clear" w:color="auto" w:fill="auto"/>
            <w:tcMar>
              <w:top w:w="100" w:type="dxa"/>
              <w:left w:w="100" w:type="dxa"/>
              <w:bottom w:w="100" w:type="dxa"/>
              <w:right w:w="100" w:type="dxa"/>
            </w:tcMar>
          </w:tcPr>
          <w:p w14:paraId="451755B6" w14:textId="77777777" w:rsidR="005133E7" w:rsidRPr="00E6749A" w:rsidRDefault="00496D27">
            <w:pPr>
              <w:widowControl w:val="0"/>
              <w:numPr>
                <w:ilvl w:val="0"/>
                <w:numId w:val="5"/>
              </w:numPr>
              <w:spacing w:after="0"/>
              <w:rPr>
                <w:lang w:val="en-GB"/>
              </w:rPr>
            </w:pPr>
            <w:r w:rsidRPr="00E6749A">
              <w:rPr>
                <w:lang w:val="en-GB"/>
              </w:rPr>
              <w:t>Toyota has partnered with the 30by30 Alliance for Biodiversity in order to further its continuous efforts to conserve wildlife at its many locations and help Japan reach its 30by30 target (Global.toyota.com, 2023).</w:t>
            </w:r>
          </w:p>
          <w:p w14:paraId="2B400933" w14:textId="77777777" w:rsidR="005133E7" w:rsidRPr="00E6749A" w:rsidRDefault="00496D27">
            <w:pPr>
              <w:widowControl w:val="0"/>
              <w:numPr>
                <w:ilvl w:val="0"/>
                <w:numId w:val="5"/>
              </w:numPr>
              <w:spacing w:before="0"/>
              <w:rPr>
                <w:lang w:val="en-GB"/>
              </w:rPr>
            </w:pPr>
            <w:r w:rsidRPr="00E6749A">
              <w:rPr>
                <w:lang w:val="en-GB"/>
              </w:rPr>
              <w:t>Toyota already made significant global investments in wind, solar, and other renewable energy projects. Toyota has achieved a 100% renewable energy introduction rate at all of its European operations as of 2019. Our goal to achieve carbon neutrality by 2035 for our plants will not waver (</w:t>
            </w:r>
            <w:proofErr w:type="spellStart"/>
            <w:r w:rsidRPr="00E6749A">
              <w:rPr>
                <w:lang w:val="en-GB"/>
              </w:rPr>
              <w:t>Global.toyota</w:t>
            </w:r>
            <w:proofErr w:type="spellEnd"/>
            <w:r w:rsidRPr="00E6749A">
              <w:rPr>
                <w:lang w:val="en-GB"/>
              </w:rPr>
              <w:t>, 2023).</w:t>
            </w:r>
          </w:p>
        </w:tc>
      </w:tr>
    </w:tbl>
    <w:p w14:paraId="6DD6AE35" w14:textId="77777777" w:rsidR="005133E7" w:rsidRPr="00E6749A" w:rsidRDefault="00496D27">
      <w:pPr>
        <w:jc w:val="center"/>
        <w:rPr>
          <w:b/>
          <w:lang w:val="en-GB"/>
        </w:rPr>
      </w:pPr>
      <w:r w:rsidRPr="00E6749A">
        <w:rPr>
          <w:b/>
          <w:lang w:val="en-GB"/>
        </w:rPr>
        <w:t>Table 1: PESTLE Analysis</w:t>
      </w:r>
    </w:p>
    <w:p w14:paraId="5FE61EB0" w14:textId="77777777" w:rsidR="005133E7" w:rsidRPr="00E6749A" w:rsidRDefault="00496D27">
      <w:pPr>
        <w:jc w:val="center"/>
        <w:rPr>
          <w:lang w:val="en-GB"/>
        </w:rPr>
      </w:pPr>
      <w:r w:rsidRPr="00E6749A">
        <w:rPr>
          <w:lang w:val="en-GB"/>
        </w:rPr>
        <w:t>(Source: Created by the author)</w:t>
      </w:r>
    </w:p>
    <w:p w14:paraId="1A343476" w14:textId="77777777" w:rsidR="005133E7" w:rsidRPr="00E6749A" w:rsidRDefault="00496D27">
      <w:pPr>
        <w:rPr>
          <w:lang w:val="en-GB"/>
        </w:rPr>
      </w:pPr>
      <w:r w:rsidRPr="00E6749A">
        <w:rPr>
          <w:lang w:val="en-GB"/>
        </w:rPr>
        <w:t xml:space="preserve">The Japanese-based Toyota Motor Corporation must negotiate a challenging business environment shaped by several PESTLE variables. A </w:t>
      </w:r>
      <w:proofErr w:type="spellStart"/>
      <w:r w:rsidRPr="00E6749A">
        <w:rPr>
          <w:lang w:val="en-GB"/>
        </w:rPr>
        <w:t>favorable</w:t>
      </w:r>
      <w:proofErr w:type="spellEnd"/>
      <w:r w:rsidRPr="00E6749A">
        <w:rPr>
          <w:lang w:val="en-GB"/>
        </w:rPr>
        <w:t xml:space="preserve"> atmosphere for Toyota's decision-making and internationalization is created by the U.S.-Japan trade agreement's removal of tariffs on $7.2 billion and the political stability index of 1.03 in 2021 (Theglobaleconomy.com, 2023). Toyota's investment choices and strategic planning are influenced by the robust production of 9.69 million vehicles in 2017, which is indicative of the </w:t>
      </w:r>
      <w:r w:rsidRPr="00E6749A">
        <w:rPr>
          <w:lang w:val="en-GB"/>
        </w:rPr>
        <w:lastRenderedPageBreak/>
        <w:t xml:space="preserve">strength of the Japanese automotive sector (Lexology.com, 2023). Toyota's financial performance is significantly impacted by Japan's $4.23 trillion GDP in 2022 and the country's 0.50% GDP contraction in Q3 2023. In 2022, an inflation rate of 2.50% will force cost-cutting and adaptive pricing measures (Data.worldbank.org). Japan's 123 million people, gendered population, and high incidence of adult literacy influence customer </w:t>
      </w:r>
      <w:proofErr w:type="spellStart"/>
      <w:r w:rsidRPr="00E6749A">
        <w:rPr>
          <w:lang w:val="en-GB"/>
        </w:rPr>
        <w:t>behavior</w:t>
      </w:r>
      <w:proofErr w:type="spellEnd"/>
      <w:r w:rsidRPr="00E6749A">
        <w:rPr>
          <w:lang w:val="en-GB"/>
        </w:rPr>
        <w:t xml:space="preserve"> and market demographics for Toyota (Worldometer.info, 2023). Toyota's product development and marketing efforts are influenced by the 45% of consumers that place a high value on environmental friendliness, which is following social preferences (Statista.com, 2023).</w:t>
      </w:r>
    </w:p>
    <w:p w14:paraId="5FCD4345" w14:textId="77777777" w:rsidR="005133E7" w:rsidRPr="00E6749A" w:rsidRDefault="00496D27">
      <w:pPr>
        <w:jc w:val="center"/>
        <w:rPr>
          <w:lang w:val="en-GB"/>
        </w:rPr>
      </w:pPr>
      <w:r w:rsidRPr="00E6749A">
        <w:rPr>
          <w:noProof/>
          <w:lang w:val="en-US" w:eastAsia="en-US"/>
        </w:rPr>
        <w:drawing>
          <wp:inline distT="114300" distB="114300" distL="114300" distR="114300" wp14:anchorId="5FD635A4" wp14:editId="37D4C545">
            <wp:extent cx="5698124" cy="3597909"/>
            <wp:effectExtent l="25400" t="25400" r="25400" b="2540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698124" cy="3597909"/>
                    </a:xfrm>
                    <a:prstGeom prst="rect">
                      <a:avLst/>
                    </a:prstGeom>
                    <a:ln w="25400">
                      <a:solidFill>
                        <a:srgbClr val="000000"/>
                      </a:solidFill>
                      <a:prstDash val="solid"/>
                    </a:ln>
                  </pic:spPr>
                </pic:pic>
              </a:graphicData>
            </a:graphic>
          </wp:inline>
        </w:drawing>
      </w:r>
    </w:p>
    <w:p w14:paraId="609A94F1" w14:textId="77777777" w:rsidR="005133E7" w:rsidRPr="00E6749A" w:rsidRDefault="00496D27">
      <w:pPr>
        <w:jc w:val="center"/>
        <w:rPr>
          <w:b/>
          <w:lang w:val="en-GB"/>
        </w:rPr>
      </w:pPr>
      <w:r w:rsidRPr="00E6749A">
        <w:rPr>
          <w:b/>
          <w:lang w:val="en-GB"/>
        </w:rPr>
        <w:t>Figure 1: Importance of sustainable products in shopping</w:t>
      </w:r>
    </w:p>
    <w:p w14:paraId="2550CA74" w14:textId="77777777" w:rsidR="005133E7" w:rsidRPr="00E6749A" w:rsidRDefault="00496D27">
      <w:pPr>
        <w:jc w:val="center"/>
        <w:rPr>
          <w:lang w:val="en-GB"/>
        </w:rPr>
      </w:pPr>
      <w:r w:rsidRPr="00E6749A">
        <w:rPr>
          <w:lang w:val="en-GB"/>
        </w:rPr>
        <w:t>(Source: Statista.com, 2023)</w:t>
      </w:r>
    </w:p>
    <w:p w14:paraId="27738302" w14:textId="77777777" w:rsidR="005133E7" w:rsidRPr="00E6749A" w:rsidRDefault="00496D27">
      <w:pPr>
        <w:jc w:val="center"/>
        <w:rPr>
          <w:lang w:val="en-GB"/>
        </w:rPr>
      </w:pPr>
      <w:r w:rsidRPr="00E6749A">
        <w:rPr>
          <w:noProof/>
          <w:lang w:val="en-US" w:eastAsia="en-US"/>
        </w:rPr>
        <w:lastRenderedPageBreak/>
        <w:drawing>
          <wp:inline distT="114300" distB="114300" distL="114300" distR="114300" wp14:anchorId="78A0C918" wp14:editId="4B4FA68A">
            <wp:extent cx="5911814" cy="3742731"/>
            <wp:effectExtent l="25400" t="25400" r="25400" b="2540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5911814" cy="3742731"/>
                    </a:xfrm>
                    <a:prstGeom prst="rect">
                      <a:avLst/>
                    </a:prstGeom>
                    <a:ln w="25400">
                      <a:solidFill>
                        <a:srgbClr val="000000"/>
                      </a:solidFill>
                      <a:prstDash val="solid"/>
                    </a:ln>
                  </pic:spPr>
                </pic:pic>
              </a:graphicData>
            </a:graphic>
          </wp:inline>
        </w:drawing>
      </w:r>
    </w:p>
    <w:p w14:paraId="1575A66A" w14:textId="77777777" w:rsidR="005133E7" w:rsidRPr="00E6749A" w:rsidRDefault="00496D27">
      <w:pPr>
        <w:jc w:val="center"/>
        <w:rPr>
          <w:b/>
          <w:lang w:val="en-GB"/>
        </w:rPr>
      </w:pPr>
      <w:r w:rsidRPr="00E6749A">
        <w:rPr>
          <w:b/>
          <w:lang w:val="en-GB"/>
        </w:rPr>
        <w:t>Figure 2: Expenditure in R&amp;D</w:t>
      </w:r>
    </w:p>
    <w:p w14:paraId="5D7DFD4F" w14:textId="77777777" w:rsidR="005133E7" w:rsidRPr="00E6749A" w:rsidRDefault="00496D27">
      <w:pPr>
        <w:jc w:val="center"/>
        <w:rPr>
          <w:lang w:val="en-GB"/>
        </w:rPr>
      </w:pPr>
      <w:r w:rsidRPr="00E6749A">
        <w:rPr>
          <w:lang w:val="en-GB"/>
        </w:rPr>
        <w:t>(Source: Statista.com, 2023)</w:t>
      </w:r>
    </w:p>
    <w:p w14:paraId="456BA082" w14:textId="77777777" w:rsidR="005133E7" w:rsidRPr="00E6749A" w:rsidRDefault="00496D27">
      <w:pPr>
        <w:rPr>
          <w:lang w:val="en-GB"/>
        </w:rPr>
      </w:pPr>
      <w:r w:rsidRPr="00E6749A">
        <w:rPr>
          <w:lang w:val="en-GB"/>
        </w:rPr>
        <w:t>Toyota's significant R&amp;D expenditure of more than 1.24 trillion JPY demonstrates its dedication to technical innovation (Statista.com, 2023). The Japanese market's acceptance of hybrid electric vehicles, as evidenced by the sales of 1.02 million units, directs Toyota's strategic decisions towards the development of electric and hybrid technology (Statista.com, 2023). Legal considerations affect Toyota's operations and human resource practices. These include the following emission standards and the National Labour Law of Japan (Ilo.org, 2023). Toyota's commitment to environmental stewardship is demonstrated by its membership in the 30by30 Alliance and its financial support of renewable energy initiatives (Global.toyota.com, 2023). Toyota's commitment to environmental sustainability is demonstrated by its goal of becoming carbon neutral by 2035 and its achievement of 100% renewable energy in European operations (Global.toyota.com, 2023). Together, these PESTLE elements influence Toyota's internationalization tactics and decision-making procedures.</w:t>
      </w:r>
    </w:p>
    <w:p w14:paraId="4CF968C7" w14:textId="77777777" w:rsidR="005133E7" w:rsidRPr="00E6749A" w:rsidRDefault="00496D27">
      <w:pPr>
        <w:rPr>
          <w:lang w:val="en-GB"/>
        </w:rPr>
      </w:pPr>
      <w:r w:rsidRPr="00E6749A">
        <w:rPr>
          <w:lang w:val="en-GB"/>
        </w:rPr>
        <w:lastRenderedPageBreak/>
        <w:t xml:space="preserve">Political stability becomes a pillar of Toyota's confidence when venturing into new markets in the context of global expansion. The removal of tariffs under the U.S.-Japan trade deal promotes global trade, which makes it easier for Toyota to enter a variety of markets. Decisions about pricing, investments, and market entry are influenced by economic factors, as demonstrated by the effects of inflation and Japan's declining GDP. Toyota's marketing and product development tactics are informed by its awareness of social factors, such as consumer preferences and population demographics. Toyota's efforts towards sustainability are directed by the knowledge that 11% of consumers view ecological friendliness as crucial, assuring alignment with societal norms. Toyota's substantial R&amp;D spending demonstrates its dedication to being a leader in technology. Japan's market acceptance of hybrid electric vehicles demonstrates Toyota's capacity to match customer desires with technology improvements. Adherence to </w:t>
      </w:r>
      <w:proofErr w:type="spellStart"/>
      <w:r w:rsidRPr="00E6749A">
        <w:rPr>
          <w:lang w:val="en-GB"/>
        </w:rPr>
        <w:t>labor</w:t>
      </w:r>
      <w:proofErr w:type="spellEnd"/>
      <w:r w:rsidRPr="00E6749A">
        <w:rPr>
          <w:lang w:val="en-GB"/>
        </w:rPr>
        <w:t xml:space="preserve"> laws and emission standards shapes Toyota's ethical operations, making legal compliance essential. Toyota bases many of its decisions on environmental sustainability, which has an impact on supply chain management, manufacturing procedures, and corporate social responsibility in general. Toyota exhibits a proactive approach to environmental protection by joining up with the 30by30 Alliance and attaining 100% renewable energy in its European operations (Global.toyota.com, 2023). Toyota has a thorough and strategic approach to internationalization thanks to the incorporation of these PESTLE components into its decision-making process, which also aligns the business with expectations and trends around the world.</w:t>
      </w:r>
    </w:p>
    <w:p w14:paraId="1735740F" w14:textId="77777777" w:rsidR="005133E7" w:rsidRPr="00E6749A" w:rsidRDefault="00496D27">
      <w:pPr>
        <w:rPr>
          <w:lang w:val="en-GB"/>
        </w:rPr>
      </w:pPr>
      <w:r w:rsidRPr="00E6749A">
        <w:rPr>
          <w:lang w:val="en-GB"/>
        </w:rPr>
        <w:t xml:space="preserve">The focus is on innovation, as seen by Toyota's pledge to invest more than 1.24 trillion JPY in research and development, indicating a desire to remain at the forefront of technical breakthroughs. Sales of 1.02 million hybrid electric vehicles in Japan during the fiscal year 2021 demonstrate how well-received Toyota's cutting-edge technologies are by the market (Statista.com, 2023). Toyota's quest for technological excellence informs its decision-making when it comes to the global transition toward electric and hybrid vehicles. Legal factors, such as heavy-duty vehicle emissions requirements based on WHDC, guarantee that Toyota's activities follow global norms. Toyota's human resource strategies are shaped by the National Labour Law of Japan, which was established in 1986 and ensures fair </w:t>
      </w:r>
      <w:proofErr w:type="spellStart"/>
      <w:r w:rsidRPr="00E6749A">
        <w:rPr>
          <w:lang w:val="en-GB"/>
        </w:rPr>
        <w:t>labor</w:t>
      </w:r>
      <w:proofErr w:type="spellEnd"/>
      <w:r w:rsidRPr="00E6749A">
        <w:rPr>
          <w:lang w:val="en-GB"/>
        </w:rPr>
        <w:t xml:space="preserve"> practices (Ilo.org, 2023). Toyota's commitment to environmental responsibility is exemplified by its membership in biodiversity alliances and significant funding of renewable energy initiatives. Toyota's commitment to </w:t>
      </w:r>
      <w:r w:rsidRPr="00E6749A">
        <w:rPr>
          <w:lang w:val="en-GB"/>
        </w:rPr>
        <w:lastRenderedPageBreak/>
        <w:t>environmental sustainability is demonstrated by its plants' goal of becoming carbon neutral by 2035 (Global.toyota.com, 2023). Toyota's decision-making process incorporates these legal and environmental considerations with ease, demonstrating a harmony between corporate social responsibility and profits.</w:t>
      </w:r>
    </w:p>
    <w:p w14:paraId="78B22E26" w14:textId="77777777" w:rsidR="005133E7" w:rsidRPr="00E6749A" w:rsidRDefault="00496D27">
      <w:pPr>
        <w:pStyle w:val="Heading1"/>
        <w:rPr>
          <w:lang w:val="en-GB"/>
        </w:rPr>
      </w:pPr>
      <w:bookmarkStart w:id="8" w:name="_k4l24i7c0zue" w:colFirst="0" w:colLast="0"/>
      <w:bookmarkStart w:id="9" w:name="_Toc151070099"/>
      <w:bookmarkEnd w:id="8"/>
      <w:r w:rsidRPr="00E6749A">
        <w:rPr>
          <w:lang w:val="en-GB"/>
        </w:rPr>
        <w:t>Impact of contextual factors on organizational expansion</w:t>
      </w:r>
      <w:bookmarkEnd w:id="9"/>
    </w:p>
    <w:p w14:paraId="66A16BAD" w14:textId="77777777" w:rsidR="005133E7" w:rsidRPr="00E6749A" w:rsidRDefault="00496D27">
      <w:pPr>
        <w:rPr>
          <w:lang w:val="en-GB"/>
        </w:rPr>
      </w:pPr>
      <w:r w:rsidRPr="00E6749A">
        <w:rPr>
          <w:lang w:val="en-GB"/>
        </w:rPr>
        <w:t>The ethnocentric, polycentric, and geocentric strategies used in Toyota Motor Corporation's internationalization plan demonstrate its sophisticated fusion of local response and global integration. By combining the results of the PESTLE study with Toyota's selected approach, we may learn more about how external circumstances have influenced the company's internationalization initiatives.</w:t>
      </w:r>
    </w:p>
    <w:p w14:paraId="59ACC00F" w14:textId="77777777" w:rsidR="005133E7" w:rsidRPr="00E6749A" w:rsidRDefault="00496D27">
      <w:pPr>
        <w:rPr>
          <w:lang w:val="en-GB"/>
        </w:rPr>
      </w:pPr>
      <w:r w:rsidRPr="00E6749A">
        <w:rPr>
          <w:lang w:val="en-GB"/>
        </w:rPr>
        <w:t xml:space="preserve">Political stability has influenced Toyota's global expansion; this is shown in Japan's high stability score. Toyota's strategy decisions have been influenced by the U.S.-Japan trade agreement that eliminated tariffs on $7.2 billion, thereby promoting international trade (Trade.gov, 2023). These political factors fit nicely with Toyota's ethnocentric strategy, which concentrates on decision-making at the Japanese corporate headquarters. Because of the political stability of its nation, Toyota has been able to establish control from the outset and highlight the </w:t>
      </w:r>
      <w:proofErr w:type="spellStart"/>
      <w:r w:rsidRPr="00E6749A">
        <w:rPr>
          <w:lang w:val="en-GB"/>
        </w:rPr>
        <w:t>caliber</w:t>
      </w:r>
      <w:proofErr w:type="spellEnd"/>
      <w:r w:rsidRPr="00E6749A">
        <w:rPr>
          <w:lang w:val="en-GB"/>
        </w:rPr>
        <w:t xml:space="preserve"> of its internal decision-making processes. While this centralized strategy guarantees coherence, it could be difficult to adjust to the peculiarities of local markets.</w:t>
      </w:r>
    </w:p>
    <w:p w14:paraId="5350F516" w14:textId="77777777" w:rsidR="005133E7" w:rsidRPr="00E6749A" w:rsidRDefault="00496D27">
      <w:pPr>
        <w:rPr>
          <w:lang w:val="en-GB"/>
        </w:rPr>
      </w:pPr>
      <w:r w:rsidRPr="00E6749A">
        <w:rPr>
          <w:lang w:val="en-GB"/>
        </w:rPr>
        <w:t>Toyota's financial performance is impacted by several economic factors, including the 0.50 percent decline in Japan's GDP in Q3 2023 and the $4.23 trillion GDP in 2022. The 2.50% inflation rate has an impact on cost structures and pricing policies (Macrotends.net, 2023). Toyota's geocentric strategy, which aims to strike a balance between global integration and local responsiveness, enables the business to modify its pricing and production plans in response to shifting market conditions. Toyota's pricing and market strategies take regional economic inequalities into account, demonstrating the adaptability of the geocentric approach in addressing a range of economic landscapes.</w:t>
      </w:r>
    </w:p>
    <w:p w14:paraId="63D72D93" w14:textId="77777777" w:rsidR="005133E7" w:rsidRPr="00E6749A" w:rsidRDefault="00496D27">
      <w:pPr>
        <w:rPr>
          <w:lang w:val="en-GB"/>
        </w:rPr>
      </w:pPr>
      <w:r w:rsidRPr="00E6749A">
        <w:rPr>
          <w:lang w:val="en-GB"/>
        </w:rPr>
        <w:lastRenderedPageBreak/>
        <w:t>Toyota's perception of the Japanese market is influenced by the nation's high adult literacy rate, gender distribution, and demographics. Toyota's commitment to sustainability aligns with the 45% of consumers who think that environmental friendliness is important (Statista.com, 2023). These socioeconomic elements impact Toyota's geocentric approach, which aims to achieve a balance between regional adjustment and global uniformity. The company tailors its products to the diverse tastes of its clientele, realizing the need for localized approaches in addressing cultural nuances. This tactic ensures that Toyota's vehicles reflect the social and cultural preferences of consumers in a variety of regions.</w:t>
      </w:r>
    </w:p>
    <w:p w14:paraId="50FC3F69" w14:textId="77777777" w:rsidR="005133E7" w:rsidRPr="00E6749A" w:rsidRDefault="00496D27">
      <w:pPr>
        <w:rPr>
          <w:lang w:val="en-GB"/>
        </w:rPr>
      </w:pPr>
      <w:r w:rsidRPr="00E6749A">
        <w:rPr>
          <w:lang w:val="en-GB"/>
        </w:rPr>
        <w:t>Toyota's noteworthy investment of over 1.24 trillion JPY in research and development is indicative of its commitment to technological leadership. 1.02 million hybrid electric cars have been sold in Japan, proving the market's viability (Statista.com, 2023). Toyota's geocentric strategy allows them to satisfy local preferences while capitalizing on global technical advancements. The focus on hybrid electric vehicles aligns with the worldwide trend of environmentally conscious automobiles. Toyota's capacity to integrate novel technologies across its range of offerings is indicative of the intrinsic adaptability of the geocentric strategy.</w:t>
      </w:r>
    </w:p>
    <w:p w14:paraId="78198545" w14:textId="77777777" w:rsidR="005133E7" w:rsidRPr="00E6749A" w:rsidRDefault="00496D27">
      <w:pPr>
        <w:rPr>
          <w:lang w:val="en-GB"/>
        </w:rPr>
      </w:pPr>
      <w:r w:rsidRPr="00E6749A">
        <w:rPr>
          <w:lang w:val="en-GB"/>
        </w:rPr>
        <w:t>Toyota's operations rely significantly on compliance with Japan's pollution regulations and National Labour Law (Ilo.org, 2023). These legal concerns align with Toyota's geocentric strategy, which aims to generate synergy throughout its global operations by utilizing both local adaptability and global uniformity. The firm makes sure that its operations comply with a variety of international regulations to meet legal obligations in different countries. Toyota can maintain the balance between local autonomy and central control with this strategy, which is essential for regulatory compliance.</w:t>
      </w:r>
    </w:p>
    <w:p w14:paraId="061A9803" w14:textId="77777777" w:rsidR="005133E7" w:rsidRPr="00E6749A" w:rsidRDefault="00496D27">
      <w:pPr>
        <w:rPr>
          <w:lang w:val="en-GB"/>
        </w:rPr>
      </w:pPr>
      <w:r w:rsidRPr="00E6749A">
        <w:rPr>
          <w:lang w:val="en-GB"/>
        </w:rPr>
        <w:t>Toyota's geocentric strategy is in line with its dedication to environmental sustainability, which is demonstrated by its membership in the 30by30 Alliance and investments in renewable energy initiatives (</w:t>
      </w:r>
      <w:proofErr w:type="spellStart"/>
      <w:r w:rsidRPr="00E6749A">
        <w:rPr>
          <w:lang w:val="en-GB"/>
        </w:rPr>
        <w:t>Global.toyota</w:t>
      </w:r>
      <w:proofErr w:type="spellEnd"/>
      <w:r w:rsidRPr="00E6749A">
        <w:rPr>
          <w:lang w:val="en-GB"/>
        </w:rPr>
        <w:t>, 2023). Toyota has demonstrated its commitment to global environmental goals by striving for carbon neutrality by 2035 and achieving 100% renewable energy in its European operations (</w:t>
      </w:r>
      <w:proofErr w:type="spellStart"/>
      <w:r w:rsidRPr="00E6749A">
        <w:rPr>
          <w:lang w:val="en-GB"/>
        </w:rPr>
        <w:t>Global.toyota</w:t>
      </w:r>
      <w:proofErr w:type="spellEnd"/>
      <w:r w:rsidRPr="00E6749A">
        <w:rPr>
          <w:lang w:val="en-GB"/>
        </w:rPr>
        <w:t xml:space="preserve">, 2023). Toyota can apply ecologically </w:t>
      </w:r>
      <w:r w:rsidRPr="00E6749A">
        <w:rPr>
          <w:lang w:val="en-GB"/>
        </w:rPr>
        <w:lastRenderedPageBreak/>
        <w:t>sustainable practices to all of its global activities while taking local variances in laws and initiatives into account thanks to the geocentric approach.</w:t>
      </w:r>
    </w:p>
    <w:p w14:paraId="45466CF4" w14:textId="77777777" w:rsidR="005133E7" w:rsidRPr="00E6749A" w:rsidRDefault="00496D27">
      <w:pPr>
        <w:rPr>
          <w:lang w:val="en-GB"/>
        </w:rPr>
      </w:pPr>
      <w:r w:rsidRPr="00E6749A">
        <w:rPr>
          <w:lang w:val="en-GB"/>
        </w:rPr>
        <w:t>The PESTLE analysis's conclusions highlight how intricate Toyota's internationalization strategy which incorporates ethnocentric, polycentric, and geocentric components is. Trade agreements and political stability sustain the ethnocentric decision-making process based on Japan, maintaining control and fostering a unified corporate culture. The adaptability of the geocentric strategy is facilitated by economic conditions and inequalities, which enables Toyota to optimize pricing and manufacturing strategies for various markets. Social aspects underscore the significance of the geocentric approach, guaranteeing that Toyota's goods correspond with a wide range of worldwide consumer preferences. The flexibility of the geocentric strategy is highlighted by technological developments and regulatory compliance, which allow Toyota to incorporate innovations while complying with worldwide norms. Environmental sustainability and the geocentric approach go hand in hand, enabling Toyota to support global programs while taking regional environmental differences into account.</w:t>
      </w:r>
    </w:p>
    <w:p w14:paraId="39CE9985" w14:textId="77777777" w:rsidR="005133E7" w:rsidRPr="00E6749A" w:rsidRDefault="00496D27">
      <w:pPr>
        <w:rPr>
          <w:lang w:val="en-GB"/>
        </w:rPr>
      </w:pPr>
      <w:r w:rsidRPr="00E6749A">
        <w:rPr>
          <w:lang w:val="en-GB"/>
        </w:rPr>
        <w:t>Toyota's geocentric strategy has drawbacks even if it offers flexibility and strikes a balance between local responsiveness and global consistency. Diverse cultural subtleties and preferences may present challenges for the ethnocentric element's centralized decision-making process. But Toyota's success depends on its capacity to overcome these obstacles. Potential hazards are reduced by the company's grasp of local markets, which is demonstrated by the way it customizes products and complies with local laws. Toyota's global leadership, which is characterized by a diversified product portfolio and ongoing market relevance, is evidence of the success of the geocentric approach.</w:t>
      </w:r>
    </w:p>
    <w:p w14:paraId="45E444BB" w14:textId="77777777" w:rsidR="005133E7" w:rsidRPr="00E6749A" w:rsidRDefault="00496D27">
      <w:pPr>
        <w:pStyle w:val="Heading1"/>
        <w:rPr>
          <w:lang w:val="en-GB"/>
        </w:rPr>
      </w:pPr>
      <w:bookmarkStart w:id="10" w:name="_oa63pj82bvu9" w:colFirst="0" w:colLast="0"/>
      <w:bookmarkStart w:id="11" w:name="_Toc151070100"/>
      <w:bookmarkEnd w:id="10"/>
      <w:r w:rsidRPr="00E6749A">
        <w:rPr>
          <w:lang w:val="en-GB"/>
        </w:rPr>
        <w:t>Recommendation</w:t>
      </w:r>
      <w:bookmarkEnd w:id="11"/>
    </w:p>
    <w:p w14:paraId="612D835D" w14:textId="77777777" w:rsidR="005133E7" w:rsidRPr="00E6749A" w:rsidRDefault="00496D27">
      <w:pPr>
        <w:rPr>
          <w:lang w:val="en-GB"/>
        </w:rPr>
      </w:pPr>
      <w:r w:rsidRPr="00E6749A">
        <w:rPr>
          <w:lang w:val="en-GB"/>
        </w:rPr>
        <w:t xml:space="preserve">Several strategic suggestions may be made to improve the company's worldwide growth and successfully navigate possible hurdles based on the examination of </w:t>
      </w:r>
      <w:proofErr w:type="spellStart"/>
      <w:r w:rsidRPr="00E6749A">
        <w:rPr>
          <w:lang w:val="en-GB"/>
        </w:rPr>
        <w:t>Toyato's</w:t>
      </w:r>
      <w:proofErr w:type="spellEnd"/>
      <w:r w:rsidRPr="00E6749A">
        <w:rPr>
          <w:lang w:val="en-GB"/>
        </w:rPr>
        <w:t xml:space="preserve"> internationalization plan. These recommendations, which are based on the results of the previous study, are meant to take advantage of potential future gains in global markets. First and foremost, </w:t>
      </w:r>
      <w:proofErr w:type="spellStart"/>
      <w:r w:rsidRPr="00E6749A">
        <w:rPr>
          <w:lang w:val="en-GB"/>
        </w:rPr>
        <w:t>Toyato</w:t>
      </w:r>
      <w:proofErr w:type="spellEnd"/>
      <w:r w:rsidRPr="00E6749A">
        <w:rPr>
          <w:lang w:val="en-GB"/>
        </w:rPr>
        <w:t xml:space="preserve"> needs to aim for an adaptable and flexible approach that dynamically strikes a balance between </w:t>
      </w:r>
      <w:r w:rsidRPr="00E6749A">
        <w:rPr>
          <w:lang w:val="en-GB"/>
        </w:rPr>
        <w:lastRenderedPageBreak/>
        <w:t xml:space="preserve">localization and standardization. In order to do this, goods and marketing tactics must be tailored to local preferences and cultural quirks while yet maintaining a robust and recognisable worldwide brand identity. For instance, it's critical to modify car designs to accommodate regional preferences for size, fuel economy, and aesthetics; </w:t>
      </w:r>
      <w:proofErr w:type="gramStart"/>
      <w:r w:rsidRPr="00E6749A">
        <w:rPr>
          <w:lang w:val="en-GB"/>
        </w:rPr>
        <w:t>but,</w:t>
      </w:r>
      <w:proofErr w:type="gramEnd"/>
      <w:r w:rsidRPr="00E6749A">
        <w:rPr>
          <w:lang w:val="en-GB"/>
        </w:rPr>
        <w:t xml:space="preserve"> these modifications shouldn't compromise the essential components of the Toyota brand that are recognised across the world.</w:t>
      </w:r>
    </w:p>
    <w:p w14:paraId="2A1560ED" w14:textId="77777777" w:rsidR="005133E7" w:rsidRPr="00E6749A" w:rsidRDefault="00496D27">
      <w:pPr>
        <w:rPr>
          <w:lang w:val="en-GB"/>
        </w:rPr>
      </w:pPr>
      <w:r w:rsidRPr="00E6749A">
        <w:rPr>
          <w:lang w:val="en-GB"/>
        </w:rPr>
        <w:t xml:space="preserve">One further important piece of advice is to use technology to make personalization easier. </w:t>
      </w:r>
      <w:proofErr w:type="spellStart"/>
      <w:r w:rsidRPr="00E6749A">
        <w:rPr>
          <w:lang w:val="en-GB"/>
        </w:rPr>
        <w:t>Toyato</w:t>
      </w:r>
      <w:proofErr w:type="spellEnd"/>
      <w:r w:rsidRPr="00E6749A">
        <w:rPr>
          <w:lang w:val="en-GB"/>
        </w:rPr>
        <w:t xml:space="preserve"> need to make investments in cutting-edge manufacturing and digital technologies that allow for reasonably priced product customisation. This might include using modular design techniques, which make it simple to modify car models to suit various market demands without having to pay a lot of extra money. It's also crucial to strengthen local insights and market research. </w:t>
      </w:r>
      <w:proofErr w:type="spellStart"/>
      <w:r w:rsidRPr="00E6749A">
        <w:rPr>
          <w:lang w:val="en-GB"/>
        </w:rPr>
        <w:t>Toyato</w:t>
      </w:r>
      <w:proofErr w:type="spellEnd"/>
      <w:r w:rsidRPr="00E6749A">
        <w:rPr>
          <w:lang w:val="en-GB"/>
        </w:rPr>
        <w:t xml:space="preserve"> need to increase the amount it spends on thorough market research in order to have a better understanding of new trends and regional customer preferences (Ciliberto </w:t>
      </w:r>
      <w:r w:rsidRPr="00E6749A">
        <w:rPr>
          <w:i/>
          <w:lang w:val="en-GB"/>
        </w:rPr>
        <w:t xml:space="preserve">et al. </w:t>
      </w:r>
      <w:r w:rsidRPr="00E6749A">
        <w:rPr>
          <w:lang w:val="en-GB"/>
        </w:rPr>
        <w:t>2021). Marketing plans, competitive positioning, and product development should all be influenced by this deeper knowledge. Creating local alliances may also be a great way to get help with market dynamics, cultural norms, and local legislation. These alliances may be formed with regional companies, governmental bodies, or other parties having in-depth knowledge of the local market. Concentrating on developing markets and market niches offers yet another noteworthy prospect. Toyota needs to locate and focus on developing markets with strong prospects for expansion. This entails not only getting into these markets but also comprehending and adjusting to their particular needs and difficulties (</w:t>
      </w:r>
      <w:proofErr w:type="spellStart"/>
      <w:r w:rsidRPr="00E6749A">
        <w:rPr>
          <w:lang w:val="en-GB"/>
        </w:rPr>
        <w:t>Pasadilla</w:t>
      </w:r>
      <w:proofErr w:type="spellEnd"/>
      <w:r w:rsidRPr="00E6749A">
        <w:rPr>
          <w:lang w:val="en-GB"/>
        </w:rPr>
        <w:t>, 2023). Developing economies, where the demand for autos is expanding quickly, should get special attention. These markets provide a large growth potential, but they also need for a careful strategy that takes into account the unique characteristics of the local economy and customer preferences.</w:t>
      </w:r>
    </w:p>
    <w:p w14:paraId="11342B48" w14:textId="77777777" w:rsidR="005133E7" w:rsidRPr="00E6749A" w:rsidRDefault="00496D27">
      <w:pPr>
        <w:rPr>
          <w:lang w:val="en-GB"/>
        </w:rPr>
      </w:pPr>
      <w:r w:rsidRPr="00E6749A">
        <w:rPr>
          <w:lang w:val="en-GB"/>
        </w:rPr>
        <w:t xml:space="preserve">A flexible, adaptable approach based on in-depth market research should direct </w:t>
      </w:r>
      <w:proofErr w:type="spellStart"/>
      <w:r w:rsidRPr="00E6749A">
        <w:rPr>
          <w:lang w:val="en-GB"/>
        </w:rPr>
        <w:t>Toyato's</w:t>
      </w:r>
      <w:proofErr w:type="spellEnd"/>
      <w:r w:rsidRPr="00E6749A">
        <w:rPr>
          <w:lang w:val="en-GB"/>
        </w:rPr>
        <w:t xml:space="preserve"> future internationalization initiatives. This strategy should strike a compromise between the requirements of local market customisation and the necessity for global uniformity. </w:t>
      </w:r>
      <w:proofErr w:type="spellStart"/>
      <w:r w:rsidRPr="00E6749A">
        <w:rPr>
          <w:lang w:val="en-GB"/>
        </w:rPr>
        <w:t>Toyato</w:t>
      </w:r>
      <w:proofErr w:type="spellEnd"/>
      <w:r w:rsidRPr="00E6749A">
        <w:rPr>
          <w:lang w:val="en-GB"/>
        </w:rPr>
        <w:t xml:space="preserve"> may position itself for sustained success in its worldwide growth </w:t>
      </w:r>
      <w:proofErr w:type="spellStart"/>
      <w:r w:rsidRPr="00E6749A">
        <w:rPr>
          <w:lang w:val="en-GB"/>
        </w:rPr>
        <w:t>endeavors</w:t>
      </w:r>
      <w:proofErr w:type="spellEnd"/>
      <w:r w:rsidRPr="00E6749A">
        <w:rPr>
          <w:lang w:val="en-GB"/>
        </w:rPr>
        <w:t xml:space="preserve"> by concentrating on new markets, creating local alliances, embracing technical improvements for effective product adaption, and enhancing market research.</w:t>
      </w:r>
    </w:p>
    <w:p w14:paraId="196D3210" w14:textId="77777777" w:rsidR="005133E7" w:rsidRPr="00E6749A" w:rsidRDefault="00496D27">
      <w:pPr>
        <w:pStyle w:val="Heading1"/>
        <w:rPr>
          <w:lang w:val="en-GB"/>
        </w:rPr>
      </w:pPr>
      <w:bookmarkStart w:id="12" w:name="_kwnl8ujtqdxq" w:colFirst="0" w:colLast="0"/>
      <w:bookmarkStart w:id="13" w:name="_Toc151070101"/>
      <w:bookmarkEnd w:id="12"/>
      <w:r w:rsidRPr="00E6749A">
        <w:rPr>
          <w:lang w:val="en-GB"/>
        </w:rPr>
        <w:lastRenderedPageBreak/>
        <w:t>Conclusion</w:t>
      </w:r>
      <w:bookmarkEnd w:id="13"/>
    </w:p>
    <w:p w14:paraId="0D265F8A" w14:textId="77777777" w:rsidR="005133E7" w:rsidRPr="00E6749A" w:rsidRDefault="00496D27">
      <w:pPr>
        <w:rPr>
          <w:lang w:val="en-GB"/>
        </w:rPr>
      </w:pPr>
      <w:r w:rsidRPr="00E6749A">
        <w:rPr>
          <w:lang w:val="en-GB"/>
        </w:rPr>
        <w:t>A seamless fusion of ethnocentric, polycentric, and geocentric techniques, expertly calibrated to negotiate a variety of global environments, is evident in Toyota Motor Corporation's internationalization strategy. Through a PESTLE study, Toyota's strategic decisions are shaped by a variety of factors, including economic conditions, sociological dynamics, legal concerns, political stability, technology breakthroughs, and environmental sustainability. The secret to this company's success is its ability to strike a balance between worldwide uniformity and local responsiveness by combining centralized control with flexibility. As a dynamic and socially conscious global participant in the automotive sector, Toyota is well-positioned for future success thanks to its dedication to innovation, legal compliance, and environmental care.</w:t>
      </w:r>
      <w:r w:rsidRPr="00E6749A">
        <w:rPr>
          <w:lang w:val="en-GB"/>
        </w:rPr>
        <w:br w:type="page"/>
      </w:r>
    </w:p>
    <w:p w14:paraId="142BEECD" w14:textId="77777777" w:rsidR="005133E7" w:rsidRPr="00E6749A" w:rsidRDefault="00496D27">
      <w:pPr>
        <w:pStyle w:val="Heading1"/>
        <w:rPr>
          <w:lang w:val="en-GB"/>
        </w:rPr>
      </w:pPr>
      <w:bookmarkStart w:id="14" w:name="_l0u3s3bt13sy" w:colFirst="0" w:colLast="0"/>
      <w:bookmarkStart w:id="15" w:name="_Toc151070102"/>
      <w:bookmarkEnd w:id="14"/>
      <w:r w:rsidRPr="00E6749A">
        <w:rPr>
          <w:lang w:val="en-GB"/>
        </w:rPr>
        <w:lastRenderedPageBreak/>
        <w:t>References</w:t>
      </w:r>
      <w:bookmarkEnd w:id="15"/>
    </w:p>
    <w:p w14:paraId="7474F4C1" w14:textId="77777777" w:rsidR="006137A4" w:rsidRPr="00E6749A" w:rsidRDefault="00373DBB" w:rsidP="006137A4">
      <w:pPr>
        <w:rPr>
          <w:lang w:val="en-GB"/>
        </w:rPr>
      </w:pPr>
      <w:proofErr w:type="spellStart"/>
      <w:r>
        <w:rPr>
          <w:lang w:val="en-GB"/>
        </w:rPr>
        <w:t>Benkarim</w:t>
      </w:r>
      <w:proofErr w:type="spellEnd"/>
      <w:r>
        <w:rPr>
          <w:lang w:val="en-GB"/>
        </w:rPr>
        <w:t xml:space="preserve">, A. and Imbeau, D. </w:t>
      </w:r>
      <w:r w:rsidR="00224C20">
        <w:rPr>
          <w:lang w:val="en-GB"/>
        </w:rPr>
        <w:t>(</w:t>
      </w:r>
      <w:r w:rsidR="006137A4" w:rsidRPr="00E6749A">
        <w:rPr>
          <w:lang w:val="en-GB"/>
        </w:rPr>
        <w:t>2022</w:t>
      </w:r>
      <w:r w:rsidR="00224C20">
        <w:rPr>
          <w:lang w:val="en-GB"/>
        </w:rPr>
        <w:t>)</w:t>
      </w:r>
      <w:r w:rsidR="006137A4" w:rsidRPr="00E6749A">
        <w:rPr>
          <w:lang w:val="en-GB"/>
        </w:rPr>
        <w:t>. Investigating the implementation of Toyota’s human resources management practices in the aerospace industry. Merits, 2(3), pp.126-145.</w:t>
      </w:r>
    </w:p>
    <w:p w14:paraId="45DE787D" w14:textId="77777777" w:rsidR="006137A4" w:rsidRPr="00E6749A" w:rsidRDefault="00224C20" w:rsidP="006137A4">
      <w:pPr>
        <w:rPr>
          <w:lang w:val="en-GB"/>
        </w:rPr>
      </w:pPr>
      <w:r>
        <w:rPr>
          <w:lang w:val="en-GB"/>
        </w:rPr>
        <w:t>CIACHIR, C. and WOODHAMS, C. (</w:t>
      </w:r>
      <w:r w:rsidR="006137A4" w:rsidRPr="00E6749A">
        <w:rPr>
          <w:lang w:val="en-GB"/>
        </w:rPr>
        <w:t>2022</w:t>
      </w:r>
      <w:r>
        <w:rPr>
          <w:lang w:val="en-GB"/>
        </w:rPr>
        <w:t>)</w:t>
      </w:r>
      <w:r w:rsidR="006137A4" w:rsidRPr="00E6749A">
        <w:rPr>
          <w:lang w:val="en-GB"/>
        </w:rPr>
        <w:t>. People management in an international context. Human Resource Management: People and Organisations, p.173.</w:t>
      </w:r>
    </w:p>
    <w:p w14:paraId="02C12E4D" w14:textId="77777777" w:rsidR="006137A4" w:rsidRPr="00E6749A" w:rsidRDefault="006137A4" w:rsidP="006137A4">
      <w:pPr>
        <w:rPr>
          <w:lang w:val="en-GB"/>
        </w:rPr>
      </w:pPr>
      <w:r w:rsidRPr="00E6749A">
        <w:rPr>
          <w:lang w:val="en-GB"/>
        </w:rPr>
        <w:t xml:space="preserve">Ciliberto, C., </w:t>
      </w:r>
      <w:proofErr w:type="spellStart"/>
      <w:r w:rsidRPr="00E6749A">
        <w:rPr>
          <w:lang w:val="en-GB"/>
        </w:rPr>
        <w:t>Szopik‐Depczyńska</w:t>
      </w:r>
      <w:proofErr w:type="spellEnd"/>
      <w:r w:rsidRPr="00E6749A">
        <w:rPr>
          <w:lang w:val="en-GB"/>
        </w:rPr>
        <w:t xml:space="preserve">, K., </w:t>
      </w:r>
      <w:proofErr w:type="spellStart"/>
      <w:r w:rsidRPr="00E6749A">
        <w:rPr>
          <w:lang w:val="en-GB"/>
        </w:rPr>
        <w:t>Tarczyńska‐Łuniewska</w:t>
      </w:r>
      <w:proofErr w:type="spellEnd"/>
      <w:r w:rsidRPr="00E6749A">
        <w:rPr>
          <w:lang w:val="en-GB"/>
        </w:rPr>
        <w:t xml:space="preserve">, M., Ruggieri, A. and </w:t>
      </w:r>
      <w:r w:rsidR="00224C20">
        <w:rPr>
          <w:lang w:val="en-GB"/>
        </w:rPr>
        <w:t>Ioppolo, G. (</w:t>
      </w:r>
      <w:r w:rsidRPr="00E6749A">
        <w:rPr>
          <w:lang w:val="en-GB"/>
        </w:rPr>
        <w:t>2021</w:t>
      </w:r>
      <w:r w:rsidR="00224C20">
        <w:rPr>
          <w:lang w:val="en-GB"/>
        </w:rPr>
        <w:t>)</w:t>
      </w:r>
      <w:r w:rsidRPr="00E6749A">
        <w:rPr>
          <w:lang w:val="en-GB"/>
        </w:rPr>
        <w:t>. Enabling the Circular Economy transition: A sustainable lean manufacturing recipe for Industry 4.0. Business Strategy and the Environment, 30(7), pp.3255-3272.</w:t>
      </w:r>
    </w:p>
    <w:p w14:paraId="481A001C" w14:textId="77777777" w:rsidR="006137A4" w:rsidRPr="00E6749A" w:rsidRDefault="006137A4" w:rsidP="006137A4">
      <w:pPr>
        <w:rPr>
          <w:lang w:val="en-GB"/>
        </w:rPr>
      </w:pPr>
      <w:r w:rsidRPr="00E6749A">
        <w:rPr>
          <w:lang w:val="en-GB"/>
        </w:rPr>
        <w:t xml:space="preserve">Data.worldbank.org, (2023), </w:t>
      </w:r>
      <w:r w:rsidRPr="00E6749A">
        <w:rPr>
          <w:i/>
          <w:lang w:val="en-GB"/>
        </w:rPr>
        <w:t>GDP (current US$) - Japan</w:t>
      </w:r>
      <w:r w:rsidRPr="00E6749A">
        <w:rPr>
          <w:lang w:val="en-GB"/>
        </w:rPr>
        <w:t>, Available at: https://data.worldbank.org/indicator/NY.GDP.MKTP.CD?locations=JP [Accessed on: 14 Nov 2023]</w:t>
      </w:r>
    </w:p>
    <w:p w14:paraId="28831E99" w14:textId="77777777" w:rsidR="006137A4" w:rsidRPr="00E6749A" w:rsidRDefault="006137A4" w:rsidP="006137A4">
      <w:pPr>
        <w:rPr>
          <w:lang w:val="en-GB"/>
        </w:rPr>
      </w:pPr>
      <w:proofErr w:type="spellStart"/>
      <w:r w:rsidRPr="00E6749A">
        <w:rPr>
          <w:lang w:val="en-GB"/>
        </w:rPr>
        <w:t>Global.toyota</w:t>
      </w:r>
      <w:proofErr w:type="spellEnd"/>
      <w:r w:rsidRPr="00E6749A">
        <w:rPr>
          <w:lang w:val="en-GB"/>
        </w:rPr>
        <w:t xml:space="preserve">, (2023), </w:t>
      </w:r>
      <w:r w:rsidRPr="00E6749A">
        <w:rPr>
          <w:i/>
          <w:lang w:val="en-GB"/>
        </w:rPr>
        <w:t>carbon neutrality at all global plants by 2035</w:t>
      </w:r>
      <w:r w:rsidRPr="00E6749A">
        <w:rPr>
          <w:lang w:val="en-GB"/>
        </w:rPr>
        <w:t>, Available at: https://global.toyota/pages/global_toyota/sustainability/esg/environmental/climate_public_policies_2022_en.pdf [Accessed on: 14 Nov 2023]</w:t>
      </w:r>
    </w:p>
    <w:p w14:paraId="493997B1" w14:textId="77777777" w:rsidR="006137A4" w:rsidRPr="00E6749A" w:rsidRDefault="006137A4" w:rsidP="006137A4">
      <w:pPr>
        <w:rPr>
          <w:lang w:val="en-GB"/>
        </w:rPr>
      </w:pPr>
      <w:proofErr w:type="spellStart"/>
      <w:r w:rsidRPr="00E6749A">
        <w:rPr>
          <w:lang w:val="en-GB"/>
        </w:rPr>
        <w:t>Global.toyota</w:t>
      </w:r>
      <w:proofErr w:type="spellEnd"/>
      <w:r w:rsidRPr="00E6749A">
        <w:rPr>
          <w:lang w:val="en-GB"/>
        </w:rPr>
        <w:t xml:space="preserve">, (2023), </w:t>
      </w:r>
      <w:r w:rsidRPr="00E6749A">
        <w:rPr>
          <w:i/>
          <w:lang w:val="en-GB"/>
        </w:rPr>
        <w:t>Sustainability</w:t>
      </w:r>
      <w:r w:rsidRPr="00E6749A">
        <w:rPr>
          <w:lang w:val="en-GB"/>
        </w:rPr>
        <w:t>, Available at: https://global.toyota/en/sustainability/ [Accessed on: 14 Nov 2023]</w:t>
      </w:r>
    </w:p>
    <w:p w14:paraId="417D3F69" w14:textId="77777777" w:rsidR="006137A4" w:rsidRPr="00E6749A" w:rsidRDefault="006137A4" w:rsidP="006137A4">
      <w:pPr>
        <w:rPr>
          <w:lang w:val="en-GB"/>
        </w:rPr>
      </w:pPr>
      <w:r w:rsidRPr="00E6749A">
        <w:rPr>
          <w:lang w:val="en-GB"/>
        </w:rPr>
        <w:t xml:space="preserve">Ilo.org, (2023), </w:t>
      </w:r>
      <w:r w:rsidRPr="00E6749A">
        <w:rPr>
          <w:i/>
          <w:lang w:val="en-GB"/>
        </w:rPr>
        <w:t>National Labour Law Profile: Japan</w:t>
      </w:r>
      <w:r w:rsidRPr="00E6749A">
        <w:rPr>
          <w:lang w:val="en-GB"/>
        </w:rPr>
        <w:t>, Available at: https://www.ilo.org/ifpdial/information-resources/national-labour-law-profiles/WCMS_158904/lang--en/index.htm [Accessed on: 14 Nov 2023]</w:t>
      </w:r>
    </w:p>
    <w:p w14:paraId="7CF67E60" w14:textId="77777777" w:rsidR="006137A4" w:rsidRPr="00E6749A" w:rsidRDefault="00224C20" w:rsidP="006137A4">
      <w:pPr>
        <w:rPr>
          <w:lang w:val="en-GB"/>
        </w:rPr>
      </w:pPr>
      <w:r>
        <w:rPr>
          <w:lang w:val="en-GB"/>
        </w:rPr>
        <w:t>Isaksson, L.E. and Mitra, N. (</w:t>
      </w:r>
      <w:r w:rsidR="006137A4" w:rsidRPr="00E6749A">
        <w:rPr>
          <w:lang w:val="en-GB"/>
        </w:rPr>
        <w:t>2019</w:t>
      </w:r>
      <w:r>
        <w:rPr>
          <w:lang w:val="en-GB"/>
        </w:rPr>
        <w:t>)</w:t>
      </w:r>
      <w:r w:rsidR="006137A4" w:rsidRPr="00E6749A">
        <w:rPr>
          <w:lang w:val="en-GB"/>
        </w:rPr>
        <w:t>. ISO 26000: The Toyota Motor Corporation’s CSR Approaches in India. ISO 26000-A standardized view on corporate social responsibility: Practices, cases and controversies, pp.137-157.</w:t>
      </w:r>
    </w:p>
    <w:p w14:paraId="175B23E9" w14:textId="77777777" w:rsidR="006137A4" w:rsidRPr="00E6749A" w:rsidRDefault="00224C20" w:rsidP="006137A4">
      <w:pPr>
        <w:rPr>
          <w:lang w:val="en-GB"/>
        </w:rPr>
      </w:pPr>
      <w:r>
        <w:rPr>
          <w:lang w:val="en-GB"/>
        </w:rPr>
        <w:t>Iwashita, H. (</w:t>
      </w:r>
      <w:r w:rsidR="006137A4" w:rsidRPr="00E6749A">
        <w:rPr>
          <w:lang w:val="en-GB"/>
        </w:rPr>
        <w:t>2021</w:t>
      </w:r>
      <w:r>
        <w:rPr>
          <w:lang w:val="en-GB"/>
        </w:rPr>
        <w:t>)</w:t>
      </w:r>
      <w:r w:rsidR="006137A4" w:rsidRPr="00E6749A">
        <w:rPr>
          <w:lang w:val="en-GB"/>
        </w:rPr>
        <w:t>. The future of remote work in Japan: COVID-19’s implications for international human resource management. Entrepreneurial Business and Economics Review, 9(4), pp.7-18.</w:t>
      </w:r>
    </w:p>
    <w:p w14:paraId="1E7D5F03" w14:textId="77777777" w:rsidR="006137A4" w:rsidRPr="00E6749A" w:rsidRDefault="006137A4" w:rsidP="006137A4">
      <w:pPr>
        <w:rPr>
          <w:lang w:val="en-GB"/>
        </w:rPr>
      </w:pPr>
      <w:r w:rsidRPr="00E6749A">
        <w:rPr>
          <w:lang w:val="en-GB"/>
        </w:rPr>
        <w:lastRenderedPageBreak/>
        <w:t xml:space="preserve">Lexology.com, (2023), </w:t>
      </w:r>
      <w:r w:rsidRPr="00E6749A">
        <w:rPr>
          <w:i/>
          <w:lang w:val="en-GB"/>
        </w:rPr>
        <w:t>Automotive in Japan</w:t>
      </w:r>
      <w:r w:rsidRPr="00E6749A">
        <w:rPr>
          <w:lang w:val="en-GB"/>
        </w:rPr>
        <w:t>, Available at: https://www.lexology.com/library/detail.aspx?g=34c0c790-e3b0-49f8-8e0e-5f4ca3a5b22d [Accessed on: 14 Nov 2023]</w:t>
      </w:r>
    </w:p>
    <w:p w14:paraId="4AB2C6DD" w14:textId="77777777" w:rsidR="006137A4" w:rsidRPr="00E6749A" w:rsidRDefault="00224C20" w:rsidP="006137A4">
      <w:pPr>
        <w:rPr>
          <w:lang w:val="en-GB"/>
        </w:rPr>
      </w:pPr>
      <w:r>
        <w:rPr>
          <w:lang w:val="en-GB"/>
        </w:rPr>
        <w:t xml:space="preserve">Limpo, L. and </w:t>
      </w:r>
      <w:proofErr w:type="spellStart"/>
      <w:r>
        <w:rPr>
          <w:lang w:val="en-GB"/>
        </w:rPr>
        <w:t>Kamase</w:t>
      </w:r>
      <w:proofErr w:type="spellEnd"/>
      <w:r>
        <w:rPr>
          <w:lang w:val="en-GB"/>
        </w:rPr>
        <w:t xml:space="preserve">, </w:t>
      </w:r>
      <w:proofErr w:type="gramStart"/>
      <w:r>
        <w:rPr>
          <w:lang w:val="en-GB"/>
        </w:rPr>
        <w:t>R..</w:t>
      </w:r>
      <w:proofErr w:type="gramEnd"/>
      <w:r>
        <w:rPr>
          <w:lang w:val="en-GB"/>
        </w:rPr>
        <w:t xml:space="preserve"> (</w:t>
      </w:r>
      <w:r w:rsidR="006137A4" w:rsidRPr="00E6749A">
        <w:rPr>
          <w:lang w:val="en-GB"/>
        </w:rPr>
        <w:t>2022</w:t>
      </w:r>
      <w:r>
        <w:rPr>
          <w:lang w:val="en-GB"/>
        </w:rPr>
        <w:t>)</w:t>
      </w:r>
      <w:r w:rsidR="006137A4" w:rsidRPr="00E6749A">
        <w:rPr>
          <w:lang w:val="en-GB"/>
        </w:rPr>
        <w:t xml:space="preserve">. The Effect </w:t>
      </w:r>
      <w:proofErr w:type="gramStart"/>
      <w:r w:rsidR="006137A4" w:rsidRPr="00E6749A">
        <w:rPr>
          <w:lang w:val="en-GB"/>
        </w:rPr>
        <w:t>Of</w:t>
      </w:r>
      <w:proofErr w:type="gramEnd"/>
      <w:r w:rsidR="006137A4" w:rsidRPr="00E6749A">
        <w:rPr>
          <w:lang w:val="en-GB"/>
        </w:rPr>
        <w:t xml:space="preserve"> Kaizen Culture On The Work Performance Of The Kalla Toyota Alauddin Makassar Service Division. </w:t>
      </w:r>
      <w:proofErr w:type="spellStart"/>
      <w:r w:rsidR="006137A4" w:rsidRPr="00E6749A">
        <w:rPr>
          <w:lang w:val="en-GB"/>
        </w:rPr>
        <w:t>JManagER</w:t>
      </w:r>
      <w:proofErr w:type="spellEnd"/>
      <w:r w:rsidR="006137A4" w:rsidRPr="00E6749A">
        <w:rPr>
          <w:lang w:val="en-GB"/>
        </w:rPr>
        <w:t>, 1(2), pp.34-48.</w:t>
      </w:r>
    </w:p>
    <w:p w14:paraId="4783DEC8" w14:textId="77777777" w:rsidR="006137A4" w:rsidRPr="00E6749A" w:rsidRDefault="006137A4" w:rsidP="006137A4">
      <w:pPr>
        <w:rPr>
          <w:lang w:val="en-GB"/>
        </w:rPr>
      </w:pPr>
      <w:r w:rsidRPr="00E6749A">
        <w:rPr>
          <w:lang w:val="en-GB"/>
        </w:rPr>
        <w:t xml:space="preserve">Macrotrends.net, (2023), </w:t>
      </w:r>
      <w:r w:rsidRPr="00E6749A">
        <w:rPr>
          <w:i/>
          <w:lang w:val="en-GB"/>
        </w:rPr>
        <w:t>Japan Inflation Rate 1960-2023</w:t>
      </w:r>
      <w:r w:rsidRPr="00E6749A">
        <w:rPr>
          <w:lang w:val="en-GB"/>
        </w:rPr>
        <w:t>, Available at: https://www.macrotrends.net/countries/JPN/japan/inflation-rate-cpi#:~:text=Japan%20inflation%20rate%20for%202022,a%200.52%25%20decline%20from%202018. [Accessed on: 14 Nov 2023]</w:t>
      </w:r>
    </w:p>
    <w:p w14:paraId="290677F9" w14:textId="77777777" w:rsidR="006137A4" w:rsidRPr="00E6749A" w:rsidRDefault="006137A4" w:rsidP="006137A4">
      <w:pPr>
        <w:rPr>
          <w:lang w:val="en-GB"/>
        </w:rPr>
      </w:pPr>
      <w:r w:rsidRPr="00E6749A">
        <w:rPr>
          <w:lang w:val="en-GB"/>
        </w:rPr>
        <w:t>Omar, S</w:t>
      </w:r>
      <w:r w:rsidR="00224C20">
        <w:rPr>
          <w:lang w:val="en-GB"/>
        </w:rPr>
        <w:t xml:space="preserve">.S., </w:t>
      </w:r>
      <w:proofErr w:type="spellStart"/>
      <w:r w:rsidR="00224C20">
        <w:rPr>
          <w:lang w:val="en-GB"/>
        </w:rPr>
        <w:t>Shameri</w:t>
      </w:r>
      <w:proofErr w:type="spellEnd"/>
      <w:r w:rsidR="00224C20">
        <w:rPr>
          <w:lang w:val="en-GB"/>
        </w:rPr>
        <w:t>, A.A. and Hui, J. (</w:t>
      </w:r>
      <w:r w:rsidRPr="00E6749A">
        <w:rPr>
          <w:lang w:val="en-GB"/>
        </w:rPr>
        <w:t>2023, April</w:t>
      </w:r>
      <w:r w:rsidR="00224C20">
        <w:rPr>
          <w:lang w:val="en-GB"/>
        </w:rPr>
        <w:t>)</w:t>
      </w:r>
      <w:r w:rsidRPr="00E6749A">
        <w:rPr>
          <w:lang w:val="en-GB"/>
        </w:rPr>
        <w:t>. A review of global human resource management in navigating the COVID-19 pandemic. In AIP Conference Proceedings (Vol. 2544, No. 1). AIP Publishing.</w:t>
      </w:r>
    </w:p>
    <w:p w14:paraId="783552B6" w14:textId="77777777" w:rsidR="006137A4" w:rsidRPr="00E6749A" w:rsidRDefault="00224C20" w:rsidP="006137A4">
      <w:pPr>
        <w:rPr>
          <w:lang w:val="en-GB"/>
        </w:rPr>
      </w:pPr>
      <w:proofErr w:type="spellStart"/>
      <w:r>
        <w:rPr>
          <w:lang w:val="en-GB"/>
        </w:rPr>
        <w:t>Pasadilla</w:t>
      </w:r>
      <w:proofErr w:type="spellEnd"/>
      <w:r>
        <w:rPr>
          <w:lang w:val="en-GB"/>
        </w:rPr>
        <w:t>, G. (</w:t>
      </w:r>
      <w:r w:rsidR="006137A4" w:rsidRPr="00E6749A">
        <w:rPr>
          <w:lang w:val="en-GB"/>
        </w:rPr>
        <w:t>2023</w:t>
      </w:r>
      <w:r>
        <w:rPr>
          <w:lang w:val="en-GB"/>
        </w:rPr>
        <w:t>)</w:t>
      </w:r>
      <w:r w:rsidR="006137A4" w:rsidRPr="00E6749A">
        <w:rPr>
          <w:lang w:val="en-GB"/>
        </w:rPr>
        <w:t>. Technology, Global Value Chains, and Jobs: Continuing ASEAN’s Role in Transformed Global Value Chains. ASEAN AND GLOBAL VALUE CHAINS, p.148.</w:t>
      </w:r>
    </w:p>
    <w:p w14:paraId="30B3065B" w14:textId="77777777" w:rsidR="006137A4" w:rsidRPr="00E6749A" w:rsidRDefault="006137A4" w:rsidP="006137A4">
      <w:pPr>
        <w:rPr>
          <w:lang w:val="en-GB"/>
        </w:rPr>
      </w:pPr>
      <w:r w:rsidRPr="00E6749A">
        <w:rPr>
          <w:lang w:val="en-GB"/>
        </w:rPr>
        <w:t xml:space="preserve">States101.com, (2023), </w:t>
      </w:r>
      <w:r w:rsidRPr="00E6749A">
        <w:rPr>
          <w:i/>
          <w:lang w:val="en-GB"/>
        </w:rPr>
        <w:t>Japan Gender Ratio</w:t>
      </w:r>
      <w:r w:rsidRPr="00E6749A">
        <w:rPr>
          <w:lang w:val="en-GB"/>
        </w:rPr>
        <w:t>, Available at: https://www.states101.com/gender-ratios/global/japan#:~:text=There%20are%20more%20women%20than,101%3A100)%20or%201.01. [Accessed on: 14 Nov 2023]</w:t>
      </w:r>
    </w:p>
    <w:p w14:paraId="5F079CCF" w14:textId="77777777" w:rsidR="006137A4" w:rsidRPr="00E6749A" w:rsidRDefault="006137A4" w:rsidP="006137A4">
      <w:pPr>
        <w:rPr>
          <w:lang w:val="en-GB"/>
        </w:rPr>
      </w:pPr>
      <w:r w:rsidRPr="00E6749A">
        <w:rPr>
          <w:lang w:val="en-GB"/>
        </w:rPr>
        <w:t xml:space="preserve">Statista, </w:t>
      </w:r>
      <w:r w:rsidR="00224C20">
        <w:rPr>
          <w:lang w:val="en-GB"/>
        </w:rPr>
        <w:t>(</w:t>
      </w:r>
      <w:r w:rsidRPr="00E6749A">
        <w:rPr>
          <w:lang w:val="en-GB"/>
        </w:rPr>
        <w:t>2023</w:t>
      </w:r>
      <w:r w:rsidR="00224C20">
        <w:rPr>
          <w:lang w:val="en-GB"/>
        </w:rPr>
        <w:t>)</w:t>
      </w:r>
      <w:r w:rsidRPr="00E6749A">
        <w:rPr>
          <w:lang w:val="en-GB"/>
        </w:rPr>
        <w:t xml:space="preserve">. </w:t>
      </w:r>
      <w:r w:rsidRPr="00E6749A">
        <w:rPr>
          <w:i/>
          <w:lang w:val="en-GB"/>
        </w:rPr>
        <w:t xml:space="preserve">Toyota's net revenue from FY 2012 to FY 2023. </w:t>
      </w:r>
      <w:r w:rsidRPr="00E6749A">
        <w:rPr>
          <w:lang w:val="en-GB"/>
        </w:rPr>
        <w:t>Available at: https://www.statista.com/statistics/262752/total-net-revenues-of-toyota/</w:t>
      </w:r>
    </w:p>
    <w:p w14:paraId="4217A38A" w14:textId="77777777" w:rsidR="006137A4" w:rsidRPr="00E6749A" w:rsidRDefault="006137A4" w:rsidP="006137A4">
      <w:pPr>
        <w:rPr>
          <w:lang w:val="en-GB"/>
        </w:rPr>
      </w:pPr>
      <w:r w:rsidRPr="00E6749A">
        <w:rPr>
          <w:lang w:val="en-GB"/>
        </w:rPr>
        <w:t xml:space="preserve">Statista.com, (2023), </w:t>
      </w:r>
      <w:proofErr w:type="spellStart"/>
      <w:r w:rsidRPr="00E6749A">
        <w:rPr>
          <w:i/>
          <w:lang w:val="en-GB"/>
        </w:rPr>
        <w:t>Enrollment</w:t>
      </w:r>
      <w:proofErr w:type="spellEnd"/>
      <w:r w:rsidRPr="00E6749A">
        <w:rPr>
          <w:i/>
          <w:lang w:val="en-GB"/>
        </w:rPr>
        <w:t xml:space="preserve"> rate in school education Japan AY 2022</w:t>
      </w:r>
      <w:r w:rsidRPr="00E6749A">
        <w:rPr>
          <w:lang w:val="en-GB"/>
        </w:rPr>
        <w:t>, by institution type, Available at: https://www.statista.com/statistics/1189581/japan-attendance-rate-students-by-type-of-institution/#:~:text=Japan's%20adult%20literacy%20rate%20is,in%20all%20rounds%20of%20assessment. [Accessed on: 14 Nov 2023]</w:t>
      </w:r>
    </w:p>
    <w:p w14:paraId="1FE9C604" w14:textId="77777777" w:rsidR="006137A4" w:rsidRPr="00E6749A" w:rsidRDefault="006137A4" w:rsidP="006137A4">
      <w:pPr>
        <w:rPr>
          <w:lang w:val="en-GB"/>
        </w:rPr>
      </w:pPr>
      <w:r w:rsidRPr="00E6749A">
        <w:rPr>
          <w:lang w:val="en-GB"/>
        </w:rPr>
        <w:t>Statista.com, (2023), https://www.statista.com/statistics/279648/research-and-development-spending-at-</w:t>
      </w:r>
      <w:r w:rsidRPr="00E6749A">
        <w:rPr>
          <w:lang w:val="en-GB"/>
        </w:rPr>
        <w:lastRenderedPageBreak/>
        <w:t>toyota/#:~:text=Toyota%20incurred%20research%20and%20development,in%20terms%20of%20automobile%20production.</w:t>
      </w:r>
    </w:p>
    <w:p w14:paraId="665E5BF8" w14:textId="77777777" w:rsidR="006137A4" w:rsidRPr="00E6749A" w:rsidRDefault="006137A4" w:rsidP="006137A4">
      <w:pPr>
        <w:rPr>
          <w:lang w:val="en-GB"/>
        </w:rPr>
      </w:pPr>
      <w:r w:rsidRPr="00E6749A">
        <w:rPr>
          <w:lang w:val="en-GB"/>
        </w:rPr>
        <w:t xml:space="preserve">Statista.com, (2023), </w:t>
      </w:r>
      <w:r w:rsidRPr="00E6749A">
        <w:rPr>
          <w:i/>
          <w:lang w:val="en-GB"/>
        </w:rPr>
        <w:t>Opinion on the importance of buying sustainable products in Japan as of February 2022</w:t>
      </w:r>
      <w:r w:rsidRPr="00E6749A">
        <w:rPr>
          <w:lang w:val="en-GB"/>
        </w:rPr>
        <w:t>, Available at: https://www.statista.com/statistics/1318911/japan-importance-sustainable-products-shopping-behavior/#:~:text=Importance%20of%20sustainable%20products%20in%20shopping%20in%20Japan%202022&amp;text=While%2045%20percent%20of%20respondents,aspect%20to%20be%20very%20important. [Accessed on: 14 Nov 2023]</w:t>
      </w:r>
    </w:p>
    <w:p w14:paraId="4CFB3519" w14:textId="77777777" w:rsidR="006137A4" w:rsidRPr="00E6749A" w:rsidRDefault="006137A4" w:rsidP="006137A4">
      <w:pPr>
        <w:rPr>
          <w:lang w:val="en-GB"/>
        </w:rPr>
      </w:pPr>
      <w:r w:rsidRPr="00E6749A">
        <w:rPr>
          <w:lang w:val="en-GB"/>
        </w:rPr>
        <w:t xml:space="preserve">Statista.com, (2023), </w:t>
      </w:r>
      <w:r w:rsidRPr="00E6749A">
        <w:rPr>
          <w:i/>
          <w:lang w:val="en-GB"/>
        </w:rPr>
        <w:t>Toyota's research and development (R&amp;D) expenses from FY 2007 to FY 2023</w:t>
      </w:r>
      <w:r w:rsidRPr="00E6749A">
        <w:rPr>
          <w:lang w:val="en-GB"/>
        </w:rPr>
        <w:t>, Available at: https://www.statista.com/statistics/1394057/japan-hybrid-electric-vehicle-sales-by-type/#:~:text=Number%20of%20hybrid%20electric%20passenger,Japan%20FY%202021%2C%20by%20type&amp;text=In%20the%20fiscal%20year%202021,vehicle%2C%20followed%20by%20kei%20cars. [Accessed on: 14 Nov 2023]</w:t>
      </w:r>
    </w:p>
    <w:p w14:paraId="5C30F186" w14:textId="77777777" w:rsidR="006137A4" w:rsidRPr="00E6749A" w:rsidRDefault="006137A4" w:rsidP="006137A4">
      <w:pPr>
        <w:rPr>
          <w:lang w:val="en-GB"/>
        </w:rPr>
      </w:pPr>
      <w:r w:rsidRPr="00E6749A">
        <w:rPr>
          <w:lang w:val="en-GB"/>
        </w:rPr>
        <w:t xml:space="preserve">Theglobaleconomy.com, (2023), </w:t>
      </w:r>
      <w:r w:rsidRPr="00E6749A">
        <w:rPr>
          <w:i/>
          <w:lang w:val="en-GB"/>
        </w:rPr>
        <w:t>Japan: Political stability</w:t>
      </w:r>
      <w:r w:rsidRPr="00E6749A">
        <w:rPr>
          <w:lang w:val="en-GB"/>
        </w:rPr>
        <w:t>, Available at: https://www.theglobaleconomy.com/Japan/wb_political_stability/#:~:text=Political%20stability%20index%20(%2D2.5%20weak%3B%202.5%20strong)&amp;text=The%20average%20value%20for%20Japan,193%20countries%20is%20%2D0.07%20points. [Accessed on: 14 Nov 2023]</w:t>
      </w:r>
    </w:p>
    <w:p w14:paraId="5CAE7BAB" w14:textId="77777777" w:rsidR="006137A4" w:rsidRPr="00E6749A" w:rsidRDefault="006137A4" w:rsidP="006137A4">
      <w:pPr>
        <w:rPr>
          <w:lang w:val="en-GB"/>
        </w:rPr>
      </w:pPr>
      <w:r w:rsidRPr="00E6749A">
        <w:rPr>
          <w:lang w:val="en-GB"/>
        </w:rPr>
        <w:t xml:space="preserve">Theicct.org, (2023), </w:t>
      </w:r>
      <w:r w:rsidRPr="00E6749A">
        <w:rPr>
          <w:i/>
          <w:lang w:val="en-GB"/>
        </w:rPr>
        <w:t>Overview of Road Vehicle Compliance in Japan</w:t>
      </w:r>
      <w:r w:rsidRPr="00E6749A">
        <w:rPr>
          <w:lang w:val="en-GB"/>
        </w:rPr>
        <w:t>, Available at: https://theicct.org/wp-content/uploads/2021/10/Overview-of-road-vehicle-compliance-in-Japan.pdf [Accessed on: 14 Nov 2023]</w:t>
      </w:r>
    </w:p>
    <w:p w14:paraId="2CCB2EBB" w14:textId="77777777" w:rsidR="006137A4" w:rsidRPr="00E6749A" w:rsidRDefault="006137A4" w:rsidP="006137A4">
      <w:pPr>
        <w:rPr>
          <w:lang w:val="en-GB"/>
        </w:rPr>
      </w:pPr>
      <w:r w:rsidRPr="00E6749A">
        <w:rPr>
          <w:lang w:val="en-GB"/>
        </w:rPr>
        <w:t xml:space="preserve">Trade.gov, (2023), </w:t>
      </w:r>
      <w:r w:rsidRPr="00E6749A">
        <w:rPr>
          <w:i/>
          <w:lang w:val="en-GB"/>
        </w:rPr>
        <w:t>Trade Agreements</w:t>
      </w:r>
      <w:r w:rsidRPr="00E6749A">
        <w:rPr>
          <w:lang w:val="en-GB"/>
        </w:rPr>
        <w:t>, Available at: https://www.trade.gov/country-commercial-guides/japan-trade-agreements [Accessed on: 14 Nov 2023]</w:t>
      </w:r>
    </w:p>
    <w:p w14:paraId="09CC8D16" w14:textId="77777777" w:rsidR="006137A4" w:rsidRPr="00E6749A" w:rsidRDefault="006137A4" w:rsidP="006137A4">
      <w:pPr>
        <w:rPr>
          <w:lang w:val="en-GB"/>
        </w:rPr>
      </w:pPr>
      <w:r w:rsidRPr="00E6749A">
        <w:rPr>
          <w:lang w:val="en-GB"/>
        </w:rPr>
        <w:t xml:space="preserve">Tradingeconomics.com, (2023), </w:t>
      </w:r>
      <w:r w:rsidRPr="00E6749A">
        <w:rPr>
          <w:i/>
          <w:lang w:val="en-GB"/>
        </w:rPr>
        <w:t>Japan GDP Growth Rate</w:t>
      </w:r>
      <w:r w:rsidRPr="00E6749A">
        <w:rPr>
          <w:lang w:val="en-GB"/>
        </w:rPr>
        <w:t>, Available at: https://tradingeconomics.com/japan/gdp-growth#:~:text=November%20of%202023.-,The%20Gross%20Domestic%20Product%20(GDP)%20in%20Japan%20contracted%200.50%20percent,macro%20models%20and%20analysts%20expectations. [Accessed on: 14 Nov 2023]</w:t>
      </w:r>
    </w:p>
    <w:p w14:paraId="074D2D9B" w14:textId="77777777" w:rsidR="006137A4" w:rsidRPr="00E6749A" w:rsidRDefault="006137A4" w:rsidP="006137A4">
      <w:pPr>
        <w:rPr>
          <w:lang w:val="en-GB"/>
        </w:rPr>
      </w:pPr>
      <w:r w:rsidRPr="00E6749A">
        <w:rPr>
          <w:lang w:val="en-GB"/>
        </w:rPr>
        <w:lastRenderedPageBreak/>
        <w:t xml:space="preserve">Worldometers.info, (2023), </w:t>
      </w:r>
      <w:r w:rsidRPr="00E6749A">
        <w:rPr>
          <w:i/>
          <w:lang w:val="en-GB"/>
        </w:rPr>
        <w:t>Japan Population</w:t>
      </w:r>
      <w:r w:rsidRPr="00E6749A">
        <w:rPr>
          <w:lang w:val="en-GB"/>
        </w:rPr>
        <w:t>, Available at: https://www.worldometers.info/world-population/japan-population/ [Accessed on: 14 Nov 2023]</w:t>
      </w:r>
    </w:p>
    <w:p w14:paraId="36DB5805" w14:textId="77777777" w:rsidR="005133E7" w:rsidRPr="00E6749A" w:rsidRDefault="005133E7">
      <w:pPr>
        <w:rPr>
          <w:lang w:val="en-GB"/>
        </w:rPr>
      </w:pPr>
    </w:p>
    <w:p w14:paraId="17CC80F3" w14:textId="77777777" w:rsidR="005133E7" w:rsidRPr="00E6749A" w:rsidRDefault="005133E7">
      <w:pPr>
        <w:rPr>
          <w:lang w:val="en-GB"/>
        </w:rPr>
      </w:pPr>
    </w:p>
    <w:p w14:paraId="1B7BA88C" w14:textId="77777777" w:rsidR="005133E7" w:rsidRPr="00E6749A" w:rsidRDefault="005133E7">
      <w:pPr>
        <w:rPr>
          <w:lang w:val="en-GB"/>
        </w:rPr>
      </w:pPr>
    </w:p>
    <w:sectPr w:rsidR="005133E7" w:rsidRPr="00E6749A" w:rsidSect="00882573">
      <w:footerReference w:type="default" r:id="rId1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A40BF2" w14:textId="77777777" w:rsidR="00422F90" w:rsidRDefault="00422F90">
      <w:pPr>
        <w:spacing w:before="0" w:after="0" w:line="240" w:lineRule="auto"/>
      </w:pPr>
      <w:r>
        <w:separator/>
      </w:r>
    </w:p>
  </w:endnote>
  <w:endnote w:type="continuationSeparator" w:id="0">
    <w:p w14:paraId="69893455" w14:textId="77777777" w:rsidR="00422F90" w:rsidRDefault="00422F90">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38265460"/>
      <w:docPartObj>
        <w:docPartGallery w:val="Page Numbers (Bottom of Page)"/>
        <w:docPartUnique/>
      </w:docPartObj>
    </w:sdtPr>
    <w:sdtEndPr>
      <w:rPr>
        <w:noProof/>
        <w:sz w:val="20"/>
        <w:szCs w:val="20"/>
      </w:rPr>
    </w:sdtEndPr>
    <w:sdtContent>
      <w:p w14:paraId="35BB80A9" w14:textId="77777777" w:rsidR="00882573" w:rsidRPr="00882573" w:rsidRDefault="00B07E0B">
        <w:pPr>
          <w:pStyle w:val="Footer"/>
          <w:jc w:val="right"/>
          <w:rPr>
            <w:sz w:val="20"/>
            <w:szCs w:val="20"/>
          </w:rPr>
        </w:pPr>
        <w:r w:rsidRPr="00882573">
          <w:rPr>
            <w:sz w:val="20"/>
            <w:szCs w:val="20"/>
          </w:rPr>
          <w:fldChar w:fldCharType="begin"/>
        </w:r>
        <w:r w:rsidR="00882573" w:rsidRPr="00882573">
          <w:rPr>
            <w:sz w:val="20"/>
            <w:szCs w:val="20"/>
          </w:rPr>
          <w:instrText xml:space="preserve"> PAGE   \* MERGEFORMAT </w:instrText>
        </w:r>
        <w:r w:rsidRPr="00882573">
          <w:rPr>
            <w:sz w:val="20"/>
            <w:szCs w:val="20"/>
          </w:rPr>
          <w:fldChar w:fldCharType="separate"/>
        </w:r>
        <w:r w:rsidR="00224C20">
          <w:rPr>
            <w:noProof/>
            <w:sz w:val="20"/>
            <w:szCs w:val="20"/>
          </w:rPr>
          <w:t>27</w:t>
        </w:r>
        <w:r w:rsidRPr="00882573">
          <w:rPr>
            <w:noProof/>
            <w:sz w:val="20"/>
            <w:szCs w:val="20"/>
          </w:rPr>
          <w:fldChar w:fldCharType="end"/>
        </w:r>
      </w:p>
    </w:sdtContent>
  </w:sdt>
  <w:p w14:paraId="7543A6DD" w14:textId="77777777" w:rsidR="005133E7" w:rsidRDefault="005133E7"/>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AA1857" w14:textId="77777777" w:rsidR="00422F90" w:rsidRDefault="00422F90">
      <w:pPr>
        <w:spacing w:before="0" w:after="0" w:line="240" w:lineRule="auto"/>
      </w:pPr>
      <w:r>
        <w:separator/>
      </w:r>
    </w:p>
  </w:footnote>
  <w:footnote w:type="continuationSeparator" w:id="0">
    <w:p w14:paraId="79379035" w14:textId="77777777" w:rsidR="00422F90" w:rsidRDefault="00422F90">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CB7391"/>
    <w:multiLevelType w:val="multilevel"/>
    <w:tmpl w:val="A87E98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77B7F1C"/>
    <w:multiLevelType w:val="multilevel"/>
    <w:tmpl w:val="741848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9222A63"/>
    <w:multiLevelType w:val="multilevel"/>
    <w:tmpl w:val="8294067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CB01FCB"/>
    <w:multiLevelType w:val="multilevel"/>
    <w:tmpl w:val="F04C225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2FB59AD"/>
    <w:multiLevelType w:val="multilevel"/>
    <w:tmpl w:val="FCBA269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54231673"/>
    <w:multiLevelType w:val="multilevel"/>
    <w:tmpl w:val="D6A64BE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54726DF6"/>
    <w:multiLevelType w:val="multilevel"/>
    <w:tmpl w:val="8B0E187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5EF07A8B"/>
    <w:multiLevelType w:val="multilevel"/>
    <w:tmpl w:val="1312F28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6753306C"/>
    <w:multiLevelType w:val="multilevel"/>
    <w:tmpl w:val="B59A47B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6F63080A"/>
    <w:multiLevelType w:val="multilevel"/>
    <w:tmpl w:val="1BB6850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711205C8"/>
    <w:multiLevelType w:val="multilevel"/>
    <w:tmpl w:val="03808CF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792D7A4D"/>
    <w:multiLevelType w:val="multilevel"/>
    <w:tmpl w:val="7EFC0DA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286430131">
    <w:abstractNumId w:val="5"/>
  </w:num>
  <w:num w:numId="2" w16cid:durableId="1599756611">
    <w:abstractNumId w:val="8"/>
  </w:num>
  <w:num w:numId="3" w16cid:durableId="1349868795">
    <w:abstractNumId w:val="11"/>
  </w:num>
  <w:num w:numId="4" w16cid:durableId="935476454">
    <w:abstractNumId w:val="4"/>
  </w:num>
  <w:num w:numId="5" w16cid:durableId="1046177889">
    <w:abstractNumId w:val="6"/>
  </w:num>
  <w:num w:numId="6" w16cid:durableId="2040861423">
    <w:abstractNumId w:val="1"/>
  </w:num>
  <w:num w:numId="7" w16cid:durableId="2010252807">
    <w:abstractNumId w:val="3"/>
  </w:num>
  <w:num w:numId="8" w16cid:durableId="1586038355">
    <w:abstractNumId w:val="9"/>
  </w:num>
  <w:num w:numId="9" w16cid:durableId="1431437503">
    <w:abstractNumId w:val="7"/>
  </w:num>
  <w:num w:numId="10" w16cid:durableId="432821697">
    <w:abstractNumId w:val="0"/>
  </w:num>
  <w:num w:numId="11" w16cid:durableId="666399569">
    <w:abstractNumId w:val="10"/>
  </w:num>
  <w:num w:numId="12" w16cid:durableId="12913506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33E7"/>
    <w:rsid w:val="000036B6"/>
    <w:rsid w:val="00010845"/>
    <w:rsid w:val="00066C51"/>
    <w:rsid w:val="00093EE2"/>
    <w:rsid w:val="00224C20"/>
    <w:rsid w:val="00292429"/>
    <w:rsid w:val="002D3CA1"/>
    <w:rsid w:val="003412BC"/>
    <w:rsid w:val="00373DBB"/>
    <w:rsid w:val="00422F90"/>
    <w:rsid w:val="00496D27"/>
    <w:rsid w:val="005133E7"/>
    <w:rsid w:val="00577F1E"/>
    <w:rsid w:val="006137A4"/>
    <w:rsid w:val="006A6FFD"/>
    <w:rsid w:val="00882573"/>
    <w:rsid w:val="00A0235A"/>
    <w:rsid w:val="00AB06CF"/>
    <w:rsid w:val="00B07E0B"/>
    <w:rsid w:val="00B65AE3"/>
    <w:rsid w:val="00E23BAE"/>
    <w:rsid w:val="00E6749A"/>
    <w:rsid w:val="00EF67C7"/>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A6C836"/>
  <w15:docId w15:val="{AB07CB3E-469E-4B46-AA81-6831BC6736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IN" w:eastAsia="zh-CN" w:bidi="ar-SA"/>
      </w:rPr>
    </w:rPrDefault>
    <w:pPrDefault>
      <w:pPr>
        <w:spacing w:before="240"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07E0B"/>
  </w:style>
  <w:style w:type="paragraph" w:styleId="Heading1">
    <w:name w:val="heading 1"/>
    <w:basedOn w:val="Normal"/>
    <w:next w:val="Normal"/>
    <w:uiPriority w:val="9"/>
    <w:qFormat/>
    <w:rsid w:val="00B07E0B"/>
    <w:pPr>
      <w:keepNext/>
      <w:keepLines/>
      <w:outlineLvl w:val="0"/>
    </w:pPr>
    <w:rPr>
      <w:b/>
    </w:rPr>
  </w:style>
  <w:style w:type="paragraph" w:styleId="Heading2">
    <w:name w:val="heading 2"/>
    <w:basedOn w:val="Normal"/>
    <w:next w:val="Normal"/>
    <w:uiPriority w:val="9"/>
    <w:semiHidden/>
    <w:unhideWhenUsed/>
    <w:qFormat/>
    <w:rsid w:val="00B07E0B"/>
    <w:pPr>
      <w:keepNext/>
      <w:keepLines/>
      <w:outlineLvl w:val="1"/>
    </w:pPr>
    <w:rPr>
      <w:b/>
    </w:rPr>
  </w:style>
  <w:style w:type="paragraph" w:styleId="Heading3">
    <w:name w:val="heading 3"/>
    <w:basedOn w:val="Normal"/>
    <w:next w:val="Normal"/>
    <w:uiPriority w:val="9"/>
    <w:semiHidden/>
    <w:unhideWhenUsed/>
    <w:qFormat/>
    <w:rsid w:val="00B07E0B"/>
    <w:pPr>
      <w:keepNext/>
      <w:keepLines/>
      <w:outlineLvl w:val="2"/>
    </w:pPr>
    <w:rPr>
      <w:b/>
    </w:rPr>
  </w:style>
  <w:style w:type="paragraph" w:styleId="Heading4">
    <w:name w:val="heading 4"/>
    <w:basedOn w:val="Normal"/>
    <w:next w:val="Normal"/>
    <w:uiPriority w:val="9"/>
    <w:semiHidden/>
    <w:unhideWhenUsed/>
    <w:qFormat/>
    <w:rsid w:val="00B07E0B"/>
    <w:pPr>
      <w:keepNext/>
      <w:keepLines/>
      <w:spacing w:before="280" w:after="80"/>
      <w:outlineLvl w:val="3"/>
    </w:pPr>
    <w:rPr>
      <w:color w:val="666666"/>
    </w:rPr>
  </w:style>
  <w:style w:type="paragraph" w:styleId="Heading5">
    <w:name w:val="heading 5"/>
    <w:basedOn w:val="Normal"/>
    <w:next w:val="Normal"/>
    <w:uiPriority w:val="9"/>
    <w:semiHidden/>
    <w:unhideWhenUsed/>
    <w:qFormat/>
    <w:rsid w:val="00B07E0B"/>
    <w:pPr>
      <w:keepNext/>
      <w:keepLines/>
      <w:spacing w:after="80"/>
      <w:outlineLvl w:val="4"/>
    </w:pPr>
    <w:rPr>
      <w:color w:val="666666"/>
      <w:sz w:val="22"/>
      <w:szCs w:val="22"/>
    </w:rPr>
  </w:style>
  <w:style w:type="paragraph" w:styleId="Heading6">
    <w:name w:val="heading 6"/>
    <w:basedOn w:val="Normal"/>
    <w:next w:val="Normal"/>
    <w:uiPriority w:val="9"/>
    <w:semiHidden/>
    <w:unhideWhenUsed/>
    <w:qFormat/>
    <w:rsid w:val="00B07E0B"/>
    <w:pPr>
      <w:keepNext/>
      <w:keepLines/>
      <w:spacing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B07E0B"/>
    <w:pPr>
      <w:keepNext/>
      <w:keepLines/>
      <w:spacing w:before="0" w:after="60"/>
    </w:pPr>
    <w:rPr>
      <w:sz w:val="52"/>
      <w:szCs w:val="52"/>
    </w:rPr>
  </w:style>
  <w:style w:type="paragraph" w:styleId="Subtitle">
    <w:name w:val="Subtitle"/>
    <w:basedOn w:val="Normal"/>
    <w:next w:val="Normal"/>
    <w:uiPriority w:val="11"/>
    <w:qFormat/>
    <w:rsid w:val="00B07E0B"/>
    <w:pPr>
      <w:keepNext/>
      <w:keepLines/>
      <w:spacing w:before="0" w:after="320"/>
    </w:pPr>
    <w:rPr>
      <w:rFonts w:ascii="Arial" w:eastAsia="Arial" w:hAnsi="Arial" w:cs="Arial"/>
      <w:color w:val="666666"/>
      <w:sz w:val="30"/>
      <w:szCs w:val="30"/>
    </w:rPr>
  </w:style>
  <w:style w:type="table" w:customStyle="1" w:styleId="a">
    <w:basedOn w:val="TableNormal"/>
    <w:rsid w:val="00B07E0B"/>
    <w:tblPr>
      <w:tblStyleRowBandSize w:val="1"/>
      <w:tblStyleColBandSize w:val="1"/>
      <w:tblCellMar>
        <w:top w:w="100" w:type="dxa"/>
        <w:left w:w="100" w:type="dxa"/>
        <w:bottom w:w="100" w:type="dxa"/>
        <w:right w:w="100" w:type="dxa"/>
      </w:tblCellMar>
    </w:tblPr>
  </w:style>
  <w:style w:type="table" w:customStyle="1" w:styleId="a0">
    <w:basedOn w:val="TableNormal"/>
    <w:rsid w:val="00B07E0B"/>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3412BC"/>
    <w:pPr>
      <w:spacing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3412BC"/>
    <w:pPr>
      <w:spacing w:after="100"/>
    </w:pPr>
  </w:style>
  <w:style w:type="character" w:styleId="Hyperlink">
    <w:name w:val="Hyperlink"/>
    <w:basedOn w:val="DefaultParagraphFont"/>
    <w:uiPriority w:val="99"/>
    <w:unhideWhenUsed/>
    <w:rsid w:val="003412BC"/>
    <w:rPr>
      <w:color w:val="0000FF" w:themeColor="hyperlink"/>
      <w:u w:val="single"/>
    </w:rPr>
  </w:style>
  <w:style w:type="paragraph" w:styleId="Header">
    <w:name w:val="header"/>
    <w:basedOn w:val="Normal"/>
    <w:link w:val="HeaderChar"/>
    <w:uiPriority w:val="99"/>
    <w:unhideWhenUsed/>
    <w:rsid w:val="00882573"/>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882573"/>
  </w:style>
  <w:style w:type="paragraph" w:styleId="Footer">
    <w:name w:val="footer"/>
    <w:basedOn w:val="Normal"/>
    <w:link w:val="FooterChar"/>
    <w:uiPriority w:val="99"/>
    <w:unhideWhenUsed/>
    <w:rsid w:val="00882573"/>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882573"/>
  </w:style>
  <w:style w:type="paragraph" w:styleId="BalloonText">
    <w:name w:val="Balloon Text"/>
    <w:basedOn w:val="Normal"/>
    <w:link w:val="BalloonTextChar"/>
    <w:uiPriority w:val="99"/>
    <w:semiHidden/>
    <w:unhideWhenUsed/>
    <w:rsid w:val="00373DBB"/>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73DBB"/>
    <w:rPr>
      <w:rFonts w:ascii="Tahoma" w:hAnsi="Tahoma" w:cs="Tahoma"/>
      <w:sz w:val="16"/>
      <w:szCs w:val="16"/>
    </w:rPr>
  </w:style>
  <w:style w:type="character" w:customStyle="1" w:styleId="TitleChar">
    <w:name w:val="Title Char"/>
    <w:basedOn w:val="DefaultParagraphFont"/>
    <w:link w:val="Title"/>
    <w:uiPriority w:val="10"/>
    <w:rsid w:val="00066C51"/>
    <w:rPr>
      <w:sz w:val="52"/>
      <w:szCs w:val="5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81E9956-5ED5-4F45-A21A-4068046FF1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27</Pages>
  <Words>6565</Words>
  <Characters>37426</Characters>
  <Application>Microsoft Office Word</Application>
  <DocSecurity>0</DocSecurity>
  <Lines>311</Lines>
  <Paragraphs>87</Paragraphs>
  <ScaleCrop>false</ScaleCrop>
  <Company/>
  <LinksUpToDate>false</LinksUpToDate>
  <CharactersWithSpaces>43904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Kanak</dc:creator>
  <cp:lastModifiedBy>kanak jamalta</cp:lastModifiedBy>
  <cp:revision>2</cp:revision>
  <dcterms:created xsi:type="dcterms:W3CDTF">2023-11-17T10:26:00Z</dcterms:created>
  <dcterms:modified xsi:type="dcterms:W3CDTF">2023-11-17T10:26:00Z</dcterms:modified>
</cp:coreProperties>
</file>