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B03C2" w14:textId="2033863C" w:rsidR="6D21097D" w:rsidRPr="00F025E9" w:rsidRDefault="6D21097D" w:rsidP="00F025E9">
      <w:pPr>
        <w:pStyle w:val="Title"/>
        <w:spacing w:line="480" w:lineRule="auto"/>
        <w:jc w:val="center"/>
        <w:rPr>
          <w:rFonts w:ascii="Times New Roman" w:hAnsi="Times New Roman" w:cs="Times New Roman"/>
          <w:sz w:val="24"/>
          <w:szCs w:val="24"/>
        </w:rPr>
      </w:pPr>
    </w:p>
    <w:p w14:paraId="1373E6BD" w14:textId="2B0503C7" w:rsidR="6D21097D" w:rsidRPr="00F025E9" w:rsidRDefault="6D21097D" w:rsidP="00F025E9">
      <w:pPr>
        <w:pStyle w:val="Title"/>
        <w:spacing w:line="480" w:lineRule="auto"/>
        <w:jc w:val="center"/>
        <w:rPr>
          <w:rFonts w:ascii="Times New Roman" w:hAnsi="Times New Roman" w:cs="Times New Roman"/>
          <w:sz w:val="24"/>
          <w:szCs w:val="24"/>
        </w:rPr>
      </w:pPr>
    </w:p>
    <w:p w14:paraId="580E8DA0" w14:textId="77777777" w:rsidR="0068254F" w:rsidRDefault="0068254F" w:rsidP="0068254F">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Criminal Law</w:t>
      </w:r>
    </w:p>
    <w:p w14:paraId="5D941B0C" w14:textId="67FEFF74" w:rsidR="0068254F" w:rsidRDefault="0068254F" w:rsidP="0068254F">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 xml:space="preserve">Assignment </w:t>
      </w:r>
      <w:r>
        <w:rPr>
          <w:rFonts w:ascii="Times New Roman" w:hAnsi="Times New Roman" w:cs="Times New Roman"/>
          <w:b/>
          <w:bCs/>
          <w:sz w:val="44"/>
          <w:szCs w:val="44"/>
        </w:rPr>
        <w:t>1</w:t>
      </w:r>
    </w:p>
    <w:p w14:paraId="2F93DB6A" w14:textId="77777777" w:rsidR="0068254F" w:rsidRPr="0068254F" w:rsidRDefault="0068254F" w:rsidP="0068254F">
      <w:pPr>
        <w:pStyle w:val="Title"/>
        <w:spacing w:line="480" w:lineRule="auto"/>
        <w:jc w:val="center"/>
        <w:rPr>
          <w:rFonts w:ascii="Times New Roman" w:eastAsia="Times New Roman" w:hAnsi="Times New Roman" w:cs="Times New Roman"/>
          <w:b/>
          <w:bCs/>
          <w:i/>
          <w:iCs/>
          <w:sz w:val="8"/>
          <w:szCs w:val="8"/>
        </w:rPr>
      </w:pPr>
      <w:r w:rsidRPr="0068254F">
        <w:rPr>
          <w:rFonts w:ascii="Times New Roman" w:hAnsi="Times New Roman" w:cs="Times New Roman"/>
          <w:b/>
          <w:bCs/>
          <w:i/>
          <w:iCs/>
          <w:sz w:val="24"/>
          <w:szCs w:val="24"/>
        </w:rPr>
        <w:t>“REFORM OF HOMICIDE”</w:t>
      </w:r>
    </w:p>
    <w:p w14:paraId="6F912DB8" w14:textId="77777777" w:rsidR="0068254F" w:rsidRDefault="0068254F" w:rsidP="0068254F">
      <w:pPr>
        <w:spacing w:line="360" w:lineRule="auto"/>
        <w:jc w:val="center"/>
        <w:rPr>
          <w:rFonts w:ascii="Times New Roman" w:hAnsi="Times New Roman" w:cs="Times New Roman"/>
          <w:b/>
          <w:bCs/>
          <w:sz w:val="44"/>
          <w:szCs w:val="44"/>
        </w:rPr>
      </w:pPr>
    </w:p>
    <w:p w14:paraId="225C9051" w14:textId="3EA740C1" w:rsidR="0068254F" w:rsidRPr="0068254F" w:rsidRDefault="0068254F" w:rsidP="0068254F">
      <w:pPr>
        <w:spacing w:line="360" w:lineRule="auto"/>
        <w:jc w:val="center"/>
        <w:rPr>
          <w:rFonts w:ascii="Times New Roman" w:hAnsi="Times New Roman" w:cs="Times New Roman"/>
          <w:b/>
          <w:bCs/>
          <w:sz w:val="44"/>
          <w:szCs w:val="44"/>
        </w:rPr>
      </w:pPr>
      <w:r w:rsidRPr="0068254F">
        <w:rPr>
          <w:rFonts w:ascii="Times New Roman" w:hAnsi="Times New Roman" w:cs="Times New Roman"/>
          <w:b/>
          <w:bCs/>
          <w:sz w:val="44"/>
          <w:szCs w:val="44"/>
        </w:rPr>
        <w:t>ESSAY</w:t>
      </w:r>
    </w:p>
    <w:p w14:paraId="15DE7AE5" w14:textId="77777777" w:rsidR="0068254F" w:rsidRDefault="0068254F" w:rsidP="0068254F">
      <w:pPr>
        <w:spacing w:line="360" w:lineRule="auto"/>
        <w:jc w:val="center"/>
        <w:rPr>
          <w:rFonts w:ascii="Times New Roman" w:hAnsi="Times New Roman" w:cs="Times New Roman"/>
          <w:b/>
          <w:bCs/>
          <w:sz w:val="44"/>
          <w:szCs w:val="44"/>
        </w:rPr>
      </w:pPr>
    </w:p>
    <w:p w14:paraId="131D6D60" w14:textId="77777777" w:rsidR="0068254F" w:rsidRDefault="0068254F" w:rsidP="0068254F">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Student Name: Maria </w:t>
      </w:r>
      <w:proofErr w:type="spellStart"/>
      <w:r>
        <w:rPr>
          <w:rFonts w:ascii="Times New Roman" w:hAnsi="Times New Roman" w:cs="Times New Roman"/>
          <w:b/>
          <w:bCs/>
          <w:sz w:val="28"/>
          <w:szCs w:val="28"/>
        </w:rPr>
        <w:t>Chiriac</w:t>
      </w:r>
      <w:proofErr w:type="spellEnd"/>
    </w:p>
    <w:p w14:paraId="6AF9A89B" w14:textId="77777777" w:rsidR="0068254F" w:rsidRDefault="0068254F" w:rsidP="0068254F">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Student ID: 2123675</w:t>
      </w:r>
    </w:p>
    <w:p w14:paraId="0829FB97" w14:textId="6AA91AED" w:rsidR="6D21097D" w:rsidRDefault="6D21097D" w:rsidP="6D21097D">
      <w:pPr>
        <w:spacing w:line="360" w:lineRule="auto"/>
        <w:jc w:val="both"/>
        <w:rPr>
          <w:rFonts w:ascii="Times New Roman" w:eastAsia="Times New Roman" w:hAnsi="Times New Roman" w:cs="Times New Roman"/>
          <w:sz w:val="24"/>
          <w:szCs w:val="24"/>
        </w:rPr>
      </w:pPr>
    </w:p>
    <w:p w14:paraId="71AD2803" w14:textId="1B900FAF" w:rsidR="6D21097D" w:rsidRDefault="6D21097D" w:rsidP="6D21097D">
      <w:pPr>
        <w:spacing w:line="360" w:lineRule="auto"/>
        <w:jc w:val="both"/>
        <w:rPr>
          <w:rFonts w:ascii="Times New Roman" w:eastAsia="Times New Roman" w:hAnsi="Times New Roman" w:cs="Times New Roman"/>
          <w:sz w:val="24"/>
          <w:szCs w:val="24"/>
        </w:rPr>
      </w:pPr>
    </w:p>
    <w:p w14:paraId="1FCD6593" w14:textId="77777777" w:rsidR="00F025E9" w:rsidRDefault="00F025E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6675C12" w14:textId="77777777" w:rsidR="00F025E9" w:rsidRPr="00F025E9" w:rsidRDefault="00F025E9" w:rsidP="00F025E9">
      <w:pPr>
        <w:pStyle w:val="Heading1"/>
        <w:rPr>
          <w:rFonts w:ascii="Times New Roman" w:eastAsia="Times New Roman" w:hAnsi="Times New Roman" w:cs="Times New Roman"/>
          <w:b/>
          <w:bCs/>
          <w:color w:val="auto"/>
          <w:sz w:val="24"/>
          <w:szCs w:val="24"/>
        </w:rPr>
      </w:pPr>
      <w:r w:rsidRPr="00F025E9">
        <w:rPr>
          <w:rFonts w:ascii="Times New Roman" w:eastAsia="Times New Roman" w:hAnsi="Times New Roman" w:cs="Times New Roman"/>
          <w:b/>
          <w:bCs/>
          <w:color w:val="auto"/>
          <w:sz w:val="24"/>
          <w:szCs w:val="24"/>
        </w:rPr>
        <w:lastRenderedPageBreak/>
        <w:t>Does law governing homicide in the England and Wales need reforming?</w:t>
      </w:r>
    </w:p>
    <w:p w14:paraId="2C078E63" w14:textId="2F6525C9" w:rsidR="00800515" w:rsidRDefault="5DCA2245" w:rsidP="00F025E9">
      <w:pPr>
        <w:spacing w:line="360" w:lineRule="auto"/>
        <w:ind w:firstLine="720"/>
        <w:jc w:val="both"/>
        <w:rPr>
          <w:rFonts w:ascii="Times New Roman" w:eastAsia="Times New Roman" w:hAnsi="Times New Roman" w:cs="Times New Roman"/>
          <w:sz w:val="24"/>
          <w:szCs w:val="24"/>
        </w:rPr>
      </w:pPr>
      <w:r w:rsidRPr="5DCA2245">
        <w:rPr>
          <w:rFonts w:ascii="Times New Roman" w:eastAsia="Times New Roman" w:hAnsi="Times New Roman" w:cs="Times New Roman"/>
          <w:sz w:val="24"/>
          <w:szCs w:val="24"/>
        </w:rPr>
        <w:t>The homicide laws in England and Wales have been debated and criticised for decades. Legal professionals agree that the current legal system needs revision since it is a "rickety structure set upon shaky foundations," as the Law Commission put it in 2005. This essay aims to evaluate whether the homicide laws in England and Wales need to be changed. The fundamental issues with partial defences to murder, differences over the amount of intent required for murder, and the extent of manslaughter, as well as reform recommendations presented by the Law Commission and other organisations, will be examined to provide a comprehensive examination of the need for reform. The current law's complexities and limitations will be analysed from a social, moral, and ethical point of view. The purpose of this study is to delve into the core policy concerns and evaluate the delicate balance that must be struck between regulating social behaviour and protecting the rights of both defendants and victims. This article contributes to the ongoing debate regarding updating the laws in England and Wales that deal with murder.</w:t>
      </w:r>
    </w:p>
    <w:p w14:paraId="7A5A3E8F" w14:textId="598579B7" w:rsidR="6D21097D" w:rsidRDefault="5DCA2245" w:rsidP="00F025E9">
      <w:pPr>
        <w:spacing w:line="360" w:lineRule="auto"/>
        <w:ind w:firstLine="720"/>
        <w:jc w:val="both"/>
        <w:rPr>
          <w:rFonts w:ascii="Times New Roman" w:eastAsia="Times New Roman" w:hAnsi="Times New Roman" w:cs="Times New Roman"/>
          <w:sz w:val="24"/>
          <w:szCs w:val="24"/>
        </w:rPr>
      </w:pPr>
      <w:r w:rsidRPr="5DCA2245">
        <w:rPr>
          <w:rFonts w:ascii="Times New Roman" w:eastAsia="Times New Roman" w:hAnsi="Times New Roman" w:cs="Times New Roman"/>
          <w:sz w:val="24"/>
          <w:szCs w:val="24"/>
        </w:rPr>
        <w:t>The law in England and Wales pertaining to homicide is a complicated area of criminal law that has provoked a large amount of debate over the requirement for legal reform in recent years. To investigate this topic in its completeness, it is necessary to carry out a study into the pre-existing legal framework, key issues, ideas for reform, answers from the administration, and arguments against reform.</w:t>
      </w:r>
    </w:p>
    <w:p w14:paraId="0BF6A738" w14:textId="11A86604" w:rsidR="6D21097D" w:rsidRDefault="5DCA2245" w:rsidP="00F025E9">
      <w:pPr>
        <w:spacing w:line="360" w:lineRule="auto"/>
        <w:ind w:firstLine="720"/>
        <w:jc w:val="both"/>
        <w:rPr>
          <w:rFonts w:ascii="Times New Roman" w:eastAsia="Times New Roman" w:hAnsi="Times New Roman" w:cs="Times New Roman"/>
          <w:sz w:val="24"/>
          <w:szCs w:val="24"/>
        </w:rPr>
      </w:pPr>
      <w:r w:rsidRPr="5DCA2245">
        <w:rPr>
          <w:rFonts w:ascii="Times New Roman" w:eastAsia="Times New Roman" w:hAnsi="Times New Roman" w:cs="Times New Roman"/>
          <w:sz w:val="24"/>
          <w:szCs w:val="24"/>
        </w:rPr>
        <w:t>The Homicide Act of 1957 and the common law provide the basis of the present homicide legislation in England and Wales. Both legal frameworks were established in 1957. The term "manslaughter" is used to refer to unlawful deaths that do not fit the conditions for "murder," although the definition of "murder" is the deliberate killing of a human person with the intent to cause harm. The term "manslaughter" refers to any unlawful death that does not satisfy these standards. These statutory definitions provide the groundwork for carrying out an investigation of the degree to which reform is necessary in this field (Hall, 1947).</w:t>
      </w:r>
    </w:p>
    <w:p w14:paraId="1B49EDCC" w14:textId="38928AA8" w:rsidR="6D21097D" w:rsidRDefault="5DCA2245" w:rsidP="00F025E9">
      <w:pPr>
        <w:spacing w:line="360" w:lineRule="auto"/>
        <w:ind w:firstLine="720"/>
        <w:jc w:val="both"/>
        <w:rPr>
          <w:rFonts w:ascii="Times New Roman" w:eastAsia="Times New Roman" w:hAnsi="Times New Roman" w:cs="Times New Roman"/>
          <w:sz w:val="24"/>
          <w:szCs w:val="24"/>
        </w:rPr>
      </w:pPr>
      <w:r w:rsidRPr="5DCA2245">
        <w:rPr>
          <w:rFonts w:ascii="Times New Roman" w:eastAsia="Times New Roman" w:hAnsi="Times New Roman" w:cs="Times New Roman"/>
          <w:sz w:val="24"/>
          <w:szCs w:val="24"/>
        </w:rPr>
        <w:t xml:space="preserve">The subject of whether there are any partial defences to the crime of murder is an important one to consider when homicide law is being researched. These defences, such as diminished culpability and provocation, are attempts to mitigate the gravity of the murder charge by considering the mental state of the defendant or the circumstances that were present at the time of the alleged offence. However, the fairness of these policies as well as their effectiveness have </w:t>
      </w:r>
      <w:r w:rsidRPr="5DCA2245">
        <w:rPr>
          <w:rFonts w:ascii="Times New Roman" w:eastAsia="Times New Roman" w:hAnsi="Times New Roman" w:cs="Times New Roman"/>
          <w:sz w:val="24"/>
          <w:szCs w:val="24"/>
        </w:rPr>
        <w:lastRenderedPageBreak/>
        <w:t xml:space="preserve">come under examination and criticism in recent times. For instance, the subjective nature of the provocation defence has been put into question, which has brought up the prospect of prejudices and gender imbalances (Conley, 2007). </w:t>
      </w:r>
    </w:p>
    <w:p w14:paraId="1CA1DE25" w14:textId="1C80D75D" w:rsidR="6D21097D" w:rsidRDefault="5DCA2245" w:rsidP="00F025E9">
      <w:pPr>
        <w:spacing w:line="360" w:lineRule="auto"/>
        <w:ind w:firstLine="720"/>
        <w:jc w:val="both"/>
        <w:rPr>
          <w:rFonts w:ascii="Times New Roman" w:eastAsia="Times New Roman" w:hAnsi="Times New Roman" w:cs="Times New Roman"/>
          <w:sz w:val="24"/>
          <w:szCs w:val="24"/>
        </w:rPr>
      </w:pPr>
      <w:r w:rsidRPr="5DCA2245">
        <w:rPr>
          <w:rFonts w:ascii="Times New Roman" w:eastAsia="Times New Roman" w:hAnsi="Times New Roman" w:cs="Times New Roman"/>
          <w:sz w:val="24"/>
          <w:szCs w:val="24"/>
        </w:rPr>
        <w:t xml:space="preserve">Talking about the degree of purpose that must be there for there to be murder is another tough topic to broach. The way the law is written right now, there needs to be a clear intention to either kill someone or cause them serious bodily harm (GBH). On the other hand, there are arguments that have been made against the high level of proof that is required to prove purpose. These are the kind of arguments that have been made in especially for situations in which the defendant's acts may have been negligent or had unexpected repercussions. This gives rise to the question of whether the legal system appropriately embodies the contemporary concepts of culpability in homicide situations (Pike, 2022). </w:t>
      </w:r>
    </w:p>
    <w:p w14:paraId="10E15ECA" w14:textId="01AA8F21" w:rsidR="6D21097D" w:rsidRDefault="5DCA2245" w:rsidP="00F025E9">
      <w:pPr>
        <w:spacing w:line="360" w:lineRule="auto"/>
        <w:ind w:firstLine="720"/>
        <w:jc w:val="both"/>
        <w:rPr>
          <w:rFonts w:ascii="Times New Roman" w:eastAsia="Times New Roman" w:hAnsi="Times New Roman" w:cs="Times New Roman"/>
          <w:sz w:val="24"/>
          <w:szCs w:val="24"/>
        </w:rPr>
      </w:pPr>
      <w:r w:rsidRPr="5DCA2245">
        <w:rPr>
          <w:rFonts w:ascii="Times New Roman" w:eastAsia="Times New Roman" w:hAnsi="Times New Roman" w:cs="Times New Roman"/>
          <w:sz w:val="24"/>
          <w:szCs w:val="24"/>
        </w:rPr>
        <w:t>The expansive nature of the manslaughter accusation itself presents yet another substantial obstacle. Some people believe that the current definition of manslaughter is overly broad, as it encompasses a variety of different scenarios in which the perpetrator bears differing degrees of responsibility for the death of the victim. It is necessary to take a more sophisticated approach that differentiates between several types of manslaughter, such as voluntary and involuntary manslaughter, because of this broad category, which has resulted in problems regarding inconsistent punishment (</w:t>
      </w:r>
      <w:bookmarkStart w:id="0" w:name="_Int_uUtqOztA"/>
      <w:r w:rsidRPr="5DCA2245">
        <w:rPr>
          <w:rFonts w:ascii="Times New Roman" w:eastAsia="Times New Roman" w:hAnsi="Times New Roman" w:cs="Times New Roman"/>
          <w:sz w:val="24"/>
          <w:szCs w:val="24"/>
        </w:rPr>
        <w:t>Fitz-Gibbon</w:t>
      </w:r>
      <w:bookmarkEnd w:id="0"/>
      <w:r w:rsidRPr="5DCA2245">
        <w:rPr>
          <w:rFonts w:ascii="Times New Roman" w:eastAsia="Times New Roman" w:hAnsi="Times New Roman" w:cs="Times New Roman"/>
          <w:sz w:val="24"/>
          <w:szCs w:val="24"/>
        </w:rPr>
        <w:t xml:space="preserve"> &amp; </w:t>
      </w:r>
      <w:proofErr w:type="spellStart"/>
      <w:r w:rsidRPr="5DCA2245">
        <w:rPr>
          <w:rFonts w:ascii="Times New Roman" w:eastAsia="Times New Roman" w:hAnsi="Times New Roman" w:cs="Times New Roman"/>
          <w:sz w:val="24"/>
          <w:szCs w:val="24"/>
        </w:rPr>
        <w:t>Walklate</w:t>
      </w:r>
      <w:proofErr w:type="spellEnd"/>
      <w:r w:rsidRPr="5DCA2245">
        <w:rPr>
          <w:rFonts w:ascii="Times New Roman" w:eastAsia="Times New Roman" w:hAnsi="Times New Roman" w:cs="Times New Roman"/>
          <w:sz w:val="24"/>
          <w:szCs w:val="24"/>
        </w:rPr>
        <w:t xml:space="preserve">, 2016). It is imperative that this method discriminate between the many forms of manslaughter. </w:t>
      </w:r>
    </w:p>
    <w:p w14:paraId="43818D72" w14:textId="2702C6DB" w:rsidR="6D21097D" w:rsidRDefault="5DCA2245" w:rsidP="00F025E9">
      <w:pPr>
        <w:spacing w:line="360" w:lineRule="auto"/>
        <w:ind w:firstLine="720"/>
        <w:jc w:val="both"/>
        <w:rPr>
          <w:rFonts w:ascii="Times New Roman" w:eastAsia="Times New Roman" w:hAnsi="Times New Roman" w:cs="Times New Roman"/>
          <w:sz w:val="24"/>
          <w:szCs w:val="24"/>
        </w:rPr>
      </w:pPr>
      <w:r w:rsidRPr="5DCA2245">
        <w:rPr>
          <w:rFonts w:ascii="Times New Roman" w:eastAsia="Times New Roman" w:hAnsi="Times New Roman" w:cs="Times New Roman"/>
          <w:sz w:val="24"/>
          <w:szCs w:val="24"/>
        </w:rPr>
        <w:t xml:space="preserve">Considering these concerns, the Statute Commission along with a few other entities have advocated revising the statute that governs homicide. The implementation of these ideas is meant to remedy the problems and bring the legal system up to date. For instance, the Law Commission has suggested that the intent requirement for murder, as well as the partial defences of diminished culpability and provocation, be re-examined and reconsidered. This is something that needs to be done. These suggestions originated from a desire to see the legislation implemented in a way that was more transparent, equitable, and consistent (legislation Commission, 2005). </w:t>
      </w:r>
    </w:p>
    <w:p w14:paraId="446DD916" w14:textId="1C772597" w:rsidR="6D21097D" w:rsidRDefault="5DCA2245" w:rsidP="00F025E9">
      <w:pPr>
        <w:spacing w:line="360" w:lineRule="auto"/>
        <w:ind w:firstLine="720"/>
        <w:jc w:val="both"/>
        <w:rPr>
          <w:rFonts w:ascii="Times New Roman" w:eastAsia="Times New Roman" w:hAnsi="Times New Roman" w:cs="Times New Roman"/>
          <w:sz w:val="24"/>
          <w:szCs w:val="24"/>
        </w:rPr>
      </w:pPr>
      <w:r w:rsidRPr="5DCA2245">
        <w:rPr>
          <w:rFonts w:ascii="Times New Roman" w:eastAsia="Times New Roman" w:hAnsi="Times New Roman" w:cs="Times New Roman"/>
          <w:sz w:val="24"/>
          <w:szCs w:val="24"/>
        </w:rPr>
        <w:t xml:space="preserve">On the other hand, the government has, to varying degrees, supported and opposed several other reform measures. There have been some changes that have been permitted because of their potential to make the criminal justice system better, but there have also been some reforms that have been refused due to policy concerns and worries about unanticipated ramifications. The </w:t>
      </w:r>
      <w:r w:rsidRPr="5DCA2245">
        <w:rPr>
          <w:rFonts w:ascii="Times New Roman" w:eastAsia="Times New Roman" w:hAnsi="Times New Roman" w:cs="Times New Roman"/>
          <w:sz w:val="24"/>
          <w:szCs w:val="24"/>
        </w:rPr>
        <w:lastRenderedPageBreak/>
        <w:t xml:space="preserve">reason that some reforms have been authorised while others have been rejected is because of the potential that certain reforms have to make the criminal justice system better. According to Duff et al. (2014), the government can strike a balance between the competing imperatives of the need for reform, the upkeep of legal standards, and the interest of the public in the decisions it makes. </w:t>
      </w:r>
    </w:p>
    <w:p w14:paraId="4CEA949A" w14:textId="26119ACC" w:rsidR="6D21097D" w:rsidRDefault="5DCA2245" w:rsidP="00F025E9">
      <w:pPr>
        <w:spacing w:line="360" w:lineRule="auto"/>
        <w:ind w:firstLine="720"/>
        <w:jc w:val="both"/>
        <w:rPr>
          <w:rFonts w:ascii="Times New Roman" w:eastAsia="Times New Roman" w:hAnsi="Times New Roman" w:cs="Times New Roman"/>
          <w:sz w:val="24"/>
          <w:szCs w:val="24"/>
        </w:rPr>
      </w:pPr>
      <w:r w:rsidRPr="5DCA2245">
        <w:rPr>
          <w:rFonts w:ascii="Times New Roman" w:eastAsia="Times New Roman" w:hAnsi="Times New Roman" w:cs="Times New Roman"/>
          <w:sz w:val="24"/>
          <w:szCs w:val="24"/>
        </w:rPr>
        <w:t>In the numerous rebuttals to the pro-reform arguments, the significance of maintaining legal terminology that is clear and consistent is often emphasised. The existing judicial system might be thrown off if quick changes are made, hence critics warn against making such changes. If the changes are made without first giving the matter considerable consideration, there is a risk that the punishments will be inconsistent or that there will be an excessive amount of tolerance. According to Hostettler (2009), the preservation of fundamental legal concepts, such as the distinction between murder and manslaughter and the relevance of individual responsibility, is considered as being of the utmost importance. This is done to maintain the moral and ethical foundations upon which criminal law is founded.</w:t>
      </w:r>
    </w:p>
    <w:p w14:paraId="71254A9F" w14:textId="24EC8D40" w:rsidR="6D21097D" w:rsidRDefault="5DCA2245" w:rsidP="00F025E9">
      <w:pPr>
        <w:spacing w:line="360" w:lineRule="auto"/>
        <w:ind w:firstLine="720"/>
        <w:jc w:val="both"/>
        <w:rPr>
          <w:rFonts w:ascii="Times New Roman" w:eastAsia="Times New Roman" w:hAnsi="Times New Roman" w:cs="Times New Roman"/>
          <w:sz w:val="24"/>
          <w:szCs w:val="24"/>
        </w:rPr>
      </w:pPr>
      <w:r w:rsidRPr="5DCA2245">
        <w:rPr>
          <w:rFonts w:ascii="Times New Roman" w:eastAsia="Times New Roman" w:hAnsi="Times New Roman" w:cs="Times New Roman"/>
          <w:sz w:val="24"/>
          <w:szCs w:val="24"/>
        </w:rPr>
        <w:t xml:space="preserve">It is critical to consider the evidence offered by relevant case laws while examining the need for reform in the law controlling homicide in England and Wales. These examples shed light on the utility and potential shortcomings of the current judicial system. R v. </w:t>
      </w:r>
      <w:proofErr w:type="spellStart"/>
      <w:r w:rsidRPr="5DCA2245">
        <w:rPr>
          <w:rFonts w:ascii="Times New Roman" w:eastAsia="Times New Roman" w:hAnsi="Times New Roman" w:cs="Times New Roman"/>
          <w:sz w:val="24"/>
          <w:szCs w:val="24"/>
        </w:rPr>
        <w:t>Woollin</w:t>
      </w:r>
      <w:proofErr w:type="spellEnd"/>
      <w:r w:rsidRPr="5DCA2245">
        <w:rPr>
          <w:rFonts w:ascii="Times New Roman" w:eastAsia="Times New Roman" w:hAnsi="Times New Roman" w:cs="Times New Roman"/>
          <w:sz w:val="24"/>
          <w:szCs w:val="24"/>
        </w:rPr>
        <w:t xml:space="preserve"> [1999] is a noteworthy case that highlights the issues that underpin murderous intent. The House of Lords debated the use of "virtual certainty" to determine purpose in this case. The jury may infer the required purpose for murder if the defendant views the outcome of their actions as certain and is aware of this, according to the court. This decision sheds light on the difficulty in determining the necessary degree of intent for murder, as well as the problems in judging subjective mental states.</w:t>
      </w:r>
    </w:p>
    <w:p w14:paraId="605425C6" w14:textId="59AD679C" w:rsidR="6D21097D" w:rsidRDefault="6D21097D" w:rsidP="00F025E9">
      <w:pPr>
        <w:spacing w:line="360" w:lineRule="auto"/>
        <w:ind w:firstLine="720"/>
        <w:jc w:val="both"/>
        <w:rPr>
          <w:rFonts w:ascii="Times New Roman" w:eastAsia="Times New Roman" w:hAnsi="Times New Roman" w:cs="Times New Roman"/>
          <w:sz w:val="24"/>
          <w:szCs w:val="24"/>
        </w:rPr>
      </w:pPr>
      <w:r w:rsidRPr="6D21097D">
        <w:rPr>
          <w:rFonts w:ascii="Times New Roman" w:eastAsia="Times New Roman" w:hAnsi="Times New Roman" w:cs="Times New Roman"/>
          <w:sz w:val="24"/>
          <w:szCs w:val="24"/>
        </w:rPr>
        <w:t>Another case that raises questions about the meaning of manslaughter is R v. Adomako [1994]. In this case, medical professionals were charged of homicide by gross negligence. According to the House of Lords, a duty of care is required when there is a risk of death, which also defined the bar for criminal negligence. The case reminds us of the broad meaning of manslaughter and the possibility of differing criteria for what constitutes gross negligence. This raises concerns about the need for more exact classification of manslaughter cases, which can lead to uneven sentences.</w:t>
      </w:r>
    </w:p>
    <w:p w14:paraId="7E34FC1B" w14:textId="76AE1A99" w:rsidR="6D21097D" w:rsidRDefault="6D21097D" w:rsidP="00F025E9">
      <w:pPr>
        <w:spacing w:line="360" w:lineRule="auto"/>
        <w:ind w:firstLine="720"/>
        <w:jc w:val="both"/>
        <w:rPr>
          <w:rFonts w:ascii="Times New Roman" w:eastAsia="Times New Roman" w:hAnsi="Times New Roman" w:cs="Times New Roman"/>
          <w:sz w:val="24"/>
          <w:szCs w:val="24"/>
        </w:rPr>
      </w:pPr>
      <w:r w:rsidRPr="6D21097D">
        <w:rPr>
          <w:rFonts w:ascii="Times New Roman" w:eastAsia="Times New Roman" w:hAnsi="Times New Roman" w:cs="Times New Roman"/>
          <w:sz w:val="24"/>
          <w:szCs w:val="24"/>
        </w:rPr>
        <w:t xml:space="preserve">These incidents demonstrate the challenges and conflicts that exist in the present homicide legislation. They highlight the necessity for more specific instructions as well as a complex legal </w:t>
      </w:r>
      <w:r w:rsidRPr="6D21097D">
        <w:rPr>
          <w:rFonts w:ascii="Times New Roman" w:eastAsia="Times New Roman" w:hAnsi="Times New Roman" w:cs="Times New Roman"/>
          <w:sz w:val="24"/>
          <w:szCs w:val="24"/>
        </w:rPr>
        <w:lastRenderedPageBreak/>
        <w:t>framework to ensure uniformity, fairness, and justice in homicide cases. The examples indicate that reform may be necessary to overcome the flaws and complexities of the current legal system and to better align the law with prevailing societal norms.</w:t>
      </w:r>
    </w:p>
    <w:p w14:paraId="00DEB582" w14:textId="10C093A7" w:rsidR="6D21097D" w:rsidRDefault="6D21097D" w:rsidP="00F025E9">
      <w:pPr>
        <w:spacing w:line="360" w:lineRule="auto"/>
        <w:ind w:firstLine="720"/>
        <w:jc w:val="both"/>
        <w:rPr>
          <w:rFonts w:ascii="Times New Roman" w:eastAsia="Times New Roman" w:hAnsi="Times New Roman" w:cs="Times New Roman"/>
          <w:sz w:val="24"/>
          <w:szCs w:val="24"/>
        </w:rPr>
      </w:pPr>
      <w:r w:rsidRPr="6D21097D">
        <w:rPr>
          <w:rFonts w:ascii="Times New Roman" w:eastAsia="Times New Roman" w:hAnsi="Times New Roman" w:cs="Times New Roman"/>
          <w:sz w:val="24"/>
          <w:szCs w:val="24"/>
        </w:rPr>
        <w:t xml:space="preserve">In conclusion, there have been numerous proposals to amend the English and Welsh homicide laws. The current legal system, which is based on the common law and the Homicide Act of 1957, defines murder and manslaughter as criminal offences. However, there have been discussions about partial murder defences, intent standards, and the scope of manslaughter. To address these issues, the Law Commission and other organisations have proposed reforms. The government has responded differently to reform proposals, approving some because they have the potential to improve the criminal justice system and rejecting others because they may have unintended consequences and may not uphold legal standards. In arguments against reform, stability and legal clarity are emphasised heavily. The arguments made in relevant case laws, such as R v. </w:t>
      </w:r>
      <w:proofErr w:type="spellStart"/>
      <w:r w:rsidRPr="6D21097D">
        <w:rPr>
          <w:rFonts w:ascii="Times New Roman" w:eastAsia="Times New Roman" w:hAnsi="Times New Roman" w:cs="Times New Roman"/>
          <w:sz w:val="24"/>
          <w:szCs w:val="24"/>
        </w:rPr>
        <w:t>Woollin</w:t>
      </w:r>
      <w:proofErr w:type="spellEnd"/>
      <w:r w:rsidRPr="6D21097D">
        <w:rPr>
          <w:rFonts w:ascii="Times New Roman" w:eastAsia="Times New Roman" w:hAnsi="Times New Roman" w:cs="Times New Roman"/>
          <w:sz w:val="24"/>
          <w:szCs w:val="24"/>
        </w:rPr>
        <w:t>, R v. Adomako, and R v. Clinton, highlight the practical difficulties and disagreements that exist within the current legal system. Overall, it is evident that the homicide laws of England and Wales must be revised to create a more complex, equitable, and balanced legal system that embodies contemporary cultural values and ensures justice for all parties.</w:t>
      </w:r>
    </w:p>
    <w:p w14:paraId="161EDA11" w14:textId="72FC9F09" w:rsidR="6D21097D" w:rsidRDefault="6D21097D" w:rsidP="6D21097D">
      <w:pPr>
        <w:spacing w:line="360" w:lineRule="auto"/>
        <w:jc w:val="both"/>
        <w:rPr>
          <w:rFonts w:ascii="Times New Roman" w:eastAsia="Times New Roman" w:hAnsi="Times New Roman" w:cs="Times New Roman"/>
          <w:sz w:val="24"/>
          <w:szCs w:val="24"/>
        </w:rPr>
      </w:pPr>
    </w:p>
    <w:p w14:paraId="620B8F33" w14:textId="3D61EC2B" w:rsidR="6D21097D" w:rsidRDefault="6D21097D" w:rsidP="6D21097D">
      <w:pPr>
        <w:spacing w:line="360" w:lineRule="auto"/>
        <w:jc w:val="both"/>
        <w:rPr>
          <w:rFonts w:ascii="Times New Roman" w:eastAsia="Times New Roman" w:hAnsi="Times New Roman" w:cs="Times New Roman"/>
          <w:sz w:val="24"/>
          <w:szCs w:val="24"/>
        </w:rPr>
      </w:pPr>
    </w:p>
    <w:p w14:paraId="17F1ACF7" w14:textId="717145D8" w:rsidR="6D21097D" w:rsidRDefault="6D21097D">
      <w:r>
        <w:br w:type="page"/>
      </w:r>
    </w:p>
    <w:p w14:paraId="73050F6B" w14:textId="17FFEADB" w:rsidR="6D21097D" w:rsidRPr="00F025E9" w:rsidRDefault="6D21097D" w:rsidP="00F025E9">
      <w:pPr>
        <w:pStyle w:val="Heading1"/>
        <w:rPr>
          <w:rFonts w:ascii="Times New Roman" w:eastAsia="Times New Roman" w:hAnsi="Times New Roman" w:cs="Times New Roman"/>
          <w:b/>
          <w:bCs/>
          <w:color w:val="auto"/>
          <w:sz w:val="24"/>
          <w:szCs w:val="24"/>
        </w:rPr>
      </w:pPr>
      <w:r w:rsidRPr="00F025E9">
        <w:rPr>
          <w:rFonts w:ascii="Times New Roman" w:eastAsia="Times New Roman" w:hAnsi="Times New Roman" w:cs="Times New Roman"/>
          <w:b/>
          <w:bCs/>
          <w:color w:val="auto"/>
          <w:sz w:val="24"/>
          <w:szCs w:val="24"/>
        </w:rPr>
        <w:lastRenderedPageBreak/>
        <w:t xml:space="preserve">References </w:t>
      </w:r>
    </w:p>
    <w:p w14:paraId="2B8FE764" w14:textId="74442F62" w:rsidR="6D21097D" w:rsidRDefault="6D21097D" w:rsidP="00F025E9">
      <w:pPr>
        <w:spacing w:line="360" w:lineRule="auto"/>
        <w:ind w:left="720" w:hanging="720"/>
        <w:jc w:val="both"/>
        <w:rPr>
          <w:rFonts w:ascii="Times New Roman" w:eastAsia="Times New Roman" w:hAnsi="Times New Roman" w:cs="Times New Roman"/>
          <w:sz w:val="24"/>
          <w:szCs w:val="24"/>
        </w:rPr>
      </w:pPr>
      <w:r w:rsidRPr="6D21097D">
        <w:rPr>
          <w:rFonts w:ascii="Times New Roman" w:eastAsia="Times New Roman" w:hAnsi="Times New Roman" w:cs="Times New Roman"/>
          <w:sz w:val="24"/>
          <w:szCs w:val="24"/>
        </w:rPr>
        <w:t xml:space="preserve">Conley, C., 2007. </w:t>
      </w:r>
      <w:r w:rsidRPr="6D21097D">
        <w:rPr>
          <w:rFonts w:ascii="Times New Roman" w:eastAsia="Times New Roman" w:hAnsi="Times New Roman" w:cs="Times New Roman"/>
          <w:i/>
          <w:iCs/>
          <w:sz w:val="24"/>
          <w:szCs w:val="24"/>
        </w:rPr>
        <w:t>Certain other countries: homicide, gender, and national identity in late nineteenth-century England, Ireland, Scotland, and Wales</w:t>
      </w:r>
      <w:r w:rsidRPr="6D21097D">
        <w:rPr>
          <w:rFonts w:ascii="Times New Roman" w:eastAsia="Times New Roman" w:hAnsi="Times New Roman" w:cs="Times New Roman"/>
          <w:sz w:val="24"/>
          <w:szCs w:val="24"/>
        </w:rPr>
        <w:t>. Ohio State University Press.</w:t>
      </w:r>
    </w:p>
    <w:p w14:paraId="0CDA4764" w14:textId="5ECD08C8" w:rsidR="6D21097D" w:rsidRDefault="6D21097D" w:rsidP="00F025E9">
      <w:pPr>
        <w:spacing w:line="360" w:lineRule="auto"/>
        <w:ind w:left="720" w:hanging="720"/>
        <w:jc w:val="both"/>
        <w:rPr>
          <w:rFonts w:ascii="Times New Roman" w:eastAsia="Times New Roman" w:hAnsi="Times New Roman" w:cs="Times New Roman"/>
          <w:sz w:val="24"/>
          <w:szCs w:val="24"/>
        </w:rPr>
      </w:pPr>
      <w:r w:rsidRPr="6D21097D">
        <w:rPr>
          <w:rFonts w:ascii="Times New Roman" w:eastAsia="Times New Roman" w:hAnsi="Times New Roman" w:cs="Times New Roman"/>
          <w:sz w:val="24"/>
          <w:szCs w:val="24"/>
        </w:rPr>
        <w:t xml:space="preserve">Duff, A., Farmer, L., Marshall, S.E., Renzo, M. and </w:t>
      </w:r>
      <w:proofErr w:type="spellStart"/>
      <w:r w:rsidRPr="6D21097D">
        <w:rPr>
          <w:rFonts w:ascii="Times New Roman" w:eastAsia="Times New Roman" w:hAnsi="Times New Roman" w:cs="Times New Roman"/>
          <w:sz w:val="24"/>
          <w:szCs w:val="24"/>
        </w:rPr>
        <w:t>Tadros</w:t>
      </w:r>
      <w:proofErr w:type="spellEnd"/>
      <w:r w:rsidRPr="6D21097D">
        <w:rPr>
          <w:rFonts w:ascii="Times New Roman" w:eastAsia="Times New Roman" w:hAnsi="Times New Roman" w:cs="Times New Roman"/>
          <w:sz w:val="24"/>
          <w:szCs w:val="24"/>
        </w:rPr>
        <w:t xml:space="preserve">, V. eds., 2014. </w:t>
      </w:r>
      <w:r w:rsidRPr="6D21097D">
        <w:rPr>
          <w:rFonts w:ascii="Times New Roman" w:eastAsia="Times New Roman" w:hAnsi="Times New Roman" w:cs="Times New Roman"/>
          <w:i/>
          <w:iCs/>
          <w:sz w:val="24"/>
          <w:szCs w:val="24"/>
        </w:rPr>
        <w:t>Criminalization: the political morality of the criminal law</w:t>
      </w:r>
      <w:r w:rsidRPr="6D21097D">
        <w:rPr>
          <w:rFonts w:ascii="Times New Roman" w:eastAsia="Times New Roman" w:hAnsi="Times New Roman" w:cs="Times New Roman"/>
          <w:sz w:val="24"/>
          <w:szCs w:val="24"/>
        </w:rPr>
        <w:t>. Oxford University Press.</w:t>
      </w:r>
    </w:p>
    <w:p w14:paraId="074DCDD6" w14:textId="7DBA1B6E" w:rsidR="6D21097D" w:rsidRDefault="5DCA2245" w:rsidP="00F025E9">
      <w:pPr>
        <w:spacing w:line="360" w:lineRule="auto"/>
        <w:ind w:left="720" w:hanging="720"/>
        <w:jc w:val="both"/>
        <w:rPr>
          <w:rFonts w:ascii="Times New Roman" w:eastAsia="Times New Roman" w:hAnsi="Times New Roman" w:cs="Times New Roman"/>
          <w:sz w:val="24"/>
          <w:szCs w:val="24"/>
        </w:rPr>
      </w:pPr>
      <w:bookmarkStart w:id="1" w:name="_Int_FIMTfQ7N"/>
      <w:r w:rsidRPr="5DCA2245">
        <w:rPr>
          <w:rFonts w:ascii="Times New Roman" w:eastAsia="Times New Roman" w:hAnsi="Times New Roman" w:cs="Times New Roman"/>
          <w:sz w:val="24"/>
          <w:szCs w:val="24"/>
        </w:rPr>
        <w:t>Fitz-Gibbon</w:t>
      </w:r>
      <w:bookmarkEnd w:id="1"/>
      <w:r w:rsidRPr="5DCA2245">
        <w:rPr>
          <w:rFonts w:ascii="Times New Roman" w:eastAsia="Times New Roman" w:hAnsi="Times New Roman" w:cs="Times New Roman"/>
          <w:sz w:val="24"/>
          <w:szCs w:val="24"/>
        </w:rPr>
        <w:t xml:space="preserve">, K. and </w:t>
      </w:r>
      <w:proofErr w:type="spellStart"/>
      <w:r w:rsidRPr="5DCA2245">
        <w:rPr>
          <w:rFonts w:ascii="Times New Roman" w:eastAsia="Times New Roman" w:hAnsi="Times New Roman" w:cs="Times New Roman"/>
          <w:sz w:val="24"/>
          <w:szCs w:val="24"/>
        </w:rPr>
        <w:t>Walklate</w:t>
      </w:r>
      <w:proofErr w:type="spellEnd"/>
      <w:r w:rsidRPr="5DCA2245">
        <w:rPr>
          <w:rFonts w:ascii="Times New Roman" w:eastAsia="Times New Roman" w:hAnsi="Times New Roman" w:cs="Times New Roman"/>
          <w:sz w:val="24"/>
          <w:szCs w:val="24"/>
        </w:rPr>
        <w:t xml:space="preserve">, S. eds., 2016. </w:t>
      </w:r>
      <w:r w:rsidRPr="5DCA2245">
        <w:rPr>
          <w:rFonts w:ascii="Times New Roman" w:eastAsia="Times New Roman" w:hAnsi="Times New Roman" w:cs="Times New Roman"/>
          <w:i/>
          <w:iCs/>
          <w:sz w:val="24"/>
          <w:szCs w:val="24"/>
        </w:rPr>
        <w:t>Homicide, gender and responsibility: An international perspective</w:t>
      </w:r>
      <w:r w:rsidRPr="5DCA2245">
        <w:rPr>
          <w:rFonts w:ascii="Times New Roman" w:eastAsia="Times New Roman" w:hAnsi="Times New Roman" w:cs="Times New Roman"/>
          <w:sz w:val="24"/>
          <w:szCs w:val="24"/>
        </w:rPr>
        <w:t>. Routledge.</w:t>
      </w:r>
    </w:p>
    <w:p w14:paraId="4DF52BAA" w14:textId="70852C72" w:rsidR="6D21097D" w:rsidRDefault="6D21097D" w:rsidP="00F025E9">
      <w:pPr>
        <w:spacing w:line="360" w:lineRule="auto"/>
        <w:ind w:left="720" w:hanging="720"/>
        <w:jc w:val="both"/>
        <w:rPr>
          <w:rFonts w:ascii="Times New Roman" w:eastAsia="Times New Roman" w:hAnsi="Times New Roman" w:cs="Times New Roman"/>
          <w:sz w:val="24"/>
          <w:szCs w:val="24"/>
        </w:rPr>
      </w:pPr>
      <w:r w:rsidRPr="6D21097D">
        <w:rPr>
          <w:rFonts w:ascii="Times New Roman" w:eastAsia="Times New Roman" w:hAnsi="Times New Roman" w:cs="Times New Roman"/>
          <w:sz w:val="24"/>
          <w:szCs w:val="24"/>
        </w:rPr>
        <w:t>Hall, L., 1947. General principles of criminal law.</w:t>
      </w:r>
    </w:p>
    <w:p w14:paraId="57E81B7F" w14:textId="61F0DAD6" w:rsidR="6D21097D" w:rsidRDefault="6D21097D" w:rsidP="00F025E9">
      <w:pPr>
        <w:spacing w:line="360" w:lineRule="auto"/>
        <w:ind w:left="720" w:hanging="720"/>
        <w:jc w:val="both"/>
        <w:rPr>
          <w:rFonts w:ascii="Times New Roman" w:eastAsia="Times New Roman" w:hAnsi="Times New Roman" w:cs="Times New Roman"/>
          <w:sz w:val="24"/>
          <w:szCs w:val="24"/>
        </w:rPr>
      </w:pPr>
      <w:r w:rsidRPr="6D21097D">
        <w:rPr>
          <w:rFonts w:ascii="Times New Roman" w:eastAsia="Times New Roman" w:hAnsi="Times New Roman" w:cs="Times New Roman"/>
          <w:sz w:val="24"/>
          <w:szCs w:val="24"/>
        </w:rPr>
        <w:t xml:space="preserve">Hostettler, J., 2009. </w:t>
      </w:r>
      <w:r w:rsidRPr="6D21097D">
        <w:rPr>
          <w:rFonts w:ascii="Times New Roman" w:eastAsia="Times New Roman" w:hAnsi="Times New Roman" w:cs="Times New Roman"/>
          <w:i/>
          <w:iCs/>
          <w:sz w:val="24"/>
          <w:szCs w:val="24"/>
        </w:rPr>
        <w:t>A history of criminal justice in England and Wales</w:t>
      </w:r>
      <w:r w:rsidRPr="6D21097D">
        <w:rPr>
          <w:rFonts w:ascii="Times New Roman" w:eastAsia="Times New Roman" w:hAnsi="Times New Roman" w:cs="Times New Roman"/>
          <w:sz w:val="24"/>
          <w:szCs w:val="24"/>
        </w:rPr>
        <w:t>. Waterside Press.</w:t>
      </w:r>
    </w:p>
    <w:p w14:paraId="42299220" w14:textId="5647CB2C" w:rsidR="6D21097D" w:rsidRDefault="6D21097D" w:rsidP="00F025E9">
      <w:pPr>
        <w:spacing w:line="360" w:lineRule="auto"/>
        <w:ind w:left="720" w:hanging="720"/>
        <w:jc w:val="both"/>
        <w:rPr>
          <w:rFonts w:ascii="Times New Roman" w:eastAsia="Times New Roman" w:hAnsi="Times New Roman" w:cs="Times New Roman"/>
          <w:sz w:val="24"/>
          <w:szCs w:val="24"/>
        </w:rPr>
      </w:pPr>
      <w:r w:rsidRPr="6D21097D">
        <w:rPr>
          <w:rFonts w:ascii="Times New Roman" w:eastAsia="Times New Roman" w:hAnsi="Times New Roman" w:cs="Times New Roman"/>
          <w:sz w:val="24"/>
          <w:szCs w:val="24"/>
        </w:rPr>
        <w:t xml:space="preserve">Pike, S., 2022. </w:t>
      </w:r>
      <w:r w:rsidRPr="6D21097D">
        <w:rPr>
          <w:rFonts w:ascii="Times New Roman" w:eastAsia="Times New Roman" w:hAnsi="Times New Roman" w:cs="Times New Roman"/>
          <w:i/>
          <w:iCs/>
          <w:sz w:val="24"/>
          <w:szCs w:val="24"/>
        </w:rPr>
        <w:t>A recent history of homicide investigation: changes and implications for criminal justice in England and Wales</w:t>
      </w:r>
      <w:r w:rsidRPr="6D21097D">
        <w:rPr>
          <w:rFonts w:ascii="Times New Roman" w:eastAsia="Times New Roman" w:hAnsi="Times New Roman" w:cs="Times New Roman"/>
          <w:sz w:val="24"/>
          <w:szCs w:val="24"/>
        </w:rPr>
        <w:t>. Taylor &amp; Francis.</w:t>
      </w:r>
    </w:p>
    <w:p w14:paraId="00C977A7" w14:textId="2E97306B" w:rsidR="6D21097D" w:rsidRDefault="6D21097D" w:rsidP="00F025E9">
      <w:pPr>
        <w:pStyle w:val="Heading1"/>
        <w:rPr>
          <w:rFonts w:eastAsia="Times New Roman"/>
        </w:rPr>
      </w:pPr>
      <w:r w:rsidRPr="6D21097D">
        <w:rPr>
          <w:rFonts w:eastAsia="Times New Roman"/>
        </w:rPr>
        <w:t>Case Laws</w:t>
      </w:r>
    </w:p>
    <w:p w14:paraId="748B536A" w14:textId="1CACDEA8" w:rsidR="6D21097D" w:rsidRDefault="6D21097D" w:rsidP="6D21097D">
      <w:pPr>
        <w:pStyle w:val="ListParagraph"/>
        <w:numPr>
          <w:ilvl w:val="0"/>
          <w:numId w:val="1"/>
        </w:numPr>
        <w:spacing w:line="360" w:lineRule="auto"/>
        <w:jc w:val="both"/>
        <w:rPr>
          <w:rFonts w:ascii="Times New Roman" w:eastAsia="Times New Roman" w:hAnsi="Times New Roman" w:cs="Times New Roman"/>
          <w:sz w:val="24"/>
          <w:szCs w:val="24"/>
        </w:rPr>
      </w:pPr>
      <w:r w:rsidRPr="6D21097D">
        <w:rPr>
          <w:rFonts w:ascii="Times New Roman" w:eastAsia="Times New Roman" w:hAnsi="Times New Roman" w:cs="Times New Roman"/>
          <w:sz w:val="24"/>
          <w:szCs w:val="24"/>
        </w:rPr>
        <w:t xml:space="preserve">R v </w:t>
      </w:r>
      <w:proofErr w:type="spellStart"/>
      <w:r w:rsidRPr="6D21097D">
        <w:rPr>
          <w:rFonts w:ascii="Times New Roman" w:eastAsia="Times New Roman" w:hAnsi="Times New Roman" w:cs="Times New Roman"/>
          <w:sz w:val="24"/>
          <w:szCs w:val="24"/>
        </w:rPr>
        <w:t>Woollin</w:t>
      </w:r>
      <w:proofErr w:type="spellEnd"/>
      <w:r w:rsidRPr="6D21097D">
        <w:rPr>
          <w:rFonts w:ascii="Times New Roman" w:eastAsia="Times New Roman" w:hAnsi="Times New Roman" w:cs="Times New Roman"/>
          <w:sz w:val="24"/>
          <w:szCs w:val="24"/>
        </w:rPr>
        <w:t xml:space="preserve"> [1999]</w:t>
      </w:r>
    </w:p>
    <w:p w14:paraId="4B46AF91" w14:textId="6F4584B8" w:rsidR="6D21097D" w:rsidRDefault="6D21097D" w:rsidP="6D21097D">
      <w:pPr>
        <w:pStyle w:val="ListParagraph"/>
        <w:numPr>
          <w:ilvl w:val="0"/>
          <w:numId w:val="1"/>
        </w:numPr>
        <w:spacing w:line="360" w:lineRule="auto"/>
        <w:jc w:val="both"/>
        <w:rPr>
          <w:rFonts w:ascii="Times New Roman" w:eastAsia="Times New Roman" w:hAnsi="Times New Roman" w:cs="Times New Roman"/>
          <w:sz w:val="24"/>
          <w:szCs w:val="24"/>
        </w:rPr>
      </w:pPr>
      <w:r w:rsidRPr="6D21097D">
        <w:rPr>
          <w:rFonts w:ascii="Times New Roman" w:eastAsia="Times New Roman" w:hAnsi="Times New Roman" w:cs="Times New Roman"/>
          <w:sz w:val="24"/>
          <w:szCs w:val="24"/>
        </w:rPr>
        <w:t>R v Adomako [1994]</w:t>
      </w:r>
    </w:p>
    <w:p w14:paraId="238CF241" w14:textId="03F5BB86" w:rsidR="6D21097D" w:rsidRDefault="6D21097D" w:rsidP="6D21097D">
      <w:pPr>
        <w:spacing w:line="360" w:lineRule="auto"/>
        <w:jc w:val="both"/>
        <w:rPr>
          <w:rFonts w:ascii="Times New Roman" w:eastAsia="Times New Roman" w:hAnsi="Times New Roman" w:cs="Times New Roman"/>
          <w:sz w:val="24"/>
          <w:szCs w:val="24"/>
        </w:rPr>
      </w:pPr>
    </w:p>
    <w:sectPr w:rsidR="6D21097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6E9A9" w14:textId="77777777" w:rsidR="006F4C35" w:rsidRDefault="006F4C35" w:rsidP="00F025E9">
      <w:pPr>
        <w:spacing w:after="0" w:line="240" w:lineRule="auto"/>
      </w:pPr>
      <w:r>
        <w:separator/>
      </w:r>
    </w:p>
  </w:endnote>
  <w:endnote w:type="continuationSeparator" w:id="0">
    <w:p w14:paraId="32C86853" w14:textId="77777777" w:rsidR="006F4C35" w:rsidRDefault="006F4C35" w:rsidP="00F02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1"/>
    <w:family w:val="roman"/>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5001"/>
      <w:docPartObj>
        <w:docPartGallery w:val="Page Numbers (Bottom of Page)"/>
        <w:docPartUnique/>
      </w:docPartObj>
    </w:sdtPr>
    <w:sdtEndPr>
      <w:rPr>
        <w:rFonts w:ascii="Times New Roman" w:hAnsi="Times New Roman" w:cs="Times New Roman"/>
        <w:noProof/>
        <w:sz w:val="24"/>
        <w:szCs w:val="24"/>
      </w:rPr>
    </w:sdtEndPr>
    <w:sdtContent>
      <w:p w14:paraId="2AD07F7A" w14:textId="0619C5EC" w:rsidR="00F025E9" w:rsidRPr="00F025E9" w:rsidRDefault="00F025E9">
        <w:pPr>
          <w:pStyle w:val="Footer"/>
          <w:jc w:val="center"/>
          <w:rPr>
            <w:rFonts w:ascii="Times New Roman" w:hAnsi="Times New Roman" w:cs="Times New Roman"/>
            <w:sz w:val="24"/>
            <w:szCs w:val="24"/>
          </w:rPr>
        </w:pPr>
        <w:r w:rsidRPr="00F025E9">
          <w:rPr>
            <w:rFonts w:ascii="Times New Roman" w:hAnsi="Times New Roman" w:cs="Times New Roman"/>
            <w:sz w:val="24"/>
            <w:szCs w:val="24"/>
          </w:rPr>
          <w:fldChar w:fldCharType="begin"/>
        </w:r>
        <w:r w:rsidRPr="00F025E9">
          <w:rPr>
            <w:rFonts w:ascii="Times New Roman" w:hAnsi="Times New Roman" w:cs="Times New Roman"/>
            <w:sz w:val="24"/>
            <w:szCs w:val="24"/>
          </w:rPr>
          <w:instrText xml:space="preserve"> PAGE   \* MERGEFORMAT </w:instrText>
        </w:r>
        <w:r w:rsidRPr="00F025E9">
          <w:rPr>
            <w:rFonts w:ascii="Times New Roman" w:hAnsi="Times New Roman" w:cs="Times New Roman"/>
            <w:sz w:val="24"/>
            <w:szCs w:val="24"/>
          </w:rPr>
          <w:fldChar w:fldCharType="separate"/>
        </w:r>
        <w:r w:rsidRPr="00F025E9">
          <w:rPr>
            <w:rFonts w:ascii="Times New Roman" w:hAnsi="Times New Roman" w:cs="Times New Roman"/>
            <w:noProof/>
            <w:sz w:val="24"/>
            <w:szCs w:val="24"/>
          </w:rPr>
          <w:t>2</w:t>
        </w:r>
        <w:r w:rsidRPr="00F025E9">
          <w:rPr>
            <w:rFonts w:ascii="Times New Roman" w:hAnsi="Times New Roman" w:cs="Times New Roman"/>
            <w:noProof/>
            <w:sz w:val="24"/>
            <w:szCs w:val="24"/>
          </w:rPr>
          <w:fldChar w:fldCharType="end"/>
        </w:r>
      </w:p>
    </w:sdtContent>
  </w:sdt>
  <w:p w14:paraId="0B54D11C" w14:textId="77777777" w:rsidR="00F025E9" w:rsidRDefault="00F02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72686" w14:textId="77777777" w:rsidR="006F4C35" w:rsidRDefault="006F4C35" w:rsidP="00F025E9">
      <w:pPr>
        <w:spacing w:after="0" w:line="240" w:lineRule="auto"/>
      </w:pPr>
      <w:r>
        <w:separator/>
      </w:r>
    </w:p>
  </w:footnote>
  <w:footnote w:type="continuationSeparator" w:id="0">
    <w:p w14:paraId="74DA3BA2" w14:textId="77777777" w:rsidR="006F4C35" w:rsidRDefault="006F4C35" w:rsidP="00F025E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31Ck6IoW0FCrVK" int2:id="0yKMTnV6">
      <int2:state int2:value="Rejected" int2:type="AugLoop_Text_Critique"/>
    </int2:textHash>
    <int2:textHash int2:hashCode="GKKag2M3SjB++r" int2:id="NaFFt3Z1">
      <int2:state int2:value="Rejected" int2:type="AugLoop_Text_Critique"/>
    </int2:textHash>
    <int2:textHash int2:hashCode="Fz8CObNNN79GDP" int2:id="1oIauS8U">
      <int2:state int2:value="Rejected" int2:type="AugLoop_Text_Critique"/>
    </int2:textHash>
    <int2:bookmark int2:bookmarkName="_Int_uUtqOztA" int2:invalidationBookmarkName="" int2:hashCode="ZU/3pM1I+aRNsa" int2:id="jjyeYFtC">
      <int2:state int2:value="Rejected" int2:type="AugLoop_Text_Critique"/>
    </int2:bookmark>
    <int2:bookmark int2:bookmarkName="_Int_FIMTfQ7N" int2:invalidationBookmarkName="" int2:hashCode="ZU/3pM1I+aRNsa" int2:id="6gaNwl2K">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CACE1"/>
    <w:multiLevelType w:val="hybridMultilevel"/>
    <w:tmpl w:val="C166DF04"/>
    <w:lvl w:ilvl="0" w:tplc="5E12542E">
      <w:start w:val="1"/>
      <w:numFmt w:val="bullet"/>
      <w:lvlText w:val=""/>
      <w:lvlJc w:val="left"/>
      <w:pPr>
        <w:ind w:left="720" w:hanging="360"/>
      </w:pPr>
      <w:rPr>
        <w:rFonts w:ascii="Symbol" w:hAnsi="Symbol" w:hint="default"/>
      </w:rPr>
    </w:lvl>
    <w:lvl w:ilvl="1" w:tplc="B9A445A4">
      <w:start w:val="1"/>
      <w:numFmt w:val="bullet"/>
      <w:lvlText w:val="o"/>
      <w:lvlJc w:val="left"/>
      <w:pPr>
        <w:ind w:left="1440" w:hanging="360"/>
      </w:pPr>
      <w:rPr>
        <w:rFonts w:ascii="Courier New" w:hAnsi="Courier New" w:hint="default"/>
      </w:rPr>
    </w:lvl>
    <w:lvl w:ilvl="2" w:tplc="06B0D01C">
      <w:start w:val="1"/>
      <w:numFmt w:val="bullet"/>
      <w:lvlText w:val=""/>
      <w:lvlJc w:val="left"/>
      <w:pPr>
        <w:ind w:left="2160" w:hanging="360"/>
      </w:pPr>
      <w:rPr>
        <w:rFonts w:ascii="Wingdings" w:hAnsi="Wingdings" w:hint="default"/>
      </w:rPr>
    </w:lvl>
    <w:lvl w:ilvl="3" w:tplc="53287AC0">
      <w:start w:val="1"/>
      <w:numFmt w:val="bullet"/>
      <w:lvlText w:val=""/>
      <w:lvlJc w:val="left"/>
      <w:pPr>
        <w:ind w:left="2880" w:hanging="360"/>
      </w:pPr>
      <w:rPr>
        <w:rFonts w:ascii="Symbol" w:hAnsi="Symbol" w:hint="default"/>
      </w:rPr>
    </w:lvl>
    <w:lvl w:ilvl="4" w:tplc="76D689B0">
      <w:start w:val="1"/>
      <w:numFmt w:val="bullet"/>
      <w:lvlText w:val="o"/>
      <w:lvlJc w:val="left"/>
      <w:pPr>
        <w:ind w:left="3600" w:hanging="360"/>
      </w:pPr>
      <w:rPr>
        <w:rFonts w:ascii="Courier New" w:hAnsi="Courier New" w:hint="default"/>
      </w:rPr>
    </w:lvl>
    <w:lvl w:ilvl="5" w:tplc="8E76D9C6">
      <w:start w:val="1"/>
      <w:numFmt w:val="bullet"/>
      <w:lvlText w:val=""/>
      <w:lvlJc w:val="left"/>
      <w:pPr>
        <w:ind w:left="4320" w:hanging="360"/>
      </w:pPr>
      <w:rPr>
        <w:rFonts w:ascii="Wingdings" w:hAnsi="Wingdings" w:hint="default"/>
      </w:rPr>
    </w:lvl>
    <w:lvl w:ilvl="6" w:tplc="32149096">
      <w:start w:val="1"/>
      <w:numFmt w:val="bullet"/>
      <w:lvlText w:val=""/>
      <w:lvlJc w:val="left"/>
      <w:pPr>
        <w:ind w:left="5040" w:hanging="360"/>
      </w:pPr>
      <w:rPr>
        <w:rFonts w:ascii="Symbol" w:hAnsi="Symbol" w:hint="default"/>
      </w:rPr>
    </w:lvl>
    <w:lvl w:ilvl="7" w:tplc="702A7138">
      <w:start w:val="1"/>
      <w:numFmt w:val="bullet"/>
      <w:lvlText w:val="o"/>
      <w:lvlJc w:val="left"/>
      <w:pPr>
        <w:ind w:left="5760" w:hanging="360"/>
      </w:pPr>
      <w:rPr>
        <w:rFonts w:ascii="Courier New" w:hAnsi="Courier New" w:hint="default"/>
      </w:rPr>
    </w:lvl>
    <w:lvl w:ilvl="8" w:tplc="0FF2FE60">
      <w:start w:val="1"/>
      <w:numFmt w:val="bullet"/>
      <w:lvlText w:val=""/>
      <w:lvlJc w:val="left"/>
      <w:pPr>
        <w:ind w:left="6480" w:hanging="360"/>
      </w:pPr>
      <w:rPr>
        <w:rFonts w:ascii="Wingdings" w:hAnsi="Wingdings" w:hint="default"/>
      </w:rPr>
    </w:lvl>
  </w:abstractNum>
  <w:num w:numId="1" w16cid:durableId="388116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9E067D"/>
    <w:rsid w:val="0068254F"/>
    <w:rsid w:val="006F4C35"/>
    <w:rsid w:val="00800515"/>
    <w:rsid w:val="00F025E9"/>
    <w:rsid w:val="1343E432"/>
    <w:rsid w:val="327116A5"/>
    <w:rsid w:val="3A9E067D"/>
    <w:rsid w:val="5D3F9FA9"/>
    <w:rsid w:val="5DCA2245"/>
    <w:rsid w:val="6D21097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116A5"/>
  <w15:chartTrackingRefBased/>
  <w15:docId w15:val="{16F0F410-EF36-4233-8F38-6CF3666D8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D21097D"/>
    <w:rPr>
      <w:lang w:val="en-GB"/>
    </w:rPr>
  </w:style>
  <w:style w:type="paragraph" w:styleId="Heading1">
    <w:name w:val="heading 1"/>
    <w:basedOn w:val="Normal"/>
    <w:next w:val="Normal"/>
    <w:link w:val="Heading1Char"/>
    <w:uiPriority w:val="9"/>
    <w:qFormat/>
    <w:rsid w:val="6D2109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D2109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D21097D"/>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D21097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D21097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D21097D"/>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D21097D"/>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D21097D"/>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D21097D"/>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D21097D"/>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D21097D"/>
    <w:rPr>
      <w:rFonts w:eastAsiaTheme="minorEastAsia"/>
      <w:color w:val="5A5A5A"/>
    </w:rPr>
  </w:style>
  <w:style w:type="paragraph" w:styleId="Quote">
    <w:name w:val="Quote"/>
    <w:basedOn w:val="Normal"/>
    <w:next w:val="Normal"/>
    <w:link w:val="QuoteChar"/>
    <w:uiPriority w:val="29"/>
    <w:qFormat/>
    <w:rsid w:val="6D21097D"/>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D21097D"/>
    <w:pPr>
      <w:spacing w:before="360" w:after="360"/>
      <w:ind w:left="864" w:right="864"/>
      <w:jc w:val="center"/>
    </w:pPr>
    <w:rPr>
      <w:i/>
      <w:iCs/>
      <w:color w:val="4472C4" w:themeColor="accent1"/>
    </w:rPr>
  </w:style>
  <w:style w:type="paragraph" w:styleId="ListParagraph">
    <w:name w:val="List Paragraph"/>
    <w:basedOn w:val="Normal"/>
    <w:uiPriority w:val="34"/>
    <w:qFormat/>
    <w:rsid w:val="6D21097D"/>
    <w:pPr>
      <w:ind w:left="720"/>
      <w:contextualSpacing/>
    </w:pPr>
  </w:style>
  <w:style w:type="character" w:customStyle="1" w:styleId="Heading1Char">
    <w:name w:val="Heading 1 Char"/>
    <w:basedOn w:val="DefaultParagraphFont"/>
    <w:link w:val="Heading1"/>
    <w:uiPriority w:val="9"/>
    <w:rsid w:val="6D21097D"/>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6D21097D"/>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D21097D"/>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D21097D"/>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D21097D"/>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D21097D"/>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D21097D"/>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D21097D"/>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D21097D"/>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D21097D"/>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D21097D"/>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6D21097D"/>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D21097D"/>
    <w:rPr>
      <w:i/>
      <w:iCs/>
      <w:noProof w:val="0"/>
      <w:color w:val="4472C4" w:themeColor="accent1"/>
      <w:lang w:val="en-GB"/>
    </w:rPr>
  </w:style>
  <w:style w:type="paragraph" w:styleId="TOC1">
    <w:name w:val="toc 1"/>
    <w:basedOn w:val="Normal"/>
    <w:next w:val="Normal"/>
    <w:uiPriority w:val="39"/>
    <w:unhideWhenUsed/>
    <w:rsid w:val="6D21097D"/>
    <w:pPr>
      <w:spacing w:after="100"/>
    </w:pPr>
  </w:style>
  <w:style w:type="paragraph" w:styleId="TOC2">
    <w:name w:val="toc 2"/>
    <w:basedOn w:val="Normal"/>
    <w:next w:val="Normal"/>
    <w:uiPriority w:val="39"/>
    <w:unhideWhenUsed/>
    <w:rsid w:val="6D21097D"/>
    <w:pPr>
      <w:spacing w:after="100"/>
      <w:ind w:left="220"/>
    </w:pPr>
  </w:style>
  <w:style w:type="paragraph" w:styleId="TOC3">
    <w:name w:val="toc 3"/>
    <w:basedOn w:val="Normal"/>
    <w:next w:val="Normal"/>
    <w:uiPriority w:val="39"/>
    <w:unhideWhenUsed/>
    <w:rsid w:val="6D21097D"/>
    <w:pPr>
      <w:spacing w:after="100"/>
      <w:ind w:left="440"/>
    </w:pPr>
  </w:style>
  <w:style w:type="paragraph" w:styleId="TOC4">
    <w:name w:val="toc 4"/>
    <w:basedOn w:val="Normal"/>
    <w:next w:val="Normal"/>
    <w:uiPriority w:val="39"/>
    <w:unhideWhenUsed/>
    <w:rsid w:val="6D21097D"/>
    <w:pPr>
      <w:spacing w:after="100"/>
      <w:ind w:left="660"/>
    </w:pPr>
  </w:style>
  <w:style w:type="paragraph" w:styleId="TOC5">
    <w:name w:val="toc 5"/>
    <w:basedOn w:val="Normal"/>
    <w:next w:val="Normal"/>
    <w:uiPriority w:val="39"/>
    <w:unhideWhenUsed/>
    <w:rsid w:val="6D21097D"/>
    <w:pPr>
      <w:spacing w:after="100"/>
      <w:ind w:left="880"/>
    </w:pPr>
  </w:style>
  <w:style w:type="paragraph" w:styleId="TOC6">
    <w:name w:val="toc 6"/>
    <w:basedOn w:val="Normal"/>
    <w:next w:val="Normal"/>
    <w:uiPriority w:val="39"/>
    <w:unhideWhenUsed/>
    <w:rsid w:val="6D21097D"/>
    <w:pPr>
      <w:spacing w:after="100"/>
      <w:ind w:left="1100"/>
    </w:pPr>
  </w:style>
  <w:style w:type="paragraph" w:styleId="TOC7">
    <w:name w:val="toc 7"/>
    <w:basedOn w:val="Normal"/>
    <w:next w:val="Normal"/>
    <w:uiPriority w:val="39"/>
    <w:unhideWhenUsed/>
    <w:rsid w:val="6D21097D"/>
    <w:pPr>
      <w:spacing w:after="100"/>
      <w:ind w:left="1320"/>
    </w:pPr>
  </w:style>
  <w:style w:type="paragraph" w:styleId="TOC8">
    <w:name w:val="toc 8"/>
    <w:basedOn w:val="Normal"/>
    <w:next w:val="Normal"/>
    <w:uiPriority w:val="39"/>
    <w:unhideWhenUsed/>
    <w:rsid w:val="6D21097D"/>
    <w:pPr>
      <w:spacing w:after="100"/>
      <w:ind w:left="1540"/>
    </w:pPr>
  </w:style>
  <w:style w:type="paragraph" w:styleId="TOC9">
    <w:name w:val="toc 9"/>
    <w:basedOn w:val="Normal"/>
    <w:next w:val="Normal"/>
    <w:uiPriority w:val="39"/>
    <w:unhideWhenUsed/>
    <w:rsid w:val="6D21097D"/>
    <w:pPr>
      <w:spacing w:after="100"/>
      <w:ind w:left="1760"/>
    </w:pPr>
  </w:style>
  <w:style w:type="paragraph" w:styleId="EndnoteText">
    <w:name w:val="endnote text"/>
    <w:basedOn w:val="Normal"/>
    <w:link w:val="EndnoteTextChar"/>
    <w:uiPriority w:val="99"/>
    <w:semiHidden/>
    <w:unhideWhenUsed/>
    <w:rsid w:val="6D21097D"/>
    <w:pPr>
      <w:spacing w:after="0"/>
    </w:pPr>
    <w:rPr>
      <w:sz w:val="20"/>
      <w:szCs w:val="20"/>
    </w:rPr>
  </w:style>
  <w:style w:type="character" w:customStyle="1" w:styleId="EndnoteTextChar">
    <w:name w:val="Endnote Text Char"/>
    <w:basedOn w:val="DefaultParagraphFont"/>
    <w:link w:val="EndnoteText"/>
    <w:uiPriority w:val="99"/>
    <w:semiHidden/>
    <w:rsid w:val="6D21097D"/>
    <w:rPr>
      <w:noProof w:val="0"/>
      <w:sz w:val="20"/>
      <w:szCs w:val="20"/>
      <w:lang w:val="en-GB"/>
    </w:rPr>
  </w:style>
  <w:style w:type="paragraph" w:styleId="Footer">
    <w:name w:val="footer"/>
    <w:basedOn w:val="Normal"/>
    <w:link w:val="FooterChar"/>
    <w:uiPriority w:val="99"/>
    <w:unhideWhenUsed/>
    <w:rsid w:val="6D21097D"/>
    <w:pPr>
      <w:tabs>
        <w:tab w:val="center" w:pos="4680"/>
        <w:tab w:val="right" w:pos="9360"/>
      </w:tabs>
      <w:spacing w:after="0"/>
    </w:pPr>
  </w:style>
  <w:style w:type="character" w:customStyle="1" w:styleId="FooterChar">
    <w:name w:val="Footer Char"/>
    <w:basedOn w:val="DefaultParagraphFont"/>
    <w:link w:val="Footer"/>
    <w:uiPriority w:val="99"/>
    <w:rsid w:val="6D21097D"/>
    <w:rPr>
      <w:noProof w:val="0"/>
      <w:lang w:val="en-GB"/>
    </w:rPr>
  </w:style>
  <w:style w:type="paragraph" w:styleId="FootnoteText">
    <w:name w:val="footnote text"/>
    <w:basedOn w:val="Normal"/>
    <w:link w:val="FootnoteTextChar"/>
    <w:uiPriority w:val="99"/>
    <w:semiHidden/>
    <w:unhideWhenUsed/>
    <w:rsid w:val="6D21097D"/>
    <w:pPr>
      <w:spacing w:after="0"/>
    </w:pPr>
    <w:rPr>
      <w:sz w:val="20"/>
      <w:szCs w:val="20"/>
    </w:rPr>
  </w:style>
  <w:style w:type="character" w:customStyle="1" w:styleId="FootnoteTextChar">
    <w:name w:val="Footnote Text Char"/>
    <w:basedOn w:val="DefaultParagraphFont"/>
    <w:link w:val="FootnoteText"/>
    <w:uiPriority w:val="99"/>
    <w:semiHidden/>
    <w:rsid w:val="6D21097D"/>
    <w:rPr>
      <w:noProof w:val="0"/>
      <w:sz w:val="20"/>
      <w:szCs w:val="20"/>
      <w:lang w:val="en-GB"/>
    </w:rPr>
  </w:style>
  <w:style w:type="paragraph" w:styleId="Header">
    <w:name w:val="header"/>
    <w:basedOn w:val="Normal"/>
    <w:link w:val="HeaderChar"/>
    <w:uiPriority w:val="99"/>
    <w:unhideWhenUsed/>
    <w:rsid w:val="6D21097D"/>
    <w:pPr>
      <w:tabs>
        <w:tab w:val="center" w:pos="4680"/>
        <w:tab w:val="right" w:pos="9360"/>
      </w:tabs>
      <w:spacing w:after="0"/>
    </w:pPr>
  </w:style>
  <w:style w:type="character" w:customStyle="1" w:styleId="HeaderChar">
    <w:name w:val="Header Char"/>
    <w:basedOn w:val="DefaultParagraphFont"/>
    <w:link w:val="Header"/>
    <w:uiPriority w:val="99"/>
    <w:rsid w:val="6D21097D"/>
    <w:rPr>
      <w:noProof w:val="0"/>
      <w:lang w:val="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lang w:val="en-GB"/>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53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1565</Words>
  <Characters>8924</Characters>
  <DocSecurity>0</DocSecurity>
  <Lines>74</Lines>
  <Paragraphs>20</Paragraphs>
  <ScaleCrop>false</ScaleCrop>
  <Company/>
  <LinksUpToDate>false</LinksUpToDate>
  <CharactersWithSpaces>10469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2023-07-08T19:23:00Z</dcterms:created>
  <dcterms:modified xsi:type="dcterms:W3CDTF">2023-07-08T19:23:00Z</dcterms:modified>
</cp:coreProperties>
</file>