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75057" w14:textId="2DB01D22" w:rsidR="00072EDE" w:rsidRPr="00B97878" w:rsidRDefault="00072EDE" w:rsidP="00072EDE">
      <w:pPr>
        <w:rPr>
          <w:highlight w:val="yellow"/>
        </w:rPr>
      </w:pPr>
    </w:p>
    <w:p w14:paraId="0FB38F89" w14:textId="77777777" w:rsidR="002D2336" w:rsidRDefault="002D2336" w:rsidP="00072EDE">
      <w:pPr>
        <w:rPr>
          <w:u w:val="single"/>
        </w:rPr>
      </w:pPr>
    </w:p>
    <w:p w14:paraId="79CC8051" w14:textId="77777777" w:rsidR="002D2336" w:rsidRDefault="002D2336" w:rsidP="00072EDE">
      <w:pPr>
        <w:rPr>
          <w:u w:val="single"/>
        </w:rPr>
      </w:pPr>
    </w:p>
    <w:p w14:paraId="474D4E7B" w14:textId="77777777" w:rsidR="002D2336" w:rsidRDefault="002D2336" w:rsidP="00072EDE">
      <w:pPr>
        <w:rPr>
          <w:u w:val="single"/>
        </w:rPr>
      </w:pPr>
    </w:p>
    <w:p w14:paraId="5B14653D" w14:textId="77777777" w:rsidR="002D2336" w:rsidRDefault="002D2336" w:rsidP="00072EDE">
      <w:pPr>
        <w:rPr>
          <w:u w:val="single"/>
        </w:rPr>
      </w:pPr>
    </w:p>
    <w:p w14:paraId="2601B4B9" w14:textId="67449E59" w:rsidR="009B3456" w:rsidRDefault="00BB7470" w:rsidP="003C65CA">
      <w:pPr>
        <w:jc w:val="center"/>
        <w:rPr>
          <w:u w:val="single"/>
        </w:rPr>
      </w:pPr>
      <w:r>
        <w:rPr>
          <w:noProof/>
        </w:rPr>
        <w:drawing>
          <wp:inline distT="0" distB="0" distL="0" distR="0" wp14:anchorId="6DC18229" wp14:editId="33AB5F2C">
            <wp:extent cx="5455921" cy="3068955"/>
            <wp:effectExtent l="0" t="0" r="0" b="0"/>
            <wp:docPr id="5" name="Picture Placeholder 8" descr="A head with flowers flying out of it&#10;&#10;Description automatically generated">
              <a:extLst xmlns:a="http://schemas.openxmlformats.org/drawingml/2006/main">
                <a:ext uri="{FF2B5EF4-FFF2-40B4-BE49-F238E27FC236}">
                  <a16:creationId xmlns:a16="http://schemas.microsoft.com/office/drawing/2014/main" id="{352268CF-8AD5-B6CF-CF72-7F0440DA47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Placeholder 8" descr="A head with flowers flying out of it&#10;&#10;Description automatically generated">
                      <a:extLst>
                        <a:ext uri="{FF2B5EF4-FFF2-40B4-BE49-F238E27FC236}">
                          <a16:creationId xmlns:a16="http://schemas.microsoft.com/office/drawing/2014/main" id="{352268CF-8AD5-B6CF-CF72-7F0440DA47C1}"/>
                        </a:ext>
                      </a:extLst>
                    </pic:cNvPr>
                    <pic:cNvPicPr>
                      <a:picLocks noChangeAspect="1"/>
                    </pic:cNvPicPr>
                  </pic:nvPicPr>
                  <pic:blipFill>
                    <a:blip r:embed="rId6"/>
                    <a:srcRect r="9091" b="9091"/>
                    <a:stretch/>
                  </pic:blipFill>
                  <pic:spPr>
                    <a:xfrm>
                      <a:off x="0" y="0"/>
                      <a:ext cx="5455921" cy="3068955"/>
                    </a:xfrm>
                    <a:prstGeom prst="rect">
                      <a:avLst/>
                    </a:prstGeom>
                  </pic:spPr>
                </pic:pic>
              </a:graphicData>
            </a:graphic>
          </wp:inline>
        </w:drawing>
      </w:r>
    </w:p>
    <w:p w14:paraId="614616A5" w14:textId="77777777" w:rsidR="009B3456" w:rsidRDefault="009B3456" w:rsidP="00BB7470">
      <w:pPr>
        <w:rPr>
          <w:u w:val="single"/>
        </w:rPr>
      </w:pPr>
    </w:p>
    <w:p w14:paraId="050A632D" w14:textId="4E6E43D9" w:rsidR="002D2336" w:rsidRPr="003C65CA" w:rsidRDefault="00BB7470" w:rsidP="00BB7470">
      <w:pPr>
        <w:jc w:val="center"/>
        <w:rPr>
          <w:sz w:val="40"/>
          <w:szCs w:val="40"/>
        </w:rPr>
      </w:pPr>
      <w:r w:rsidRPr="003C65CA">
        <w:rPr>
          <w:sz w:val="40"/>
          <w:szCs w:val="40"/>
        </w:rPr>
        <w:t>The Value of Occupational Therapy Assistant Practitioners</w:t>
      </w:r>
      <w:r w:rsidR="0086427B" w:rsidRPr="003C65CA">
        <w:rPr>
          <w:sz w:val="40"/>
          <w:szCs w:val="40"/>
        </w:rPr>
        <w:t xml:space="preserve"> in Dementia Care</w:t>
      </w:r>
      <w:r w:rsidRPr="003C65CA">
        <w:rPr>
          <w:sz w:val="40"/>
          <w:szCs w:val="40"/>
        </w:rPr>
        <w:t>: A Research Report</w:t>
      </w:r>
    </w:p>
    <w:p w14:paraId="17223F50" w14:textId="77777777" w:rsidR="003C65CA" w:rsidRDefault="003C65CA" w:rsidP="00BB7470">
      <w:pPr>
        <w:jc w:val="center"/>
      </w:pPr>
    </w:p>
    <w:p w14:paraId="12D06D97" w14:textId="77777777" w:rsidR="003C65CA" w:rsidRDefault="003C65CA" w:rsidP="00BB7470">
      <w:pPr>
        <w:jc w:val="center"/>
      </w:pPr>
    </w:p>
    <w:p w14:paraId="2EC204D6" w14:textId="77777777" w:rsidR="003C65CA" w:rsidRDefault="003C65CA" w:rsidP="00BB7470">
      <w:pPr>
        <w:jc w:val="center"/>
      </w:pPr>
    </w:p>
    <w:p w14:paraId="1315DA85" w14:textId="77777777" w:rsidR="003C65CA" w:rsidRDefault="003C65CA" w:rsidP="00BB7470">
      <w:pPr>
        <w:jc w:val="center"/>
      </w:pPr>
    </w:p>
    <w:p w14:paraId="161395BC" w14:textId="77777777" w:rsidR="003C65CA" w:rsidRDefault="003C65CA" w:rsidP="00BB7470">
      <w:pPr>
        <w:jc w:val="center"/>
      </w:pPr>
    </w:p>
    <w:p w14:paraId="00B20FC5" w14:textId="77777777" w:rsidR="003C65CA" w:rsidRDefault="003C65CA" w:rsidP="00BB7470">
      <w:pPr>
        <w:jc w:val="center"/>
      </w:pPr>
    </w:p>
    <w:p w14:paraId="5127597D" w14:textId="086408CB" w:rsidR="002D2336" w:rsidRPr="00EB7197" w:rsidRDefault="00F054C7" w:rsidP="00BB7470">
      <w:pPr>
        <w:jc w:val="center"/>
        <w:rPr>
          <w:sz w:val="36"/>
          <w:szCs w:val="36"/>
        </w:rPr>
      </w:pPr>
      <w:r w:rsidRPr="00EB7197">
        <w:rPr>
          <w:sz w:val="36"/>
          <w:szCs w:val="36"/>
        </w:rPr>
        <w:t>By Gemma Hart</w:t>
      </w:r>
    </w:p>
    <w:p w14:paraId="3F894334" w14:textId="2AA081E1" w:rsidR="00F054C7" w:rsidRPr="00EB7197" w:rsidRDefault="00F054C7" w:rsidP="00BB7470">
      <w:pPr>
        <w:jc w:val="center"/>
        <w:rPr>
          <w:sz w:val="36"/>
          <w:szCs w:val="36"/>
        </w:rPr>
      </w:pPr>
      <w:r w:rsidRPr="00EB7197">
        <w:rPr>
          <w:sz w:val="36"/>
          <w:szCs w:val="36"/>
        </w:rPr>
        <w:t>Student number: 2414119</w:t>
      </w:r>
    </w:p>
    <w:p w14:paraId="6CD37529" w14:textId="77777777" w:rsidR="003C65CA" w:rsidRDefault="003C65CA" w:rsidP="00072EDE">
      <w:pPr>
        <w:rPr>
          <w:u w:val="single"/>
        </w:rPr>
      </w:pPr>
    </w:p>
    <w:p w14:paraId="462322D9" w14:textId="4A1398A3" w:rsidR="002D2336" w:rsidRDefault="002D2336" w:rsidP="00072EDE">
      <w:r>
        <w:rPr>
          <w:u w:val="single"/>
        </w:rPr>
        <w:lastRenderedPageBreak/>
        <w:t>Contents</w:t>
      </w:r>
      <w:r w:rsidR="00DE5BC1">
        <w:t xml:space="preserve">    </w:t>
      </w:r>
    </w:p>
    <w:p w14:paraId="5C09E15B" w14:textId="77777777" w:rsidR="00096BCE" w:rsidRPr="00DE5BC1" w:rsidRDefault="00096BCE" w:rsidP="00072EDE"/>
    <w:tbl>
      <w:tblPr>
        <w:tblStyle w:val="TableGrid"/>
        <w:tblW w:w="92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8"/>
        <w:gridCol w:w="4628"/>
      </w:tblGrid>
      <w:tr w:rsidR="002D4F7B" w14:paraId="79C9F9D1" w14:textId="77777777" w:rsidTr="00096BCE">
        <w:trPr>
          <w:trHeight w:val="798"/>
        </w:trPr>
        <w:tc>
          <w:tcPr>
            <w:tcW w:w="4628" w:type="dxa"/>
          </w:tcPr>
          <w:p w14:paraId="17BCD46C" w14:textId="19E7576C" w:rsidR="002D4F7B" w:rsidRPr="002D4F7B" w:rsidRDefault="002D4F7B" w:rsidP="00072EDE">
            <w:r>
              <w:t>Introduction</w:t>
            </w:r>
          </w:p>
        </w:tc>
        <w:tc>
          <w:tcPr>
            <w:tcW w:w="4628" w:type="dxa"/>
          </w:tcPr>
          <w:p w14:paraId="422E0030" w14:textId="27E19491" w:rsidR="002D4F7B" w:rsidRPr="00096BCE" w:rsidRDefault="00096BCE" w:rsidP="00096BCE">
            <w:pPr>
              <w:jc w:val="right"/>
            </w:pPr>
            <w:r>
              <w:t>Page 3</w:t>
            </w:r>
          </w:p>
        </w:tc>
      </w:tr>
      <w:tr w:rsidR="002D4F7B" w14:paraId="2F01CC9D" w14:textId="77777777" w:rsidTr="00096BCE">
        <w:trPr>
          <w:trHeight w:val="825"/>
        </w:trPr>
        <w:tc>
          <w:tcPr>
            <w:tcW w:w="4628" w:type="dxa"/>
          </w:tcPr>
          <w:p w14:paraId="5481B299" w14:textId="312373D8" w:rsidR="002D4F7B" w:rsidRPr="002D4F7B" w:rsidRDefault="002D4F7B" w:rsidP="00072EDE">
            <w:r>
              <w:t>Case Study</w:t>
            </w:r>
          </w:p>
        </w:tc>
        <w:tc>
          <w:tcPr>
            <w:tcW w:w="4628" w:type="dxa"/>
          </w:tcPr>
          <w:p w14:paraId="0EAD722C" w14:textId="49E76888" w:rsidR="002D4F7B" w:rsidRPr="00096BCE" w:rsidRDefault="009D07D8" w:rsidP="00096BCE">
            <w:pPr>
              <w:jc w:val="right"/>
            </w:pPr>
            <w:r>
              <w:t>Pages 3-5</w:t>
            </w:r>
          </w:p>
        </w:tc>
      </w:tr>
      <w:tr w:rsidR="002D4F7B" w14:paraId="2A58C5B6" w14:textId="77777777" w:rsidTr="00096BCE">
        <w:trPr>
          <w:trHeight w:val="798"/>
        </w:trPr>
        <w:tc>
          <w:tcPr>
            <w:tcW w:w="4628" w:type="dxa"/>
          </w:tcPr>
          <w:p w14:paraId="73137993" w14:textId="767F1EEC" w:rsidR="002D4F7B" w:rsidRPr="002D4F7B" w:rsidRDefault="002D4F7B" w:rsidP="00072EDE">
            <w:r>
              <w:t xml:space="preserve">Overview of </w:t>
            </w:r>
            <w:r w:rsidR="00586A39">
              <w:t>Dementia</w:t>
            </w:r>
          </w:p>
        </w:tc>
        <w:tc>
          <w:tcPr>
            <w:tcW w:w="4628" w:type="dxa"/>
          </w:tcPr>
          <w:p w14:paraId="4D2BF4BD" w14:textId="591357B1" w:rsidR="002D4F7B" w:rsidRPr="00096BCE" w:rsidRDefault="00096BCE" w:rsidP="00096BCE">
            <w:pPr>
              <w:jc w:val="right"/>
            </w:pPr>
            <w:r w:rsidRPr="00096BCE">
              <w:t>Page</w:t>
            </w:r>
            <w:r w:rsidR="009D07D8">
              <w:t>s</w:t>
            </w:r>
            <w:r w:rsidRPr="00096BCE">
              <w:t xml:space="preserve"> 5</w:t>
            </w:r>
            <w:r w:rsidR="009D07D8">
              <w:t>-6</w:t>
            </w:r>
          </w:p>
        </w:tc>
      </w:tr>
      <w:tr w:rsidR="002D4F7B" w14:paraId="0B6030E8" w14:textId="77777777" w:rsidTr="00096BCE">
        <w:trPr>
          <w:trHeight w:val="798"/>
        </w:trPr>
        <w:tc>
          <w:tcPr>
            <w:tcW w:w="4628" w:type="dxa"/>
          </w:tcPr>
          <w:p w14:paraId="2AA5A2CC" w14:textId="23FBAC8C" w:rsidR="002D4F7B" w:rsidRPr="002D4F7B" w:rsidRDefault="002D4F7B" w:rsidP="00072EDE">
            <w:r>
              <w:t xml:space="preserve">Previous Approaches to </w:t>
            </w:r>
            <w:r w:rsidR="00586A39">
              <w:t>Dementia</w:t>
            </w:r>
          </w:p>
        </w:tc>
        <w:tc>
          <w:tcPr>
            <w:tcW w:w="4628" w:type="dxa"/>
          </w:tcPr>
          <w:p w14:paraId="2F63311F" w14:textId="1FC840EE" w:rsidR="002D4F7B" w:rsidRPr="00096BCE" w:rsidRDefault="009D07D8" w:rsidP="00096BCE">
            <w:pPr>
              <w:jc w:val="right"/>
            </w:pPr>
            <w:r>
              <w:t>Pages 6-7</w:t>
            </w:r>
          </w:p>
        </w:tc>
      </w:tr>
      <w:tr w:rsidR="002D4F7B" w14:paraId="0EBB4E82" w14:textId="77777777" w:rsidTr="00096BCE">
        <w:trPr>
          <w:trHeight w:val="798"/>
        </w:trPr>
        <w:tc>
          <w:tcPr>
            <w:tcW w:w="4628" w:type="dxa"/>
          </w:tcPr>
          <w:p w14:paraId="0440E211" w14:textId="55454952" w:rsidR="002D4F7B" w:rsidRPr="002D4F7B" w:rsidRDefault="002D4F7B" w:rsidP="00072EDE">
            <w:r w:rsidRPr="002D4F7B">
              <w:t xml:space="preserve">Current Approaches to </w:t>
            </w:r>
            <w:r w:rsidR="00586A39">
              <w:t>Dementia</w:t>
            </w:r>
          </w:p>
        </w:tc>
        <w:tc>
          <w:tcPr>
            <w:tcW w:w="4628" w:type="dxa"/>
          </w:tcPr>
          <w:p w14:paraId="482D58FA" w14:textId="09D3FFC3" w:rsidR="002D4F7B" w:rsidRPr="00096BCE" w:rsidRDefault="009D07D8" w:rsidP="00096BCE">
            <w:pPr>
              <w:jc w:val="right"/>
            </w:pPr>
            <w:r>
              <w:t>Pages 7-8</w:t>
            </w:r>
          </w:p>
        </w:tc>
      </w:tr>
      <w:tr w:rsidR="002D4F7B" w14:paraId="41251EB8" w14:textId="77777777" w:rsidTr="00096BCE">
        <w:trPr>
          <w:trHeight w:val="825"/>
        </w:trPr>
        <w:tc>
          <w:tcPr>
            <w:tcW w:w="4628" w:type="dxa"/>
          </w:tcPr>
          <w:p w14:paraId="42BF82FB" w14:textId="5134CE04" w:rsidR="002D4F7B" w:rsidRPr="002D4F7B" w:rsidRDefault="002D4F7B" w:rsidP="00072EDE">
            <w:r w:rsidRPr="002D4F7B">
              <w:t>Co-Production</w:t>
            </w:r>
          </w:p>
        </w:tc>
        <w:tc>
          <w:tcPr>
            <w:tcW w:w="4628" w:type="dxa"/>
          </w:tcPr>
          <w:p w14:paraId="4810A209" w14:textId="26D08D4C" w:rsidR="002D4F7B" w:rsidRPr="00096BCE" w:rsidRDefault="009D07D8" w:rsidP="00096BCE">
            <w:pPr>
              <w:jc w:val="right"/>
            </w:pPr>
            <w:r>
              <w:t>Pages 8-9</w:t>
            </w:r>
          </w:p>
        </w:tc>
      </w:tr>
      <w:tr w:rsidR="002D4F7B" w14:paraId="3345FCCC" w14:textId="77777777" w:rsidTr="00096BCE">
        <w:trPr>
          <w:trHeight w:val="798"/>
        </w:trPr>
        <w:tc>
          <w:tcPr>
            <w:tcW w:w="4628" w:type="dxa"/>
          </w:tcPr>
          <w:p w14:paraId="48183E74" w14:textId="6FC7DD87" w:rsidR="002D4F7B" w:rsidRPr="002D4F7B" w:rsidRDefault="002D4F7B" w:rsidP="00072EDE">
            <w:r w:rsidRPr="002D4F7B">
              <w:t xml:space="preserve">Clinical </w:t>
            </w:r>
            <w:r w:rsidR="00DE5BC1" w:rsidRPr="002D4F7B">
              <w:t>Governance</w:t>
            </w:r>
            <w:r w:rsidRPr="002D4F7B">
              <w:t xml:space="preserve"> and Supervision Framework</w:t>
            </w:r>
          </w:p>
        </w:tc>
        <w:tc>
          <w:tcPr>
            <w:tcW w:w="4628" w:type="dxa"/>
          </w:tcPr>
          <w:p w14:paraId="6520B829" w14:textId="1495CE1F" w:rsidR="002D4F7B" w:rsidRPr="00096BCE" w:rsidRDefault="009D07D8" w:rsidP="00096BCE">
            <w:pPr>
              <w:jc w:val="right"/>
            </w:pPr>
            <w:r>
              <w:t xml:space="preserve">Pages </w:t>
            </w:r>
            <w:r w:rsidR="00096BCE" w:rsidRPr="00096BCE">
              <w:t>9</w:t>
            </w:r>
            <w:r>
              <w:t>-10</w:t>
            </w:r>
          </w:p>
        </w:tc>
      </w:tr>
      <w:tr w:rsidR="002D4F7B" w14:paraId="3EB07447" w14:textId="77777777" w:rsidTr="00096BCE">
        <w:trPr>
          <w:trHeight w:val="798"/>
        </w:trPr>
        <w:tc>
          <w:tcPr>
            <w:tcW w:w="4628" w:type="dxa"/>
          </w:tcPr>
          <w:p w14:paraId="1EFFFA46" w14:textId="47176E3F" w:rsidR="002D4F7B" w:rsidRPr="002D4F7B" w:rsidRDefault="002D4F7B" w:rsidP="00072EDE">
            <w:r w:rsidRPr="002D4F7B">
              <w:t xml:space="preserve">Conclusion and </w:t>
            </w:r>
            <w:r w:rsidR="00DE5BC1" w:rsidRPr="002D4F7B">
              <w:t>Recommendations</w:t>
            </w:r>
          </w:p>
        </w:tc>
        <w:tc>
          <w:tcPr>
            <w:tcW w:w="4628" w:type="dxa"/>
          </w:tcPr>
          <w:p w14:paraId="5D3112F0" w14:textId="3FE95A32" w:rsidR="002D4F7B" w:rsidRPr="00096BCE" w:rsidRDefault="00096BCE" w:rsidP="00096BCE">
            <w:pPr>
              <w:jc w:val="right"/>
            </w:pPr>
            <w:r w:rsidRPr="00096BCE">
              <w:t>Page</w:t>
            </w:r>
            <w:r w:rsidR="009D07D8">
              <w:t>s 10-11</w:t>
            </w:r>
          </w:p>
        </w:tc>
      </w:tr>
      <w:tr w:rsidR="002D4F7B" w14:paraId="08F70F13" w14:textId="77777777" w:rsidTr="00096BCE">
        <w:trPr>
          <w:trHeight w:val="825"/>
        </w:trPr>
        <w:tc>
          <w:tcPr>
            <w:tcW w:w="4628" w:type="dxa"/>
          </w:tcPr>
          <w:p w14:paraId="1269A1A3" w14:textId="3176A039" w:rsidR="002D4F7B" w:rsidRPr="002D4F7B" w:rsidRDefault="002D4F7B" w:rsidP="00072EDE">
            <w:r w:rsidRPr="002D4F7B">
              <w:t>Reference List</w:t>
            </w:r>
          </w:p>
        </w:tc>
        <w:tc>
          <w:tcPr>
            <w:tcW w:w="4628" w:type="dxa"/>
          </w:tcPr>
          <w:p w14:paraId="796A9585" w14:textId="7E2B11E3" w:rsidR="002D4F7B" w:rsidRPr="00096BCE" w:rsidRDefault="009D07D8" w:rsidP="00096BCE">
            <w:pPr>
              <w:jc w:val="right"/>
            </w:pPr>
            <w:r>
              <w:t>Pages 12-15</w:t>
            </w:r>
          </w:p>
        </w:tc>
      </w:tr>
      <w:tr w:rsidR="002D4F7B" w14:paraId="683BF9DF" w14:textId="77777777" w:rsidTr="00096BCE">
        <w:trPr>
          <w:trHeight w:val="798"/>
        </w:trPr>
        <w:tc>
          <w:tcPr>
            <w:tcW w:w="4628" w:type="dxa"/>
          </w:tcPr>
          <w:p w14:paraId="0909F3D8" w14:textId="2DDC8664" w:rsidR="002D4F7B" w:rsidRPr="002D4F7B" w:rsidRDefault="00927109" w:rsidP="00072EDE">
            <w:r>
              <w:t>Appendix</w:t>
            </w:r>
          </w:p>
        </w:tc>
        <w:tc>
          <w:tcPr>
            <w:tcW w:w="4628" w:type="dxa"/>
          </w:tcPr>
          <w:p w14:paraId="5DDC51D3" w14:textId="1297F7EB" w:rsidR="002D4F7B" w:rsidRPr="00096BCE" w:rsidRDefault="009D07D8" w:rsidP="00096BCE">
            <w:pPr>
              <w:jc w:val="right"/>
            </w:pPr>
            <w:r>
              <w:t>Pages 16-17</w:t>
            </w:r>
          </w:p>
        </w:tc>
      </w:tr>
    </w:tbl>
    <w:p w14:paraId="018AE0B7" w14:textId="77777777" w:rsidR="002D2336" w:rsidRPr="002D2336" w:rsidRDefault="002D2336" w:rsidP="00072EDE">
      <w:pPr>
        <w:rPr>
          <w:u w:val="single"/>
        </w:rPr>
      </w:pPr>
    </w:p>
    <w:p w14:paraId="14CCE11A" w14:textId="77777777" w:rsidR="002D2336" w:rsidRDefault="002D2336" w:rsidP="00072EDE">
      <w:pPr>
        <w:rPr>
          <w:u w:val="single"/>
        </w:rPr>
      </w:pPr>
    </w:p>
    <w:p w14:paraId="5D1A2C65" w14:textId="77777777" w:rsidR="002D2336" w:rsidRDefault="002D2336" w:rsidP="00072EDE">
      <w:pPr>
        <w:rPr>
          <w:u w:val="single"/>
        </w:rPr>
      </w:pPr>
    </w:p>
    <w:p w14:paraId="5F84FF7E" w14:textId="77777777" w:rsidR="002D2336" w:rsidRDefault="002D2336" w:rsidP="00072EDE">
      <w:pPr>
        <w:rPr>
          <w:u w:val="single"/>
        </w:rPr>
      </w:pPr>
    </w:p>
    <w:p w14:paraId="20A2EA97" w14:textId="77777777" w:rsidR="002D2336" w:rsidRDefault="002D2336" w:rsidP="00072EDE">
      <w:pPr>
        <w:rPr>
          <w:u w:val="single"/>
        </w:rPr>
      </w:pPr>
    </w:p>
    <w:p w14:paraId="3614FE62" w14:textId="77777777" w:rsidR="002D2336" w:rsidRDefault="002D2336" w:rsidP="00072EDE">
      <w:pPr>
        <w:rPr>
          <w:u w:val="single"/>
        </w:rPr>
      </w:pPr>
    </w:p>
    <w:p w14:paraId="00622BA7" w14:textId="77777777" w:rsidR="002D2336" w:rsidRDefault="002D2336" w:rsidP="00072EDE">
      <w:pPr>
        <w:rPr>
          <w:u w:val="single"/>
        </w:rPr>
      </w:pPr>
    </w:p>
    <w:p w14:paraId="6C699B4B" w14:textId="77777777" w:rsidR="002D2336" w:rsidRDefault="002D2336" w:rsidP="00072EDE">
      <w:pPr>
        <w:rPr>
          <w:u w:val="single"/>
        </w:rPr>
      </w:pPr>
    </w:p>
    <w:p w14:paraId="47458A3F" w14:textId="77777777" w:rsidR="002D2336" w:rsidRDefault="002D2336" w:rsidP="00072EDE">
      <w:pPr>
        <w:rPr>
          <w:u w:val="single"/>
        </w:rPr>
      </w:pPr>
    </w:p>
    <w:p w14:paraId="67A80228" w14:textId="4D2B5472" w:rsidR="00DE5BC1" w:rsidRDefault="00DE5BC1" w:rsidP="00072EDE">
      <w:pPr>
        <w:rPr>
          <w:u w:val="single"/>
        </w:rPr>
      </w:pPr>
    </w:p>
    <w:p w14:paraId="7A89FABB" w14:textId="15A3E93D" w:rsidR="00072EDE" w:rsidRDefault="00072EDE" w:rsidP="009D07D8">
      <w:pPr>
        <w:spacing w:line="360" w:lineRule="auto"/>
        <w:rPr>
          <w:highlight w:val="yellow"/>
        </w:rPr>
      </w:pPr>
      <w:r w:rsidRPr="00D95F36">
        <w:rPr>
          <w:u w:val="single"/>
        </w:rPr>
        <w:lastRenderedPageBreak/>
        <w:t>Introduction</w:t>
      </w:r>
      <w:r w:rsidR="00B97878" w:rsidRPr="00B97878">
        <w:rPr>
          <w:highlight w:val="yellow"/>
        </w:rPr>
        <w:t xml:space="preserve"> </w:t>
      </w:r>
    </w:p>
    <w:p w14:paraId="5B7B9C56" w14:textId="6A5B24B7" w:rsidR="00416007" w:rsidRDefault="00416007" w:rsidP="009D07D8">
      <w:pPr>
        <w:spacing w:line="360" w:lineRule="auto"/>
      </w:pPr>
      <w:r>
        <w:t>Dementia is a progressive neurological condition that impacts memory, cognition, behaviour, thought processes and the ab</w:t>
      </w:r>
      <w:r w:rsidR="00822A81">
        <w:t xml:space="preserve">ility to engage in daily tasks.  </w:t>
      </w:r>
      <w:r>
        <w:t>The prevalence of dementia continues to rise due to an ageing population; this has trigger</w:t>
      </w:r>
      <w:r w:rsidR="00371C38">
        <w:t>ed an</w:t>
      </w:r>
      <w:r>
        <w:t xml:space="preserve"> increase in awareness and understanding of the conditi</w:t>
      </w:r>
      <w:r w:rsidR="00371C38">
        <w:t xml:space="preserve">on </w:t>
      </w:r>
      <w:r w:rsidR="00F73514">
        <w:t>and</w:t>
      </w:r>
      <w:r w:rsidR="00371C38">
        <w:t xml:space="preserve"> has also placed higher</w:t>
      </w:r>
      <w:r>
        <w:t xml:space="preserve"> demands on services to provide </w:t>
      </w:r>
      <w:r w:rsidR="00822A81">
        <w:t xml:space="preserve">adequate care and intervention.  </w:t>
      </w:r>
      <w:r>
        <w:t xml:space="preserve">Occupational therapy (OT) focuses on promoting independence and enabling individuals to engage in </w:t>
      </w:r>
      <w:r w:rsidR="00636EB0">
        <w:t>day-to-day</w:t>
      </w:r>
      <w:r>
        <w:t xml:space="preserve"> life. </w:t>
      </w:r>
      <w:r w:rsidR="00822A81">
        <w:t xml:space="preserve"> </w:t>
      </w:r>
      <w:r>
        <w:t xml:space="preserve">In dementia care, OT plays a crucial role in </w:t>
      </w:r>
      <w:r w:rsidR="00371C38">
        <w:t>supporting individuals to carry out</w:t>
      </w:r>
      <w:r>
        <w:t xml:space="preserve"> purposeful and meaningful activities which benefits overall wellbeing and improve</w:t>
      </w:r>
      <w:r w:rsidR="009D1E77">
        <w:t>s</w:t>
      </w:r>
      <w:r>
        <w:t xml:space="preserve"> quality of life. </w:t>
      </w:r>
      <w:r w:rsidR="00822A81">
        <w:t xml:space="preserve"> </w:t>
      </w:r>
      <w:r>
        <w:t>Occupational therapy assistant practitioners (OTAPs) work alongside occupational therapists (OTs) and other professionals and pe</w:t>
      </w:r>
      <w:r w:rsidR="009D1E77">
        <w:t>rsonnel</w:t>
      </w:r>
      <w:r>
        <w:t xml:space="preserve">, working collaboratively within a multidisciplinary </w:t>
      </w:r>
      <w:r w:rsidR="004C7624">
        <w:t>team</w:t>
      </w:r>
      <w:r>
        <w:t xml:space="preserve">. </w:t>
      </w:r>
      <w:r w:rsidR="00822A81">
        <w:t xml:space="preserve"> </w:t>
      </w:r>
      <w:r>
        <w:t>OTAPs</w:t>
      </w:r>
      <w:r w:rsidR="004C7624">
        <w:t xml:space="preserve"> have steadily become an integral part of dementia support services by providing essential hands-on person-centred care.</w:t>
      </w:r>
    </w:p>
    <w:p w14:paraId="31AACC9A" w14:textId="54FAFA33" w:rsidR="00710474" w:rsidRDefault="004C7624" w:rsidP="009D07D8">
      <w:pPr>
        <w:spacing w:line="360" w:lineRule="auto"/>
      </w:pPr>
      <w:r>
        <w:t>This rese</w:t>
      </w:r>
      <w:r w:rsidR="00371C38">
        <w:t>arch report explores the role</w:t>
      </w:r>
      <w:r>
        <w:t xml:space="preserve"> the OTAP</w:t>
      </w:r>
      <w:r w:rsidR="00371C38">
        <w:t xml:space="preserve"> plays</w:t>
      </w:r>
      <w:r>
        <w:t xml:space="preserve"> </w:t>
      </w:r>
      <w:r w:rsidR="00E27C5B">
        <w:t>in supporting individuals living with dementia and examines interventions and approaches OTAPs use to enable</w:t>
      </w:r>
      <w:r w:rsidR="00B0764F">
        <w:t xml:space="preserve"> them to actively participate in daily life </w:t>
      </w:r>
      <w:r w:rsidR="00371C38">
        <w:t xml:space="preserve">and </w:t>
      </w:r>
      <w:r w:rsidR="00B0764F">
        <w:t>align with best practices in dementia care.</w:t>
      </w:r>
      <w:r w:rsidR="00822A81">
        <w:t xml:space="preserve"> </w:t>
      </w:r>
      <w:r w:rsidR="00B0764F">
        <w:t xml:space="preserve"> The report also considers how O</w:t>
      </w:r>
      <w:r w:rsidR="00371C38">
        <w:t xml:space="preserve">TAPs collaborate with </w:t>
      </w:r>
      <w:r w:rsidR="00B0764F">
        <w:t>caregivers and other services to deliver holistic support.</w:t>
      </w:r>
      <w:r w:rsidR="00822A81">
        <w:t xml:space="preserve"> </w:t>
      </w:r>
      <w:r w:rsidR="00B0764F">
        <w:t xml:space="preserve"> </w:t>
      </w:r>
      <w:r w:rsidR="00F43B5C">
        <w:t>Given the progressive changes in dementia care delivery, this</w:t>
      </w:r>
      <w:r w:rsidR="00710474">
        <w:t xml:space="preserve"> re</w:t>
      </w:r>
      <w:r w:rsidR="00F43B5C">
        <w:t>port considers</w:t>
      </w:r>
      <w:r w:rsidR="00710474">
        <w:t xml:space="preserve"> the OTAPs contribution to maintaining professional standards in their practice through training and development</w:t>
      </w:r>
      <w:r w:rsidR="00F43B5C">
        <w:t xml:space="preserve"> and identifies both the strengths and challenges of their role. </w:t>
      </w:r>
    </w:p>
    <w:p w14:paraId="0E67DA31" w14:textId="4434D33E" w:rsidR="009D1E77" w:rsidRPr="009D1E77" w:rsidRDefault="00F43B5C" w:rsidP="009D07D8">
      <w:pPr>
        <w:spacing w:line="360" w:lineRule="auto"/>
      </w:pPr>
      <w:r>
        <w:t xml:space="preserve">By providing a comprehensive insight of the OTAPs involvement in providing an </w:t>
      </w:r>
      <w:r w:rsidR="009D1E77">
        <w:t>all-encompassing</w:t>
      </w:r>
      <w:r>
        <w:t xml:space="preserve"> service to individuals with dementia </w:t>
      </w:r>
      <w:r w:rsidR="009D1E77">
        <w:t>through literature review and practical insights, this report aims to provide a better understanding of the role and highlight their value in current practice.</w:t>
      </w:r>
    </w:p>
    <w:p w14:paraId="5ED858CD" w14:textId="4BC8A3F1" w:rsidR="00072EDE" w:rsidRPr="0094260B" w:rsidRDefault="00D002A0" w:rsidP="009D07D8">
      <w:pPr>
        <w:spacing w:line="360" w:lineRule="auto"/>
        <w:rPr>
          <w:u w:val="single"/>
        </w:rPr>
      </w:pPr>
      <w:r w:rsidRPr="00B015EE">
        <w:rPr>
          <w:u w:val="single"/>
        </w:rPr>
        <w:t xml:space="preserve">Case </w:t>
      </w:r>
      <w:r w:rsidR="00B015EE">
        <w:rPr>
          <w:u w:val="single"/>
        </w:rPr>
        <w:t>S</w:t>
      </w:r>
      <w:r w:rsidRPr="00B015EE">
        <w:rPr>
          <w:u w:val="single"/>
        </w:rPr>
        <w:t>tudy</w:t>
      </w:r>
      <w:r w:rsidR="00B97878" w:rsidRPr="00B015EE">
        <w:rPr>
          <w:u w:val="single"/>
        </w:rPr>
        <w:t xml:space="preserve"> </w:t>
      </w:r>
    </w:p>
    <w:p w14:paraId="35305F3C" w14:textId="7FAC757D" w:rsidR="000E0265" w:rsidRDefault="000E0265" w:rsidP="009D07D8">
      <w:pPr>
        <w:spacing w:line="360" w:lineRule="auto"/>
      </w:pPr>
      <w:r>
        <w:t xml:space="preserve">This case study will </w:t>
      </w:r>
      <w:r w:rsidR="00D53F32">
        <w:t>look</w:t>
      </w:r>
      <w:r>
        <w:t xml:space="preserve"> at role of </w:t>
      </w:r>
      <w:r w:rsidR="0056742A">
        <w:t>an</w:t>
      </w:r>
      <w:r>
        <w:t xml:space="preserve"> </w:t>
      </w:r>
      <w:r w:rsidR="0056742A">
        <w:t>O</w:t>
      </w:r>
      <w:r>
        <w:t xml:space="preserve">TAP working within an older adult mental health inpatient ward which provides </w:t>
      </w:r>
      <w:r w:rsidR="00D53F32">
        <w:t>assessment</w:t>
      </w:r>
      <w:r>
        <w:t xml:space="preserve"> and intervention to adults </w:t>
      </w:r>
      <w:r w:rsidR="00CF666D">
        <w:t>experiencing</w:t>
      </w:r>
      <w:r>
        <w:t xml:space="preserve"> a range of mental health conditions</w:t>
      </w:r>
      <w:r w:rsidR="00371C38">
        <w:t xml:space="preserve"> including</w:t>
      </w:r>
      <w:r w:rsidR="00CF666D">
        <w:t xml:space="preserve"> dementia. </w:t>
      </w:r>
      <w:r w:rsidR="00822A81">
        <w:t xml:space="preserve"> </w:t>
      </w:r>
      <w:r w:rsidR="00CF666D">
        <w:t xml:space="preserve">The role of the </w:t>
      </w:r>
      <w:r w:rsidR="0056742A">
        <w:t>O</w:t>
      </w:r>
      <w:r w:rsidR="00CF666D">
        <w:t>TAP in this setting is to work alongside the</w:t>
      </w:r>
      <w:r w:rsidR="008032A5">
        <w:t xml:space="preserve"> </w:t>
      </w:r>
      <w:r w:rsidR="008032A5" w:rsidRPr="0056742A">
        <w:t>OT</w:t>
      </w:r>
      <w:r w:rsidR="0056742A" w:rsidRPr="0056742A">
        <w:t>s</w:t>
      </w:r>
      <w:r w:rsidR="00CF666D">
        <w:t xml:space="preserve"> to provide a range of assessments and interventions </w:t>
      </w:r>
      <w:r w:rsidR="00CF666D">
        <w:lastRenderedPageBreak/>
        <w:t xml:space="preserve">to individuals </w:t>
      </w:r>
      <w:r w:rsidR="008032A5">
        <w:t>with the aim to</w:t>
      </w:r>
      <w:r w:rsidR="00CF666D">
        <w:t xml:space="preserve"> enable them to engage in aspects of daily living and other activities that they want to engage in through adaptations</w:t>
      </w:r>
      <w:r w:rsidR="008032A5">
        <w:t>, modifications</w:t>
      </w:r>
      <w:r w:rsidR="00CF666D">
        <w:t xml:space="preserve"> and support. </w:t>
      </w:r>
      <w:r w:rsidR="00822A81">
        <w:t xml:space="preserve"> </w:t>
      </w:r>
      <w:r w:rsidR="003641C0">
        <w:t>This case example will be focusing on</w:t>
      </w:r>
      <w:r w:rsidR="008032A5">
        <w:t xml:space="preserve"> a </w:t>
      </w:r>
      <w:r w:rsidR="003641C0">
        <w:t>gentleman who was admitted to hospital following the worsening of the behavioural and psychological symptoms of dementia</w:t>
      </w:r>
      <w:r w:rsidR="00FE2BC7">
        <w:t xml:space="preserve"> (BPSD)</w:t>
      </w:r>
      <w:r w:rsidR="00D53F32">
        <w:t xml:space="preserve"> that</w:t>
      </w:r>
      <w:r w:rsidR="003641C0">
        <w:t xml:space="preserve"> he was experiencing</w:t>
      </w:r>
      <w:r w:rsidR="00623C42">
        <w:t xml:space="preserve">. </w:t>
      </w:r>
      <w:r w:rsidR="00822A81">
        <w:t xml:space="preserve"> </w:t>
      </w:r>
      <w:r w:rsidR="00623C42">
        <w:t>The case example will be given the pseudo name ‘Fred’ to maintain confidentiality.</w:t>
      </w:r>
    </w:p>
    <w:p w14:paraId="5799A740" w14:textId="2AA0BCE4" w:rsidR="0051490D" w:rsidRDefault="00FE2BC7" w:rsidP="009D07D8">
      <w:pPr>
        <w:spacing w:line="360" w:lineRule="auto"/>
      </w:pPr>
      <w:r>
        <w:t>Fred is a 78-year-old gentleman</w:t>
      </w:r>
      <w:r w:rsidR="006E18FB">
        <w:t xml:space="preserve"> who </w:t>
      </w:r>
      <w:r>
        <w:t>received a diagnosis of vascular dementia</w:t>
      </w:r>
      <w:r w:rsidR="001E7E28">
        <w:t xml:space="preserve"> (VD) </w:t>
      </w:r>
      <w:r>
        <w:t>2</w:t>
      </w:r>
      <w:r w:rsidR="00AE2AAC">
        <w:t xml:space="preserve"> </w:t>
      </w:r>
      <w:r>
        <w:t xml:space="preserve">years ago. </w:t>
      </w:r>
      <w:r w:rsidR="00822A81">
        <w:t xml:space="preserve"> </w:t>
      </w:r>
      <w:r w:rsidR="006E18FB">
        <w:t xml:space="preserve">Fred’s medical history includes that he is an ex-smoker and was diagnosed with heart disease during his 50’s. </w:t>
      </w:r>
      <w:r w:rsidR="00822A81">
        <w:t xml:space="preserve"> </w:t>
      </w:r>
      <w:r w:rsidR="00283BFC">
        <w:t>Fred</w:t>
      </w:r>
      <w:r w:rsidR="00271632">
        <w:t xml:space="preserve"> was living</w:t>
      </w:r>
      <w:r>
        <w:t xml:space="preserve"> at home with his wife and has two sons who </w:t>
      </w:r>
      <w:r w:rsidR="0026744A">
        <w:t>live</w:t>
      </w:r>
      <w:r w:rsidR="00684079">
        <w:t>d</w:t>
      </w:r>
      <w:r w:rsidR="0026744A">
        <w:t xml:space="preserve"> locally and</w:t>
      </w:r>
      <w:r w:rsidR="0016501C">
        <w:t xml:space="preserve"> </w:t>
      </w:r>
      <w:r>
        <w:t>provide</w:t>
      </w:r>
      <w:r w:rsidR="00684079">
        <w:t>d</w:t>
      </w:r>
      <w:r>
        <w:t xml:space="preserve"> </w:t>
      </w:r>
      <w:r w:rsidR="0026744A">
        <w:t>care and support</w:t>
      </w:r>
      <w:r>
        <w:t xml:space="preserve">. </w:t>
      </w:r>
      <w:r w:rsidR="00822A81">
        <w:t xml:space="preserve"> </w:t>
      </w:r>
      <w:r w:rsidR="00B70B90">
        <w:t>O</w:t>
      </w:r>
      <w:r w:rsidR="00E15E0F">
        <w:t xml:space="preserve">ver </w:t>
      </w:r>
      <w:r w:rsidR="007F1E56">
        <w:t>a</w:t>
      </w:r>
      <w:r w:rsidR="00E15E0F">
        <w:t xml:space="preserve"> </w:t>
      </w:r>
      <w:r w:rsidR="007F1E56">
        <w:t>two-month period</w:t>
      </w:r>
      <w:r w:rsidR="00E15E0F">
        <w:t xml:space="preserve">, the BPSD that </w:t>
      </w:r>
      <w:r w:rsidR="00283BFC">
        <w:t>Fred</w:t>
      </w:r>
      <w:r w:rsidR="00E15E0F">
        <w:t xml:space="preserve"> </w:t>
      </w:r>
      <w:r w:rsidR="007F1E56">
        <w:t xml:space="preserve">was </w:t>
      </w:r>
      <w:r w:rsidR="00371C38">
        <w:t>experiencing ha</w:t>
      </w:r>
      <w:r w:rsidR="007F1E56">
        <w:t>d</w:t>
      </w:r>
      <w:r w:rsidR="00371C38">
        <w:t xml:space="preserve"> worsened, </w:t>
      </w:r>
      <w:r w:rsidR="00E15E0F">
        <w:t>he ha</w:t>
      </w:r>
      <w:r w:rsidR="007F1E56">
        <w:t>d</w:t>
      </w:r>
      <w:r w:rsidR="00E15E0F">
        <w:t xml:space="preserve"> </w:t>
      </w:r>
      <w:r w:rsidR="006E18FB">
        <w:t xml:space="preserve">been </w:t>
      </w:r>
      <w:r w:rsidR="00B70B90">
        <w:t xml:space="preserve">wandering out of the house during the </w:t>
      </w:r>
      <w:r w:rsidR="006E18FB">
        <w:t xml:space="preserve">day and </w:t>
      </w:r>
      <w:r w:rsidR="00B70B90">
        <w:t>night and ha</w:t>
      </w:r>
      <w:r w:rsidR="007F1E56">
        <w:t>d</w:t>
      </w:r>
      <w:r w:rsidR="00B70B90">
        <w:t xml:space="preserve"> become suspicious of his family and others, believing that they have stolen from him or </w:t>
      </w:r>
      <w:r w:rsidR="00684079">
        <w:t>were</w:t>
      </w:r>
      <w:r w:rsidR="00B70B90">
        <w:t xml:space="preserve"> trying to harm him</w:t>
      </w:r>
      <w:r w:rsidR="00371C38">
        <w:t xml:space="preserve">. </w:t>
      </w:r>
      <w:r w:rsidR="00822A81">
        <w:t xml:space="preserve"> </w:t>
      </w:r>
      <w:r w:rsidR="00371C38">
        <w:t>T</w:t>
      </w:r>
      <w:r w:rsidR="00271632">
        <w:t>his</w:t>
      </w:r>
      <w:r w:rsidR="00B70B90">
        <w:t xml:space="preserve"> led to Fred </w:t>
      </w:r>
      <w:r w:rsidR="00E15E0F">
        <w:t>becom</w:t>
      </w:r>
      <w:r w:rsidR="00B70B90">
        <w:t>ing</w:t>
      </w:r>
      <w:r w:rsidR="00E15E0F">
        <w:t xml:space="preserve"> volatile and aggressive towards his family</w:t>
      </w:r>
      <w:r w:rsidR="008032A5">
        <w:t xml:space="preserve"> and visiting professionals on</w:t>
      </w:r>
      <w:r w:rsidR="00E15E0F">
        <w:t xml:space="preserve"> multiple</w:t>
      </w:r>
      <w:r w:rsidR="00F21894">
        <w:t xml:space="preserve"> </w:t>
      </w:r>
      <w:r w:rsidR="008032A5">
        <w:t>occasions</w:t>
      </w:r>
      <w:r w:rsidR="0026744A">
        <w:t>.</w:t>
      </w:r>
      <w:r w:rsidR="00C0600B">
        <w:t xml:space="preserve"> </w:t>
      </w:r>
    </w:p>
    <w:p w14:paraId="0DAF6F2D" w14:textId="6621C8AC" w:rsidR="0018779F" w:rsidRDefault="00C0600B" w:rsidP="009D07D8">
      <w:pPr>
        <w:spacing w:line="360" w:lineRule="auto"/>
      </w:pPr>
      <w:r>
        <w:t>V</w:t>
      </w:r>
      <w:r w:rsidR="001E7E28">
        <w:t>D</w:t>
      </w:r>
      <w:r>
        <w:t xml:space="preserve"> is caused by </w:t>
      </w:r>
      <w:r w:rsidR="00CF7E6D">
        <w:t xml:space="preserve">reduced blood flow to the brain. </w:t>
      </w:r>
      <w:r w:rsidR="00822A81">
        <w:t xml:space="preserve"> </w:t>
      </w:r>
      <w:r w:rsidR="00CF7E6D">
        <w:t>When parts of the brain don’t receive the oxygen and nutrients that t</w:t>
      </w:r>
      <w:r w:rsidR="00371C38">
        <w:t>hey need through blood flow</w:t>
      </w:r>
      <w:r w:rsidR="00CF7E6D">
        <w:t xml:space="preserve"> it results in nerve cells not being able to communicate effectively and dying. </w:t>
      </w:r>
      <w:r w:rsidR="00822A81">
        <w:t xml:space="preserve"> </w:t>
      </w:r>
      <w:r w:rsidR="00D65299">
        <w:t xml:space="preserve">It is evidenced in findings such as those by Wolters et al (2018) that individuals with heart disease are at higher risk of developing dementia. </w:t>
      </w:r>
      <w:r w:rsidR="00822A81">
        <w:t xml:space="preserve"> </w:t>
      </w:r>
      <w:r w:rsidR="00BF58BB">
        <w:t>V</w:t>
      </w:r>
      <w:r w:rsidR="001E7E28">
        <w:t>D</w:t>
      </w:r>
      <w:r w:rsidR="00BF58BB">
        <w:t xml:space="preserve"> is typically diagnosed through a combination of c</w:t>
      </w:r>
      <w:r w:rsidR="00271632">
        <w:t>ognitive and medical tests</w:t>
      </w:r>
      <w:r w:rsidR="0079238D">
        <w:t xml:space="preserve"> and s</w:t>
      </w:r>
      <w:r w:rsidR="00BF58BB">
        <w:t>ymptoms alter as the disease progresses, earlier symptoms include memory problems and difficulties with problem solving and sequencing, these can become more advanced and other symptoms such as delusions, hallucinations</w:t>
      </w:r>
      <w:r w:rsidR="00957DB2">
        <w:t xml:space="preserve"> </w:t>
      </w:r>
      <w:r w:rsidR="00BF58BB">
        <w:t>and agitation can present as time passes.</w:t>
      </w:r>
      <w:r w:rsidR="00B94C59">
        <w:t xml:space="preserve"> </w:t>
      </w:r>
    </w:p>
    <w:p w14:paraId="27D7544E" w14:textId="1C1CEF92" w:rsidR="0056742A" w:rsidRDefault="00271632" w:rsidP="009D07D8">
      <w:pPr>
        <w:spacing w:line="360" w:lineRule="auto"/>
      </w:pPr>
      <w:r>
        <w:t>Initially, f</w:t>
      </w:r>
      <w:r w:rsidR="000013C2">
        <w:t>ollowing his dementia diagnosis Fred maintained a positive outlook</w:t>
      </w:r>
      <w:r>
        <w:t>.</w:t>
      </w:r>
      <w:r w:rsidR="007F1E56">
        <w:t xml:space="preserve">  Over the </w:t>
      </w:r>
      <w:r w:rsidR="000013C2">
        <w:t xml:space="preserve">year </w:t>
      </w:r>
      <w:r w:rsidR="007F1E56">
        <w:t xml:space="preserve">prior to his admission, </w:t>
      </w:r>
      <w:r w:rsidR="000013C2">
        <w:t>Fred’s family ha</w:t>
      </w:r>
      <w:r w:rsidR="007F1E56">
        <w:t>d</w:t>
      </w:r>
      <w:r w:rsidR="000013C2">
        <w:t xml:space="preserve"> </w:t>
      </w:r>
      <w:r w:rsidR="00F919B3">
        <w:t>observed him</w:t>
      </w:r>
      <w:r w:rsidR="009E473A">
        <w:t xml:space="preserve"> losing</w:t>
      </w:r>
      <w:r w:rsidR="00F919B3">
        <w:t xml:space="preserve"> </w:t>
      </w:r>
      <w:r w:rsidR="000013C2">
        <w:t>interest in activities that he would normal</w:t>
      </w:r>
      <w:r>
        <w:t>ly find enjoyment in such as</w:t>
      </w:r>
      <w:r w:rsidR="002E7F1A">
        <w:t xml:space="preserve"> walking</w:t>
      </w:r>
      <w:r w:rsidR="000013C2">
        <w:t>, gardening and attending his local bowls club</w:t>
      </w:r>
      <w:r w:rsidR="001E7E28">
        <w:t>.</w:t>
      </w:r>
      <w:r w:rsidR="00822A81">
        <w:t xml:space="preserve"> </w:t>
      </w:r>
      <w:r w:rsidR="001E7E28">
        <w:t xml:space="preserve"> Apathy is a common symptom that those with a VD diagnosis experience (Akyol, 2019). </w:t>
      </w:r>
      <w:r w:rsidR="00822A81">
        <w:t xml:space="preserve"> </w:t>
      </w:r>
      <w:r>
        <w:t>Fred’s family ha</w:t>
      </w:r>
      <w:r w:rsidR="007F1E56">
        <w:t>d</w:t>
      </w:r>
      <w:r>
        <w:t xml:space="preserve"> found</w:t>
      </w:r>
      <w:r w:rsidR="006E18FB">
        <w:t xml:space="preserve"> it increasingly</w:t>
      </w:r>
      <w:r w:rsidR="00F919B3">
        <w:t xml:space="preserve"> </w:t>
      </w:r>
      <w:r w:rsidR="006E18FB">
        <w:t>difficult to manage his dementia symptoms</w:t>
      </w:r>
      <w:r w:rsidR="00957DB2">
        <w:t xml:space="preserve"> </w:t>
      </w:r>
      <w:r w:rsidR="006E18FB">
        <w:t>and medication changes that have been implemented ha</w:t>
      </w:r>
      <w:r w:rsidR="00361154">
        <w:t>d</w:t>
      </w:r>
      <w:r w:rsidR="006E18FB">
        <w:t xml:space="preserve"> been </w:t>
      </w:r>
      <w:r w:rsidR="00361154">
        <w:t>un</w:t>
      </w:r>
      <w:r w:rsidR="006E18FB">
        <w:t>successful in managing Fred’s BPSD</w:t>
      </w:r>
      <w:r w:rsidR="00B94C59">
        <w:t>.</w:t>
      </w:r>
      <w:r w:rsidR="00957DB2">
        <w:t xml:space="preserve"> </w:t>
      </w:r>
      <w:r w:rsidR="00822A81">
        <w:t xml:space="preserve"> </w:t>
      </w:r>
      <w:r w:rsidR="00957DB2">
        <w:t xml:space="preserve">Alongside </w:t>
      </w:r>
      <w:r w:rsidR="00B94C59">
        <w:t xml:space="preserve">Fred’s increased confusion and </w:t>
      </w:r>
      <w:r w:rsidR="00957DB2">
        <w:lastRenderedPageBreak/>
        <w:t>agitation,</w:t>
      </w:r>
      <w:r w:rsidR="00B94C59">
        <w:t xml:space="preserve"> he ha</w:t>
      </w:r>
      <w:r w:rsidR="007F1E56">
        <w:t>d</w:t>
      </w:r>
      <w:r w:rsidR="00B94C59">
        <w:t xml:space="preserve"> been declining diet and fluid and lost a significant amount of weight in a short time, </w:t>
      </w:r>
      <w:r w:rsidR="001E7E28">
        <w:t xml:space="preserve">this could be detrimental to Fred’s wellbeing </w:t>
      </w:r>
      <w:r w:rsidR="00180EFA">
        <w:t>as malnourishment can lead to frailty (Liang, 2021).</w:t>
      </w:r>
    </w:p>
    <w:p w14:paraId="52EF8402" w14:textId="4291E6F0" w:rsidR="00B31517" w:rsidRDefault="002E7F1A" w:rsidP="009D07D8">
      <w:pPr>
        <w:spacing w:line="360" w:lineRule="auto"/>
      </w:pPr>
      <w:r>
        <w:t xml:space="preserve">Alongside OTs, </w:t>
      </w:r>
      <w:r w:rsidR="00F919B3">
        <w:t>the</w:t>
      </w:r>
      <w:r>
        <w:t xml:space="preserve"> OTAP</w:t>
      </w:r>
      <w:r w:rsidR="00271632">
        <w:t>s role was to spend</w:t>
      </w:r>
      <w:r>
        <w:t xml:space="preserve"> time assessing Freds functional abilities when engaging in everyday tasks, as a baseline this included essential tasks such as washing and dressing and eating and drinking. </w:t>
      </w:r>
      <w:r w:rsidR="00822A81">
        <w:t xml:space="preserve"> </w:t>
      </w:r>
      <w:r>
        <w:t xml:space="preserve">This was fed back to the nursing team so that Fred was able to receive the appropriate amount of support, whilst also enabling </w:t>
      </w:r>
      <w:r w:rsidR="00F919B3">
        <w:t xml:space="preserve">him </w:t>
      </w:r>
      <w:r>
        <w:t xml:space="preserve">to engage in activities of daily living. </w:t>
      </w:r>
      <w:r w:rsidR="00822A81">
        <w:t xml:space="preserve"> </w:t>
      </w:r>
      <w:r>
        <w:t xml:space="preserve">Information was gathered about Fred’s life history and routines from both Fred and his family to gain a holistic view of his daily life. </w:t>
      </w:r>
      <w:r w:rsidR="00822A81">
        <w:t xml:space="preserve"> </w:t>
      </w:r>
      <w:r>
        <w:t>This allowed the OT team to provide meaningful interventions for Fr</w:t>
      </w:r>
      <w:r w:rsidR="00271632">
        <w:t>ed based on activities and occupations</w:t>
      </w:r>
      <w:r>
        <w:t xml:space="preserve"> that he previously participated in.</w:t>
      </w:r>
      <w:r w:rsidR="00822A81">
        <w:t xml:space="preserve"> </w:t>
      </w:r>
      <w:r>
        <w:t xml:space="preserve"> Evidence suggests that input from </w:t>
      </w:r>
      <w:r w:rsidR="00F919B3">
        <w:t>OT</w:t>
      </w:r>
      <w:r>
        <w:t xml:space="preserve"> services can help to reduce BPSD, support participation in activities of daily living and improve their quality of life (Bennett et al, 2019).</w:t>
      </w:r>
    </w:p>
    <w:p w14:paraId="2ABA38E1" w14:textId="14F822F2" w:rsidR="00D002A0" w:rsidRPr="0094260B" w:rsidRDefault="00D002A0" w:rsidP="009D07D8">
      <w:pPr>
        <w:spacing w:line="360" w:lineRule="auto"/>
        <w:rPr>
          <w:u w:val="single"/>
        </w:rPr>
      </w:pPr>
      <w:r w:rsidRPr="0094260B">
        <w:rPr>
          <w:u w:val="single"/>
        </w:rPr>
        <w:t xml:space="preserve">Overview of </w:t>
      </w:r>
      <w:r w:rsidR="00096BCE">
        <w:rPr>
          <w:u w:val="single"/>
        </w:rPr>
        <w:t>Dementia</w:t>
      </w:r>
      <w:r w:rsidRPr="0094260B">
        <w:rPr>
          <w:u w:val="single"/>
        </w:rPr>
        <w:t xml:space="preserve"> </w:t>
      </w:r>
    </w:p>
    <w:p w14:paraId="41ADC436" w14:textId="5B093678" w:rsidR="00375403" w:rsidRDefault="00AE2AAC" w:rsidP="009D07D8">
      <w:pPr>
        <w:spacing w:line="360" w:lineRule="auto"/>
      </w:pPr>
      <w:r>
        <w:t xml:space="preserve">Dementia is an umbrella term which includes various </w:t>
      </w:r>
      <w:r w:rsidR="00531BBE">
        <w:t>neurodegenerative</w:t>
      </w:r>
      <w:r w:rsidR="002F4FF0">
        <w:t xml:space="preserve"> </w:t>
      </w:r>
      <w:r>
        <w:t>diseases that cause damage to the brain.</w:t>
      </w:r>
      <w:r w:rsidR="00822A81">
        <w:t xml:space="preserve"> </w:t>
      </w:r>
      <w:r>
        <w:t xml:space="preserve"> </w:t>
      </w:r>
      <w:r w:rsidR="00A1563E">
        <w:t xml:space="preserve">It is estimated that there are around 982,000 individuals living with dementia in the UK (Dementia Statistic Hub, 2024) and that Alzheimer’s </w:t>
      </w:r>
      <w:r w:rsidR="004C1671">
        <w:t>d</w:t>
      </w:r>
      <w:r w:rsidR="00A1563E">
        <w:t xml:space="preserve">isease is the most common type of dementia with </w:t>
      </w:r>
      <w:r w:rsidR="004C1671">
        <w:t>v</w:t>
      </w:r>
      <w:r w:rsidR="00A1563E">
        <w:t xml:space="preserve">ascular </w:t>
      </w:r>
      <w:r w:rsidR="004C1671">
        <w:t>d</w:t>
      </w:r>
      <w:r w:rsidR="00A1563E">
        <w:t xml:space="preserve">ementia being the second most common (Alzheimer’s </w:t>
      </w:r>
      <w:r w:rsidR="004C1671">
        <w:t>S</w:t>
      </w:r>
      <w:r w:rsidR="00A1563E">
        <w:t>ociety, 2024)</w:t>
      </w:r>
      <w:r w:rsidR="004C1671">
        <w:t>.</w:t>
      </w:r>
      <w:r w:rsidR="00822A81">
        <w:t xml:space="preserve"> </w:t>
      </w:r>
      <w:r w:rsidR="004C1671">
        <w:t xml:space="preserve"> </w:t>
      </w:r>
      <w:r w:rsidR="00811F57">
        <w:t xml:space="preserve">The risk of developing dementia increases with </w:t>
      </w:r>
      <w:r w:rsidR="00424C34">
        <w:t>age,</w:t>
      </w:r>
      <w:r w:rsidR="00811F57">
        <w:t xml:space="preserve"> and i</w:t>
      </w:r>
      <w:r w:rsidR="00134CB6">
        <w:t xml:space="preserve">t is predicted that the number of individuals living with dementia </w:t>
      </w:r>
      <w:r w:rsidR="00B213F3">
        <w:t xml:space="preserve">throughout the world </w:t>
      </w:r>
      <w:r w:rsidR="004C6060">
        <w:t>will continue to rise due to</w:t>
      </w:r>
      <w:r w:rsidR="00B213F3">
        <w:t xml:space="preserve"> population ageing (Chen et al, 2023).</w:t>
      </w:r>
    </w:p>
    <w:p w14:paraId="65D41E1F" w14:textId="47FAAB65" w:rsidR="00C0159E" w:rsidRDefault="00B213F3" w:rsidP="009D07D8">
      <w:pPr>
        <w:spacing w:line="360" w:lineRule="auto"/>
      </w:pPr>
      <w:r>
        <w:t xml:space="preserve">Dementia not only has an impact on individuals living with the syndrome, </w:t>
      </w:r>
      <w:proofErr w:type="gramStart"/>
      <w:r>
        <w:t>it</w:t>
      </w:r>
      <w:proofErr w:type="gramEnd"/>
      <w:r>
        <w:t xml:space="preserve"> also</w:t>
      </w:r>
      <w:r w:rsidR="00FC13E1">
        <w:t xml:space="preserve"> has a profound</w:t>
      </w:r>
      <w:r>
        <w:t xml:space="preserve"> effect</w:t>
      </w:r>
      <w:r w:rsidR="00FC13E1">
        <w:t xml:space="preserve"> on</w:t>
      </w:r>
      <w:r w:rsidR="004C6060">
        <w:t xml:space="preserve"> their loved ones</w:t>
      </w:r>
      <w:r w:rsidR="00072EDE">
        <w:t xml:space="preserve">. </w:t>
      </w:r>
      <w:r w:rsidR="00822A81">
        <w:t xml:space="preserve"> </w:t>
      </w:r>
      <w:r w:rsidR="00D002A0">
        <w:t>Individuals living with dementia can experience a wide range of symptoms such as changes in cognition and function and difficulty communicating and expressing the</w:t>
      </w:r>
      <w:r w:rsidR="002F0921">
        <w:t>ir emotions</w:t>
      </w:r>
      <w:r w:rsidR="00D002A0">
        <w:t xml:space="preserve"> (Molvik et al, 2024). </w:t>
      </w:r>
      <w:r w:rsidR="00822A81">
        <w:t xml:space="preserve"> </w:t>
      </w:r>
      <w:r w:rsidR="00FC13E1">
        <w:t>Families experience a change in dynamic with the</w:t>
      </w:r>
      <w:r w:rsidR="00B97878">
        <w:t xml:space="preserve"> individual</w:t>
      </w:r>
      <w:r w:rsidR="00FC13E1">
        <w:t>, becoming a caregiver and supporting them to with the</w:t>
      </w:r>
      <w:r w:rsidR="00F919B3">
        <w:t xml:space="preserve"> </w:t>
      </w:r>
      <w:r w:rsidR="00FC13E1">
        <w:t xml:space="preserve">changes that they are experiencing, this can </w:t>
      </w:r>
      <w:r w:rsidR="00F919B3">
        <w:t>lead to caregivers experiencing physical and emotional stress</w:t>
      </w:r>
      <w:r w:rsidR="002F0921">
        <w:t xml:space="preserve"> and effect </w:t>
      </w:r>
      <w:r w:rsidR="00FC13E1">
        <w:t>their overall health on wellb</w:t>
      </w:r>
      <w:r w:rsidR="002F0921">
        <w:t>e</w:t>
      </w:r>
      <w:r w:rsidR="00FC13E1">
        <w:t>ing</w:t>
      </w:r>
      <w:r w:rsidR="002F0921">
        <w:t xml:space="preserve"> (Steenfeldt et al, 2023).</w:t>
      </w:r>
      <w:r w:rsidR="00822A81">
        <w:t xml:space="preserve"> </w:t>
      </w:r>
      <w:r w:rsidR="002F0921">
        <w:t xml:space="preserve"> Both individuals with dementia and their families share the risk of becoming socially isolated due to challenges that they are facing and the response of others.</w:t>
      </w:r>
      <w:r w:rsidR="002A150F">
        <w:t xml:space="preserve"> </w:t>
      </w:r>
      <w:r w:rsidR="00822A81">
        <w:t xml:space="preserve"> </w:t>
      </w:r>
      <w:r w:rsidR="008140D6">
        <w:t xml:space="preserve">The </w:t>
      </w:r>
      <w:r w:rsidR="008140D6">
        <w:lastRenderedPageBreak/>
        <w:t>continual increase of dementia cases has seen an overall impact on health and social care.</w:t>
      </w:r>
      <w:r w:rsidR="00822A81">
        <w:t xml:space="preserve"> </w:t>
      </w:r>
      <w:r w:rsidR="008140D6">
        <w:t xml:space="preserve"> Providing specialist training and ensuring that staff ratios a</w:t>
      </w:r>
      <w:r w:rsidR="00A80F91">
        <w:t>re adequate to provide a</w:t>
      </w:r>
      <w:r w:rsidR="008140D6">
        <w:t xml:space="preserve"> support</w:t>
      </w:r>
      <w:r w:rsidR="002A150F">
        <w:t>ive</w:t>
      </w:r>
      <w:r w:rsidR="008140D6">
        <w:t xml:space="preserve"> environment for individuals </w:t>
      </w:r>
      <w:r w:rsidR="002F4876">
        <w:t xml:space="preserve">put increased pressure on staff and have cost implications. </w:t>
      </w:r>
      <w:r w:rsidR="00822A81">
        <w:t xml:space="preserve"> </w:t>
      </w:r>
      <w:r w:rsidR="00B97878">
        <w:t>I</w:t>
      </w:r>
      <w:r w:rsidR="002F4876">
        <w:t xml:space="preserve">ndividuals with dementia have a higher risk of falling and can result in an hospital admission following a fall. </w:t>
      </w:r>
      <w:r w:rsidR="00822A81">
        <w:t xml:space="preserve"> </w:t>
      </w:r>
      <w:r w:rsidR="002F4876">
        <w:t>Once admitted to hospital an individual with dementia can becom</w:t>
      </w:r>
      <w:r w:rsidR="00B97878">
        <w:t>e</w:t>
      </w:r>
      <w:r w:rsidR="002F4876">
        <w:t xml:space="preserve"> more dependent on others and when </w:t>
      </w:r>
      <w:r w:rsidR="00B97878">
        <w:t>discharged</w:t>
      </w:r>
      <w:r w:rsidR="002F4876">
        <w:t xml:space="preserve"> their caregiver is under further pressure to provide a higher level of care</w:t>
      </w:r>
      <w:r w:rsidR="00B97878">
        <w:t xml:space="preserve">, this scenario </w:t>
      </w:r>
      <w:r w:rsidR="00F919B3">
        <w:t>demonstrates</w:t>
      </w:r>
      <w:r w:rsidR="00B97878">
        <w:t xml:space="preserve"> the impact dementia can have on all involved.</w:t>
      </w:r>
    </w:p>
    <w:p w14:paraId="2877B387" w14:textId="184E2ABF" w:rsidR="00B97878" w:rsidRPr="0094260B" w:rsidRDefault="00B97878" w:rsidP="009D07D8">
      <w:pPr>
        <w:spacing w:line="360" w:lineRule="auto"/>
        <w:rPr>
          <w:u w:val="single"/>
        </w:rPr>
      </w:pPr>
      <w:r w:rsidRPr="0094260B">
        <w:rPr>
          <w:u w:val="single"/>
        </w:rPr>
        <w:t xml:space="preserve">Previous </w:t>
      </w:r>
      <w:r w:rsidR="00B015EE">
        <w:rPr>
          <w:u w:val="single"/>
        </w:rPr>
        <w:t>A</w:t>
      </w:r>
      <w:r w:rsidRPr="0094260B">
        <w:rPr>
          <w:u w:val="single"/>
        </w:rPr>
        <w:t xml:space="preserve">pproaches to the </w:t>
      </w:r>
      <w:r w:rsidR="00B015EE">
        <w:rPr>
          <w:u w:val="single"/>
        </w:rPr>
        <w:t>C</w:t>
      </w:r>
      <w:r w:rsidRPr="0094260B">
        <w:rPr>
          <w:u w:val="single"/>
        </w:rPr>
        <w:t xml:space="preserve">ondition </w:t>
      </w:r>
    </w:p>
    <w:p w14:paraId="550CE24B" w14:textId="2F917495" w:rsidR="00C43ACA" w:rsidRDefault="005708FE" w:rsidP="009D07D8">
      <w:pPr>
        <w:spacing w:line="360" w:lineRule="auto"/>
      </w:pPr>
      <w:r>
        <w:t>References to what we now know as dementia have been made throughout time</w:t>
      </w:r>
      <w:r w:rsidR="005D5DF0">
        <w:t>,</w:t>
      </w:r>
      <w:r>
        <w:t xml:space="preserve"> </w:t>
      </w:r>
      <w:r w:rsidR="00810D3D">
        <w:t>i</w:t>
      </w:r>
      <w:r>
        <w:t>nitially</w:t>
      </w:r>
      <w:r w:rsidR="00810D3D">
        <w:t xml:space="preserve"> it </w:t>
      </w:r>
      <w:r>
        <w:t>was concluded to be part of ageing</w:t>
      </w:r>
      <w:r w:rsidR="00810D3D">
        <w:t>,</w:t>
      </w:r>
      <w:r w:rsidR="00DE3CCD">
        <w:t xml:space="preserve"> but as li</w:t>
      </w:r>
      <w:r w:rsidR="00A80F91">
        <w:t xml:space="preserve">fespans increased it became </w:t>
      </w:r>
      <w:r w:rsidR="00DE3CCD">
        <w:t xml:space="preserve">understood that </w:t>
      </w:r>
      <w:r w:rsidR="00165363">
        <w:t>this is not the case.</w:t>
      </w:r>
      <w:r w:rsidR="00822A81">
        <w:t xml:space="preserve"> </w:t>
      </w:r>
      <w:r w:rsidR="00165363">
        <w:t xml:space="preserve"> </w:t>
      </w:r>
      <w:r w:rsidR="009A5FB4">
        <w:t>O</w:t>
      </w:r>
      <w:r w:rsidR="00810D3D">
        <w:t>ver the last century there have been significant advancements in approaches to</w:t>
      </w:r>
      <w:r w:rsidR="00A54CB4">
        <w:t xml:space="preserve"> </w:t>
      </w:r>
      <w:r w:rsidR="00810D3D">
        <w:t>diagnosis and treatment.</w:t>
      </w:r>
      <w:r w:rsidR="00822A81">
        <w:t xml:space="preserve"> </w:t>
      </w:r>
      <w:r w:rsidR="00810D3D">
        <w:t xml:space="preserve"> </w:t>
      </w:r>
      <w:r>
        <w:t>P</w:t>
      </w:r>
      <w:r w:rsidR="005D5DF0">
        <w:t xml:space="preserve">rior to today’s medical advancements, dementia </w:t>
      </w:r>
      <w:r>
        <w:t xml:space="preserve">was diagnosed </w:t>
      </w:r>
      <w:r w:rsidR="00810D3D">
        <w:t>through observ</w:t>
      </w:r>
      <w:r w:rsidR="009A5FB4">
        <w:t xml:space="preserve">ation and postmortem investigations. </w:t>
      </w:r>
      <w:r w:rsidR="00822A81">
        <w:t xml:space="preserve"> </w:t>
      </w:r>
      <w:r w:rsidR="00894924">
        <w:t xml:space="preserve">As time has progressed, cognitive assessments have been developed and advancements in technology and </w:t>
      </w:r>
      <w:r w:rsidR="006B5BEF">
        <w:t>neuro</w:t>
      </w:r>
      <w:r w:rsidR="00894924">
        <w:t>imaging such as CT scanning have become available to support with diagnosis.</w:t>
      </w:r>
      <w:r w:rsidR="00822A81">
        <w:t xml:space="preserve"> </w:t>
      </w:r>
      <w:r w:rsidR="00D64909">
        <w:t xml:space="preserve"> </w:t>
      </w:r>
      <w:r w:rsidR="00C43ACA">
        <w:t>Dementia becoming a recognised condition paved the way for further research in diagnosis, treatment and prognosis</w:t>
      </w:r>
      <w:r w:rsidR="008D1EB4">
        <w:t xml:space="preserve">, </w:t>
      </w:r>
      <w:r w:rsidR="00C43ACA">
        <w:t>enabled development in approaches of care and support</w:t>
      </w:r>
      <w:r w:rsidR="001B1BCB">
        <w:t xml:space="preserve"> and reduced the stigma that surrounds the condition</w:t>
      </w:r>
      <w:r w:rsidR="00C43ACA">
        <w:t>.</w:t>
      </w:r>
      <w:r w:rsidR="00822A81">
        <w:t xml:space="preserve"> </w:t>
      </w:r>
      <w:r w:rsidR="00C43ACA">
        <w:t xml:space="preserve"> In 2009 the UK Government introduced the ‘Living Well </w:t>
      </w:r>
      <w:r w:rsidR="00424C34">
        <w:t>with</w:t>
      </w:r>
      <w:r w:rsidR="00C43ACA">
        <w:t xml:space="preserve"> Dementia: A National Dementia Strategy</w:t>
      </w:r>
      <w:r w:rsidR="007A5277">
        <w:t>’</w:t>
      </w:r>
      <w:r w:rsidR="00C43ACA">
        <w:t xml:space="preserve"> </w:t>
      </w:r>
      <w:r w:rsidR="008D1EB4">
        <w:t xml:space="preserve">(Department of Health, 2009) </w:t>
      </w:r>
      <w:r w:rsidR="00C43ACA">
        <w:t xml:space="preserve">with the aim of increasing awareness, </w:t>
      </w:r>
      <w:r w:rsidR="007E3275">
        <w:t xml:space="preserve">improving diagnosis </w:t>
      </w:r>
      <w:r w:rsidR="008D1EB4">
        <w:t>rates</w:t>
      </w:r>
      <w:r w:rsidR="007E3275">
        <w:t xml:space="preserve">, providing information and </w:t>
      </w:r>
      <w:r w:rsidR="008D1EB4">
        <w:t>making care and support more accessible for</w:t>
      </w:r>
      <w:r w:rsidR="007E3275">
        <w:t xml:space="preserve"> individuals with dementia and their care</w:t>
      </w:r>
      <w:r w:rsidR="008D1EB4">
        <w:t>givers</w:t>
      </w:r>
      <w:r w:rsidR="007E3275">
        <w:t xml:space="preserve">. </w:t>
      </w:r>
      <w:r w:rsidR="00822A81">
        <w:t xml:space="preserve"> </w:t>
      </w:r>
      <w:r w:rsidR="007E3275">
        <w:t>Further on from this in 2012 David Cameron launched ‘Dementia 2012 – A national challenge’, this again highlighted the aims laid out in the Dementia Strategy and put a focus on ‘creating dementia friendly communities that understand how to help’</w:t>
      </w:r>
      <w:r w:rsidR="001B1BCB">
        <w:t>, also highlighting that “research knowledge on dementia lags behind other major diseases” (Department of Health, 2012).</w:t>
      </w:r>
    </w:p>
    <w:p w14:paraId="13AE4205" w14:textId="21CDFD96" w:rsidR="007612F1" w:rsidRDefault="00375636" w:rsidP="009D07D8">
      <w:pPr>
        <w:spacing w:line="360" w:lineRule="auto"/>
      </w:pPr>
      <w:r>
        <w:t xml:space="preserve">The role of the </w:t>
      </w:r>
      <w:r w:rsidR="0056742A">
        <w:t>o</w:t>
      </w:r>
      <w:r>
        <w:t xml:space="preserve">ccupational </w:t>
      </w:r>
      <w:r w:rsidR="0056742A">
        <w:t>t</w:t>
      </w:r>
      <w:r>
        <w:t xml:space="preserve">herapy in mental health has been established from the </w:t>
      </w:r>
      <w:r w:rsidR="00861D63">
        <w:t>beginning of the profession where it was identified that individuals experiencing various mental health conditions benefitted from engaging in purposeful activities.</w:t>
      </w:r>
      <w:r w:rsidR="00822A81">
        <w:t xml:space="preserve"> </w:t>
      </w:r>
      <w:r w:rsidR="00861D63">
        <w:t xml:space="preserve"> </w:t>
      </w:r>
      <w:r w:rsidR="007612F1">
        <w:t xml:space="preserve">Over time </w:t>
      </w:r>
      <w:r w:rsidR="007612F1">
        <w:lastRenderedPageBreak/>
        <w:t xml:space="preserve">the role has developed, and </w:t>
      </w:r>
      <w:r w:rsidR="00F861BC">
        <w:t>OT has</w:t>
      </w:r>
      <w:r w:rsidR="007612F1">
        <w:t xml:space="preserve"> begun to take a more prevalent part in</w:t>
      </w:r>
      <w:r w:rsidR="00C82CD7">
        <w:t xml:space="preserve"> treatment provided to individuals</w:t>
      </w:r>
      <w:r w:rsidR="003C3E7A">
        <w:t xml:space="preserve">, with the </w:t>
      </w:r>
      <w:r w:rsidR="0056742A">
        <w:t>O</w:t>
      </w:r>
      <w:r w:rsidR="003C3E7A">
        <w:t>TAP role being continually developed</w:t>
      </w:r>
      <w:r w:rsidR="007612F1">
        <w:t xml:space="preserve">. </w:t>
      </w:r>
      <w:r w:rsidR="0056742A">
        <w:t>O</w:t>
      </w:r>
      <w:r w:rsidR="007612F1">
        <w:t>TAPs support OTs in carrying out various assessments and delivering</w:t>
      </w:r>
      <w:r w:rsidR="00F861BC">
        <w:t xml:space="preserve"> interventions to individuals,</w:t>
      </w:r>
      <w:r w:rsidR="007612F1">
        <w:t xml:space="preserve"> support</w:t>
      </w:r>
      <w:r w:rsidR="00F861BC">
        <w:t>ing</w:t>
      </w:r>
      <w:r w:rsidR="007612F1">
        <w:t xml:space="preserve"> them to </w:t>
      </w:r>
      <w:r w:rsidR="00C82CD7">
        <w:t>engage i</w:t>
      </w:r>
      <w:r w:rsidR="00F861BC">
        <w:t>n activities of daily life that</w:t>
      </w:r>
      <w:r w:rsidR="00C82CD7">
        <w:t xml:space="preserve"> generally fall under the categories of selfcare, productivity and leisure.</w:t>
      </w:r>
      <w:r w:rsidR="00822A81">
        <w:t xml:space="preserve"> </w:t>
      </w:r>
      <w:r w:rsidR="00C82CD7">
        <w:t xml:space="preserve"> </w:t>
      </w:r>
      <w:r w:rsidR="008D1EB4">
        <w:t>Viewing</w:t>
      </w:r>
      <w:r w:rsidR="00C82CD7">
        <w:t xml:space="preserve"> </w:t>
      </w:r>
      <w:r w:rsidR="00A65901">
        <w:t xml:space="preserve">individuals </w:t>
      </w:r>
      <w:r w:rsidR="00C82CD7">
        <w:t xml:space="preserve">holistically and considering the varying factors that allow </w:t>
      </w:r>
      <w:r w:rsidR="00A65901">
        <w:t>them</w:t>
      </w:r>
      <w:r w:rsidR="00C82CD7">
        <w:t xml:space="preserve"> to engage in tasks and activities has always been at the forefront of </w:t>
      </w:r>
      <w:r w:rsidR="00A65901">
        <w:t>the</w:t>
      </w:r>
      <w:r w:rsidR="00F861BC">
        <w:t xml:space="preserve"> approach </w:t>
      </w:r>
      <w:r w:rsidR="0056742A">
        <w:t>O</w:t>
      </w:r>
      <w:r w:rsidR="00C82CD7">
        <w:t>TAP</w:t>
      </w:r>
      <w:r w:rsidR="00F861BC">
        <w:t>s have</w:t>
      </w:r>
      <w:r w:rsidR="00C82CD7">
        <w:t xml:space="preserve"> when engaging with an individual</w:t>
      </w:r>
      <w:r w:rsidR="00A65901">
        <w:t xml:space="preserve">. </w:t>
      </w:r>
      <w:r w:rsidR="00822A81">
        <w:t xml:space="preserve"> </w:t>
      </w:r>
      <w:r w:rsidR="00A65901">
        <w:t xml:space="preserve">In dementia care, </w:t>
      </w:r>
      <w:r w:rsidR="0056742A">
        <w:t>O</w:t>
      </w:r>
      <w:r w:rsidR="00EB3B67">
        <w:t>TAPs provid</w:t>
      </w:r>
      <w:r w:rsidR="00C0159E">
        <w:t>e</w:t>
      </w:r>
      <w:r w:rsidR="00EB3B67">
        <w:t xml:space="preserve"> support </w:t>
      </w:r>
      <w:r w:rsidR="00F22114">
        <w:t>through</w:t>
      </w:r>
      <w:r w:rsidR="00EB3B67">
        <w:t xml:space="preserve"> adapting and grading activities to encourage participation and promote independence, </w:t>
      </w:r>
      <w:r w:rsidR="00C0159E">
        <w:t xml:space="preserve">evidence suggests that </w:t>
      </w:r>
      <w:r w:rsidR="00EB3B67">
        <w:t xml:space="preserve">doing so can have a positive effect on an individual’s </w:t>
      </w:r>
      <w:r w:rsidR="00F22114">
        <w:t xml:space="preserve">quality of life </w:t>
      </w:r>
      <w:r w:rsidR="00FF1835">
        <w:t>(Uceda-Portillo, 2024)</w:t>
      </w:r>
      <w:r w:rsidR="00EB3B67">
        <w:t>.</w:t>
      </w:r>
      <w:r w:rsidR="00B73AF9">
        <w:tab/>
      </w:r>
    </w:p>
    <w:p w14:paraId="32301CBD" w14:textId="0D747F12" w:rsidR="00EB3B67" w:rsidRPr="0094260B" w:rsidRDefault="00EB3B67" w:rsidP="009D07D8">
      <w:pPr>
        <w:spacing w:line="360" w:lineRule="auto"/>
        <w:rPr>
          <w:u w:val="single"/>
        </w:rPr>
      </w:pPr>
      <w:r w:rsidRPr="0094260B">
        <w:rPr>
          <w:u w:val="single"/>
        </w:rPr>
        <w:t>Current Approaches to the Condition</w:t>
      </w:r>
      <w:r w:rsidR="005D5DF0" w:rsidRPr="0094260B">
        <w:rPr>
          <w:u w:val="single"/>
        </w:rPr>
        <w:t xml:space="preserve"> </w:t>
      </w:r>
    </w:p>
    <w:p w14:paraId="4327110B" w14:textId="49CE1F4E" w:rsidR="00245FA9" w:rsidRDefault="00E57922" w:rsidP="009D07D8">
      <w:pPr>
        <w:spacing w:line="360" w:lineRule="auto"/>
      </w:pPr>
      <w:r>
        <w:t>Working with individuals with dementia can present many challenges</w:t>
      </w:r>
      <w:r w:rsidR="003A5A85">
        <w:t xml:space="preserve"> including</w:t>
      </w:r>
      <w:r>
        <w:t xml:space="preserve"> comorbidities and </w:t>
      </w:r>
      <w:r w:rsidR="00F861BC">
        <w:t>challenging symptoms</w:t>
      </w:r>
      <w:r w:rsidR="000F533F">
        <w:t>,</w:t>
      </w:r>
      <w:r>
        <w:t xml:space="preserve"> a lack of supportive environment</w:t>
      </w:r>
      <w:r w:rsidR="000F533F">
        <w:t xml:space="preserve"> and </w:t>
      </w:r>
      <w:r>
        <w:t>staffing shortages in services providin</w:t>
      </w:r>
      <w:r w:rsidR="00F9242B">
        <w:t xml:space="preserve">g </w:t>
      </w:r>
      <w:r>
        <w:t>support. OTAPs are</w:t>
      </w:r>
      <w:r w:rsidR="00424C34">
        <w:t xml:space="preserve"> part</w:t>
      </w:r>
      <w:r>
        <w:t xml:space="preserve"> the workforce that work with these individuals throughout the progression of their dementia and hold positions in community, social and </w:t>
      </w:r>
      <w:r w:rsidR="003A5A85">
        <w:t>hospital-based</w:t>
      </w:r>
      <w:r w:rsidR="00F861BC">
        <w:t xml:space="preserve"> teams</w:t>
      </w:r>
      <w:r w:rsidR="00465E61">
        <w:t>.</w:t>
      </w:r>
      <w:r w:rsidR="00822A81">
        <w:t xml:space="preserve"> </w:t>
      </w:r>
      <w:r w:rsidR="00465E61">
        <w:t xml:space="preserve"> </w:t>
      </w:r>
      <w:r w:rsidR="00F861BC">
        <w:t xml:space="preserve">The constant </w:t>
      </w:r>
      <w:r w:rsidR="0094597D">
        <w:t xml:space="preserve">advancements in dementia research and care </w:t>
      </w:r>
      <w:r w:rsidR="002F0301">
        <w:t xml:space="preserve">and </w:t>
      </w:r>
      <w:r w:rsidR="00F861BC">
        <w:t xml:space="preserve">the </w:t>
      </w:r>
      <w:r w:rsidR="002F0301">
        <w:t xml:space="preserve">development of OT </w:t>
      </w:r>
      <w:r w:rsidR="00F56FDE">
        <w:t xml:space="preserve">standards, </w:t>
      </w:r>
      <w:r w:rsidR="002F0301">
        <w:t xml:space="preserve">tools and equipment </w:t>
      </w:r>
      <w:r w:rsidR="00E31B40">
        <w:t>have</w:t>
      </w:r>
      <w:r w:rsidR="0094597D">
        <w:t xml:space="preserve"> aided </w:t>
      </w:r>
      <w:r w:rsidR="0056742A">
        <w:t>O</w:t>
      </w:r>
      <w:r w:rsidR="0094597D">
        <w:t xml:space="preserve">TAPs to improve the service that they provide for individuals living with dementia and support them to develop new approaches that have a </w:t>
      </w:r>
      <w:r w:rsidR="00F9242B">
        <w:t>positive</w:t>
      </w:r>
      <w:r w:rsidR="0094597D">
        <w:t xml:space="preserve"> impact on their lives. </w:t>
      </w:r>
      <w:r w:rsidR="00822A81">
        <w:t xml:space="preserve"> </w:t>
      </w:r>
      <w:r w:rsidR="00966403">
        <w:t xml:space="preserve">Standardised assessment tools such as The Model of Human Occupation Screening Tool (MOHOST) (Parkinson et al, 2006) </w:t>
      </w:r>
      <w:r w:rsidR="00DB665C">
        <w:t>can be</w:t>
      </w:r>
      <w:r w:rsidR="00966403">
        <w:t xml:space="preserve"> used by </w:t>
      </w:r>
      <w:r w:rsidR="00F861BC">
        <w:t>O</w:t>
      </w:r>
      <w:r w:rsidR="00966403">
        <w:t xml:space="preserve">TAPs working within mental health settings. </w:t>
      </w:r>
      <w:r w:rsidR="00DB665C">
        <w:t xml:space="preserve">The </w:t>
      </w:r>
      <w:r w:rsidR="00966403">
        <w:t>MOHOST can be used with individuals with a wide range of mental health conditions including dementia</w:t>
      </w:r>
      <w:r w:rsidR="001D13F4">
        <w:t>.</w:t>
      </w:r>
      <w:r w:rsidR="00822A81">
        <w:t xml:space="preserve"> </w:t>
      </w:r>
      <w:r w:rsidR="001D13F4">
        <w:t xml:space="preserve"> Bugajska and Brookes (2020) </w:t>
      </w:r>
      <w:r w:rsidR="00966403">
        <w:t>report t</w:t>
      </w:r>
      <w:r w:rsidR="001D13F4">
        <w:t>hat the MOHOST</w:t>
      </w:r>
      <w:r w:rsidR="00966403">
        <w:t xml:space="preserve"> </w:t>
      </w:r>
      <w:r w:rsidR="001D13F4">
        <w:t>offers valid and reliable measures</w:t>
      </w:r>
      <w:r w:rsidR="00966403">
        <w:t xml:space="preserve"> though can be time consuming to complete</w:t>
      </w:r>
      <w:r w:rsidR="00DF4575">
        <w:t xml:space="preserve">, they also draw on research by Hawes and Holder (2010) who questioned the sensitivity of the MOHOST when working with individuals with learning disabilities, pointing out that the MOHOST identifies what individuals are unable to do when the focus </w:t>
      </w:r>
      <w:r w:rsidR="004E502C">
        <w:t xml:space="preserve">should be </w:t>
      </w:r>
      <w:r w:rsidR="00DF4575">
        <w:t xml:space="preserve">on what </w:t>
      </w:r>
      <w:r w:rsidR="004E502C">
        <w:t>they</w:t>
      </w:r>
      <w:r w:rsidR="00DF4575">
        <w:t xml:space="preserve"> are able to do, this can also be applied to working with individuals with dementia and aligns with the concept of failure free activity. </w:t>
      </w:r>
      <w:r w:rsidR="00822A81">
        <w:t xml:space="preserve"> </w:t>
      </w:r>
      <w:r w:rsidR="00966403">
        <w:t xml:space="preserve">The Pool Activity </w:t>
      </w:r>
      <w:r w:rsidR="00F861BC">
        <w:t>Lev</w:t>
      </w:r>
      <w:r w:rsidR="00E34C10">
        <w:t>el (PAL) (Pool, 2011</w:t>
      </w:r>
      <w:r w:rsidR="00966403">
        <w:t xml:space="preserve">) was developed to enable caregivers to provide </w:t>
      </w:r>
      <w:r w:rsidR="00966403">
        <w:lastRenderedPageBreak/>
        <w:t xml:space="preserve">interventions at </w:t>
      </w:r>
      <w:r w:rsidR="008E0DAD">
        <w:t>appropriate</w:t>
      </w:r>
      <w:r w:rsidR="00966403">
        <w:t xml:space="preserve"> level</w:t>
      </w:r>
      <w:r w:rsidR="00B909DE">
        <w:t>s</w:t>
      </w:r>
      <w:r w:rsidR="00966403">
        <w:t xml:space="preserve"> for individuals </w:t>
      </w:r>
      <w:r w:rsidR="00F861BC">
        <w:t>through</w:t>
      </w:r>
      <w:r w:rsidR="00B909DE">
        <w:t>out the</w:t>
      </w:r>
      <w:r w:rsidR="008E0DAD">
        <w:t xml:space="preserve"> v</w:t>
      </w:r>
      <w:r w:rsidR="00B909DE">
        <w:t>arious</w:t>
      </w:r>
      <w:r w:rsidR="008E0DAD">
        <w:t xml:space="preserve"> stages of their</w:t>
      </w:r>
      <w:r w:rsidR="00966403">
        <w:t xml:space="preserve"> dementia. </w:t>
      </w:r>
      <w:r w:rsidR="00822A81">
        <w:t xml:space="preserve"> </w:t>
      </w:r>
      <w:r w:rsidR="00966403">
        <w:t>Although the PAL is not a standardised assessment,</w:t>
      </w:r>
      <w:r w:rsidR="003C3E7A">
        <w:t xml:space="preserve"> </w:t>
      </w:r>
      <w:proofErr w:type="spellStart"/>
      <w:r w:rsidR="003C3E7A">
        <w:t>Dudsinski</w:t>
      </w:r>
      <w:proofErr w:type="spellEnd"/>
      <w:r w:rsidR="003C3E7A">
        <w:t xml:space="preserve"> (2015) proposes that</w:t>
      </w:r>
      <w:r w:rsidR="00966403">
        <w:t xml:space="preserve"> it can be a valuable tool</w:t>
      </w:r>
      <w:r w:rsidR="003C3E7A">
        <w:t xml:space="preserve"> for OT</w:t>
      </w:r>
      <w:r w:rsidR="007E2473">
        <w:t xml:space="preserve">s and </w:t>
      </w:r>
      <w:r w:rsidR="0056742A">
        <w:t>O</w:t>
      </w:r>
      <w:r w:rsidR="007E2473">
        <w:t>TAPs</w:t>
      </w:r>
      <w:r w:rsidR="00966403">
        <w:t xml:space="preserve"> to identify ways in which individuals with dementia can continue to engage in activities of daily living. </w:t>
      </w:r>
      <w:r w:rsidR="00822A81">
        <w:t xml:space="preserve"> </w:t>
      </w:r>
      <w:r w:rsidR="00966403">
        <w:t xml:space="preserve">Both the MOHOST and PAL can be equally essential in supporting </w:t>
      </w:r>
      <w:r w:rsidR="0056742A">
        <w:t>O</w:t>
      </w:r>
      <w:r w:rsidR="00966403">
        <w:t>TAPs to provide person-centred interventions as they can be used with individuals throughout the stages of their dementia.</w:t>
      </w:r>
    </w:p>
    <w:p w14:paraId="1AA1DB1A" w14:textId="3AD8A79C" w:rsidR="00505F5E" w:rsidRDefault="00072FDF" w:rsidP="009D07D8">
      <w:pPr>
        <w:spacing w:line="360" w:lineRule="auto"/>
      </w:pPr>
      <w:r>
        <w:t>Part of the OTAP</w:t>
      </w:r>
      <w:r w:rsidR="00C2538D">
        <w:t xml:space="preserve"> role is to support individuals</w:t>
      </w:r>
      <w:r w:rsidR="00A81457">
        <w:t xml:space="preserve"> to engage</w:t>
      </w:r>
      <w:r w:rsidR="00C2538D">
        <w:t xml:space="preserve"> in tasks or activities that they want and need to do</w:t>
      </w:r>
      <w:r w:rsidR="00E163C5">
        <w:t>,</w:t>
      </w:r>
      <w:r w:rsidR="00C2538D">
        <w:t xml:space="preserve"> so it is essential to look at these in a person-centred way.</w:t>
      </w:r>
      <w:r w:rsidR="005D49E8">
        <w:t xml:space="preserve"> In the past, O</w:t>
      </w:r>
      <w:r w:rsidR="00E163C5">
        <w:t xml:space="preserve">T’s provided general </w:t>
      </w:r>
      <w:r w:rsidR="0060499D">
        <w:t>activities</w:t>
      </w:r>
      <w:r w:rsidR="005D49E8">
        <w:t xml:space="preserve"> such as crafts and gardening, Casson and Foulds (1955) outlined advancements in OT and discussed the benefits of individualised treatment, considering the persons interests and abilities. </w:t>
      </w:r>
      <w:r w:rsidR="00822A81">
        <w:t xml:space="preserve"> </w:t>
      </w:r>
      <w:r w:rsidR="00A81457">
        <w:t xml:space="preserve">Movements within healthcare that highlight the importance of person-centred care have pushed </w:t>
      </w:r>
      <w:r w:rsidR="0056742A">
        <w:t>O</w:t>
      </w:r>
      <w:r w:rsidR="00A81457">
        <w:t>TAPs to re</w:t>
      </w:r>
      <w:r w:rsidR="000E298B">
        <w:t>evaluate</w:t>
      </w:r>
      <w:r w:rsidR="00A81457">
        <w:t xml:space="preserve"> how </w:t>
      </w:r>
      <w:r w:rsidR="000E298B">
        <w:t>to</w:t>
      </w:r>
      <w:r w:rsidR="00525896">
        <w:t xml:space="preserve"> </w:t>
      </w:r>
      <w:r w:rsidR="00A81457">
        <w:t>adapt</w:t>
      </w:r>
      <w:r w:rsidR="00525896">
        <w:t xml:space="preserve"> and deliver a service that</w:t>
      </w:r>
      <w:r w:rsidR="00A81457">
        <w:t xml:space="preserve"> meet</w:t>
      </w:r>
      <w:r w:rsidR="00525896">
        <w:t>s</w:t>
      </w:r>
      <w:r w:rsidR="00A81457">
        <w:t xml:space="preserve"> each </w:t>
      </w:r>
      <w:r w:rsidR="00525896">
        <w:t>person’s</w:t>
      </w:r>
      <w:r w:rsidR="00A81457">
        <w:t xml:space="preserve"> needs</w:t>
      </w:r>
      <w:r w:rsidR="00525896">
        <w:t xml:space="preserve">. </w:t>
      </w:r>
      <w:r w:rsidR="00822A81">
        <w:t xml:space="preserve"> </w:t>
      </w:r>
      <w:r w:rsidR="00525896">
        <w:t xml:space="preserve">McCormack and Pentland (2022) identified challenges such as staffing complications and lack of knowledge and skills </w:t>
      </w:r>
      <w:r w:rsidR="00A81457">
        <w:t xml:space="preserve">may prevent </w:t>
      </w:r>
      <w:r w:rsidR="0056742A">
        <w:t>O</w:t>
      </w:r>
      <w:r w:rsidR="00A81457">
        <w:t>TAPs from applying person-centeredness to their work</w:t>
      </w:r>
      <w:r w:rsidR="00525896">
        <w:t xml:space="preserve">. </w:t>
      </w:r>
      <w:r w:rsidR="00822A81">
        <w:t xml:space="preserve"> </w:t>
      </w:r>
      <w:r w:rsidR="00525896">
        <w:t>Having knowledge of</w:t>
      </w:r>
      <w:r w:rsidR="00245FA9">
        <w:t xml:space="preserve"> an </w:t>
      </w:r>
      <w:r w:rsidR="00CF132A">
        <w:t>individual is key to providing person-centred interventions, life story work support</w:t>
      </w:r>
      <w:r w:rsidR="00AB4533">
        <w:t>s</w:t>
      </w:r>
      <w:r w:rsidR="00CF132A">
        <w:t xml:space="preserve"> </w:t>
      </w:r>
      <w:r w:rsidR="0056742A">
        <w:t>O</w:t>
      </w:r>
      <w:r w:rsidR="00CF132A">
        <w:t xml:space="preserve">TAPs to </w:t>
      </w:r>
      <w:r w:rsidR="008667B3">
        <w:t xml:space="preserve">see individuals wholly </w:t>
      </w:r>
      <w:r w:rsidR="00CF132A">
        <w:t xml:space="preserve">and </w:t>
      </w:r>
      <w:r w:rsidR="00674411">
        <w:t xml:space="preserve">potentially understand their behaviours, then </w:t>
      </w:r>
      <w:r w:rsidR="00CF132A">
        <w:t>us</w:t>
      </w:r>
      <w:r w:rsidR="00674411">
        <w:t>ing</w:t>
      </w:r>
      <w:r w:rsidR="00CF132A">
        <w:t xml:space="preserve"> that</w:t>
      </w:r>
      <w:r w:rsidR="00674411">
        <w:t xml:space="preserve"> information to</w:t>
      </w:r>
      <w:r w:rsidR="00CF132A">
        <w:t xml:space="preserve"> engage them in meaningful interventions</w:t>
      </w:r>
      <w:r w:rsidR="009666B7">
        <w:t>.</w:t>
      </w:r>
      <w:r w:rsidR="00822A81">
        <w:t xml:space="preserve"> </w:t>
      </w:r>
      <w:r w:rsidR="009666B7">
        <w:t xml:space="preserve"> </w:t>
      </w:r>
      <w:r w:rsidR="00674411">
        <w:t xml:space="preserve">The Alzheimer’s society </w:t>
      </w:r>
      <w:r w:rsidR="008667B3">
        <w:t>published</w:t>
      </w:r>
      <w:r w:rsidR="00674411">
        <w:t xml:space="preserve"> the ‘This is Me’ document (Alzheimer’s Society, 2010), this has become a </w:t>
      </w:r>
      <w:r w:rsidR="0094260B">
        <w:t>widely</w:t>
      </w:r>
      <w:r w:rsidR="00674411">
        <w:t xml:space="preserve"> </w:t>
      </w:r>
      <w:r w:rsidR="008667B3">
        <w:t>popular</w:t>
      </w:r>
      <w:r w:rsidR="00674411">
        <w:t xml:space="preserve"> life history document</w:t>
      </w:r>
      <w:r w:rsidR="008667B3">
        <w:t xml:space="preserve"> </w:t>
      </w:r>
      <w:r w:rsidR="00586A39">
        <w:t>and has played a part in promoting holistic information gathering</w:t>
      </w:r>
      <w:r w:rsidR="008667B3">
        <w:t xml:space="preserve">. </w:t>
      </w:r>
      <w:r w:rsidR="00822A81">
        <w:t xml:space="preserve"> </w:t>
      </w:r>
      <w:r w:rsidR="008667B3">
        <w:t xml:space="preserve">Evidence suggests that </w:t>
      </w:r>
      <w:r w:rsidR="009666B7">
        <w:t xml:space="preserve">having </w:t>
      </w:r>
      <w:r w:rsidR="008667B3">
        <w:t>life history</w:t>
      </w:r>
      <w:r w:rsidR="009666B7">
        <w:t xml:space="preserve"> information available</w:t>
      </w:r>
      <w:r w:rsidR="0094260B">
        <w:t xml:space="preserve"> in whichever form</w:t>
      </w:r>
      <w:r w:rsidR="009666B7">
        <w:t xml:space="preserve"> is seen to be beneficial to those working with individuals who have dementia (Gridley et al, 2018)</w:t>
      </w:r>
      <w:r w:rsidR="00505F5E">
        <w:t>.</w:t>
      </w:r>
    </w:p>
    <w:p w14:paraId="5D11FDAC" w14:textId="5B473175" w:rsidR="009666B7" w:rsidRPr="0094260B" w:rsidRDefault="00A573A8" w:rsidP="009D07D8">
      <w:pPr>
        <w:spacing w:line="360" w:lineRule="auto"/>
        <w:rPr>
          <w:u w:val="single"/>
        </w:rPr>
      </w:pPr>
      <w:r w:rsidRPr="0094260B">
        <w:rPr>
          <w:u w:val="single"/>
        </w:rPr>
        <w:t xml:space="preserve">Co-Production </w:t>
      </w:r>
    </w:p>
    <w:p w14:paraId="200BC627" w14:textId="7F5A75A5" w:rsidR="002F0301" w:rsidRDefault="0056742A" w:rsidP="009D07D8">
      <w:pPr>
        <w:spacing w:line="360" w:lineRule="auto"/>
      </w:pPr>
      <w:r>
        <w:t>O</w:t>
      </w:r>
      <w:r w:rsidR="00513CD3">
        <w:t>TAPs work collaboratively with a wide range of other professionals and personnel whilst providing assessment and interventions to individuals with dementia</w:t>
      </w:r>
      <w:r w:rsidR="00D920A4">
        <w:t xml:space="preserve">. </w:t>
      </w:r>
      <w:r w:rsidR="00822A81">
        <w:t xml:space="preserve"> </w:t>
      </w:r>
      <w:r w:rsidR="00513CD3">
        <w:t xml:space="preserve">In healthcare the multidisciplinary team can include </w:t>
      </w:r>
      <w:r w:rsidR="008667B3">
        <w:t>OT</w:t>
      </w:r>
      <w:r w:rsidR="00513CD3">
        <w:t>, physiotherapy, nursing</w:t>
      </w:r>
      <w:r w:rsidR="00E163C5">
        <w:t xml:space="preserve"> staff and doctors and can sometimes involve other teams</w:t>
      </w:r>
      <w:r w:rsidR="00513CD3">
        <w:t xml:space="preserve">, for example a </w:t>
      </w:r>
      <w:r>
        <w:t>O</w:t>
      </w:r>
      <w:r w:rsidR="00513CD3">
        <w:t xml:space="preserve">TAP working on an inpatient mental health ward may liaise with the community mental health team when discharge is being discussed and facilitated. </w:t>
      </w:r>
      <w:r w:rsidR="00822A81">
        <w:t xml:space="preserve"> </w:t>
      </w:r>
      <w:r w:rsidR="00CA5577">
        <w:t>O</w:t>
      </w:r>
      <w:r w:rsidR="00D57F1B">
        <w:t xml:space="preserve">TAPs </w:t>
      </w:r>
      <w:r w:rsidR="00CA5577">
        <w:t>often</w:t>
      </w:r>
      <w:r w:rsidR="00D57F1B">
        <w:t xml:space="preserve"> </w:t>
      </w:r>
      <w:r w:rsidR="00375F80">
        <w:t>link with</w:t>
      </w:r>
      <w:r w:rsidR="00D57F1B">
        <w:t xml:space="preserve"> s</w:t>
      </w:r>
      <w:r w:rsidR="00513CD3">
        <w:t xml:space="preserve">ocial care workers </w:t>
      </w:r>
      <w:r w:rsidR="00513CD3">
        <w:lastRenderedPageBreak/>
        <w:t xml:space="preserve">such as reablement teams, </w:t>
      </w:r>
      <w:r w:rsidR="00D57F1B">
        <w:t xml:space="preserve">day centres and third sector organisations who provide care and support to individuals with dementia and their carers when living in the community, often working with a designated social worker to decide which services </w:t>
      </w:r>
      <w:r w:rsidR="005C6FF1">
        <w:t>are</w:t>
      </w:r>
      <w:r w:rsidR="00D57F1B">
        <w:t xml:space="preserve"> best suited. </w:t>
      </w:r>
      <w:r w:rsidR="00822A81">
        <w:t xml:space="preserve"> </w:t>
      </w:r>
      <w:r w:rsidR="00966403">
        <w:t xml:space="preserve">Family and friends of </w:t>
      </w:r>
      <w:r w:rsidR="001B1795">
        <w:t>an</w:t>
      </w:r>
      <w:r w:rsidR="00966403">
        <w:t xml:space="preserve"> individual can be heavily involved in their care</w:t>
      </w:r>
      <w:r w:rsidR="005C6FF1">
        <w:t>,</w:t>
      </w:r>
      <w:r w:rsidR="00966403">
        <w:t xml:space="preserve"> </w:t>
      </w:r>
      <w:r>
        <w:t>O</w:t>
      </w:r>
      <w:r w:rsidR="00966403">
        <w:t>TAPs</w:t>
      </w:r>
      <w:r w:rsidR="005C6FF1">
        <w:t xml:space="preserve"> frequently</w:t>
      </w:r>
      <w:r w:rsidR="00966403">
        <w:t xml:space="preserve"> have close communication with them and work collaboratively to provide essential support</w:t>
      </w:r>
      <w:r w:rsidR="0060499D">
        <w:t xml:space="preserve"> that</w:t>
      </w:r>
      <w:r w:rsidR="00F95F05">
        <w:t xml:space="preserve"> benefit</w:t>
      </w:r>
      <w:r w:rsidR="005C6FF1">
        <w:t>s</w:t>
      </w:r>
      <w:r w:rsidR="0060499D">
        <w:t xml:space="preserve"> </w:t>
      </w:r>
      <w:r w:rsidR="00F95F05">
        <w:t>individual</w:t>
      </w:r>
      <w:r w:rsidR="0060499D">
        <w:t>s</w:t>
      </w:r>
      <w:r w:rsidR="00F95F05">
        <w:t xml:space="preserve"> with dementia and their caregivers (Martinez-Campos et al, 2022)</w:t>
      </w:r>
      <w:r w:rsidR="00966403">
        <w:t xml:space="preserve">. </w:t>
      </w:r>
      <w:r w:rsidR="00822A81">
        <w:t xml:space="preserve"> </w:t>
      </w:r>
      <w:r w:rsidR="001B1795">
        <w:t>Caregivers also require their own support</w:t>
      </w:r>
      <w:r w:rsidR="005C6FF1">
        <w:t xml:space="preserve"> and </w:t>
      </w:r>
      <w:r>
        <w:t>O</w:t>
      </w:r>
      <w:r w:rsidR="001B1795">
        <w:t xml:space="preserve">TAPs can be involved in providing this </w:t>
      </w:r>
      <w:r w:rsidR="0060499D">
        <w:t>through information sharing, signposting to other services and practical advice.</w:t>
      </w:r>
      <w:r w:rsidR="001B1795">
        <w:t xml:space="preserve"> </w:t>
      </w:r>
    </w:p>
    <w:p w14:paraId="70BAEA7F" w14:textId="2B0E27E2" w:rsidR="00E0534A" w:rsidRDefault="001B1795" w:rsidP="009D07D8">
      <w:pPr>
        <w:spacing w:line="360" w:lineRule="auto"/>
      </w:pPr>
      <w:r>
        <w:t>In dementia care, collaborative working is especially important as the individuals</w:t>
      </w:r>
      <w:r w:rsidR="0060499D">
        <w:t xml:space="preserve"> receiving care may be unable </w:t>
      </w:r>
      <w:r>
        <w:t>to express their wishes and often have complex care needs</w:t>
      </w:r>
      <w:r w:rsidR="00AC51C9">
        <w:t xml:space="preserve"> that require input from multiple professions and agencies (Osterholm et al, 2022).</w:t>
      </w:r>
      <w:r w:rsidR="00822A81">
        <w:t xml:space="preserve"> </w:t>
      </w:r>
      <w:r w:rsidR="00AC51C9">
        <w:t xml:space="preserve"> </w:t>
      </w:r>
      <w:r>
        <w:t xml:space="preserve">Professionals work </w:t>
      </w:r>
      <w:r w:rsidR="00C278AE">
        <w:t xml:space="preserve">collaboratively, with </w:t>
      </w:r>
      <w:r>
        <w:t>individuals’ best interests at the forefront of their decision making</w:t>
      </w:r>
      <w:r w:rsidR="00AC51C9">
        <w:t xml:space="preserve"> and care plan assessment</w:t>
      </w:r>
      <w:r w:rsidR="0060499D">
        <w:t>s</w:t>
      </w:r>
      <w:r w:rsidR="00AC51C9">
        <w:t xml:space="preserve"> and interventions that are required, also taking into the account the </w:t>
      </w:r>
      <w:r w:rsidR="00173113">
        <w:t>caregivers’</w:t>
      </w:r>
      <w:r w:rsidR="00AC51C9">
        <w:t xml:space="preserve"> thought</w:t>
      </w:r>
      <w:r w:rsidR="00173113">
        <w:t>s</w:t>
      </w:r>
      <w:r w:rsidR="00AC51C9">
        <w:t xml:space="preserve"> and opinions</w:t>
      </w:r>
      <w:r w:rsidR="00173113">
        <w:t xml:space="preserve">. </w:t>
      </w:r>
      <w:r w:rsidR="00822A81">
        <w:t xml:space="preserve"> </w:t>
      </w:r>
      <w:r w:rsidR="002A25C3">
        <w:t>C</w:t>
      </w:r>
      <w:r w:rsidR="00173113">
        <w:t>hallenges</w:t>
      </w:r>
      <w:r w:rsidR="002A25C3">
        <w:t xml:space="preserve"> faced</w:t>
      </w:r>
      <w:r w:rsidR="00173113">
        <w:t xml:space="preserve"> when working collaboratively</w:t>
      </w:r>
      <w:r w:rsidR="002A25C3">
        <w:t xml:space="preserve"> include</w:t>
      </w:r>
      <w:r w:rsidR="00173113">
        <w:t xml:space="preserve"> poor communication</w:t>
      </w:r>
      <w:r w:rsidR="002A25C3">
        <w:t xml:space="preserve">, </w:t>
      </w:r>
      <w:r w:rsidR="003E12DA">
        <w:t>lack of understanding</w:t>
      </w:r>
      <w:r w:rsidR="0060499D">
        <w:t xml:space="preserve"> of</w:t>
      </w:r>
      <w:r w:rsidR="00DA12B5">
        <w:t xml:space="preserve"> roles</w:t>
      </w:r>
      <w:r w:rsidR="003E12DA">
        <w:t xml:space="preserve"> and high staff turnover (</w:t>
      </w:r>
      <w:proofErr w:type="spellStart"/>
      <w:r w:rsidR="00DA12B5">
        <w:t>Pradelli</w:t>
      </w:r>
      <w:proofErr w:type="spellEnd"/>
      <w:r w:rsidR="00DA12B5">
        <w:t xml:space="preserve"> et al, 2024).</w:t>
      </w:r>
      <w:r w:rsidR="00822A81">
        <w:t xml:space="preserve"> </w:t>
      </w:r>
      <w:r w:rsidR="00DA12B5">
        <w:t xml:space="preserve"> A barrier that </w:t>
      </w:r>
      <w:r w:rsidR="0056742A">
        <w:t>O</w:t>
      </w:r>
      <w:r w:rsidR="00DA12B5">
        <w:t>TAPs</w:t>
      </w:r>
      <w:r w:rsidR="00173113">
        <w:t xml:space="preserve"> frequently face is others lack</w:t>
      </w:r>
      <w:r w:rsidR="00C30E4C">
        <w:t>ing</w:t>
      </w:r>
      <w:r w:rsidR="00173113">
        <w:t xml:space="preserve"> knowledge </w:t>
      </w:r>
      <w:r w:rsidR="0056742A">
        <w:t>of the</w:t>
      </w:r>
      <w:r w:rsidR="00C30E4C">
        <w:t xml:space="preserve"> OTAP</w:t>
      </w:r>
      <w:r w:rsidR="00173113">
        <w:t xml:space="preserve"> role</w:t>
      </w:r>
      <w:r w:rsidR="00DA12B5">
        <w:t xml:space="preserve">, this can lead to </w:t>
      </w:r>
      <w:r w:rsidR="0056742A">
        <w:t>O</w:t>
      </w:r>
      <w:r w:rsidR="00DA12B5">
        <w:t>TAPs being asked to work outside of their scope of practice or being overlooked for tasks that they can complete</w:t>
      </w:r>
      <w:r w:rsidR="00D920A4">
        <w:t xml:space="preserve"> (Henshall et al, 2018)</w:t>
      </w:r>
      <w:r w:rsidR="00DA12B5">
        <w:t>.</w:t>
      </w:r>
      <w:r w:rsidR="00822A81">
        <w:t xml:space="preserve"> </w:t>
      </w:r>
      <w:r w:rsidR="00DA12B5">
        <w:t xml:space="preserve"> </w:t>
      </w:r>
      <w:r w:rsidR="00E0534A">
        <w:t xml:space="preserve">In mental health services, often </w:t>
      </w:r>
      <w:r w:rsidR="00C30E4C">
        <w:t>electronic documentation</w:t>
      </w:r>
      <w:r w:rsidR="00E0534A">
        <w:t xml:space="preserve"> system</w:t>
      </w:r>
      <w:r w:rsidR="0060499D">
        <w:t>s differ</w:t>
      </w:r>
      <w:r w:rsidR="00C30E4C">
        <w:t xml:space="preserve"> from</w:t>
      </w:r>
      <w:r w:rsidR="009774EC">
        <w:t xml:space="preserve"> those</w:t>
      </w:r>
      <w:r w:rsidR="00E0534A">
        <w:t xml:space="preserve"> used in general health services, this causes issues in terms of looking at the history of input that an individual has had </w:t>
      </w:r>
      <w:r w:rsidR="004F4906">
        <w:t xml:space="preserve">previously </w:t>
      </w:r>
      <w:r w:rsidR="00E0534A">
        <w:t xml:space="preserve">and </w:t>
      </w:r>
      <w:r w:rsidR="00C30E4C">
        <w:t>is</w:t>
      </w:r>
      <w:r w:rsidR="00E0534A">
        <w:t xml:space="preserve"> a barrier to communication between the services.</w:t>
      </w:r>
      <w:r w:rsidR="00822A81">
        <w:t xml:space="preserve"> </w:t>
      </w:r>
      <w:r w:rsidR="00E0534A">
        <w:t xml:space="preserve"> Not being able to access the history from other services can lead to </w:t>
      </w:r>
      <w:r w:rsidR="0056742A">
        <w:t>O</w:t>
      </w:r>
      <w:r w:rsidR="00E0534A">
        <w:t xml:space="preserve">TAPs duplicating work and </w:t>
      </w:r>
      <w:r w:rsidR="00F56FDE">
        <w:t xml:space="preserve">spending lengthy </w:t>
      </w:r>
      <w:r w:rsidR="00C30E4C">
        <w:t>time periods</w:t>
      </w:r>
      <w:r w:rsidR="00F56FDE">
        <w:t xml:space="preserve"> identifying and locating</w:t>
      </w:r>
      <w:r w:rsidR="00E0534A">
        <w:t xml:space="preserve"> others who have been involved in an individual’s care to gather informatio</w:t>
      </w:r>
      <w:r w:rsidR="00C30E4C">
        <w:t>n.</w:t>
      </w:r>
    </w:p>
    <w:p w14:paraId="28FB91E7" w14:textId="55414393" w:rsidR="00E0534A" w:rsidRPr="0094260B" w:rsidRDefault="00E0534A" w:rsidP="009D07D8">
      <w:pPr>
        <w:spacing w:line="360" w:lineRule="auto"/>
        <w:rPr>
          <w:u w:val="single"/>
        </w:rPr>
      </w:pPr>
      <w:r w:rsidRPr="0094260B">
        <w:rPr>
          <w:u w:val="single"/>
        </w:rPr>
        <w:t xml:space="preserve">Clinical Governance and Supervision Framework </w:t>
      </w:r>
    </w:p>
    <w:p w14:paraId="4CEDE8B9" w14:textId="5F5DFF47" w:rsidR="00C2440F" w:rsidRDefault="00A367EF" w:rsidP="009D07D8">
      <w:pPr>
        <w:spacing w:line="360" w:lineRule="auto"/>
      </w:pPr>
      <w:r>
        <w:t>Clinical governance provides an essential framework that supports organisations to provide safe and effecti</w:t>
      </w:r>
      <w:r w:rsidR="00F2242B">
        <w:t>ve</w:t>
      </w:r>
      <w:r>
        <w:t xml:space="preserve"> high-quality care. </w:t>
      </w:r>
      <w:r w:rsidR="00822A81">
        <w:t xml:space="preserve"> </w:t>
      </w:r>
      <w:r>
        <w:t>The seven pillars of clinical governance outline the various domains in which systems are in place to ensure that work is carried out safely, abiding by laws, acts</w:t>
      </w:r>
      <w:r w:rsidR="00CC65DE">
        <w:t xml:space="preserve">, </w:t>
      </w:r>
      <w:r>
        <w:t>policies and</w:t>
      </w:r>
      <w:r w:rsidR="00CC65DE">
        <w:t xml:space="preserve"> procedures and</w:t>
      </w:r>
      <w:r>
        <w:t xml:space="preserve"> allow for continuous </w:t>
      </w:r>
      <w:r>
        <w:lastRenderedPageBreak/>
        <w:t xml:space="preserve">development and improvement of services. </w:t>
      </w:r>
      <w:r w:rsidR="00822A81">
        <w:t xml:space="preserve"> </w:t>
      </w:r>
      <w:r w:rsidR="0056742A">
        <w:t>O</w:t>
      </w:r>
      <w:r>
        <w:t>TAPs are expected to work within the parameters laid out by clinical governance</w:t>
      </w:r>
      <w:r w:rsidR="004369EA">
        <w:t xml:space="preserve"> as it</w:t>
      </w:r>
      <w:r w:rsidR="00EF57EE">
        <w:t xml:space="preserve"> supports them to provide </w:t>
      </w:r>
      <w:r w:rsidR="00951698">
        <w:t xml:space="preserve">a </w:t>
      </w:r>
      <w:r w:rsidR="00665410">
        <w:t>high-quality</w:t>
      </w:r>
      <w:r w:rsidR="00951698">
        <w:t xml:space="preserve"> </w:t>
      </w:r>
      <w:r w:rsidR="00EF57EE">
        <w:t xml:space="preserve">service </w:t>
      </w:r>
      <w:r w:rsidR="004F4906">
        <w:t xml:space="preserve">that is </w:t>
      </w:r>
      <w:r w:rsidR="00F2242B">
        <w:t>within their scope of practice</w:t>
      </w:r>
      <w:r w:rsidR="00951698">
        <w:t>.</w:t>
      </w:r>
    </w:p>
    <w:p w14:paraId="45A0A4F1" w14:textId="30222B7B" w:rsidR="00EF57EE" w:rsidRDefault="00F2242B" w:rsidP="009D07D8">
      <w:pPr>
        <w:spacing w:line="360" w:lineRule="auto"/>
      </w:pPr>
      <w:r>
        <w:t>Along with all other ro</w:t>
      </w:r>
      <w:r w:rsidR="004F4906">
        <w:t>les within health organisations</w:t>
      </w:r>
      <w:r>
        <w:t xml:space="preserve">, completion of training and education relevant to the role is essential for </w:t>
      </w:r>
      <w:r w:rsidR="0056742A">
        <w:t>O</w:t>
      </w:r>
      <w:r>
        <w:t>TAPs, this can include e-learning and in person training and covers a wide range of topics form generic training such as fire safety or role specific such as equipment prov</w:t>
      </w:r>
      <w:r w:rsidR="004F4906">
        <w:t>ision and installation</w:t>
      </w:r>
      <w:r>
        <w:t xml:space="preserve">. </w:t>
      </w:r>
      <w:r w:rsidR="00822A81">
        <w:t xml:space="preserve"> </w:t>
      </w:r>
      <w:r>
        <w:t xml:space="preserve">Advancements in </w:t>
      </w:r>
      <w:r w:rsidR="006153FD">
        <w:t xml:space="preserve">technology have allowed for more training to be available to complete online, research completed by </w:t>
      </w:r>
      <w:proofErr w:type="spellStart"/>
      <w:r w:rsidR="006153FD">
        <w:t>Ardestani</w:t>
      </w:r>
      <w:proofErr w:type="spellEnd"/>
      <w:r w:rsidR="006153FD">
        <w:t xml:space="preserve"> et al (2023) found that being able to complete learning online in healthcare has many benefits including increased flexibility and accessibility and provid</w:t>
      </w:r>
      <w:r w:rsidR="000A2CB0">
        <w:t>ing</w:t>
      </w:r>
      <w:r w:rsidR="006153FD">
        <w:t xml:space="preserve"> more training and development opportunities, however they also identified </w:t>
      </w:r>
      <w:r w:rsidR="00507A44">
        <w:t>challenges such as poor internet connection in rural areas and limited computer access.</w:t>
      </w:r>
      <w:r w:rsidR="00822A81">
        <w:t xml:space="preserve"> </w:t>
      </w:r>
      <w:r w:rsidR="00507A44">
        <w:t xml:space="preserve"> Other studies such as </w:t>
      </w:r>
      <w:proofErr w:type="spellStart"/>
      <w:r w:rsidR="00507A44">
        <w:t>Photopoul</w:t>
      </w:r>
      <w:r w:rsidR="000A2CB0">
        <w:t>o</w:t>
      </w:r>
      <w:r w:rsidR="00507A44">
        <w:t>s</w:t>
      </w:r>
      <w:proofErr w:type="spellEnd"/>
      <w:r w:rsidR="00507A44">
        <w:t xml:space="preserve"> et al (2022) reported that students </w:t>
      </w:r>
      <w:r w:rsidR="000A2CB0">
        <w:t>preferred in-person learning as it led to higher levels of learning, understanding and engagement</w:t>
      </w:r>
      <w:r w:rsidR="0067505B">
        <w:t>.</w:t>
      </w:r>
      <w:r w:rsidR="00822A81">
        <w:t xml:space="preserve"> </w:t>
      </w:r>
      <w:r w:rsidR="0067505B">
        <w:t xml:space="preserve"> It is also important to note that some training </w:t>
      </w:r>
      <w:r w:rsidR="00586A39">
        <w:t xml:space="preserve">such as moving and handling and reducing restrictive practice </w:t>
      </w:r>
      <w:r w:rsidR="0067505B">
        <w:t xml:space="preserve">requires a </w:t>
      </w:r>
      <w:r w:rsidR="00060B66">
        <w:t>hands-on</w:t>
      </w:r>
      <w:r w:rsidR="0067505B">
        <w:t xml:space="preserve"> approach and trainee participation that cannot be carried out in an online learning environment. </w:t>
      </w:r>
    </w:p>
    <w:p w14:paraId="224C660D" w14:textId="02393754" w:rsidR="00C2440F" w:rsidRDefault="00C2440F" w:rsidP="009D07D8">
      <w:pPr>
        <w:spacing w:line="360" w:lineRule="auto"/>
      </w:pPr>
      <w:r>
        <w:t>Clinical supervision is an essential part of staff management</w:t>
      </w:r>
      <w:r w:rsidR="004635E9">
        <w:t xml:space="preserve"> (one of the 7 pillars of clinical governance)</w:t>
      </w:r>
      <w:r>
        <w:t xml:space="preserve"> and is described as “a planned formal process of professional support and learning conducted in a safe and supportive environment.” (Public Health Wales, 2023).</w:t>
      </w:r>
      <w:r w:rsidR="004635E9">
        <w:t xml:space="preserve"> </w:t>
      </w:r>
      <w:r w:rsidR="00822A81">
        <w:t xml:space="preserve"> </w:t>
      </w:r>
      <w:r w:rsidR="004635E9">
        <w:t>Clinical supervision enables employees to meet with a coll</w:t>
      </w:r>
      <w:r w:rsidR="00D920A4">
        <w:t>eague or manager</w:t>
      </w:r>
      <w:r w:rsidR="004635E9">
        <w:t xml:space="preserve"> who directly supervises them in their role and provides supportive environment where they discuss the personal and professional demands of their work.</w:t>
      </w:r>
      <w:r w:rsidR="00822A81">
        <w:t xml:space="preserve"> </w:t>
      </w:r>
      <w:r w:rsidR="004635E9">
        <w:t xml:space="preserve"> </w:t>
      </w:r>
      <w:r w:rsidR="0056742A">
        <w:t>O</w:t>
      </w:r>
      <w:r w:rsidR="004635E9">
        <w:t xml:space="preserve">TAPs complete clinical supervision as part of their professional development and it can contribute to maintaining </w:t>
      </w:r>
      <w:r w:rsidR="0056742A">
        <w:t>their</w:t>
      </w:r>
      <w:r w:rsidR="004635E9">
        <w:t xml:space="preserve"> wellbeing and </w:t>
      </w:r>
      <w:r w:rsidR="00D22804">
        <w:t>have a positive impact on levels of effective</w:t>
      </w:r>
      <w:r w:rsidR="004635E9">
        <w:t xml:space="preserve"> care that they deliver (</w:t>
      </w:r>
      <w:r w:rsidR="00D22804">
        <w:t>Martin et al, 2021).</w:t>
      </w:r>
    </w:p>
    <w:p w14:paraId="4497CC99" w14:textId="2501A18B" w:rsidR="0095709F" w:rsidRDefault="00D22804" w:rsidP="009D07D8">
      <w:pPr>
        <w:spacing w:line="360" w:lineRule="auto"/>
      </w:pPr>
      <w:r w:rsidRPr="0094260B">
        <w:rPr>
          <w:u w:val="single"/>
        </w:rPr>
        <w:t>Conclusion</w:t>
      </w:r>
      <w:r w:rsidR="009D07D8">
        <w:rPr>
          <w:u w:val="single"/>
        </w:rPr>
        <w:t xml:space="preserve"> and </w:t>
      </w:r>
      <w:r w:rsidR="009B3456">
        <w:rPr>
          <w:u w:val="single"/>
        </w:rPr>
        <w:t>Recommendations</w:t>
      </w:r>
    </w:p>
    <w:p w14:paraId="1B4A87C7" w14:textId="07A442CA" w:rsidR="00B90D02" w:rsidRDefault="00B90D02" w:rsidP="009D07D8">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The role of the OTAP in dementia support is both valuable and increasingly fundame</w:t>
      </w:r>
      <w:r w:rsidR="00822A81">
        <w:rPr>
          <w:rFonts w:eastAsia="Times New Roman" w:cs="Times New Roman"/>
          <w:kern w:val="0"/>
          <w:lang w:eastAsia="en-GB"/>
          <w14:ligatures w14:val="none"/>
        </w:rPr>
        <w:t xml:space="preserve">ntal within healthcare systems.  </w:t>
      </w:r>
      <w:r w:rsidR="00C43924">
        <w:rPr>
          <w:rFonts w:eastAsia="Times New Roman" w:cs="Times New Roman"/>
          <w:kern w:val="0"/>
          <w:lang w:eastAsia="en-GB"/>
          <w14:ligatures w14:val="none"/>
        </w:rPr>
        <w:t xml:space="preserve">This report highlights the meaningful contribution that OTAPs make towards the quality of life of individuals </w:t>
      </w:r>
      <w:r w:rsidR="00B31517">
        <w:rPr>
          <w:rFonts w:eastAsia="Times New Roman" w:cs="Times New Roman"/>
          <w:kern w:val="0"/>
          <w:lang w:eastAsia="en-GB"/>
          <w14:ligatures w14:val="none"/>
        </w:rPr>
        <w:t xml:space="preserve">living with dementia through </w:t>
      </w:r>
      <w:r w:rsidR="00B31517">
        <w:rPr>
          <w:rFonts w:eastAsia="Times New Roman" w:cs="Times New Roman"/>
          <w:kern w:val="0"/>
          <w:lang w:eastAsia="en-GB"/>
          <w14:ligatures w14:val="none"/>
        </w:rPr>
        <w:lastRenderedPageBreak/>
        <w:t>person-centred,</w:t>
      </w:r>
      <w:r w:rsidR="00B7420C">
        <w:rPr>
          <w:rFonts w:eastAsia="Times New Roman" w:cs="Times New Roman"/>
          <w:kern w:val="0"/>
          <w:lang w:eastAsia="en-GB"/>
          <w14:ligatures w14:val="none"/>
        </w:rPr>
        <w:t xml:space="preserve"> occupation and </w:t>
      </w:r>
      <w:r w:rsidR="009B3456">
        <w:rPr>
          <w:rFonts w:eastAsia="Times New Roman" w:cs="Times New Roman"/>
          <w:kern w:val="0"/>
          <w:lang w:eastAsia="en-GB"/>
          <w14:ligatures w14:val="none"/>
        </w:rPr>
        <w:t>activity-based</w:t>
      </w:r>
      <w:r w:rsidR="00C43924">
        <w:rPr>
          <w:rFonts w:eastAsia="Times New Roman" w:cs="Times New Roman"/>
          <w:kern w:val="0"/>
          <w:lang w:eastAsia="en-GB"/>
          <w14:ligatures w14:val="none"/>
        </w:rPr>
        <w:t xml:space="preserve"> interventions that facilitate participation in daily life. </w:t>
      </w:r>
      <w:r w:rsidR="00822A81">
        <w:rPr>
          <w:rFonts w:eastAsia="Times New Roman" w:cs="Times New Roman"/>
          <w:kern w:val="0"/>
          <w:lang w:eastAsia="en-GB"/>
          <w14:ligatures w14:val="none"/>
        </w:rPr>
        <w:t xml:space="preserve"> </w:t>
      </w:r>
      <w:r w:rsidR="005D2568">
        <w:rPr>
          <w:rFonts w:eastAsia="Times New Roman" w:cs="Times New Roman"/>
          <w:kern w:val="0"/>
          <w:lang w:eastAsia="en-GB"/>
          <w14:ligatures w14:val="none"/>
        </w:rPr>
        <w:t xml:space="preserve">Working under the supervision of OTs, OTAPs help to deliver therapeutic </w:t>
      </w:r>
      <w:r w:rsidR="00504E61">
        <w:rPr>
          <w:rFonts w:eastAsia="Times New Roman" w:cs="Times New Roman"/>
          <w:kern w:val="0"/>
          <w:lang w:eastAsia="en-GB"/>
          <w14:ligatures w14:val="none"/>
        </w:rPr>
        <w:t>interventions</w:t>
      </w:r>
      <w:r w:rsidR="005D2568">
        <w:rPr>
          <w:rFonts w:eastAsia="Times New Roman" w:cs="Times New Roman"/>
          <w:kern w:val="0"/>
          <w:lang w:eastAsia="en-GB"/>
          <w14:ligatures w14:val="none"/>
        </w:rPr>
        <w:t xml:space="preserve"> that promote independence, support physical and cognitive engagement</w:t>
      </w:r>
      <w:r w:rsidR="002B04AF">
        <w:rPr>
          <w:rFonts w:eastAsia="Times New Roman" w:cs="Times New Roman"/>
          <w:kern w:val="0"/>
          <w:lang w:eastAsia="en-GB"/>
          <w14:ligatures w14:val="none"/>
        </w:rPr>
        <w:t xml:space="preserve">, nurture emotional wellbeing </w:t>
      </w:r>
      <w:r w:rsidR="008632B9">
        <w:rPr>
          <w:rFonts w:eastAsia="Times New Roman" w:cs="Times New Roman"/>
          <w:kern w:val="0"/>
          <w:lang w:eastAsia="en-GB"/>
          <w14:ligatures w14:val="none"/>
        </w:rPr>
        <w:t xml:space="preserve">and facilitate social interaction, ensuring that support is tailored to </w:t>
      </w:r>
      <w:proofErr w:type="gramStart"/>
      <w:r w:rsidR="008632B9">
        <w:rPr>
          <w:rFonts w:eastAsia="Times New Roman" w:cs="Times New Roman"/>
          <w:kern w:val="0"/>
          <w:lang w:eastAsia="en-GB"/>
          <w14:ligatures w14:val="none"/>
        </w:rPr>
        <w:t>each individual’s</w:t>
      </w:r>
      <w:proofErr w:type="gramEnd"/>
      <w:r w:rsidR="008632B9">
        <w:rPr>
          <w:rFonts w:eastAsia="Times New Roman" w:cs="Times New Roman"/>
          <w:kern w:val="0"/>
          <w:lang w:eastAsia="en-GB"/>
          <w14:ligatures w14:val="none"/>
        </w:rPr>
        <w:t xml:space="preserve"> needs and preferences.</w:t>
      </w:r>
    </w:p>
    <w:p w14:paraId="62B8578E" w14:textId="47DA74C8" w:rsidR="00B50FE0" w:rsidRDefault="00EE749D" w:rsidP="009D07D8">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 xml:space="preserve">A notable finding of this report is the </w:t>
      </w:r>
      <w:r w:rsidR="00D307C8">
        <w:rPr>
          <w:rFonts w:eastAsia="Times New Roman" w:cs="Times New Roman"/>
          <w:kern w:val="0"/>
          <w:lang w:eastAsia="en-GB"/>
          <w14:ligatures w14:val="none"/>
        </w:rPr>
        <w:t xml:space="preserve">adaptability of OTAPs in managing the complex and evolving needs of individuals with dementia. </w:t>
      </w:r>
      <w:r w:rsidR="00822A81">
        <w:rPr>
          <w:rFonts w:eastAsia="Times New Roman" w:cs="Times New Roman"/>
          <w:kern w:val="0"/>
          <w:lang w:eastAsia="en-GB"/>
          <w14:ligatures w14:val="none"/>
        </w:rPr>
        <w:t xml:space="preserve"> </w:t>
      </w:r>
      <w:r w:rsidR="00E665B2">
        <w:rPr>
          <w:rFonts w:eastAsia="Times New Roman" w:cs="Times New Roman"/>
          <w:kern w:val="0"/>
          <w:lang w:eastAsia="en-GB"/>
          <w14:ligatures w14:val="none"/>
        </w:rPr>
        <w:t>Their ability to build therapeutic relationships and provide meaningful interventions within a variety of environments and in often challenging circumstances has proven OTAPs to be vital members of dementia care teams.</w:t>
      </w:r>
      <w:r w:rsidR="00822A81">
        <w:rPr>
          <w:rFonts w:eastAsia="Times New Roman" w:cs="Times New Roman"/>
          <w:kern w:val="0"/>
          <w:lang w:eastAsia="en-GB"/>
          <w14:ligatures w14:val="none"/>
        </w:rPr>
        <w:t xml:space="preserve"> </w:t>
      </w:r>
      <w:r w:rsidR="00E665B2">
        <w:rPr>
          <w:rFonts w:eastAsia="Times New Roman" w:cs="Times New Roman"/>
          <w:kern w:val="0"/>
          <w:lang w:eastAsia="en-GB"/>
          <w14:ligatures w14:val="none"/>
        </w:rPr>
        <w:t xml:space="preserve"> </w:t>
      </w:r>
      <w:r w:rsidR="006D52E0">
        <w:rPr>
          <w:rFonts w:eastAsia="Times New Roman" w:cs="Times New Roman"/>
          <w:kern w:val="0"/>
          <w:lang w:eastAsia="en-GB"/>
          <w14:ligatures w14:val="none"/>
        </w:rPr>
        <w:t xml:space="preserve">Furthermore, OTAPs frequently </w:t>
      </w:r>
      <w:r w:rsidR="00B31517">
        <w:rPr>
          <w:rFonts w:eastAsia="Times New Roman" w:cs="Times New Roman"/>
          <w:kern w:val="0"/>
          <w:lang w:eastAsia="en-GB"/>
          <w14:ligatures w14:val="none"/>
        </w:rPr>
        <w:t xml:space="preserve">act as important liaisons between service users, their families and professionals, facilitating communication and coordination that is essential when providing </w:t>
      </w:r>
      <w:r w:rsidR="00FC4567">
        <w:rPr>
          <w:rFonts w:eastAsia="Times New Roman" w:cs="Times New Roman"/>
          <w:kern w:val="0"/>
          <w:lang w:eastAsia="en-GB"/>
          <w14:ligatures w14:val="none"/>
        </w:rPr>
        <w:t>high quality, holistic care.</w:t>
      </w:r>
      <w:r w:rsidR="000C5D73">
        <w:rPr>
          <w:rFonts w:eastAsia="Times New Roman" w:cs="Times New Roman"/>
          <w:kern w:val="0"/>
          <w:lang w:eastAsia="en-GB"/>
          <w14:ligatures w14:val="none"/>
        </w:rPr>
        <w:t xml:space="preserve"> </w:t>
      </w:r>
      <w:r w:rsidR="00822A81">
        <w:rPr>
          <w:rFonts w:eastAsia="Times New Roman" w:cs="Times New Roman"/>
          <w:kern w:val="0"/>
          <w:lang w:eastAsia="en-GB"/>
          <w14:ligatures w14:val="none"/>
        </w:rPr>
        <w:t xml:space="preserve"> </w:t>
      </w:r>
      <w:r w:rsidR="00B50FE0">
        <w:rPr>
          <w:rFonts w:eastAsia="Times New Roman" w:cs="Times New Roman"/>
          <w:kern w:val="0"/>
          <w:lang w:eastAsia="en-GB"/>
          <w14:ligatures w14:val="none"/>
        </w:rPr>
        <w:t xml:space="preserve">Whereas the value of OTAPs is clear, the report also identifies ongoing obstacles that need to be addressed to optimise their contribution. </w:t>
      </w:r>
      <w:r w:rsidR="00822A81">
        <w:rPr>
          <w:rFonts w:eastAsia="Times New Roman" w:cs="Times New Roman"/>
          <w:kern w:val="0"/>
          <w:lang w:eastAsia="en-GB"/>
          <w14:ligatures w14:val="none"/>
        </w:rPr>
        <w:t xml:space="preserve"> </w:t>
      </w:r>
      <w:r w:rsidR="00B50FE0">
        <w:rPr>
          <w:rFonts w:eastAsia="Times New Roman" w:cs="Times New Roman"/>
          <w:kern w:val="0"/>
          <w:lang w:eastAsia="en-GB"/>
          <w14:ligatures w14:val="none"/>
        </w:rPr>
        <w:t>These include role recognition and a need for greater understanding of their scope of practice. Confronting these issues is paramount for OTAPs to be able to work to their full potential as part of teams that provide dementia care</w:t>
      </w:r>
      <w:r w:rsidR="000C5D73">
        <w:rPr>
          <w:rFonts w:eastAsia="Times New Roman" w:cs="Times New Roman"/>
          <w:kern w:val="0"/>
          <w:lang w:eastAsia="en-GB"/>
          <w14:ligatures w14:val="none"/>
        </w:rPr>
        <w:t xml:space="preserve"> whilst also ensuring that their skills are recognised and utilised efficiently.</w:t>
      </w:r>
      <w:r w:rsidR="00B7420C">
        <w:rPr>
          <w:rFonts w:eastAsia="Times New Roman" w:cs="Times New Roman"/>
          <w:kern w:val="0"/>
          <w:lang w:eastAsia="en-GB"/>
          <w14:ligatures w14:val="none"/>
        </w:rPr>
        <w:t xml:space="preserve"> </w:t>
      </w:r>
      <w:r w:rsidR="00822A81">
        <w:rPr>
          <w:rFonts w:eastAsia="Times New Roman" w:cs="Times New Roman"/>
          <w:kern w:val="0"/>
          <w:lang w:eastAsia="en-GB"/>
          <w14:ligatures w14:val="none"/>
        </w:rPr>
        <w:t xml:space="preserve"> </w:t>
      </w:r>
      <w:r w:rsidR="000C5D73">
        <w:rPr>
          <w:rFonts w:eastAsia="Times New Roman" w:cs="Times New Roman"/>
          <w:kern w:val="0"/>
          <w:lang w:eastAsia="en-GB"/>
          <w14:ligatures w14:val="none"/>
        </w:rPr>
        <w:t>Additionally, as the prevalence of dementia rises and OTAP roles adapt to meet the needs of dementia services, the development of the role becomes even more essential.</w:t>
      </w:r>
      <w:r w:rsidR="00822A81">
        <w:rPr>
          <w:rFonts w:eastAsia="Times New Roman" w:cs="Times New Roman"/>
          <w:kern w:val="0"/>
          <w:lang w:eastAsia="en-GB"/>
          <w14:ligatures w14:val="none"/>
        </w:rPr>
        <w:t xml:space="preserve"> </w:t>
      </w:r>
      <w:r w:rsidR="000C5D73">
        <w:rPr>
          <w:rFonts w:eastAsia="Times New Roman" w:cs="Times New Roman"/>
          <w:kern w:val="0"/>
          <w:lang w:eastAsia="en-GB"/>
          <w14:ligatures w14:val="none"/>
        </w:rPr>
        <w:t xml:space="preserve"> </w:t>
      </w:r>
      <w:r w:rsidR="004456D3">
        <w:rPr>
          <w:rFonts w:eastAsia="Times New Roman" w:cs="Times New Roman"/>
          <w:kern w:val="0"/>
          <w:lang w:eastAsia="en-GB"/>
          <w14:ligatures w14:val="none"/>
        </w:rPr>
        <w:t xml:space="preserve">Investing in the training, recognition and development of OTAPs by providing essential education, supervision and professional support will not only improve the quality of dementia care but also contribute to reducing pressures on other services. </w:t>
      </w:r>
    </w:p>
    <w:p w14:paraId="6B8879A8" w14:textId="5386B06A" w:rsidR="00F73048" w:rsidRDefault="004456D3" w:rsidP="009D07D8">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In conclusion, OTAPs play a vital, often under-valued role in supporting individuals with dementia.</w:t>
      </w:r>
      <w:r w:rsidR="00822A81">
        <w:rPr>
          <w:rFonts w:eastAsia="Times New Roman" w:cs="Times New Roman"/>
          <w:kern w:val="0"/>
          <w:lang w:eastAsia="en-GB"/>
          <w14:ligatures w14:val="none"/>
        </w:rPr>
        <w:t xml:space="preserve"> </w:t>
      </w:r>
      <w:r>
        <w:rPr>
          <w:rFonts w:eastAsia="Times New Roman" w:cs="Times New Roman"/>
          <w:kern w:val="0"/>
          <w:lang w:eastAsia="en-GB"/>
          <w14:ligatures w14:val="none"/>
        </w:rPr>
        <w:t xml:space="preserve"> </w:t>
      </w:r>
      <w:r w:rsidR="00F73048">
        <w:rPr>
          <w:rFonts w:eastAsia="Times New Roman" w:cs="Times New Roman"/>
          <w:kern w:val="0"/>
          <w:lang w:eastAsia="en-GB"/>
          <w14:ligatures w14:val="none"/>
        </w:rPr>
        <w:t xml:space="preserve">They are a highly skilled profession </w:t>
      </w:r>
      <w:proofErr w:type="gramStart"/>
      <w:r w:rsidR="00F73048">
        <w:rPr>
          <w:rFonts w:eastAsia="Times New Roman" w:cs="Times New Roman"/>
          <w:kern w:val="0"/>
          <w:lang w:eastAsia="en-GB"/>
          <w14:ligatures w14:val="none"/>
        </w:rPr>
        <w:t>in their own right and</w:t>
      </w:r>
      <w:proofErr w:type="gramEnd"/>
      <w:r w:rsidR="00F73048">
        <w:rPr>
          <w:rFonts w:eastAsia="Times New Roman" w:cs="Times New Roman"/>
          <w:kern w:val="0"/>
          <w:lang w:eastAsia="en-GB"/>
          <w14:ligatures w14:val="none"/>
        </w:rPr>
        <w:t xml:space="preserve"> provide an all-encompassing support system that enables individuals with dementia to live with dignity and purpose. </w:t>
      </w:r>
      <w:r w:rsidR="00822A81">
        <w:rPr>
          <w:rFonts w:eastAsia="Times New Roman" w:cs="Times New Roman"/>
          <w:kern w:val="0"/>
          <w:lang w:eastAsia="en-GB"/>
          <w14:ligatures w14:val="none"/>
        </w:rPr>
        <w:t xml:space="preserve"> </w:t>
      </w:r>
      <w:r w:rsidR="00CA40E3">
        <w:rPr>
          <w:rFonts w:eastAsia="Times New Roman" w:cs="Times New Roman"/>
          <w:kern w:val="0"/>
          <w:lang w:eastAsia="en-GB"/>
          <w14:ligatures w14:val="none"/>
        </w:rPr>
        <w:t>This report recommends further strengthening</w:t>
      </w:r>
      <w:r w:rsidR="002B31ED">
        <w:rPr>
          <w:rFonts w:eastAsia="Times New Roman" w:cs="Times New Roman"/>
          <w:kern w:val="0"/>
          <w:lang w:eastAsia="en-GB"/>
          <w14:ligatures w14:val="none"/>
        </w:rPr>
        <w:t xml:space="preserve"> </w:t>
      </w:r>
      <w:r w:rsidR="00CA40E3">
        <w:rPr>
          <w:rFonts w:eastAsia="Times New Roman" w:cs="Times New Roman"/>
          <w:kern w:val="0"/>
          <w:lang w:eastAsia="en-GB"/>
          <w14:ligatures w14:val="none"/>
        </w:rPr>
        <w:t xml:space="preserve">OTAP role, </w:t>
      </w:r>
      <w:r w:rsidR="00B96A5D">
        <w:rPr>
          <w:rFonts w:eastAsia="Times New Roman" w:cs="Times New Roman"/>
          <w:kern w:val="0"/>
          <w:lang w:eastAsia="en-GB"/>
          <w14:ligatures w14:val="none"/>
        </w:rPr>
        <w:t>continuing its alignment</w:t>
      </w:r>
      <w:r w:rsidR="00CA40E3">
        <w:rPr>
          <w:rFonts w:eastAsia="Times New Roman" w:cs="Times New Roman"/>
          <w:kern w:val="0"/>
          <w:lang w:eastAsia="en-GB"/>
          <w14:ligatures w14:val="none"/>
        </w:rPr>
        <w:t xml:space="preserve"> with the values of national dementia strategies and</w:t>
      </w:r>
      <w:r w:rsidR="00E84650">
        <w:rPr>
          <w:rFonts w:eastAsia="Times New Roman" w:cs="Times New Roman"/>
          <w:kern w:val="0"/>
          <w:lang w:eastAsia="en-GB"/>
          <w14:ligatures w14:val="none"/>
        </w:rPr>
        <w:t xml:space="preserve"> the</w:t>
      </w:r>
      <w:r w:rsidR="00CA40E3">
        <w:rPr>
          <w:rFonts w:eastAsia="Times New Roman" w:cs="Times New Roman"/>
          <w:kern w:val="0"/>
          <w:lang w:eastAsia="en-GB"/>
          <w14:ligatures w14:val="none"/>
        </w:rPr>
        <w:t xml:space="preserve"> </w:t>
      </w:r>
      <w:r w:rsidR="009B3456">
        <w:rPr>
          <w:rFonts w:eastAsia="Times New Roman" w:cs="Times New Roman"/>
          <w:kern w:val="0"/>
          <w:lang w:eastAsia="en-GB"/>
          <w14:ligatures w14:val="none"/>
        </w:rPr>
        <w:t>ever-advancing</w:t>
      </w:r>
      <w:r w:rsidR="00E84650">
        <w:rPr>
          <w:rFonts w:eastAsia="Times New Roman" w:cs="Times New Roman"/>
          <w:kern w:val="0"/>
          <w:lang w:eastAsia="en-GB"/>
          <w14:ligatures w14:val="none"/>
        </w:rPr>
        <w:t xml:space="preserve"> dementia care standards</w:t>
      </w:r>
      <w:r w:rsidR="002B31ED">
        <w:rPr>
          <w:rFonts w:eastAsia="Times New Roman" w:cs="Times New Roman"/>
          <w:kern w:val="0"/>
          <w:lang w:eastAsia="en-GB"/>
          <w14:ligatures w14:val="none"/>
        </w:rPr>
        <w:t xml:space="preserve"> and acknowledgement of the vital contributions </w:t>
      </w:r>
      <w:r w:rsidR="000372CD">
        <w:rPr>
          <w:rFonts w:eastAsia="Times New Roman" w:cs="Times New Roman"/>
          <w:kern w:val="0"/>
          <w:lang w:eastAsia="en-GB"/>
          <w14:ligatures w14:val="none"/>
        </w:rPr>
        <w:t>OTAPs</w:t>
      </w:r>
      <w:r w:rsidR="002B31ED">
        <w:rPr>
          <w:rFonts w:eastAsia="Times New Roman" w:cs="Times New Roman"/>
          <w:kern w:val="0"/>
          <w:lang w:eastAsia="en-GB"/>
          <w14:ligatures w14:val="none"/>
        </w:rPr>
        <w:t xml:space="preserve"> make in dementia care services.</w:t>
      </w:r>
    </w:p>
    <w:p w14:paraId="57F5F9AC" w14:textId="77777777" w:rsidR="009B3456" w:rsidRDefault="009B3456" w:rsidP="000E0265">
      <w:pPr>
        <w:rPr>
          <w:rFonts w:eastAsia="Times New Roman" w:cs="Times New Roman"/>
          <w:kern w:val="0"/>
          <w:lang w:eastAsia="en-GB"/>
          <w14:ligatures w14:val="none"/>
        </w:rPr>
      </w:pPr>
    </w:p>
    <w:p w14:paraId="4137C2FE" w14:textId="5293F20A" w:rsidR="0094260B" w:rsidRDefault="0094260B" w:rsidP="00B00E76">
      <w:pPr>
        <w:spacing w:line="360" w:lineRule="auto"/>
        <w:rPr>
          <w:u w:val="single"/>
        </w:rPr>
      </w:pPr>
      <w:r w:rsidRPr="0094260B">
        <w:rPr>
          <w:u w:val="single"/>
        </w:rPr>
        <w:lastRenderedPageBreak/>
        <w:t>Reference list</w:t>
      </w:r>
    </w:p>
    <w:p w14:paraId="7259F3F5" w14:textId="17D409A2" w:rsidR="00B31517" w:rsidRDefault="00B378D4" w:rsidP="00B00E76">
      <w:pPr>
        <w:spacing w:line="360" w:lineRule="auto"/>
      </w:pPr>
      <w:r w:rsidRPr="00B31517">
        <w:t xml:space="preserve">Akyol, M., </w:t>
      </w:r>
      <w:proofErr w:type="spellStart"/>
      <w:r w:rsidRPr="00B31517">
        <w:t>Kucukguclu</w:t>
      </w:r>
      <w:proofErr w:type="spellEnd"/>
      <w:r w:rsidRPr="00B31517">
        <w:t xml:space="preserve">, O. and Yener, G. (2019) ‘Investigation of Factors Affecting Apathy in Three Major Types of Dementia’, </w:t>
      </w:r>
      <w:r w:rsidRPr="00B31517">
        <w:rPr>
          <w:i/>
          <w:iCs/>
        </w:rPr>
        <w:t xml:space="preserve">Noro </w:t>
      </w:r>
      <w:proofErr w:type="spellStart"/>
      <w:r w:rsidRPr="00B31517">
        <w:rPr>
          <w:i/>
          <w:iCs/>
        </w:rPr>
        <w:t>Psikiyatri</w:t>
      </w:r>
      <w:proofErr w:type="spellEnd"/>
      <w:r w:rsidRPr="00B31517">
        <w:rPr>
          <w:i/>
          <w:iCs/>
        </w:rPr>
        <w:t xml:space="preserve"> </w:t>
      </w:r>
      <w:proofErr w:type="spellStart"/>
      <w:r w:rsidRPr="00B31517">
        <w:rPr>
          <w:i/>
          <w:iCs/>
        </w:rPr>
        <w:t>Arsivi</w:t>
      </w:r>
      <w:proofErr w:type="spellEnd"/>
      <w:r w:rsidRPr="00B31517">
        <w:t>, 57(2), pp 120-125. Available at: https://doi.org/10.29399/npa.22964</w:t>
      </w:r>
      <w:r w:rsidR="00B31517">
        <w:t xml:space="preserve">  </w:t>
      </w:r>
    </w:p>
    <w:p w14:paraId="076DAA76" w14:textId="6F712A01" w:rsidR="00B378D4" w:rsidRDefault="00B378D4" w:rsidP="00B00E76">
      <w:pPr>
        <w:spacing w:line="360" w:lineRule="auto"/>
      </w:pPr>
      <w:r>
        <w:t xml:space="preserve">Alzheimer's Research UK, Dementia Statistics Hub (2024). </w:t>
      </w:r>
      <w:r>
        <w:rPr>
          <w:i/>
          <w:iCs/>
        </w:rPr>
        <w:t>Prevalence and Incidence</w:t>
      </w:r>
      <w:r>
        <w:t xml:space="preserve">. Available at: </w:t>
      </w:r>
      <w:r w:rsidRPr="00533CCD">
        <w:t>https://dementiastatistics.org/about-dementia/prevalence-and-incidence/</w:t>
      </w:r>
      <w:r>
        <w:t xml:space="preserve"> (Accessed 6</w:t>
      </w:r>
      <w:r w:rsidRPr="00A60E6E">
        <w:rPr>
          <w:vertAlign w:val="superscript"/>
        </w:rPr>
        <w:t>th</w:t>
      </w:r>
      <w:r>
        <w:t xml:space="preserve"> May 2025).</w:t>
      </w:r>
    </w:p>
    <w:p w14:paraId="15313548" w14:textId="77777777" w:rsidR="00B378D4" w:rsidRDefault="00F054C7" w:rsidP="00B00E76">
      <w:pPr>
        <w:spacing w:after="0" w:line="360" w:lineRule="auto"/>
        <w:contextualSpacing/>
        <w:rPr>
          <w:rFonts w:eastAsia="+mn-ea" w:cs="+mn-cs"/>
          <w:kern w:val="24"/>
          <w:lang w:eastAsia="en-GB"/>
          <w14:ligatures w14:val="none"/>
        </w:rPr>
      </w:pPr>
      <w:r w:rsidRPr="00BA14E1">
        <w:rPr>
          <w:rFonts w:eastAsia="+mn-ea" w:cs="+mn-cs"/>
          <w:kern w:val="24"/>
          <w:lang w:eastAsia="en-GB"/>
          <w14:ligatures w14:val="none"/>
        </w:rPr>
        <w:t>Alzheimer’ Society (2025</w:t>
      </w:r>
      <w:proofErr w:type="gramStart"/>
      <w:r w:rsidRPr="00BA14E1">
        <w:rPr>
          <w:rFonts w:eastAsia="+mn-ea" w:cs="+mn-cs"/>
          <w:kern w:val="24"/>
          <w:lang w:eastAsia="en-GB"/>
          <w14:ligatures w14:val="none"/>
        </w:rPr>
        <w:t>).</w:t>
      </w:r>
      <w:r w:rsidRPr="00BA14E1">
        <w:rPr>
          <w:rFonts w:eastAsia="+mn-ea" w:cs="+mn-cs"/>
          <w:i/>
          <w:iCs/>
          <w:kern w:val="24"/>
          <w:lang w:eastAsia="en-GB"/>
          <w14:ligatures w14:val="none"/>
        </w:rPr>
        <w:t>‘</w:t>
      </w:r>
      <w:proofErr w:type="gramEnd"/>
      <w:r w:rsidRPr="00BA14E1">
        <w:rPr>
          <w:rFonts w:eastAsia="+mn-ea" w:cs="+mn-cs"/>
          <w:i/>
          <w:iCs/>
          <w:kern w:val="24"/>
          <w:lang w:eastAsia="en-GB"/>
          <w14:ligatures w14:val="none"/>
        </w:rPr>
        <w:t xml:space="preserve">This is me’. </w:t>
      </w:r>
      <w:r w:rsidRPr="00BA14E1">
        <w:rPr>
          <w:rFonts w:eastAsia="+mn-ea" w:cs="+mn-cs"/>
          <w:kern w:val="24"/>
          <w:lang w:eastAsia="en-GB"/>
          <w14:ligatures w14:val="none"/>
        </w:rPr>
        <w:t>Available at:</w:t>
      </w:r>
      <w:r w:rsidR="00B378D4">
        <w:rPr>
          <w:rFonts w:eastAsia="+mn-ea" w:cs="+mn-cs"/>
          <w:kern w:val="24"/>
          <w:lang w:eastAsia="en-GB"/>
          <w14:ligatures w14:val="none"/>
        </w:rPr>
        <w:t xml:space="preserve"> </w:t>
      </w:r>
      <w:r w:rsidRPr="00BA14E1">
        <w:rPr>
          <w:rFonts w:eastAsia="+mn-ea" w:cs="+mn-cs"/>
          <w:kern w:val="24"/>
          <w:lang w:eastAsia="en-GB"/>
          <w14:ligatures w14:val="none"/>
        </w:rPr>
        <w:t xml:space="preserve">https://www.alzheimers.org.uk/get-support/publications-factsheets/this-is-me (Accessed </w:t>
      </w:r>
      <w:r w:rsidR="00B378D4">
        <w:rPr>
          <w:rFonts w:eastAsia="+mn-ea" w:cs="+mn-cs"/>
          <w:kern w:val="24"/>
          <w:lang w:eastAsia="en-GB"/>
          <w14:ligatures w14:val="none"/>
        </w:rPr>
        <w:t>6</w:t>
      </w:r>
      <w:r w:rsidR="00B378D4" w:rsidRPr="00BA14E1">
        <w:rPr>
          <w:rFonts w:eastAsia="+mn-ea" w:cs="+mn-cs"/>
          <w:kern w:val="24"/>
          <w:vertAlign w:val="superscript"/>
          <w:lang w:eastAsia="en-GB"/>
          <w14:ligatures w14:val="none"/>
        </w:rPr>
        <w:t>th</w:t>
      </w:r>
      <w:r w:rsidR="00B378D4">
        <w:rPr>
          <w:rFonts w:eastAsia="+mn-ea" w:cs="+mn-cs"/>
          <w:kern w:val="24"/>
          <w:lang w:eastAsia="en-GB"/>
          <w14:ligatures w14:val="none"/>
        </w:rPr>
        <w:t xml:space="preserve"> May</w:t>
      </w:r>
      <w:r w:rsidRPr="00BA14E1">
        <w:rPr>
          <w:rFonts w:eastAsia="+mn-ea" w:cs="+mn-cs"/>
          <w:kern w:val="24"/>
          <w:lang w:eastAsia="en-GB"/>
          <w14:ligatures w14:val="none"/>
        </w:rPr>
        <w:t xml:space="preserve"> 2025)</w:t>
      </w:r>
      <w:r w:rsidR="00B378D4">
        <w:rPr>
          <w:rFonts w:eastAsia="+mn-ea" w:cs="+mn-cs"/>
          <w:kern w:val="24"/>
          <w:lang w:eastAsia="en-GB"/>
          <w14:ligatures w14:val="none"/>
        </w:rPr>
        <w:t>.</w:t>
      </w:r>
    </w:p>
    <w:p w14:paraId="1BD5B86A" w14:textId="77777777" w:rsidR="00B378D4" w:rsidRDefault="00B378D4" w:rsidP="00B00E76">
      <w:pPr>
        <w:spacing w:after="0" w:line="360" w:lineRule="auto"/>
        <w:contextualSpacing/>
        <w:rPr>
          <w:rFonts w:eastAsia="+mn-ea" w:cs="+mn-cs"/>
          <w:kern w:val="24"/>
          <w:lang w:eastAsia="en-GB"/>
          <w14:ligatures w14:val="none"/>
        </w:rPr>
      </w:pPr>
    </w:p>
    <w:p w14:paraId="71108941" w14:textId="77777777" w:rsidR="00B378D4" w:rsidRDefault="00B378D4" w:rsidP="00B00E76">
      <w:pPr>
        <w:spacing w:after="0" w:line="360" w:lineRule="auto"/>
        <w:contextualSpacing/>
      </w:pPr>
      <w:proofErr w:type="spellStart"/>
      <w:r>
        <w:t>Ardestani</w:t>
      </w:r>
      <w:proofErr w:type="spellEnd"/>
      <w:r>
        <w:t xml:space="preserve">, S.F.M., Adibi, S., Golshan, A. and Sadeghian, P. (2023) ‘Factors Influencing the Effectiveness of E-Learning in Healthcare: A Fuzzy ANP Study’, </w:t>
      </w:r>
      <w:r>
        <w:rPr>
          <w:i/>
          <w:iCs/>
        </w:rPr>
        <w:t>Healthcare</w:t>
      </w:r>
      <w:r>
        <w:t xml:space="preserve">, 11(14), p.2035. Available at: </w:t>
      </w:r>
      <w:r w:rsidRPr="002B5F75">
        <w:t>https://doi.org/10.3390/healthcare11142035</w:t>
      </w:r>
      <w:r>
        <w:t xml:space="preserve"> </w:t>
      </w:r>
    </w:p>
    <w:p w14:paraId="226E7F25" w14:textId="77777777" w:rsidR="00B378D4" w:rsidRPr="002B5F75" w:rsidRDefault="00B378D4" w:rsidP="00B00E76">
      <w:pPr>
        <w:spacing w:after="0" w:line="360" w:lineRule="auto"/>
        <w:contextualSpacing/>
        <w:rPr>
          <w:rFonts w:eastAsia="+mn-ea" w:cs="+mn-cs"/>
          <w:kern w:val="24"/>
          <w:lang w:eastAsia="en-GB"/>
          <w14:ligatures w14:val="none"/>
        </w:rPr>
      </w:pPr>
    </w:p>
    <w:p w14:paraId="04108417" w14:textId="77777777" w:rsidR="00B378D4" w:rsidRDefault="00B378D4" w:rsidP="00B00E76">
      <w:pPr>
        <w:spacing w:line="360" w:lineRule="auto"/>
        <w:rPr>
          <w:lang w:eastAsia="en-GB"/>
        </w:rPr>
      </w:pPr>
      <w:r w:rsidRPr="004337E6">
        <w:rPr>
          <w:lang w:eastAsia="en-GB"/>
        </w:rPr>
        <w:t>Bennett</w:t>
      </w:r>
      <w:r>
        <w:rPr>
          <w:lang w:eastAsia="en-GB"/>
        </w:rPr>
        <w:t>,</w:t>
      </w:r>
      <w:r w:rsidRPr="004337E6">
        <w:rPr>
          <w:lang w:eastAsia="en-GB"/>
        </w:rPr>
        <w:t> S</w:t>
      </w:r>
      <w:r>
        <w:rPr>
          <w:lang w:eastAsia="en-GB"/>
        </w:rPr>
        <w:t>.</w:t>
      </w:r>
      <w:r w:rsidRPr="004337E6">
        <w:rPr>
          <w:lang w:eastAsia="en-GB"/>
        </w:rPr>
        <w:t>, Laver</w:t>
      </w:r>
      <w:r>
        <w:rPr>
          <w:lang w:eastAsia="en-GB"/>
        </w:rPr>
        <w:t>,</w:t>
      </w:r>
      <w:r w:rsidRPr="004337E6">
        <w:rPr>
          <w:lang w:eastAsia="en-GB"/>
        </w:rPr>
        <w:t> K</w:t>
      </w:r>
      <w:r>
        <w:rPr>
          <w:lang w:eastAsia="en-GB"/>
        </w:rPr>
        <w:t>.</w:t>
      </w:r>
      <w:r w:rsidRPr="004337E6">
        <w:rPr>
          <w:lang w:eastAsia="en-GB"/>
        </w:rPr>
        <w:t>, Voigt-Radloff</w:t>
      </w:r>
      <w:r>
        <w:rPr>
          <w:lang w:eastAsia="en-GB"/>
        </w:rPr>
        <w:t>,</w:t>
      </w:r>
      <w:r w:rsidRPr="004337E6">
        <w:rPr>
          <w:lang w:eastAsia="en-GB"/>
        </w:rPr>
        <w:t> S</w:t>
      </w:r>
      <w:r>
        <w:rPr>
          <w:lang w:eastAsia="en-GB"/>
        </w:rPr>
        <w:t>.</w:t>
      </w:r>
      <w:r w:rsidRPr="004337E6">
        <w:rPr>
          <w:i/>
          <w:iCs/>
          <w:lang w:eastAsia="en-GB"/>
        </w:rPr>
        <w:t>,</w:t>
      </w:r>
      <w:r>
        <w:rPr>
          <w:lang w:eastAsia="en-GB"/>
        </w:rPr>
        <w:t xml:space="preserve"> Letts, L., Clemson, L., Graff, M., Wiseman, J. and Gitlin, L.</w:t>
      </w:r>
      <w:r w:rsidRPr="004337E6">
        <w:rPr>
          <w:i/>
          <w:iCs/>
          <w:lang w:eastAsia="en-GB"/>
        </w:rPr>
        <w:t xml:space="preserve"> </w:t>
      </w:r>
      <w:r>
        <w:rPr>
          <w:lang w:eastAsia="en-GB"/>
        </w:rPr>
        <w:t xml:space="preserve"> (2019) ‘</w:t>
      </w:r>
      <w:r w:rsidRPr="004337E6">
        <w:rPr>
          <w:lang w:eastAsia="en-GB"/>
        </w:rPr>
        <w:t>Occupational therapy for people with dementia and their family carers provided at home: a systematic review and meta-analysis</w:t>
      </w:r>
      <w:r>
        <w:rPr>
          <w:lang w:eastAsia="en-GB"/>
        </w:rPr>
        <w:t xml:space="preserve">’, </w:t>
      </w:r>
      <w:r w:rsidRPr="004337E6">
        <w:rPr>
          <w:i/>
          <w:iCs/>
          <w:lang w:eastAsia="en-GB"/>
        </w:rPr>
        <w:t>BMJ Open</w:t>
      </w:r>
      <w:r>
        <w:rPr>
          <w:lang w:eastAsia="en-GB"/>
        </w:rPr>
        <w:t>, 9(11)</w:t>
      </w:r>
      <w:r w:rsidRPr="004337E6">
        <w:rPr>
          <w:lang w:eastAsia="en-GB"/>
        </w:rPr>
        <w:t>. </w:t>
      </w:r>
      <w:r>
        <w:rPr>
          <w:lang w:eastAsia="en-GB"/>
        </w:rPr>
        <w:t xml:space="preserve">Available at: </w:t>
      </w:r>
      <w:proofErr w:type="spellStart"/>
      <w:r w:rsidRPr="004337E6">
        <w:rPr>
          <w:lang w:eastAsia="en-GB"/>
        </w:rPr>
        <w:t>doi</w:t>
      </w:r>
      <w:proofErr w:type="spellEnd"/>
      <w:r w:rsidRPr="004337E6">
        <w:rPr>
          <w:lang w:eastAsia="en-GB"/>
        </w:rPr>
        <w:t>: 10.1136/bmjopen-2018-026308</w:t>
      </w:r>
    </w:p>
    <w:p w14:paraId="08A80B13" w14:textId="77777777" w:rsidR="00B378D4" w:rsidRDefault="00B378D4" w:rsidP="00B00E76">
      <w:pPr>
        <w:spacing w:line="360" w:lineRule="auto"/>
        <w:rPr>
          <w:color w:val="1B1B1B"/>
          <w:shd w:val="clear" w:color="auto" w:fill="FFFFFF"/>
        </w:rPr>
      </w:pPr>
      <w:r w:rsidRPr="00021C6D">
        <w:rPr>
          <w:color w:val="1B1B1B"/>
          <w:shd w:val="clear" w:color="auto" w:fill="FFFFFF"/>
        </w:rPr>
        <w:t>Bernstein Sideman, A., Al-Rousan, T., Tsoy, E., Piña Escudero, S. D., Pintado-</w:t>
      </w:r>
      <w:proofErr w:type="spellStart"/>
      <w:r w:rsidRPr="00021C6D">
        <w:rPr>
          <w:color w:val="1B1B1B"/>
          <w:shd w:val="clear" w:color="auto" w:fill="FFFFFF"/>
        </w:rPr>
        <w:t>Caipa</w:t>
      </w:r>
      <w:proofErr w:type="spellEnd"/>
      <w:r w:rsidRPr="00021C6D">
        <w:rPr>
          <w:color w:val="1B1B1B"/>
          <w:shd w:val="clear" w:color="auto" w:fill="FFFFFF"/>
        </w:rPr>
        <w:t xml:space="preserve">, M., </w:t>
      </w:r>
      <w:proofErr w:type="spellStart"/>
      <w:r w:rsidRPr="00021C6D">
        <w:rPr>
          <w:color w:val="1B1B1B"/>
          <w:shd w:val="clear" w:color="auto" w:fill="FFFFFF"/>
        </w:rPr>
        <w:t>Kanjanapong</w:t>
      </w:r>
      <w:proofErr w:type="spellEnd"/>
      <w:r w:rsidRPr="00021C6D">
        <w:rPr>
          <w:color w:val="1B1B1B"/>
          <w:shd w:val="clear" w:color="auto" w:fill="FFFFFF"/>
        </w:rPr>
        <w:t xml:space="preserve">, S., </w:t>
      </w:r>
      <w:proofErr w:type="spellStart"/>
      <w:r w:rsidRPr="00021C6D">
        <w:rPr>
          <w:color w:val="1B1B1B"/>
          <w:shd w:val="clear" w:color="auto" w:fill="FFFFFF"/>
        </w:rPr>
        <w:t>Mbakile-Mahlanza</w:t>
      </w:r>
      <w:proofErr w:type="spellEnd"/>
      <w:r w:rsidRPr="00021C6D">
        <w:rPr>
          <w:color w:val="1B1B1B"/>
          <w:shd w:val="clear" w:color="auto" w:fill="FFFFFF"/>
        </w:rPr>
        <w:t xml:space="preserve">, L., Okada de Oliveira, M., De la Cruz-Puebla, M., </w:t>
      </w:r>
      <w:proofErr w:type="spellStart"/>
      <w:r w:rsidRPr="00021C6D">
        <w:rPr>
          <w:color w:val="1B1B1B"/>
          <w:shd w:val="clear" w:color="auto" w:fill="FFFFFF"/>
        </w:rPr>
        <w:t>Zygouris</w:t>
      </w:r>
      <w:proofErr w:type="spellEnd"/>
      <w:r w:rsidRPr="00021C6D">
        <w:rPr>
          <w:color w:val="1B1B1B"/>
          <w:shd w:val="clear" w:color="auto" w:fill="FFFFFF"/>
        </w:rPr>
        <w:t>, S., Ashour Mohamed, A., Ibrahim, H., Goode, C. A., Miller, B. L., Valcour, V.</w:t>
      </w:r>
      <w:r>
        <w:rPr>
          <w:color w:val="1B1B1B"/>
          <w:shd w:val="clear" w:color="auto" w:fill="FFFFFF"/>
        </w:rPr>
        <w:t xml:space="preserve"> and </w:t>
      </w:r>
      <w:r w:rsidRPr="00021C6D">
        <w:rPr>
          <w:color w:val="1B1B1B"/>
          <w:shd w:val="clear" w:color="auto" w:fill="FFFFFF"/>
        </w:rPr>
        <w:t xml:space="preserve">Possin, K. L. (2022) </w:t>
      </w:r>
      <w:r>
        <w:rPr>
          <w:color w:val="1B1B1B"/>
          <w:shd w:val="clear" w:color="auto" w:fill="FFFFFF"/>
        </w:rPr>
        <w:t>‘</w:t>
      </w:r>
      <w:r w:rsidRPr="00021C6D">
        <w:rPr>
          <w:color w:val="1B1B1B"/>
          <w:shd w:val="clear" w:color="auto" w:fill="FFFFFF"/>
        </w:rPr>
        <w:t>Facilitators and Barriers to Dementia Assessment and Diagnosis: Perspectives From Dementia Experts Within a Global Health Context</w:t>
      </w:r>
      <w:r>
        <w:rPr>
          <w:color w:val="1B1B1B"/>
          <w:shd w:val="clear" w:color="auto" w:fill="FFFFFF"/>
        </w:rPr>
        <w:t>’,</w:t>
      </w:r>
      <w:r w:rsidRPr="00021C6D">
        <w:rPr>
          <w:color w:val="1B1B1B"/>
          <w:shd w:val="clear" w:color="auto" w:fill="FFFFFF"/>
        </w:rPr>
        <w:t> </w:t>
      </w:r>
      <w:r w:rsidRPr="00021C6D">
        <w:rPr>
          <w:i/>
          <w:iCs/>
          <w:color w:val="1B1B1B"/>
          <w:shd w:val="clear" w:color="auto" w:fill="FFFFFF"/>
        </w:rPr>
        <w:t xml:space="preserve">Frontiers in </w:t>
      </w:r>
      <w:r>
        <w:rPr>
          <w:i/>
          <w:iCs/>
          <w:color w:val="1B1B1B"/>
          <w:shd w:val="clear" w:color="auto" w:fill="FFFFFF"/>
        </w:rPr>
        <w:t>N</w:t>
      </w:r>
      <w:r w:rsidRPr="00021C6D">
        <w:rPr>
          <w:i/>
          <w:iCs/>
          <w:color w:val="1B1B1B"/>
          <w:shd w:val="clear" w:color="auto" w:fill="FFFFFF"/>
        </w:rPr>
        <w:t>eurology</w:t>
      </w:r>
      <w:r w:rsidRPr="00021C6D">
        <w:rPr>
          <w:color w:val="1B1B1B"/>
          <w:shd w:val="clear" w:color="auto" w:fill="FFFFFF"/>
        </w:rPr>
        <w:t>, </w:t>
      </w:r>
      <w:r w:rsidRPr="00021C6D">
        <w:rPr>
          <w:i/>
          <w:iCs/>
          <w:color w:val="1B1B1B"/>
          <w:shd w:val="clear" w:color="auto" w:fill="FFFFFF"/>
        </w:rPr>
        <w:t>13</w:t>
      </w:r>
      <w:r>
        <w:rPr>
          <w:color w:val="1B1B1B"/>
          <w:shd w:val="clear" w:color="auto" w:fill="FFFFFF"/>
        </w:rPr>
        <w:t>(</w:t>
      </w:r>
      <w:r w:rsidRPr="00021C6D">
        <w:rPr>
          <w:color w:val="1B1B1B"/>
          <w:shd w:val="clear" w:color="auto" w:fill="FFFFFF"/>
        </w:rPr>
        <w:t>769360</w:t>
      </w:r>
      <w:r>
        <w:rPr>
          <w:color w:val="1B1B1B"/>
          <w:shd w:val="clear" w:color="auto" w:fill="FFFFFF"/>
        </w:rPr>
        <w:t>). Available at:</w:t>
      </w:r>
      <w:r w:rsidRPr="00021C6D">
        <w:rPr>
          <w:color w:val="1B1B1B"/>
          <w:shd w:val="clear" w:color="auto" w:fill="FFFFFF"/>
        </w:rPr>
        <w:t xml:space="preserve"> </w:t>
      </w:r>
      <w:r w:rsidRPr="004E620F">
        <w:rPr>
          <w:color w:val="1B1B1B"/>
          <w:shd w:val="clear" w:color="auto" w:fill="FFFFFF"/>
        </w:rPr>
        <w:t>https://doi.org/10.3389/fneur.2022.769360</w:t>
      </w:r>
    </w:p>
    <w:p w14:paraId="31BD8B87" w14:textId="77777777" w:rsidR="00B378D4" w:rsidRDefault="00B378D4" w:rsidP="00B00E76">
      <w:pPr>
        <w:spacing w:line="360" w:lineRule="auto"/>
        <w:rPr>
          <w:color w:val="1B1B1B"/>
          <w:shd w:val="clear" w:color="auto" w:fill="FFFFFF"/>
        </w:rPr>
      </w:pPr>
      <w:r>
        <w:rPr>
          <w:color w:val="1B1B1B"/>
          <w:shd w:val="clear" w:color="auto" w:fill="FFFFFF"/>
        </w:rPr>
        <w:t xml:space="preserve">Bugajska, K. and Brooks, R. (2021) ‘Evaluating the use of the Model of Human Occupation Screening Tool in mental health services’, </w:t>
      </w:r>
      <w:r>
        <w:rPr>
          <w:i/>
          <w:iCs/>
          <w:color w:val="1B1B1B"/>
          <w:shd w:val="clear" w:color="auto" w:fill="FFFFFF"/>
        </w:rPr>
        <w:t>British Journal of Occupational Therapy</w:t>
      </w:r>
      <w:r>
        <w:rPr>
          <w:color w:val="1B1B1B"/>
          <w:shd w:val="clear" w:color="auto" w:fill="FFFFFF"/>
        </w:rPr>
        <w:t xml:space="preserve">, 84(9), pp 591-600. Available at: </w:t>
      </w:r>
      <w:proofErr w:type="spellStart"/>
      <w:r w:rsidRPr="004E620F">
        <w:rPr>
          <w:color w:val="1B1B1B"/>
          <w:shd w:val="clear" w:color="auto" w:fill="FFFFFF"/>
        </w:rPr>
        <w:t>doi</w:t>
      </w:r>
      <w:proofErr w:type="spellEnd"/>
      <w:r w:rsidRPr="004E620F">
        <w:rPr>
          <w:color w:val="1B1B1B"/>
          <w:shd w:val="clear" w:color="auto" w:fill="FFFFFF"/>
        </w:rPr>
        <w:t>/pdf/10.1177/0308022620956580</w:t>
      </w:r>
    </w:p>
    <w:p w14:paraId="4F9E99A7" w14:textId="77777777" w:rsidR="00B378D4" w:rsidRPr="004E620F" w:rsidRDefault="00B378D4" w:rsidP="00B00E76">
      <w:pPr>
        <w:spacing w:line="360" w:lineRule="auto"/>
      </w:pPr>
      <w:r>
        <w:t xml:space="preserve">Casson, E. and Foulds, E. (1955) ‘Modern Trends in Occupational Therapy as Applied to Psychiatric Illness’, </w:t>
      </w:r>
      <w:r w:rsidRPr="003B4562">
        <w:rPr>
          <w:i/>
          <w:iCs/>
        </w:rPr>
        <w:t xml:space="preserve">Occupational Therapy: the Official Journal of the Association of </w:t>
      </w:r>
      <w:r w:rsidRPr="003B4562">
        <w:rPr>
          <w:i/>
          <w:iCs/>
        </w:rPr>
        <w:lastRenderedPageBreak/>
        <w:t>Occupational Therapists</w:t>
      </w:r>
      <w:r>
        <w:t xml:space="preserve">, 18(3), pp 113-123. Available at: </w:t>
      </w:r>
      <w:r w:rsidRPr="003B4562">
        <w:t>https://doi.org/10.1177/030802265501800316</w:t>
      </w:r>
    </w:p>
    <w:p w14:paraId="12796CD2" w14:textId="77777777" w:rsidR="00B378D4" w:rsidRDefault="00B378D4" w:rsidP="00B00E76">
      <w:pPr>
        <w:spacing w:line="360" w:lineRule="auto"/>
      </w:pPr>
      <w:r>
        <w:t xml:space="preserve">Chen, Y., </w:t>
      </w:r>
      <w:proofErr w:type="spellStart"/>
      <w:r>
        <w:t>Bandosz</w:t>
      </w:r>
      <w:proofErr w:type="spellEnd"/>
      <w:r>
        <w:t xml:space="preserve">, P., Stoye, G., Liu, Y., Wu, Y., Lobanov-Rostovsky, S., French, E., Kivimäki, M., Livingston, G., Liao, J. and Brunner, E.J. (2023) ‘Dementia incidence trend in England and Wales, 2002-19, and projection for dementia burden to 2040: analysis of data from the English Longitudinal Study of Ageing’, </w:t>
      </w:r>
      <w:r>
        <w:rPr>
          <w:i/>
          <w:iCs/>
        </w:rPr>
        <w:t>The Lancet Public Health</w:t>
      </w:r>
      <w:r>
        <w:t xml:space="preserve">, 8(11), pp e859–e867. Available at: </w:t>
      </w:r>
      <w:r w:rsidRPr="00A36A74">
        <w:t>https://doi.org/10.1016/s2468-2667(23)00214-1</w:t>
      </w:r>
      <w:r>
        <w:t xml:space="preserve"> </w:t>
      </w:r>
    </w:p>
    <w:p w14:paraId="57505CE6" w14:textId="77777777" w:rsidR="00B378D4" w:rsidRDefault="00B378D4" w:rsidP="00B00E76">
      <w:pPr>
        <w:spacing w:line="360" w:lineRule="auto"/>
      </w:pPr>
      <w:r>
        <w:t xml:space="preserve">Department of Health, (2009). </w:t>
      </w:r>
      <w:r>
        <w:rPr>
          <w:i/>
          <w:iCs/>
        </w:rPr>
        <w:t>Living well with dementia: A National Dementia Strategy</w:t>
      </w:r>
      <w:r>
        <w:t xml:space="preserve">. Available at: </w:t>
      </w:r>
      <w:r w:rsidRPr="00213F59">
        <w:t>https://assets.publishing.service.gov.uk/media/5a7a15a7ed915d6eaf153a36/dh_094051.pdf</w:t>
      </w:r>
      <w:r>
        <w:t xml:space="preserve"> (Accessed 6th May 2025).</w:t>
      </w:r>
    </w:p>
    <w:p w14:paraId="4108CEA1" w14:textId="77777777" w:rsidR="00B378D4" w:rsidRDefault="00B378D4" w:rsidP="00B00E76">
      <w:pPr>
        <w:spacing w:line="360" w:lineRule="auto"/>
      </w:pPr>
      <w:r>
        <w:t xml:space="preserve">Department of Health (2012). </w:t>
      </w:r>
      <w:r>
        <w:rPr>
          <w:i/>
          <w:iCs/>
        </w:rPr>
        <w:t>Prime Minister’s Challenge on Dementia</w:t>
      </w:r>
      <w:r>
        <w:t>. Available at:</w:t>
      </w:r>
      <w:r w:rsidRPr="00137934">
        <w:t xml:space="preserve"> https://assets.publishing.service.gov.uk/media/5a7c8d5240f0b62aff6c2789/dh_133176.pdf</w:t>
      </w:r>
      <w:r>
        <w:t xml:space="preserve"> (Accessed 6th May 2025). </w:t>
      </w:r>
    </w:p>
    <w:p w14:paraId="09EBBF9F" w14:textId="77777777" w:rsidR="00B378D4" w:rsidRDefault="00B378D4" w:rsidP="00B00E76">
      <w:pPr>
        <w:spacing w:line="360" w:lineRule="auto"/>
      </w:pPr>
      <w:r>
        <w:t xml:space="preserve">Dudzinski, E. (2015) ‘Using the Pool Activity Level instrument to support meaningful activity for a person with dementia: A case study’, </w:t>
      </w:r>
      <w:r w:rsidRPr="00E539BA">
        <w:rPr>
          <w:i/>
          <w:iCs/>
        </w:rPr>
        <w:t>British Journal of Occupational Therapy</w:t>
      </w:r>
      <w:r>
        <w:t xml:space="preserve">, 79(2), pp 65-68. Available at: </w:t>
      </w:r>
      <w:r w:rsidRPr="00E539BA">
        <w:t>https://doi.org/10.1177/0308022615600182</w:t>
      </w:r>
    </w:p>
    <w:p w14:paraId="3422F507" w14:textId="77777777" w:rsidR="00B378D4" w:rsidRDefault="00B378D4" w:rsidP="00B00E76">
      <w:pPr>
        <w:spacing w:line="360" w:lineRule="auto"/>
      </w:pPr>
      <w:r>
        <w:t xml:space="preserve">Gridley, K., Birks, Y., Parker G. (2018) ‘Exploring good practice in life story work with people with dementia: The findings of a qualitative study looking at the multiple views of stakeholders’, </w:t>
      </w:r>
      <w:r w:rsidRPr="00FF02BD">
        <w:rPr>
          <w:i/>
          <w:iCs/>
        </w:rPr>
        <w:t>Dementia</w:t>
      </w:r>
      <w:r>
        <w:t xml:space="preserve">, 19(2), pp 182-194. Available at: </w:t>
      </w:r>
      <w:r w:rsidRPr="00FF02BD">
        <w:t>https://doi.org/10.1177/1471301218768921</w:t>
      </w:r>
      <w:r>
        <w:t xml:space="preserve"> </w:t>
      </w:r>
    </w:p>
    <w:p w14:paraId="3C1EE536" w14:textId="77777777" w:rsidR="00B378D4" w:rsidRDefault="00B378D4" w:rsidP="00B00E76">
      <w:pPr>
        <w:spacing w:line="360" w:lineRule="auto"/>
      </w:pPr>
      <w:r>
        <w:t xml:space="preserve">Hawes, D. and </w:t>
      </w:r>
      <w:proofErr w:type="spellStart"/>
      <w:r>
        <w:t>Houlder</w:t>
      </w:r>
      <w:proofErr w:type="spellEnd"/>
      <w:r>
        <w:t xml:space="preserve">, D. (2010) ‘Reflections on Using the Model of Human Occupation Screening Tool in a Joint Learning Disability Team, </w:t>
      </w:r>
      <w:r w:rsidRPr="001B2C70">
        <w:rPr>
          <w:i/>
          <w:iCs/>
        </w:rPr>
        <w:t xml:space="preserve">British Journal of Occupational Therapy, </w:t>
      </w:r>
      <w:r>
        <w:t xml:space="preserve">73(11):564-567. Available at: </w:t>
      </w:r>
      <w:r w:rsidRPr="006D7F03">
        <w:t>https://doi.org/10.4276/030802210X12892992239431</w:t>
      </w:r>
    </w:p>
    <w:p w14:paraId="084C1007" w14:textId="77777777" w:rsidR="00B378D4" w:rsidRPr="00137934" w:rsidRDefault="00B378D4" w:rsidP="00B00E76">
      <w:pPr>
        <w:spacing w:line="360" w:lineRule="auto"/>
      </w:pPr>
      <w:r>
        <w:t xml:space="preserve">Henshall, C., Doherty, A., Green, H., Westcott, L. and Aveyard, H. (2018) ‘The role of the assistant practitioner in the clinical setting: a focus group study’, </w:t>
      </w:r>
      <w:r>
        <w:rPr>
          <w:i/>
          <w:iCs/>
        </w:rPr>
        <w:t>BMC Health Services Research</w:t>
      </w:r>
      <w:r>
        <w:t xml:space="preserve">, 18(1). Available at: </w:t>
      </w:r>
      <w:r w:rsidRPr="006D7F03">
        <w:t>https://doi.org/10.1186/s12913-018-3506-y</w:t>
      </w:r>
      <w:r>
        <w:t xml:space="preserve"> </w:t>
      </w:r>
    </w:p>
    <w:p w14:paraId="690F93FD" w14:textId="77777777" w:rsidR="00B378D4" w:rsidRDefault="00B378D4" w:rsidP="00B00E76">
      <w:pPr>
        <w:spacing w:line="360" w:lineRule="auto"/>
      </w:pPr>
      <w:r w:rsidRPr="0088249A">
        <w:lastRenderedPageBreak/>
        <w:t>Liang, H., Li, X., Lin, X., Ju, Y. and Leng, J. (2021)</w:t>
      </w:r>
      <w:r>
        <w:t xml:space="preserve"> ‘</w:t>
      </w:r>
      <w:r w:rsidRPr="0088249A">
        <w:t>The correlation between nutrition and frailty and the receiver operating characteristic curve of different nutritional indexes for frailty</w:t>
      </w:r>
      <w:r>
        <w:t>’,</w:t>
      </w:r>
      <w:r w:rsidRPr="0088249A">
        <w:t xml:space="preserve"> </w:t>
      </w:r>
      <w:r w:rsidRPr="0088249A">
        <w:rPr>
          <w:i/>
          <w:iCs/>
        </w:rPr>
        <w:t>BMC Geriatrics</w:t>
      </w:r>
      <w:r w:rsidRPr="0088249A">
        <w:t xml:space="preserve">, 21(1). Available at: https://doi.org/10.1186/s12877-021-02580-5 </w:t>
      </w:r>
    </w:p>
    <w:p w14:paraId="15AD3AA3" w14:textId="77777777" w:rsidR="00B378D4" w:rsidRDefault="00B378D4" w:rsidP="00B00E76">
      <w:pPr>
        <w:spacing w:line="360" w:lineRule="auto"/>
        <w:rPr>
          <w:shd w:val="clear" w:color="auto" w:fill="FFFFFF"/>
        </w:rPr>
      </w:pPr>
      <w:r>
        <w:rPr>
          <w:shd w:val="clear" w:color="auto" w:fill="FFFFFF"/>
        </w:rPr>
        <w:t xml:space="preserve">Martin, P., </w:t>
      </w:r>
      <w:proofErr w:type="spellStart"/>
      <w:r>
        <w:rPr>
          <w:shd w:val="clear" w:color="auto" w:fill="FFFFFF"/>
        </w:rPr>
        <w:t>Lizarondo</w:t>
      </w:r>
      <w:proofErr w:type="spellEnd"/>
      <w:r>
        <w:rPr>
          <w:shd w:val="clear" w:color="auto" w:fill="FFFFFF"/>
        </w:rPr>
        <w:t>, L., Kumar, S., &amp; Snowdon, D. (2021) ‘Impact of clinical supervision on healthcare organisational outcomes: A mixed methods systematic review’,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16</w:t>
      </w:r>
      <w:r>
        <w:rPr>
          <w:shd w:val="clear" w:color="auto" w:fill="FFFFFF"/>
        </w:rPr>
        <w:t>(11), pp 0260156. Available at:</w:t>
      </w:r>
      <w:r w:rsidRPr="00BE2623">
        <w:t xml:space="preserve"> </w:t>
      </w:r>
      <w:r w:rsidRPr="0041678D">
        <w:rPr>
          <w:shd w:val="clear" w:color="auto" w:fill="FFFFFF"/>
        </w:rPr>
        <w:t>https://doi.org/10.1371/journal.pone.0260156</w:t>
      </w:r>
    </w:p>
    <w:p w14:paraId="31AF3E02" w14:textId="77777777" w:rsidR="00B378D4" w:rsidRDefault="00B378D4" w:rsidP="00B00E76">
      <w:pPr>
        <w:spacing w:line="360" w:lineRule="auto"/>
      </w:pPr>
      <w:r>
        <w:rPr>
          <w:shd w:val="clear" w:color="auto" w:fill="FFFFFF"/>
        </w:rPr>
        <w:t xml:space="preserve">Martínez-Campos, A., </w:t>
      </w:r>
      <w:proofErr w:type="spellStart"/>
      <w:r>
        <w:rPr>
          <w:shd w:val="clear" w:color="auto" w:fill="FFFFFF"/>
        </w:rPr>
        <w:t>Compañ-Gabucio</w:t>
      </w:r>
      <w:proofErr w:type="spellEnd"/>
      <w:r>
        <w:rPr>
          <w:shd w:val="clear" w:color="auto" w:fill="FFFFFF"/>
        </w:rPr>
        <w:t>, L. M., Torres-Collado, L., &amp; Garcia-de la Hera, M. (2022) ‘Occupational Therapy Interventions for Dementia Caregivers: Scoping Review’, </w:t>
      </w:r>
      <w:r>
        <w:rPr>
          <w:i/>
          <w:iCs/>
          <w:shd w:val="clear" w:color="auto" w:fill="FFFFFF"/>
        </w:rPr>
        <w:t>Healthcare (Basel, Switzerland)</w:t>
      </w:r>
      <w:r>
        <w:rPr>
          <w:shd w:val="clear" w:color="auto" w:fill="FFFFFF"/>
        </w:rPr>
        <w:t>, </w:t>
      </w:r>
      <w:r>
        <w:rPr>
          <w:i/>
          <w:iCs/>
          <w:shd w:val="clear" w:color="auto" w:fill="FFFFFF"/>
        </w:rPr>
        <w:t>10</w:t>
      </w:r>
      <w:r>
        <w:rPr>
          <w:shd w:val="clear" w:color="auto" w:fill="FFFFFF"/>
        </w:rPr>
        <w:t xml:space="preserve">(9), pp 1764. Available at: </w:t>
      </w:r>
      <w:r w:rsidRPr="0041678D">
        <w:rPr>
          <w:shd w:val="clear" w:color="auto" w:fill="FFFFFF"/>
        </w:rPr>
        <w:t>https://doi.org/10.3390/healthcare10091764</w:t>
      </w:r>
      <w:r>
        <w:rPr>
          <w:shd w:val="clear" w:color="auto" w:fill="FFFFFF"/>
        </w:rPr>
        <w:t xml:space="preserve"> </w:t>
      </w:r>
    </w:p>
    <w:p w14:paraId="1A5EFD17" w14:textId="66533F34" w:rsidR="00F7377E" w:rsidRDefault="00B378D4" w:rsidP="00B00E76">
      <w:pPr>
        <w:spacing w:line="360" w:lineRule="auto"/>
      </w:pPr>
      <w:r>
        <w:t xml:space="preserve">McCormack, B. and Pentland, D. (2022) ‘Research priority 2: How can occupational therapists ensure that person-centred practice is central to how they work? Start by rethinking the person’, </w:t>
      </w:r>
      <w:r w:rsidRPr="0074743F">
        <w:rPr>
          <w:i/>
          <w:iCs/>
        </w:rPr>
        <w:t>British Journal of Occupational Therapy</w:t>
      </w:r>
      <w:r>
        <w:t xml:space="preserve">, 85(11), pp 839-841. Available at: </w:t>
      </w:r>
      <w:r w:rsidR="00F7377E" w:rsidRPr="001134F7">
        <w:t>https://doi.org/10.1177/03080226221120476</w:t>
      </w:r>
    </w:p>
    <w:p w14:paraId="3419CFAD" w14:textId="7B02635A" w:rsidR="00B378D4" w:rsidRDefault="00B378D4" w:rsidP="00B00E76">
      <w:pPr>
        <w:spacing w:line="360" w:lineRule="auto"/>
      </w:pPr>
      <w:r>
        <w:t>Molvik, I.</w:t>
      </w:r>
      <w:proofErr w:type="gramStart"/>
      <w:r>
        <w:t xml:space="preserve">,  </w:t>
      </w:r>
      <w:proofErr w:type="spellStart"/>
      <w:r>
        <w:t>Kjelvik</w:t>
      </w:r>
      <w:proofErr w:type="spellEnd"/>
      <w:proofErr w:type="gramEnd"/>
      <w:r>
        <w:t xml:space="preserve">, G., </w:t>
      </w:r>
      <w:proofErr w:type="spellStart"/>
      <w:r>
        <w:t>Selbæk</w:t>
      </w:r>
      <w:proofErr w:type="spellEnd"/>
      <w:r>
        <w:t xml:space="preserve">, G., and Rokstad, A. (2024) ‘Exploring the lived experience: impact of dementia diagnosis on individuals with cognitive impairment - a qualitative study’, </w:t>
      </w:r>
      <w:r>
        <w:rPr>
          <w:i/>
          <w:iCs/>
        </w:rPr>
        <w:t>BMC Geriatrics</w:t>
      </w:r>
      <w:r>
        <w:t xml:space="preserve">, 24(1). Available at: </w:t>
      </w:r>
      <w:r w:rsidR="00F7377E" w:rsidRPr="00F7377E">
        <w:t>https://doi.org/10.1186/s12877-024-04665-3</w:t>
      </w:r>
      <w:r>
        <w:t xml:space="preserve"> </w:t>
      </w:r>
    </w:p>
    <w:p w14:paraId="2428D327" w14:textId="3A0E4C19" w:rsidR="00F7377E" w:rsidRDefault="00F7377E" w:rsidP="00B00E76">
      <w:pPr>
        <w:spacing w:line="360" w:lineRule="auto"/>
      </w:pPr>
      <w:r>
        <w:t xml:space="preserve">Parkinson, S., Forsyth, K. and </w:t>
      </w:r>
      <w:proofErr w:type="spellStart"/>
      <w:r>
        <w:t>Kielhofner</w:t>
      </w:r>
      <w:proofErr w:type="spellEnd"/>
      <w:r>
        <w:t xml:space="preserve">, G. (2006). </w:t>
      </w:r>
      <w:r>
        <w:rPr>
          <w:i/>
        </w:rPr>
        <w:t>Model of Human Occupation Screening Tool (MOHOST)</w:t>
      </w:r>
      <w:r>
        <w:t xml:space="preserve">. Version 2.0. The University of Illinois at Chicago. </w:t>
      </w:r>
    </w:p>
    <w:p w14:paraId="6C4581B4" w14:textId="3CA3A496" w:rsidR="00E34C10" w:rsidRDefault="006C3976" w:rsidP="00B00E76">
      <w:pPr>
        <w:spacing w:line="360" w:lineRule="auto"/>
      </w:pPr>
      <w:r w:rsidRPr="006C3976">
        <w:t>Pool, J. (2012)</w:t>
      </w:r>
      <w:r w:rsidR="00E34C10" w:rsidRPr="006C3976">
        <w:t xml:space="preserve">. </w:t>
      </w:r>
      <w:r w:rsidR="00E34C10" w:rsidRPr="006C3976">
        <w:rPr>
          <w:i/>
        </w:rPr>
        <w:t>The Pool Activity Level (PAL) Instrument for Occupational Profiling: A Practical Resource for Carers of People with Cognitive Impairment</w:t>
      </w:r>
      <w:r w:rsidRPr="006C3976">
        <w:t>. 4th</w:t>
      </w:r>
      <w:r w:rsidR="00E34C10" w:rsidRPr="006C3976">
        <w:t xml:space="preserve"> Edition.</w:t>
      </w:r>
      <w:r w:rsidRPr="006C3976">
        <w:t xml:space="preserve"> London:</w:t>
      </w:r>
      <w:r w:rsidR="00E34C10" w:rsidRPr="006C3976">
        <w:t xml:space="preserve"> Jessica Kingsley Publishers.</w:t>
      </w:r>
    </w:p>
    <w:p w14:paraId="1F6755BE" w14:textId="77777777" w:rsidR="00B378D4" w:rsidRDefault="00B378D4" w:rsidP="00B00E76">
      <w:pPr>
        <w:spacing w:line="360" w:lineRule="auto"/>
        <w:rPr>
          <w:lang w:eastAsia="en-GB"/>
        </w:rPr>
      </w:pPr>
      <w:proofErr w:type="spellStart"/>
      <w:r w:rsidRPr="00210072">
        <w:rPr>
          <w:lang w:eastAsia="en-GB"/>
        </w:rPr>
        <w:t>Österholm</w:t>
      </w:r>
      <w:proofErr w:type="spellEnd"/>
      <w:r w:rsidRPr="00210072">
        <w:rPr>
          <w:lang w:eastAsia="en-GB"/>
        </w:rPr>
        <w:t> J, </w:t>
      </w:r>
      <w:proofErr w:type="spellStart"/>
      <w:r w:rsidRPr="00210072">
        <w:rPr>
          <w:lang w:eastAsia="en-GB"/>
        </w:rPr>
        <w:t>Nedlund</w:t>
      </w:r>
      <w:proofErr w:type="spellEnd"/>
      <w:r w:rsidRPr="00210072">
        <w:rPr>
          <w:lang w:eastAsia="en-GB"/>
        </w:rPr>
        <w:t> A, Larsson Ranada Å</w:t>
      </w:r>
      <w:r>
        <w:rPr>
          <w:lang w:eastAsia="en-GB"/>
        </w:rPr>
        <w:t xml:space="preserve"> (2022) ‘</w:t>
      </w:r>
      <w:r w:rsidRPr="00210072">
        <w:rPr>
          <w:lang w:eastAsia="en-GB"/>
        </w:rPr>
        <w:t>Collaboration and coordination of health and care services for older people with dementia by multidisciplinary health and care providers: a scoping review protocol</w:t>
      </w:r>
      <w:r>
        <w:rPr>
          <w:lang w:eastAsia="en-GB"/>
        </w:rPr>
        <w:t xml:space="preserve">’, </w:t>
      </w:r>
      <w:r w:rsidRPr="00210072">
        <w:rPr>
          <w:i/>
          <w:iCs/>
          <w:lang w:eastAsia="en-GB"/>
        </w:rPr>
        <w:t>BMJ</w:t>
      </w:r>
      <w:r>
        <w:rPr>
          <w:i/>
          <w:iCs/>
          <w:lang w:eastAsia="en-GB"/>
        </w:rPr>
        <w:t xml:space="preserve"> </w:t>
      </w:r>
      <w:r w:rsidRPr="00210072">
        <w:rPr>
          <w:i/>
          <w:iCs/>
          <w:lang w:eastAsia="en-GB"/>
        </w:rPr>
        <w:t>Open</w:t>
      </w:r>
      <w:r>
        <w:rPr>
          <w:lang w:eastAsia="en-GB"/>
        </w:rPr>
        <w:t xml:space="preserve">, 12(12). Available at: </w:t>
      </w:r>
      <w:proofErr w:type="spellStart"/>
      <w:r w:rsidRPr="00210072">
        <w:rPr>
          <w:lang w:eastAsia="en-GB"/>
        </w:rPr>
        <w:t>doi</w:t>
      </w:r>
      <w:proofErr w:type="spellEnd"/>
      <w:r w:rsidRPr="00210072">
        <w:rPr>
          <w:lang w:eastAsia="en-GB"/>
        </w:rPr>
        <w:t>: 10.1136/bmjopen-2022-066578</w:t>
      </w:r>
    </w:p>
    <w:p w14:paraId="5A5122DA" w14:textId="77777777" w:rsidR="00B378D4" w:rsidRDefault="00B378D4" w:rsidP="00B00E76">
      <w:pPr>
        <w:spacing w:line="360" w:lineRule="auto"/>
        <w:rPr>
          <w:lang w:eastAsia="en-GB"/>
        </w:rPr>
      </w:pPr>
      <w:proofErr w:type="spellStart"/>
      <w:r>
        <w:rPr>
          <w:shd w:val="clear" w:color="auto" w:fill="FFFFFF"/>
        </w:rPr>
        <w:t>Photopoulos</w:t>
      </w:r>
      <w:proofErr w:type="spellEnd"/>
      <w:r>
        <w:rPr>
          <w:shd w:val="clear" w:color="auto" w:fill="FFFFFF"/>
        </w:rPr>
        <w:t xml:space="preserve">, P., </w:t>
      </w:r>
      <w:proofErr w:type="spellStart"/>
      <w:r>
        <w:rPr>
          <w:shd w:val="clear" w:color="auto" w:fill="FFFFFF"/>
        </w:rPr>
        <w:t>Tsonos</w:t>
      </w:r>
      <w:proofErr w:type="spellEnd"/>
      <w:r>
        <w:rPr>
          <w:shd w:val="clear" w:color="auto" w:fill="FFFFFF"/>
        </w:rPr>
        <w:t xml:space="preserve">, C., </w:t>
      </w:r>
      <w:proofErr w:type="spellStart"/>
      <w:r>
        <w:rPr>
          <w:shd w:val="clear" w:color="auto" w:fill="FFFFFF"/>
        </w:rPr>
        <w:t>Stavrakas</w:t>
      </w:r>
      <w:proofErr w:type="spellEnd"/>
      <w:r>
        <w:rPr>
          <w:shd w:val="clear" w:color="auto" w:fill="FFFFFF"/>
        </w:rPr>
        <w:t>, I., &amp; Triantis, D. (2023) ‘Remote and In-Person Learning: Utility Versus Social Experience’, </w:t>
      </w:r>
      <w:r>
        <w:rPr>
          <w:i/>
          <w:iCs/>
          <w:shd w:val="clear" w:color="auto" w:fill="FFFFFF"/>
        </w:rPr>
        <w:t>SN computer science</w:t>
      </w:r>
      <w:r>
        <w:rPr>
          <w:shd w:val="clear" w:color="auto" w:fill="FFFFFF"/>
        </w:rPr>
        <w:t>, </w:t>
      </w:r>
      <w:r>
        <w:rPr>
          <w:i/>
          <w:iCs/>
          <w:shd w:val="clear" w:color="auto" w:fill="FFFFFF"/>
        </w:rPr>
        <w:t>4</w:t>
      </w:r>
      <w:r>
        <w:rPr>
          <w:shd w:val="clear" w:color="auto" w:fill="FFFFFF"/>
        </w:rPr>
        <w:t xml:space="preserve">(2), pp 116. Available at: </w:t>
      </w:r>
      <w:r w:rsidRPr="00C511B7">
        <w:rPr>
          <w:shd w:val="clear" w:color="auto" w:fill="FFFFFF"/>
        </w:rPr>
        <w:t>https://doi.org/10.1007/s42979-022-01539-6</w:t>
      </w:r>
      <w:r>
        <w:rPr>
          <w:shd w:val="clear" w:color="auto" w:fill="FFFFFF"/>
        </w:rPr>
        <w:t xml:space="preserve"> </w:t>
      </w:r>
    </w:p>
    <w:p w14:paraId="75B2F450" w14:textId="77777777" w:rsidR="00B378D4" w:rsidRDefault="00B378D4" w:rsidP="00B00E76">
      <w:pPr>
        <w:spacing w:line="360" w:lineRule="auto"/>
      </w:pPr>
      <w:proofErr w:type="spellStart"/>
      <w:r>
        <w:lastRenderedPageBreak/>
        <w:t>Pradelli</w:t>
      </w:r>
      <w:proofErr w:type="spellEnd"/>
      <w:r>
        <w:t xml:space="preserve">, L., Risoli, C., Summer, E., Bellini, G., </w:t>
      </w:r>
      <w:proofErr w:type="spellStart"/>
      <w:r>
        <w:t>Mozzarelli</w:t>
      </w:r>
      <w:proofErr w:type="spellEnd"/>
      <w:r>
        <w:t xml:space="preserve">, F., Anderson, G., </w:t>
      </w:r>
      <w:proofErr w:type="spellStart"/>
      <w:r>
        <w:t>Guasconi</w:t>
      </w:r>
      <w:proofErr w:type="spellEnd"/>
      <w:r>
        <w:t xml:space="preserve">, M., </w:t>
      </w:r>
      <w:proofErr w:type="spellStart"/>
      <w:r>
        <w:t>Artioli</w:t>
      </w:r>
      <w:proofErr w:type="spellEnd"/>
      <w:r>
        <w:t xml:space="preserve">, G., </w:t>
      </w:r>
      <w:proofErr w:type="spellStart"/>
      <w:r>
        <w:t>Bonacaro</w:t>
      </w:r>
      <w:proofErr w:type="spellEnd"/>
      <w:r>
        <w:t xml:space="preserve">, A. and Sarli, L. (2025) ‘Healthcare professional perspective on barriers and facilitators of multidisciplinary team working in acute care setting: a systematic review and meta-synthesis’, </w:t>
      </w:r>
      <w:r>
        <w:rPr>
          <w:i/>
          <w:iCs/>
        </w:rPr>
        <w:t>BMJ open</w:t>
      </w:r>
      <w:r>
        <w:t xml:space="preserve">, 15(3). Available at: </w:t>
      </w:r>
      <w:r w:rsidRPr="00C953D0">
        <w:t>https://doi.org/10.1136/bmjopen-2024-087268</w:t>
      </w:r>
    </w:p>
    <w:p w14:paraId="6D538936" w14:textId="77777777" w:rsidR="00B378D4" w:rsidRPr="00C953D0" w:rsidRDefault="00B378D4" w:rsidP="00B00E76">
      <w:pPr>
        <w:spacing w:line="360" w:lineRule="auto"/>
      </w:pPr>
      <w:r>
        <w:t xml:space="preserve">Public Health Wales (2023). </w:t>
      </w:r>
      <w:r>
        <w:rPr>
          <w:i/>
          <w:iCs/>
        </w:rPr>
        <w:t>Clinical Supervision Framework for Health and Care Professionals and Healthcare Support Workers</w:t>
      </w:r>
      <w:r>
        <w:t xml:space="preserve">. Available at: </w:t>
      </w:r>
      <w:r w:rsidRPr="00C953D0">
        <w:t>https://phw.nhs.wales/about-us/policies-and-procedures/policies-and-procedures-documents/clinical-governance-and-infection-control-policies/clinical-supervision-framework-for-health-and-care-professionals-and-healthcare-support-workers1/</w:t>
      </w:r>
      <w:r>
        <w:t xml:space="preserve"> (Accessed 6</w:t>
      </w:r>
      <w:r w:rsidRPr="00C953D0">
        <w:rPr>
          <w:vertAlign w:val="superscript"/>
        </w:rPr>
        <w:t>th</w:t>
      </w:r>
      <w:r>
        <w:t xml:space="preserve"> May 2025).</w:t>
      </w:r>
    </w:p>
    <w:p w14:paraId="38C3C90A" w14:textId="5288401D" w:rsidR="00B378D4" w:rsidRDefault="00B378D4" w:rsidP="00B00E76">
      <w:pPr>
        <w:spacing w:line="360" w:lineRule="auto"/>
      </w:pPr>
      <w:r>
        <w:t xml:space="preserve">Steenfeldt, V., Aagerup, L., Jacobsen, A. and Skjødt, U. (2021) ‘Becoming </w:t>
      </w:r>
      <w:r w:rsidR="009D4EDD">
        <w:t>a Family Caregiver to a Person w</w:t>
      </w:r>
      <w:r>
        <w:t xml:space="preserve">ith Dementia: A Literature Review on the Needs of Family Caregivers’, </w:t>
      </w:r>
      <w:r w:rsidRPr="00F01BD9">
        <w:rPr>
          <w:i/>
          <w:iCs/>
        </w:rPr>
        <w:t>SAGE Open Nursing</w:t>
      </w:r>
      <w:r w:rsidR="009D4EDD">
        <w:t xml:space="preserve">, 7. Available at: </w:t>
      </w:r>
      <w:r w:rsidR="009D4EDD" w:rsidRPr="009D4EDD">
        <w:t>https://doi.org/10.1177/23779608211029073</w:t>
      </w:r>
      <w:r w:rsidR="009D4EDD">
        <w:t xml:space="preserve"> </w:t>
      </w:r>
    </w:p>
    <w:p w14:paraId="4A04582D" w14:textId="77777777" w:rsidR="00B378D4" w:rsidRDefault="00B378D4" w:rsidP="00B00E76">
      <w:pPr>
        <w:spacing w:line="360" w:lineRule="auto"/>
      </w:pPr>
      <w:r>
        <w:t xml:space="preserve">Uceda-Portillo, C., Aranda-Valero, S. and </w:t>
      </w:r>
      <w:proofErr w:type="spellStart"/>
      <w:r>
        <w:t>Moruno</w:t>
      </w:r>
      <w:proofErr w:type="spellEnd"/>
      <w:r>
        <w:t xml:space="preserve">-Miralles, P. (2024) ‘Occupational Therapy Interventions to Improve the Quality of Life of Older Adults with Dementia Living in Nursing Homes: A Systematic Review’, </w:t>
      </w:r>
      <w:r>
        <w:rPr>
          <w:i/>
          <w:iCs/>
        </w:rPr>
        <w:t>Healthcare</w:t>
      </w:r>
      <w:r>
        <w:t>, 12(9), pp 896. Available at:</w:t>
      </w:r>
      <w:r w:rsidRPr="00F833CE">
        <w:t xml:space="preserve"> https://doi.org/10.3390/healthcare12090896</w:t>
      </w:r>
      <w:r>
        <w:t xml:space="preserve">  </w:t>
      </w:r>
    </w:p>
    <w:p w14:paraId="23B7A47F" w14:textId="77777777" w:rsidR="00B378D4" w:rsidRDefault="00B378D4" w:rsidP="00B00E76">
      <w:pPr>
        <w:spacing w:line="360" w:lineRule="auto"/>
      </w:pPr>
      <w:r>
        <w:t xml:space="preserve">Wolters, F., </w:t>
      </w:r>
      <w:proofErr w:type="spellStart"/>
      <w:r>
        <w:t>Segufa</w:t>
      </w:r>
      <w:proofErr w:type="spellEnd"/>
      <w:r>
        <w:t xml:space="preserve">, R., </w:t>
      </w:r>
      <w:proofErr w:type="spellStart"/>
      <w:r>
        <w:t>Darweesh</w:t>
      </w:r>
      <w:proofErr w:type="spellEnd"/>
      <w:r>
        <w:t xml:space="preserve">, S., Bos, D., Ikram, M., </w:t>
      </w:r>
      <w:proofErr w:type="spellStart"/>
      <w:r>
        <w:t>Sabayan</w:t>
      </w:r>
      <w:proofErr w:type="spellEnd"/>
      <w:r>
        <w:t xml:space="preserve">, B., Hofman, A. and Sedaghat, S. (2018) ‘Coronary heart disease, heart failure, and the risk of dementia: A systematic review and meta-analysis’, </w:t>
      </w:r>
      <w:r>
        <w:rPr>
          <w:i/>
          <w:iCs/>
        </w:rPr>
        <w:t>Alzheimer’s and Dementia, The Journal of the Alzheimer’s Association</w:t>
      </w:r>
      <w:r>
        <w:t xml:space="preserve">, 14(11), pp 1493-1504. Available at: </w:t>
      </w:r>
      <w:r w:rsidRPr="00827553">
        <w:t>https://doi.org/10.1016/j.jalz.2018.01.007</w:t>
      </w:r>
      <w:r>
        <w:t xml:space="preserve">  </w:t>
      </w:r>
    </w:p>
    <w:p w14:paraId="390CCECA" w14:textId="77777777" w:rsidR="00AC3AA6" w:rsidRDefault="00B378D4" w:rsidP="00B00E76">
      <w:pPr>
        <w:spacing w:line="360" w:lineRule="auto"/>
        <w:sectPr w:rsidR="00AC3AA6">
          <w:footerReference w:type="default" r:id="rId7"/>
          <w:pgSz w:w="11906" w:h="16838"/>
          <w:pgMar w:top="1440" w:right="1440" w:bottom="1440" w:left="1440" w:header="708" w:footer="708" w:gutter="0"/>
          <w:cols w:space="708"/>
          <w:docGrid w:linePitch="360"/>
        </w:sectPr>
      </w:pPr>
      <w:r>
        <w:t xml:space="preserve">World Health Organization (2025). </w:t>
      </w:r>
      <w:r>
        <w:rPr>
          <w:i/>
          <w:iCs/>
        </w:rPr>
        <w:t>Dementia</w:t>
      </w:r>
      <w:r>
        <w:t xml:space="preserve">. Available at: </w:t>
      </w:r>
      <w:r w:rsidRPr="00A60E6E">
        <w:t>https://www.who.int/news-room/fact-sheets/detail/dementia</w:t>
      </w:r>
      <w:r>
        <w:t xml:space="preserve"> (Accessed 6</w:t>
      </w:r>
      <w:r w:rsidRPr="00A60E6E">
        <w:rPr>
          <w:vertAlign w:val="superscript"/>
        </w:rPr>
        <w:t>th</w:t>
      </w:r>
      <w:r>
        <w:t xml:space="preserve"> May 2025).</w:t>
      </w:r>
    </w:p>
    <w:p w14:paraId="7731E3D2" w14:textId="75E51F21" w:rsidR="00AC3AA6" w:rsidRDefault="00AC3AA6" w:rsidP="00AC3AA6">
      <w:pPr>
        <w:pStyle w:val="Header"/>
        <w:tabs>
          <w:tab w:val="left" w:pos="3310"/>
          <w:tab w:val="center" w:pos="5289"/>
        </w:tabs>
        <w:jc w:val="center"/>
      </w:pPr>
      <w:r>
        <w:rPr>
          <w:noProof/>
          <w:lang w:eastAsia="en-GB"/>
        </w:rPr>
        <w:lastRenderedPageBreak/>
        <w:drawing>
          <wp:anchor distT="0" distB="0" distL="114300" distR="114300" simplePos="0" relativeHeight="251661312" behindDoc="1" locked="0" layoutInCell="1" allowOverlap="1" wp14:anchorId="1BD0F699" wp14:editId="15BA087C">
            <wp:simplePos x="0" y="0"/>
            <wp:positionH relativeFrom="column">
              <wp:posOffset>7016750</wp:posOffset>
            </wp:positionH>
            <wp:positionV relativeFrom="paragraph">
              <wp:posOffset>-124460</wp:posOffset>
            </wp:positionV>
            <wp:extent cx="488950" cy="482600"/>
            <wp:effectExtent l="0" t="0" r="6350" b="0"/>
            <wp:wrapTight wrapText="bothSides">
              <wp:wrapPolygon edited="0">
                <wp:start x="0" y="0"/>
                <wp:lineTo x="0" y="20463"/>
                <wp:lineTo x="21039" y="20463"/>
                <wp:lineTo x="21039" y="0"/>
                <wp:lineTo x="0" y="0"/>
              </wp:wrapPolygon>
            </wp:wrapTight>
            <wp:docPr id="483803209" name="Picture 6"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in The United Kingdom : Review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8950" cy="482600"/>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0288" behindDoc="1" locked="0" layoutInCell="1" allowOverlap="1" wp14:anchorId="3A90FCE3" wp14:editId="1625F864">
            <wp:simplePos x="0" y="0"/>
            <wp:positionH relativeFrom="column">
              <wp:posOffset>8337550</wp:posOffset>
            </wp:positionH>
            <wp:positionV relativeFrom="paragraph">
              <wp:posOffset>-278765</wp:posOffset>
            </wp:positionV>
            <wp:extent cx="946785" cy="744855"/>
            <wp:effectExtent l="0" t="0" r="0" b="0"/>
            <wp:wrapTight wrapText="bothSides">
              <wp:wrapPolygon edited="0">
                <wp:start x="5215" y="0"/>
                <wp:lineTo x="3911" y="1105"/>
                <wp:lineTo x="2608" y="18230"/>
                <wp:lineTo x="6954" y="20992"/>
                <wp:lineTo x="7823" y="20992"/>
                <wp:lineTo x="13473" y="20992"/>
                <wp:lineTo x="14342" y="20992"/>
                <wp:lineTo x="18688" y="18230"/>
                <wp:lineTo x="18688" y="13258"/>
                <wp:lineTo x="16950" y="1105"/>
                <wp:lineTo x="15646" y="0"/>
                <wp:lineTo x="5215" y="0"/>
              </wp:wrapPolygon>
            </wp:wrapTight>
            <wp:docPr id="1960085553" name="Picture 5" descr="A logo of a coat of ar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logo of a coat of arm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46785" cy="744855"/>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674257DF" wp14:editId="087D4B8B">
            <wp:simplePos x="0" y="0"/>
            <wp:positionH relativeFrom="column">
              <wp:posOffset>-292100</wp:posOffset>
            </wp:positionH>
            <wp:positionV relativeFrom="paragraph">
              <wp:posOffset>-259080</wp:posOffset>
            </wp:positionV>
            <wp:extent cx="1590040" cy="560705"/>
            <wp:effectExtent l="0" t="0" r="0" b="0"/>
            <wp:wrapThrough wrapText="bothSides">
              <wp:wrapPolygon edited="0">
                <wp:start x="0" y="0"/>
                <wp:lineTo x="0" y="20548"/>
                <wp:lineTo x="21220" y="20548"/>
                <wp:lineTo x="21220" y="0"/>
                <wp:lineTo x="0" y="0"/>
              </wp:wrapPolygon>
            </wp:wrapThrough>
            <wp:docPr id="280258564" name="Picture 4"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 are an Agored Cymru recognised centre in Wa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pic:spPr>
                </pic:pic>
              </a:graphicData>
            </a:graphic>
            <wp14:sizeRelH relativeFrom="margin">
              <wp14:pctWidth>0</wp14:pctWidth>
            </wp14:sizeRelH>
            <wp14:sizeRelV relativeFrom="margin">
              <wp14:pctHeight>0</wp14:pctHeight>
            </wp14:sizeRelV>
          </wp:anchor>
        </w:drawing>
      </w:r>
      <w:r>
        <w:t xml:space="preserve">Therapy Assistant Practitioner Level 4 Diploma: </w:t>
      </w:r>
    </w:p>
    <w:p w14:paraId="4FFDD903" w14:textId="77777777" w:rsidR="00AC3AA6" w:rsidRDefault="00AC3AA6" w:rsidP="00AC3AA6">
      <w:pPr>
        <w:spacing w:after="0"/>
        <w:ind w:left="-5"/>
        <w:jc w:val="center"/>
        <w:rPr>
          <w:rFonts w:ascii="Arial" w:hAnsi="Arial" w:cs="Arial"/>
          <w:sz w:val="20"/>
          <w:szCs w:val="20"/>
        </w:rPr>
      </w:pPr>
      <w:r>
        <w:rPr>
          <w:rFonts w:ascii="Arial" w:eastAsia="Times New Roman" w:hAnsi="Arial" w:cs="Arial"/>
          <w:b/>
          <w:sz w:val="20"/>
          <w:szCs w:val="20"/>
        </w:rPr>
        <w:t>Research and Evaluation Skills for Health Care Practice</w:t>
      </w:r>
    </w:p>
    <w:p w14:paraId="572E5010" w14:textId="77777777" w:rsidR="00B378D4" w:rsidRDefault="00B378D4" w:rsidP="00B378D4"/>
    <w:p w14:paraId="4F2583A1" w14:textId="07EFE48B" w:rsidR="00AC3AA6" w:rsidRDefault="00AC3AA6" w:rsidP="00AC3AA6">
      <w:pPr>
        <w:spacing w:after="0"/>
        <w:rPr>
          <w:rFonts w:ascii="Arial" w:eastAsia="Times New Roman" w:hAnsi="Arial" w:cs="Arial"/>
          <w:color w:val="323E4F"/>
          <w:kern w:val="0"/>
          <w:sz w:val="32"/>
          <w:szCs w:val="32"/>
          <w:lang w:eastAsia="en-GB"/>
          <w14:ligatures w14:val="none"/>
        </w:rPr>
      </w:pPr>
      <w:r>
        <w:rPr>
          <w:noProof/>
          <w:lang w:eastAsia="en-GB"/>
        </w:rPr>
        <mc:AlternateContent>
          <mc:Choice Requires="wpg">
            <w:drawing>
              <wp:anchor distT="0" distB="0" distL="114300" distR="114300" simplePos="0" relativeHeight="251663360" behindDoc="1" locked="0" layoutInCell="1" allowOverlap="1" wp14:anchorId="73BBABF3" wp14:editId="03FA5C69">
                <wp:simplePos x="0" y="0"/>
                <wp:positionH relativeFrom="column">
                  <wp:posOffset>6292850</wp:posOffset>
                </wp:positionH>
                <wp:positionV relativeFrom="paragraph">
                  <wp:posOffset>-139700</wp:posOffset>
                </wp:positionV>
                <wp:extent cx="419100" cy="463550"/>
                <wp:effectExtent l="0" t="0" r="0" b="0"/>
                <wp:wrapNone/>
                <wp:docPr id="216520558" name="Group 7"/>
                <wp:cNvGraphicFramePr/>
                <a:graphic xmlns:a="http://schemas.openxmlformats.org/drawingml/2006/main">
                  <a:graphicData uri="http://schemas.microsoft.com/office/word/2010/wordprocessingGroup">
                    <wpg:wgp>
                      <wpg:cNvGrpSpPr/>
                      <wpg:grpSpPr>
                        <a:xfrm>
                          <a:off x="0" y="0"/>
                          <a:ext cx="419100" cy="463550"/>
                          <a:chOff x="0" y="0"/>
                          <a:chExt cx="4139565" cy="6075045"/>
                        </a:xfrm>
                      </wpg:grpSpPr>
                      <pic:pic xmlns:pic="http://schemas.openxmlformats.org/drawingml/2006/picture">
                        <pic:nvPicPr>
                          <pic:cNvPr id="683149553" name="Picture 683149553"/>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139565" cy="5731510"/>
                          </a:xfrm>
                          <a:prstGeom prst="rect">
                            <a:avLst/>
                          </a:prstGeom>
                        </pic:spPr>
                      </pic:pic>
                      <wps:wsp>
                        <wps:cNvPr id="367501989" name="Text Box 2"/>
                        <wps:cNvSpPr txBox="1"/>
                        <wps:spPr>
                          <a:xfrm>
                            <a:off x="0" y="5731510"/>
                            <a:ext cx="4139565" cy="343535"/>
                          </a:xfrm>
                          <a:prstGeom prst="rect">
                            <a:avLst/>
                          </a:prstGeom>
                          <a:solidFill>
                            <a:prstClr val="white"/>
                          </a:solidFill>
                          <a:ln>
                            <a:noFill/>
                          </a:ln>
                        </wps:spPr>
                        <wps:txbx>
                          <w:txbxContent>
                            <w:p w14:paraId="01C07DB8" w14:textId="77777777" w:rsidR="00AC3AA6" w:rsidRDefault="00AC3AA6" w:rsidP="00AC3AA6">
                              <w:pPr>
                                <w:rPr>
                                  <w:sz w:val="18"/>
                                  <w:szCs w:val="18"/>
                                </w:rPr>
                              </w:pPr>
                              <w:hyperlink r:id="rId13" w:history="1">
                                <w:r>
                                  <w:rPr>
                                    <w:rStyle w:val="Hyperlink"/>
                                    <w:sz w:val="18"/>
                                    <w:szCs w:val="18"/>
                                  </w:rPr>
                                  <w:t>This Photo</w:t>
                                </w:r>
                              </w:hyperlink>
                              <w:r>
                                <w:rPr>
                                  <w:sz w:val="18"/>
                                  <w:szCs w:val="18"/>
                                </w:rPr>
                                <w:t xml:space="preserve"> by Unknown Author is licensed under </w:t>
                              </w:r>
                              <w:hyperlink r:id="rId14" w:history="1">
                                <w:r>
                                  <w:rPr>
                                    <w:rStyle w:val="Hyperlink"/>
                                    <w:sz w:val="18"/>
                                    <w:szCs w:val="18"/>
                                  </w:rPr>
                                  <w:t>CC BY-NC</w:t>
                                </w:r>
                              </w:hyperlink>
                            </w:p>
                          </w:txbxContent>
                        </wps:txbx>
                        <wps:bodyPr rot="0" spcFirstLastPara="0"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BBABF3" id="Group 7" o:spid="_x0000_s1026" style="position:absolute;margin-left:495.5pt;margin-top:-11pt;width:33pt;height:36.5pt;z-index:-251653120;mso-width-relative:margin;mso-height-relative:margin" coordsize="41395,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83149553" o:spid="_x0000_s1027" type="#_x0000_t75" style="position:absolute;width:4139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">
                  <v:imagedata r:id="rId15" o:title=""/>
                </v:shape>
                <v:shapetype id="_x0000_t202" coordsize="21600,21600" o:spt="202" path="m,l,21600r21600,l21600,xe">
                  <v:stroke joinstyle="miter"/>
                  <v:path gradientshapeok="t" o:connecttype="rect"/>
                </v:shapetype>
                <v:shape id="Text Box 2" o:spid="_x0000_s1028" type="#_x0000_t202" style="position:absolute;top:57315;width:4139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" stroked="f">
                  <v:textbox>
                    <w:txbxContent>
                      <w:p w14:paraId="01C07DB8" w14:textId="77777777" w:rsidR="00AC3AA6" w:rsidRDefault="00AC3AA6" w:rsidP="00AC3AA6">
                        <w:pPr>
                          <w:rPr>
                            <w:sz w:val="18"/>
                            <w:szCs w:val="18"/>
                          </w:rPr>
                        </w:pPr>
                        <w:hyperlink r:id="rId16" w:history="1">
                          <w:r>
                            <w:rPr>
                              <w:rStyle w:val="Hyperlink"/>
                              <w:sz w:val="18"/>
                              <w:szCs w:val="18"/>
                            </w:rPr>
                            <w:t>This Photo</w:t>
                          </w:r>
                        </w:hyperlink>
                        <w:r>
                          <w:rPr>
                            <w:sz w:val="18"/>
                            <w:szCs w:val="18"/>
                          </w:rPr>
                          <w:t xml:space="preserve"> by Unknown Author is licensed under </w:t>
                        </w:r>
                        <w:hyperlink r:id="rId17" w:history="1">
                          <w:r>
                            <w:rPr>
                              <w:rStyle w:val="Hyperlink"/>
                              <w:sz w:val="18"/>
                              <w:szCs w:val="18"/>
                            </w:rPr>
                            <w:t>CC BY-NC</w:t>
                          </w:r>
                        </w:hyperlink>
                      </w:p>
                    </w:txbxContent>
                  </v:textbox>
                </v:shape>
              </v:group>
            </w:pict>
          </mc:Fallback>
        </mc:AlternateContent>
      </w:r>
      <w:bookmarkStart w:id="0" w:name="_Hlk159175794"/>
      <w:bookmarkEnd w:id="0"/>
      <w:r>
        <w:rPr>
          <w:rFonts w:ascii="Arial" w:eastAsia="Times New Roman" w:hAnsi="Arial" w:cs="Arial"/>
          <w:b/>
          <w:bCs/>
          <w:color w:val="323E4F"/>
          <w:kern w:val="0"/>
          <w:sz w:val="32"/>
          <w:szCs w:val="32"/>
          <w:lang w:eastAsia="en-GB"/>
          <w14:ligatures w14:val="none"/>
        </w:rPr>
        <w:t>Appendix:</w:t>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t xml:space="preserve">Critique check list </w:t>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r>
        <w:rPr>
          <w:rFonts w:ascii="Arial" w:eastAsia="Times New Roman" w:hAnsi="Arial" w:cs="Arial"/>
          <w:b/>
          <w:bCs/>
          <w:color w:val="323E4F"/>
          <w:kern w:val="0"/>
          <w:sz w:val="32"/>
          <w:szCs w:val="32"/>
          <w:lang w:eastAsia="en-GB"/>
          <w14:ligatures w14:val="none"/>
        </w:rPr>
        <w:tab/>
      </w:r>
    </w:p>
    <w:p w14:paraId="64D2DD36" w14:textId="77777777" w:rsidR="00AC3AA6" w:rsidRDefault="00AC3AA6" w:rsidP="00AC3AA6">
      <w:pPr>
        <w:spacing w:after="0"/>
        <w:rPr>
          <w:rFonts w:ascii="Arial" w:eastAsia="Times New Roman" w:hAnsi="Arial" w:cs="Arial"/>
          <w:color w:val="323E4F"/>
          <w:kern w:val="0"/>
          <w:sz w:val="32"/>
          <w:szCs w:val="32"/>
          <w:lang w:eastAsia="en-GB"/>
          <w14:ligatures w14:val="none"/>
        </w:rPr>
      </w:pPr>
    </w:p>
    <w:tbl>
      <w:tblPr>
        <w:tblStyle w:val="TableGrid"/>
        <w:tblW w:w="16019" w:type="dxa"/>
        <w:tblInd w:w="-998" w:type="dxa"/>
        <w:tblLook w:val="04A0" w:firstRow="1" w:lastRow="0" w:firstColumn="1" w:lastColumn="0" w:noHBand="0" w:noVBand="1"/>
      </w:tblPr>
      <w:tblGrid>
        <w:gridCol w:w="3278"/>
        <w:gridCol w:w="2243"/>
        <w:gridCol w:w="1283"/>
        <w:gridCol w:w="1733"/>
        <w:gridCol w:w="818"/>
        <w:gridCol w:w="2671"/>
        <w:gridCol w:w="705"/>
        <w:gridCol w:w="706"/>
        <w:gridCol w:w="1764"/>
        <w:gridCol w:w="818"/>
      </w:tblGrid>
      <w:tr w:rsidR="00506440" w14:paraId="6F0D9CA0" w14:textId="77777777" w:rsidTr="00AC3AA6">
        <w:trPr>
          <w:cantSplit/>
          <w:trHeight w:val="1745"/>
        </w:trPr>
        <w:tc>
          <w:tcPr>
            <w:tcW w:w="3545" w:type="dxa"/>
            <w:tcBorders>
              <w:top w:val="single" w:sz="4" w:space="0" w:color="auto"/>
              <w:left w:val="single" w:sz="4" w:space="0" w:color="auto"/>
              <w:bottom w:val="single" w:sz="4" w:space="0" w:color="auto"/>
              <w:right w:val="single" w:sz="4" w:space="0" w:color="auto"/>
            </w:tcBorders>
          </w:tcPr>
          <w:p w14:paraId="6D37A029"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0A083B96"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78E2922D"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270EBA64"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7B11537C"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 xml:space="preserve">Article Title </w:t>
            </w:r>
          </w:p>
        </w:tc>
        <w:tc>
          <w:tcPr>
            <w:tcW w:w="2405" w:type="dxa"/>
            <w:tcBorders>
              <w:top w:val="single" w:sz="4" w:space="0" w:color="auto"/>
              <w:left w:val="single" w:sz="4" w:space="0" w:color="auto"/>
              <w:bottom w:val="single" w:sz="4" w:space="0" w:color="auto"/>
              <w:right w:val="single" w:sz="4" w:space="0" w:color="auto"/>
            </w:tcBorders>
          </w:tcPr>
          <w:p w14:paraId="62BCAEFC"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7B91EBF6"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28162438"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747848E4"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459136C8"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Author(s)</w:t>
            </w:r>
          </w:p>
        </w:tc>
        <w:tc>
          <w:tcPr>
            <w:tcW w:w="1283" w:type="dxa"/>
            <w:tcBorders>
              <w:top w:val="single" w:sz="4" w:space="0" w:color="auto"/>
              <w:left w:val="single" w:sz="4" w:space="0" w:color="auto"/>
              <w:bottom w:val="single" w:sz="4" w:space="0" w:color="auto"/>
              <w:right w:val="single" w:sz="4" w:space="0" w:color="auto"/>
            </w:tcBorders>
          </w:tcPr>
          <w:p w14:paraId="6EEF7C7B"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7487751D"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0BA4D240" w14:textId="77777777" w:rsidR="00AC3AA6" w:rsidRDefault="00AC3AA6">
            <w:pPr>
              <w:textAlignment w:val="baseline"/>
              <w:rPr>
                <w:rFonts w:ascii="Arial" w:eastAsia="Times New Roman" w:hAnsi="Arial" w:cs="Arial"/>
                <w:b/>
                <w:bCs/>
                <w:color w:val="323E4F"/>
                <w:kern w:val="0"/>
                <w:sz w:val="20"/>
                <w:szCs w:val="20"/>
                <w:lang w:eastAsia="en-GB"/>
                <w14:ligatures w14:val="none"/>
              </w:rPr>
            </w:pPr>
          </w:p>
          <w:p w14:paraId="4D228657"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Year of publication</w:t>
            </w:r>
          </w:p>
        </w:tc>
        <w:tc>
          <w:tcPr>
            <w:tcW w:w="1829" w:type="dxa"/>
            <w:tcBorders>
              <w:top w:val="single" w:sz="4" w:space="0" w:color="auto"/>
              <w:left w:val="single" w:sz="4" w:space="0" w:color="auto"/>
              <w:bottom w:val="single" w:sz="4" w:space="0" w:color="auto"/>
              <w:right w:val="single" w:sz="4" w:space="0" w:color="auto"/>
            </w:tcBorders>
          </w:tcPr>
          <w:p w14:paraId="40888E13"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51BF39E8"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301D4C4E"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6F0509B3"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2F520F2A"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Journal name</w:t>
            </w:r>
          </w:p>
        </w:tc>
        <w:tc>
          <w:tcPr>
            <w:tcW w:w="842" w:type="dxa"/>
            <w:tcBorders>
              <w:top w:val="single" w:sz="4" w:space="0" w:color="auto"/>
              <w:left w:val="single" w:sz="4" w:space="0" w:color="auto"/>
              <w:bottom w:val="single" w:sz="4" w:space="0" w:color="auto"/>
              <w:right w:val="single" w:sz="4" w:space="0" w:color="auto"/>
            </w:tcBorders>
            <w:textDirection w:val="btLr"/>
            <w:hideMark/>
          </w:tcPr>
          <w:p w14:paraId="7A1C90E7"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Abstract</w:t>
            </w:r>
          </w:p>
          <w:p w14:paraId="34EFD52C"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(y or n)</w:t>
            </w:r>
          </w:p>
        </w:tc>
        <w:tc>
          <w:tcPr>
            <w:tcW w:w="2883" w:type="dxa"/>
            <w:tcBorders>
              <w:top w:val="single" w:sz="4" w:space="0" w:color="auto"/>
              <w:left w:val="single" w:sz="4" w:space="0" w:color="auto"/>
              <w:bottom w:val="single" w:sz="4" w:space="0" w:color="auto"/>
              <w:right w:val="single" w:sz="4" w:space="0" w:color="auto"/>
            </w:tcBorders>
          </w:tcPr>
          <w:p w14:paraId="6FD1B825"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5B92685D"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1ABA9A9E"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p>
          <w:p w14:paraId="03CA6948"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Methods/</w:t>
            </w:r>
          </w:p>
          <w:p w14:paraId="0735A662" w14:textId="77777777" w:rsidR="00AC3AA6" w:rsidRDefault="00AC3AA6">
            <w:pPr>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instruments used</w:t>
            </w:r>
          </w:p>
        </w:tc>
        <w:tc>
          <w:tcPr>
            <w:tcW w:w="707" w:type="dxa"/>
            <w:tcBorders>
              <w:top w:val="single" w:sz="4" w:space="0" w:color="auto"/>
              <w:left w:val="single" w:sz="4" w:space="0" w:color="auto"/>
              <w:bottom w:val="single" w:sz="4" w:space="0" w:color="auto"/>
              <w:right w:val="single" w:sz="4" w:space="0" w:color="auto"/>
            </w:tcBorders>
            <w:textDirection w:val="btLr"/>
            <w:hideMark/>
          </w:tcPr>
          <w:p w14:paraId="303CAC0F"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Reliable</w:t>
            </w:r>
          </w:p>
          <w:p w14:paraId="22A1869B"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w:t>
            </w:r>
            <w:r>
              <w:rPr>
                <w:rFonts w:ascii="Arial" w:eastAsia="Times New Roman" w:hAnsi="Arial" w:cs="Arial"/>
                <w:b/>
                <w:bCs/>
                <w:noProof/>
                <w:color w:val="323E4F"/>
                <w:kern w:val="0"/>
                <w:sz w:val="20"/>
                <w:szCs w:val="20"/>
                <w:lang w:eastAsia="en-GB"/>
                <w14:ligatures w14:val="none"/>
              </w:rPr>
              <w:t>y or n)</w:t>
            </w:r>
          </w:p>
        </w:tc>
        <w:tc>
          <w:tcPr>
            <w:tcW w:w="708" w:type="dxa"/>
            <w:tcBorders>
              <w:top w:val="single" w:sz="4" w:space="0" w:color="auto"/>
              <w:left w:val="single" w:sz="4" w:space="0" w:color="auto"/>
              <w:bottom w:val="single" w:sz="4" w:space="0" w:color="auto"/>
              <w:right w:val="single" w:sz="4" w:space="0" w:color="auto"/>
            </w:tcBorders>
            <w:textDirection w:val="btLr"/>
            <w:hideMark/>
          </w:tcPr>
          <w:p w14:paraId="29B5A2E7"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Validity</w:t>
            </w:r>
          </w:p>
          <w:p w14:paraId="38375368"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(y or n)</w:t>
            </w:r>
          </w:p>
        </w:tc>
        <w:tc>
          <w:tcPr>
            <w:tcW w:w="975" w:type="dxa"/>
            <w:tcBorders>
              <w:top w:val="single" w:sz="4" w:space="0" w:color="auto"/>
              <w:left w:val="single" w:sz="4" w:space="0" w:color="auto"/>
              <w:bottom w:val="single" w:sz="4" w:space="0" w:color="auto"/>
              <w:right w:val="single" w:sz="4" w:space="0" w:color="auto"/>
            </w:tcBorders>
            <w:textDirection w:val="btLr"/>
          </w:tcPr>
          <w:p w14:paraId="3D878E4E"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Ethical Considerations</w:t>
            </w:r>
          </w:p>
          <w:p w14:paraId="146B11CB"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 xml:space="preserve"> (</w:t>
            </w:r>
            <w:r>
              <w:rPr>
                <w:rFonts w:ascii="Arial" w:eastAsia="Times New Roman" w:hAnsi="Arial" w:cs="Arial"/>
                <w:b/>
                <w:bCs/>
                <w:noProof/>
                <w:color w:val="323E4F"/>
                <w:kern w:val="0"/>
                <w:sz w:val="20"/>
                <w:szCs w:val="20"/>
                <w:lang w:eastAsia="en-GB"/>
                <w14:ligatures w14:val="none"/>
              </w:rPr>
              <w:t>y or n</w:t>
            </w:r>
            <w:r>
              <w:rPr>
                <w:rFonts w:ascii="Arial" w:eastAsia="Times New Roman" w:hAnsi="Arial" w:cs="Arial"/>
                <w:b/>
                <w:bCs/>
                <w:color w:val="323E4F"/>
                <w:kern w:val="0"/>
                <w:sz w:val="20"/>
                <w:szCs w:val="20"/>
                <w:lang w:eastAsia="en-GB"/>
                <w14:ligatures w14:val="none"/>
              </w:rPr>
              <w:t>)</w:t>
            </w:r>
          </w:p>
          <w:p w14:paraId="6A9648D9"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p>
        </w:tc>
        <w:tc>
          <w:tcPr>
            <w:tcW w:w="842" w:type="dxa"/>
            <w:tcBorders>
              <w:top w:val="single" w:sz="4" w:space="0" w:color="auto"/>
              <w:left w:val="single" w:sz="4" w:space="0" w:color="auto"/>
              <w:bottom w:val="single" w:sz="4" w:space="0" w:color="auto"/>
              <w:right w:val="single" w:sz="4" w:space="0" w:color="auto"/>
            </w:tcBorders>
            <w:textDirection w:val="btLr"/>
          </w:tcPr>
          <w:p w14:paraId="22759E33"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Reference list</w:t>
            </w:r>
          </w:p>
          <w:p w14:paraId="1542DD8D"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r>
              <w:rPr>
                <w:rFonts w:ascii="Arial" w:eastAsia="Times New Roman" w:hAnsi="Arial" w:cs="Arial"/>
                <w:b/>
                <w:bCs/>
                <w:color w:val="323E4F"/>
                <w:kern w:val="0"/>
                <w:sz w:val="20"/>
                <w:szCs w:val="20"/>
                <w:lang w:eastAsia="en-GB"/>
                <w14:ligatures w14:val="none"/>
              </w:rPr>
              <w:t>(</w:t>
            </w:r>
            <w:r>
              <w:rPr>
                <w:rFonts w:ascii="Arial" w:eastAsia="Times New Roman" w:hAnsi="Arial" w:cs="Arial"/>
                <w:b/>
                <w:bCs/>
                <w:noProof/>
                <w:color w:val="323E4F"/>
                <w:kern w:val="0"/>
                <w:sz w:val="20"/>
                <w:szCs w:val="20"/>
                <w:lang w:eastAsia="en-GB"/>
                <w14:ligatures w14:val="none"/>
              </w:rPr>
              <w:t>y or n</w:t>
            </w:r>
            <w:r>
              <w:rPr>
                <w:rFonts w:ascii="Arial" w:eastAsia="Times New Roman" w:hAnsi="Arial" w:cs="Arial"/>
                <w:b/>
                <w:bCs/>
                <w:color w:val="323E4F"/>
                <w:kern w:val="0"/>
                <w:sz w:val="20"/>
                <w:szCs w:val="20"/>
                <w:lang w:eastAsia="en-GB"/>
                <w14:ligatures w14:val="none"/>
              </w:rPr>
              <w:t>)</w:t>
            </w:r>
          </w:p>
          <w:p w14:paraId="413A2797" w14:textId="77777777" w:rsidR="00AC3AA6" w:rsidRDefault="00AC3AA6">
            <w:pPr>
              <w:ind w:left="113" w:right="113"/>
              <w:jc w:val="center"/>
              <w:textAlignment w:val="baseline"/>
              <w:rPr>
                <w:rFonts w:ascii="Arial" w:eastAsia="Times New Roman" w:hAnsi="Arial" w:cs="Arial"/>
                <w:b/>
                <w:bCs/>
                <w:color w:val="323E4F"/>
                <w:kern w:val="0"/>
                <w:sz w:val="20"/>
                <w:szCs w:val="20"/>
                <w:lang w:eastAsia="en-GB"/>
                <w14:ligatures w14:val="none"/>
              </w:rPr>
            </w:pPr>
          </w:p>
        </w:tc>
      </w:tr>
      <w:tr w:rsidR="00506440" w14:paraId="06DB9595" w14:textId="77777777" w:rsidTr="00AC3AA6">
        <w:trPr>
          <w:trHeight w:val="1327"/>
        </w:trPr>
        <w:tc>
          <w:tcPr>
            <w:tcW w:w="3545" w:type="dxa"/>
            <w:tcBorders>
              <w:top w:val="single" w:sz="4" w:space="0" w:color="auto"/>
              <w:left w:val="single" w:sz="4" w:space="0" w:color="auto"/>
              <w:bottom w:val="single" w:sz="4" w:space="0" w:color="auto"/>
              <w:right w:val="single" w:sz="4" w:space="0" w:color="auto"/>
            </w:tcBorders>
          </w:tcPr>
          <w:p w14:paraId="783E9EFB" w14:textId="1A6CBF2A" w:rsidR="00AC3AA6" w:rsidRPr="001A42D3" w:rsidRDefault="001A42D3" w:rsidP="00586190">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Exploring good practice in life story work with people with dementia: The findings of a qualitive study looking at the multiple views of stakeholders</w:t>
            </w:r>
          </w:p>
          <w:p w14:paraId="156602F0" w14:textId="77777777" w:rsidR="00AC3AA6" w:rsidRDefault="00AC3AA6">
            <w:pPr>
              <w:jc w:val="center"/>
              <w:textAlignment w:val="baseline"/>
              <w:rPr>
                <w:rFonts w:ascii="Arial" w:eastAsia="Times New Roman" w:hAnsi="Arial" w:cs="Arial"/>
                <w:color w:val="323E4F"/>
                <w:kern w:val="0"/>
                <w:sz w:val="32"/>
                <w:szCs w:val="32"/>
                <w:lang w:eastAsia="en-GB"/>
                <w14:ligatures w14:val="none"/>
              </w:rPr>
            </w:pPr>
          </w:p>
          <w:p w14:paraId="058B7F7E" w14:textId="77777777" w:rsidR="00AC3AA6" w:rsidRDefault="00AC3AA6">
            <w:pPr>
              <w:jc w:val="center"/>
              <w:textAlignment w:val="baseline"/>
              <w:rPr>
                <w:rFonts w:ascii="Arial" w:eastAsia="Times New Roman" w:hAnsi="Arial" w:cs="Arial"/>
                <w:color w:val="323E4F"/>
                <w:kern w:val="0"/>
                <w:sz w:val="32"/>
                <w:szCs w:val="32"/>
                <w:lang w:eastAsia="en-GB"/>
                <w14:ligatures w14:val="none"/>
              </w:rPr>
            </w:pPr>
          </w:p>
          <w:p w14:paraId="53A6B121" w14:textId="77777777" w:rsidR="00AC3AA6" w:rsidRDefault="00AC3AA6">
            <w:pPr>
              <w:textAlignment w:val="baseline"/>
              <w:rPr>
                <w:rFonts w:ascii="Arial" w:eastAsia="Times New Roman" w:hAnsi="Arial" w:cs="Arial"/>
                <w:color w:val="323E4F"/>
                <w:kern w:val="0"/>
                <w:sz w:val="32"/>
                <w:szCs w:val="32"/>
                <w:lang w:eastAsia="en-GB"/>
                <w14:ligatures w14:val="none"/>
              </w:rPr>
            </w:pPr>
          </w:p>
        </w:tc>
        <w:tc>
          <w:tcPr>
            <w:tcW w:w="2405" w:type="dxa"/>
            <w:tcBorders>
              <w:top w:val="single" w:sz="4" w:space="0" w:color="auto"/>
              <w:left w:val="single" w:sz="4" w:space="0" w:color="auto"/>
              <w:bottom w:val="single" w:sz="4" w:space="0" w:color="auto"/>
              <w:right w:val="single" w:sz="4" w:space="0" w:color="auto"/>
            </w:tcBorders>
          </w:tcPr>
          <w:p w14:paraId="3CE62D35" w14:textId="414EC165" w:rsidR="00AC3AA6" w:rsidRPr="001A42D3" w:rsidRDefault="001A42D3" w:rsidP="001A42D3">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Kate Gridley, Yvonne Birks and Gillian Parker</w:t>
            </w:r>
          </w:p>
        </w:tc>
        <w:tc>
          <w:tcPr>
            <w:tcW w:w="1283" w:type="dxa"/>
            <w:tcBorders>
              <w:top w:val="single" w:sz="4" w:space="0" w:color="auto"/>
              <w:left w:val="single" w:sz="4" w:space="0" w:color="auto"/>
              <w:bottom w:val="single" w:sz="4" w:space="0" w:color="auto"/>
              <w:right w:val="single" w:sz="4" w:space="0" w:color="auto"/>
            </w:tcBorders>
          </w:tcPr>
          <w:p w14:paraId="65612B82" w14:textId="16B3A63A" w:rsidR="00AC3AA6" w:rsidRPr="001A42D3" w:rsidRDefault="001A42D3" w:rsidP="001A42D3">
            <w:pPr>
              <w:jc w:val="both"/>
              <w:textAlignment w:val="baseline"/>
              <w:rPr>
                <w:rFonts w:ascii="Arial" w:eastAsia="Times New Roman" w:hAnsi="Arial" w:cs="Arial"/>
                <w:color w:val="323E4F"/>
                <w:kern w:val="0"/>
                <w:lang w:eastAsia="en-GB"/>
                <w14:ligatures w14:val="none"/>
              </w:rPr>
            </w:pPr>
            <w:r w:rsidRPr="001A42D3">
              <w:rPr>
                <w:rFonts w:ascii="Arial" w:eastAsia="Times New Roman" w:hAnsi="Arial" w:cs="Arial"/>
                <w:color w:val="323E4F"/>
                <w:kern w:val="0"/>
                <w:lang w:eastAsia="en-GB"/>
                <w14:ligatures w14:val="none"/>
              </w:rPr>
              <w:t>2018</w:t>
            </w:r>
          </w:p>
        </w:tc>
        <w:tc>
          <w:tcPr>
            <w:tcW w:w="1829" w:type="dxa"/>
            <w:tcBorders>
              <w:top w:val="single" w:sz="4" w:space="0" w:color="auto"/>
              <w:left w:val="single" w:sz="4" w:space="0" w:color="auto"/>
              <w:bottom w:val="single" w:sz="4" w:space="0" w:color="auto"/>
              <w:right w:val="single" w:sz="4" w:space="0" w:color="auto"/>
            </w:tcBorders>
          </w:tcPr>
          <w:p w14:paraId="5BCF1196" w14:textId="4AAFD308" w:rsidR="00AC3AA6" w:rsidRPr="001A42D3" w:rsidRDefault="001A42D3" w:rsidP="001A42D3">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Dementia</w:t>
            </w:r>
          </w:p>
        </w:tc>
        <w:tc>
          <w:tcPr>
            <w:tcW w:w="842" w:type="dxa"/>
            <w:tcBorders>
              <w:top w:val="single" w:sz="4" w:space="0" w:color="auto"/>
              <w:left w:val="single" w:sz="4" w:space="0" w:color="auto"/>
              <w:bottom w:val="single" w:sz="4" w:space="0" w:color="auto"/>
              <w:right w:val="single" w:sz="4" w:space="0" w:color="auto"/>
            </w:tcBorders>
          </w:tcPr>
          <w:p w14:paraId="31E28EE5" w14:textId="408D64AA" w:rsidR="00AC3AA6" w:rsidRPr="001A42D3" w:rsidRDefault="001A42D3" w:rsidP="001A42D3">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c>
          <w:tcPr>
            <w:tcW w:w="2883" w:type="dxa"/>
            <w:tcBorders>
              <w:top w:val="single" w:sz="4" w:space="0" w:color="auto"/>
              <w:left w:val="single" w:sz="4" w:space="0" w:color="auto"/>
              <w:bottom w:val="single" w:sz="4" w:space="0" w:color="auto"/>
              <w:right w:val="single" w:sz="4" w:space="0" w:color="auto"/>
            </w:tcBorders>
          </w:tcPr>
          <w:p w14:paraId="1F6B162E" w14:textId="77777777" w:rsidR="00AC3AA6" w:rsidRDefault="00243511" w:rsidP="001A42D3">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Focus groups</w:t>
            </w:r>
          </w:p>
          <w:p w14:paraId="4FB8CAF7" w14:textId="47D48C0C" w:rsidR="00243511" w:rsidRDefault="00243511" w:rsidP="001A42D3">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Framework approach</w:t>
            </w:r>
          </w:p>
          <w:p w14:paraId="5B90B424" w14:textId="2FE922F2" w:rsidR="00243511" w:rsidRPr="001A42D3" w:rsidRDefault="00243511" w:rsidP="001A42D3">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Qualitive study</w:t>
            </w:r>
          </w:p>
        </w:tc>
        <w:tc>
          <w:tcPr>
            <w:tcW w:w="707" w:type="dxa"/>
            <w:tcBorders>
              <w:top w:val="single" w:sz="4" w:space="0" w:color="auto"/>
              <w:left w:val="single" w:sz="4" w:space="0" w:color="auto"/>
              <w:bottom w:val="single" w:sz="4" w:space="0" w:color="auto"/>
              <w:right w:val="single" w:sz="4" w:space="0" w:color="auto"/>
            </w:tcBorders>
          </w:tcPr>
          <w:p w14:paraId="595BB7D2" w14:textId="04CBAB57" w:rsidR="00AC3AA6" w:rsidRPr="00243511" w:rsidRDefault="00243511">
            <w:pPr>
              <w:jc w:val="cente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Yes</w:t>
            </w:r>
          </w:p>
        </w:tc>
        <w:tc>
          <w:tcPr>
            <w:tcW w:w="708" w:type="dxa"/>
            <w:tcBorders>
              <w:top w:val="single" w:sz="4" w:space="0" w:color="auto"/>
              <w:left w:val="single" w:sz="4" w:space="0" w:color="auto"/>
              <w:bottom w:val="single" w:sz="4" w:space="0" w:color="auto"/>
              <w:right w:val="single" w:sz="4" w:space="0" w:color="auto"/>
            </w:tcBorders>
          </w:tcPr>
          <w:p w14:paraId="2EA7DEF6" w14:textId="577ED563" w:rsidR="00AC3AA6" w:rsidRPr="00243511" w:rsidRDefault="00243511">
            <w:pPr>
              <w:jc w:val="cente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Yes</w:t>
            </w:r>
          </w:p>
        </w:tc>
        <w:tc>
          <w:tcPr>
            <w:tcW w:w="975" w:type="dxa"/>
            <w:tcBorders>
              <w:top w:val="single" w:sz="4" w:space="0" w:color="auto"/>
              <w:left w:val="single" w:sz="4" w:space="0" w:color="auto"/>
              <w:bottom w:val="single" w:sz="4" w:space="0" w:color="auto"/>
              <w:right w:val="single" w:sz="4" w:space="0" w:color="auto"/>
            </w:tcBorders>
          </w:tcPr>
          <w:p w14:paraId="79215DE1" w14:textId="09B32591" w:rsidR="00AC3AA6" w:rsidRPr="00243511" w:rsidRDefault="00243511">
            <w:pPr>
              <w:jc w:val="cente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Yes</w:t>
            </w:r>
          </w:p>
        </w:tc>
        <w:tc>
          <w:tcPr>
            <w:tcW w:w="842" w:type="dxa"/>
            <w:tcBorders>
              <w:top w:val="single" w:sz="4" w:space="0" w:color="auto"/>
              <w:left w:val="single" w:sz="4" w:space="0" w:color="auto"/>
              <w:bottom w:val="single" w:sz="4" w:space="0" w:color="auto"/>
              <w:right w:val="single" w:sz="4" w:space="0" w:color="auto"/>
            </w:tcBorders>
          </w:tcPr>
          <w:p w14:paraId="101B6AC4" w14:textId="17FFDE3B" w:rsidR="00AC3AA6" w:rsidRPr="00243511" w:rsidRDefault="00243511">
            <w:pPr>
              <w:jc w:val="cente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Yes</w:t>
            </w:r>
          </w:p>
        </w:tc>
      </w:tr>
      <w:tr w:rsidR="00506440" w14:paraId="1F542A4F" w14:textId="77777777" w:rsidTr="00AC3AA6">
        <w:trPr>
          <w:trHeight w:val="1327"/>
        </w:trPr>
        <w:tc>
          <w:tcPr>
            <w:tcW w:w="3545" w:type="dxa"/>
            <w:tcBorders>
              <w:top w:val="single" w:sz="4" w:space="0" w:color="auto"/>
              <w:left w:val="single" w:sz="4" w:space="0" w:color="auto"/>
              <w:bottom w:val="single" w:sz="4" w:space="0" w:color="auto"/>
              <w:right w:val="single" w:sz="4" w:space="0" w:color="auto"/>
            </w:tcBorders>
          </w:tcPr>
          <w:p w14:paraId="31062755" w14:textId="4A72A09A" w:rsidR="00AC3AA6" w:rsidRPr="00243511" w:rsidRDefault="00243511" w:rsidP="00243511">
            <w:pP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Impact of</w:t>
            </w:r>
            <w:r>
              <w:rPr>
                <w:rFonts w:ascii="Arial" w:eastAsia="Times New Roman" w:hAnsi="Arial" w:cs="Arial"/>
                <w:color w:val="323E4F"/>
                <w:kern w:val="0"/>
                <w:lang w:eastAsia="en-GB"/>
                <w14:ligatures w14:val="none"/>
              </w:rPr>
              <w:t xml:space="preserve"> clinical supervision on healthcare organisational outcomes: A mixed method systematic review</w:t>
            </w:r>
          </w:p>
        </w:tc>
        <w:tc>
          <w:tcPr>
            <w:tcW w:w="2405" w:type="dxa"/>
            <w:tcBorders>
              <w:top w:val="single" w:sz="4" w:space="0" w:color="auto"/>
              <w:left w:val="single" w:sz="4" w:space="0" w:color="auto"/>
              <w:bottom w:val="single" w:sz="4" w:space="0" w:color="auto"/>
              <w:right w:val="single" w:sz="4" w:space="0" w:color="auto"/>
            </w:tcBorders>
          </w:tcPr>
          <w:p w14:paraId="541FB62E" w14:textId="1FE3FD11" w:rsidR="00AC3AA6" w:rsidRPr="00243511" w:rsidRDefault="00243511" w:rsidP="00243511">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 xml:space="preserve">Priya Martin, </w:t>
            </w:r>
            <w:proofErr w:type="spellStart"/>
            <w:r>
              <w:rPr>
                <w:rFonts w:ascii="Arial" w:eastAsia="Times New Roman" w:hAnsi="Arial" w:cs="Arial"/>
                <w:color w:val="323E4F"/>
                <w:kern w:val="0"/>
                <w:lang w:eastAsia="en-GB"/>
                <w14:ligatures w14:val="none"/>
              </w:rPr>
              <w:t>Lucylynn</w:t>
            </w:r>
            <w:proofErr w:type="spellEnd"/>
            <w:r>
              <w:rPr>
                <w:rFonts w:ascii="Arial" w:eastAsia="Times New Roman" w:hAnsi="Arial" w:cs="Arial"/>
                <w:color w:val="323E4F"/>
                <w:kern w:val="0"/>
                <w:lang w:eastAsia="en-GB"/>
                <w14:ligatures w14:val="none"/>
              </w:rPr>
              <w:t xml:space="preserve"> </w:t>
            </w:r>
            <w:proofErr w:type="spellStart"/>
            <w:r>
              <w:rPr>
                <w:rFonts w:ascii="Arial" w:eastAsia="Times New Roman" w:hAnsi="Arial" w:cs="Arial"/>
                <w:color w:val="323E4F"/>
                <w:kern w:val="0"/>
                <w:lang w:eastAsia="en-GB"/>
                <w14:ligatures w14:val="none"/>
              </w:rPr>
              <w:t>Lizarondo</w:t>
            </w:r>
            <w:proofErr w:type="spellEnd"/>
            <w:r>
              <w:rPr>
                <w:rFonts w:ascii="Arial" w:eastAsia="Times New Roman" w:hAnsi="Arial" w:cs="Arial"/>
                <w:color w:val="323E4F"/>
                <w:kern w:val="0"/>
                <w:lang w:eastAsia="en-GB"/>
                <w14:ligatures w14:val="none"/>
              </w:rPr>
              <w:t xml:space="preserve">, </w:t>
            </w:r>
            <w:proofErr w:type="spellStart"/>
            <w:r>
              <w:rPr>
                <w:rFonts w:ascii="Arial" w:eastAsia="Times New Roman" w:hAnsi="Arial" w:cs="Arial"/>
                <w:color w:val="323E4F"/>
                <w:kern w:val="0"/>
                <w:lang w:eastAsia="en-GB"/>
                <w14:ligatures w14:val="none"/>
              </w:rPr>
              <w:t>Saravanna</w:t>
            </w:r>
            <w:proofErr w:type="spellEnd"/>
            <w:r>
              <w:rPr>
                <w:rFonts w:ascii="Arial" w:eastAsia="Times New Roman" w:hAnsi="Arial" w:cs="Arial"/>
                <w:color w:val="323E4F"/>
                <w:kern w:val="0"/>
                <w:lang w:eastAsia="en-GB"/>
                <w14:ligatures w14:val="none"/>
              </w:rPr>
              <w:t xml:space="preserve"> Kumar and David Snowdon</w:t>
            </w:r>
          </w:p>
        </w:tc>
        <w:tc>
          <w:tcPr>
            <w:tcW w:w="1283" w:type="dxa"/>
            <w:tcBorders>
              <w:top w:val="single" w:sz="4" w:space="0" w:color="auto"/>
              <w:left w:val="single" w:sz="4" w:space="0" w:color="auto"/>
              <w:bottom w:val="single" w:sz="4" w:space="0" w:color="auto"/>
              <w:right w:val="single" w:sz="4" w:space="0" w:color="auto"/>
            </w:tcBorders>
          </w:tcPr>
          <w:p w14:paraId="5F9CD56E" w14:textId="61D95609" w:rsidR="00AC3AA6" w:rsidRPr="00243511" w:rsidRDefault="00243511" w:rsidP="00243511">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2021</w:t>
            </w:r>
          </w:p>
        </w:tc>
        <w:tc>
          <w:tcPr>
            <w:tcW w:w="1829" w:type="dxa"/>
            <w:tcBorders>
              <w:top w:val="single" w:sz="4" w:space="0" w:color="auto"/>
              <w:left w:val="single" w:sz="4" w:space="0" w:color="auto"/>
              <w:bottom w:val="single" w:sz="4" w:space="0" w:color="auto"/>
              <w:right w:val="single" w:sz="4" w:space="0" w:color="auto"/>
            </w:tcBorders>
          </w:tcPr>
          <w:p w14:paraId="1EB4CB2F" w14:textId="3164A05D" w:rsidR="00AC3AA6" w:rsidRPr="00243511" w:rsidRDefault="00243511" w:rsidP="00243511">
            <w:pPr>
              <w:textAlignment w:val="baseline"/>
              <w:rPr>
                <w:rFonts w:ascii="Arial" w:eastAsia="Times New Roman" w:hAnsi="Arial" w:cs="Arial"/>
                <w:color w:val="323E4F"/>
                <w:kern w:val="0"/>
                <w:lang w:eastAsia="en-GB"/>
                <w14:ligatures w14:val="none"/>
              </w:rPr>
            </w:pPr>
            <w:proofErr w:type="spellStart"/>
            <w:r>
              <w:rPr>
                <w:rFonts w:ascii="Arial" w:eastAsia="Times New Roman" w:hAnsi="Arial" w:cs="Arial"/>
                <w:color w:val="323E4F"/>
                <w:kern w:val="0"/>
                <w:lang w:eastAsia="en-GB"/>
                <w14:ligatures w14:val="none"/>
              </w:rPr>
              <w:t>Plos</w:t>
            </w:r>
            <w:proofErr w:type="spellEnd"/>
            <w:r>
              <w:rPr>
                <w:rFonts w:ascii="Arial" w:eastAsia="Times New Roman" w:hAnsi="Arial" w:cs="Arial"/>
                <w:color w:val="323E4F"/>
                <w:kern w:val="0"/>
                <w:lang w:eastAsia="en-GB"/>
                <w14:ligatures w14:val="none"/>
              </w:rPr>
              <w:t xml:space="preserve"> one</w:t>
            </w:r>
          </w:p>
        </w:tc>
        <w:tc>
          <w:tcPr>
            <w:tcW w:w="842" w:type="dxa"/>
            <w:tcBorders>
              <w:top w:val="single" w:sz="4" w:space="0" w:color="auto"/>
              <w:left w:val="single" w:sz="4" w:space="0" w:color="auto"/>
              <w:bottom w:val="single" w:sz="4" w:space="0" w:color="auto"/>
              <w:right w:val="single" w:sz="4" w:space="0" w:color="auto"/>
            </w:tcBorders>
          </w:tcPr>
          <w:p w14:paraId="18E384F8" w14:textId="680EC9E7" w:rsidR="00AC3AA6" w:rsidRPr="00243511" w:rsidRDefault="00243511">
            <w:pPr>
              <w:jc w:val="cente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No</w:t>
            </w:r>
          </w:p>
        </w:tc>
        <w:tc>
          <w:tcPr>
            <w:tcW w:w="2883" w:type="dxa"/>
            <w:tcBorders>
              <w:top w:val="single" w:sz="4" w:space="0" w:color="auto"/>
              <w:left w:val="single" w:sz="4" w:space="0" w:color="auto"/>
              <w:bottom w:val="single" w:sz="4" w:space="0" w:color="auto"/>
              <w:right w:val="single" w:sz="4" w:space="0" w:color="auto"/>
            </w:tcBorders>
          </w:tcPr>
          <w:p w14:paraId="7688D743" w14:textId="77777777" w:rsidR="00AC3AA6" w:rsidRDefault="00243511" w:rsidP="00243511">
            <w:pP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Qualitative</w:t>
            </w:r>
            <w:r>
              <w:rPr>
                <w:rFonts w:ascii="Arial" w:eastAsia="Times New Roman" w:hAnsi="Arial" w:cs="Arial"/>
                <w:color w:val="323E4F"/>
                <w:kern w:val="0"/>
                <w:lang w:eastAsia="en-GB"/>
                <w14:ligatures w14:val="none"/>
              </w:rPr>
              <w:t xml:space="preserve"> studies, quantitative studies and mixed method studies</w:t>
            </w:r>
          </w:p>
          <w:p w14:paraId="6B70EF17" w14:textId="5C5AE4C7" w:rsidR="00243511" w:rsidRPr="00243511" w:rsidRDefault="00243511" w:rsidP="00243511">
            <w:pP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Joanna Briggs Institute (JBI) methodology for mixed methods systematic review</w:t>
            </w:r>
            <w:r>
              <w:rPr>
                <w:rFonts w:ascii="Arial" w:eastAsia="Times New Roman" w:hAnsi="Arial" w:cs="Arial"/>
                <w:color w:val="323E4F"/>
                <w:kern w:val="0"/>
                <w:lang w:eastAsia="en-GB"/>
                <w14:ligatures w14:val="none"/>
              </w:rPr>
              <w:t xml:space="preserve"> and </w:t>
            </w:r>
            <w:r w:rsidRPr="00243511">
              <w:rPr>
                <w:rFonts w:ascii="Arial" w:eastAsia="Times New Roman" w:hAnsi="Arial" w:cs="Arial"/>
                <w:color w:val="323E4F"/>
                <w:kern w:val="0"/>
                <w:lang w:eastAsia="en-GB"/>
                <w14:ligatures w14:val="none"/>
              </w:rPr>
              <w:t xml:space="preserve">Preferred Reporting </w:t>
            </w:r>
            <w:r w:rsidRPr="00243511">
              <w:rPr>
                <w:rFonts w:ascii="Arial" w:eastAsia="Times New Roman" w:hAnsi="Arial" w:cs="Arial"/>
                <w:color w:val="323E4F"/>
                <w:kern w:val="0"/>
                <w:lang w:eastAsia="en-GB"/>
                <w14:ligatures w14:val="none"/>
              </w:rPr>
              <w:lastRenderedPageBreak/>
              <w:t>Items for Systematic Reviews and Meta-Analyses (PRISMA) guideline</w:t>
            </w:r>
            <w:r>
              <w:rPr>
                <w:rFonts w:ascii="Arial" w:eastAsia="Times New Roman" w:hAnsi="Arial" w:cs="Arial"/>
                <w:color w:val="323E4F"/>
                <w:kern w:val="0"/>
                <w:lang w:eastAsia="en-GB"/>
                <w14:ligatures w14:val="none"/>
              </w:rPr>
              <w:t xml:space="preserve"> used.</w:t>
            </w:r>
          </w:p>
        </w:tc>
        <w:tc>
          <w:tcPr>
            <w:tcW w:w="707" w:type="dxa"/>
            <w:tcBorders>
              <w:top w:val="single" w:sz="4" w:space="0" w:color="auto"/>
              <w:left w:val="single" w:sz="4" w:space="0" w:color="auto"/>
              <w:bottom w:val="single" w:sz="4" w:space="0" w:color="auto"/>
              <w:right w:val="single" w:sz="4" w:space="0" w:color="auto"/>
            </w:tcBorders>
          </w:tcPr>
          <w:p w14:paraId="66912CC1" w14:textId="182C7D7E" w:rsidR="00AC3AA6" w:rsidRPr="00243511" w:rsidRDefault="00243511">
            <w:pPr>
              <w:jc w:val="cente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lastRenderedPageBreak/>
              <w:t>Yes</w:t>
            </w:r>
          </w:p>
        </w:tc>
        <w:tc>
          <w:tcPr>
            <w:tcW w:w="708" w:type="dxa"/>
            <w:tcBorders>
              <w:top w:val="single" w:sz="4" w:space="0" w:color="auto"/>
              <w:left w:val="single" w:sz="4" w:space="0" w:color="auto"/>
              <w:bottom w:val="single" w:sz="4" w:space="0" w:color="auto"/>
              <w:right w:val="single" w:sz="4" w:space="0" w:color="auto"/>
            </w:tcBorders>
          </w:tcPr>
          <w:p w14:paraId="6A6EDB6D" w14:textId="5C9F366B" w:rsidR="00AC3AA6" w:rsidRPr="00243511" w:rsidRDefault="00243511">
            <w:pPr>
              <w:jc w:val="cente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Yes</w:t>
            </w:r>
          </w:p>
        </w:tc>
        <w:tc>
          <w:tcPr>
            <w:tcW w:w="975" w:type="dxa"/>
            <w:tcBorders>
              <w:top w:val="single" w:sz="4" w:space="0" w:color="auto"/>
              <w:left w:val="single" w:sz="4" w:space="0" w:color="auto"/>
              <w:bottom w:val="single" w:sz="4" w:space="0" w:color="auto"/>
              <w:right w:val="single" w:sz="4" w:space="0" w:color="auto"/>
            </w:tcBorders>
          </w:tcPr>
          <w:p w14:paraId="39E4D358" w14:textId="54F6138A" w:rsidR="00AC3AA6" w:rsidRPr="00243511" w:rsidRDefault="00243511">
            <w:pPr>
              <w:jc w:val="cente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No evidence of ethical considerations</w:t>
            </w:r>
          </w:p>
        </w:tc>
        <w:tc>
          <w:tcPr>
            <w:tcW w:w="842" w:type="dxa"/>
            <w:tcBorders>
              <w:top w:val="single" w:sz="4" w:space="0" w:color="auto"/>
              <w:left w:val="single" w:sz="4" w:space="0" w:color="auto"/>
              <w:bottom w:val="single" w:sz="4" w:space="0" w:color="auto"/>
              <w:right w:val="single" w:sz="4" w:space="0" w:color="auto"/>
            </w:tcBorders>
          </w:tcPr>
          <w:p w14:paraId="1A8C9C48" w14:textId="39BD26F3" w:rsidR="00AC3AA6" w:rsidRPr="00243511" w:rsidRDefault="00243511">
            <w:pPr>
              <w:jc w:val="center"/>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Yes</w:t>
            </w:r>
          </w:p>
        </w:tc>
      </w:tr>
      <w:tr w:rsidR="00506440" w14:paraId="00238F14" w14:textId="77777777" w:rsidTr="00AC3AA6">
        <w:trPr>
          <w:trHeight w:val="1327"/>
        </w:trPr>
        <w:tc>
          <w:tcPr>
            <w:tcW w:w="3545" w:type="dxa"/>
            <w:tcBorders>
              <w:top w:val="single" w:sz="4" w:space="0" w:color="auto"/>
              <w:left w:val="single" w:sz="4" w:space="0" w:color="auto"/>
              <w:bottom w:val="single" w:sz="4" w:space="0" w:color="auto"/>
              <w:right w:val="single" w:sz="4" w:space="0" w:color="auto"/>
            </w:tcBorders>
          </w:tcPr>
          <w:p w14:paraId="7AE7DC5B" w14:textId="14CC888C" w:rsidR="00AC3AA6" w:rsidRPr="00243511" w:rsidRDefault="00B91733" w:rsidP="00243511">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Collaboration and coordination of health and care services for older people with dementia by multidisciplinary health and care providers: a scoping review protocol</w:t>
            </w:r>
          </w:p>
        </w:tc>
        <w:tc>
          <w:tcPr>
            <w:tcW w:w="2405" w:type="dxa"/>
            <w:tcBorders>
              <w:top w:val="single" w:sz="4" w:space="0" w:color="auto"/>
              <w:left w:val="single" w:sz="4" w:space="0" w:color="auto"/>
              <w:bottom w:val="single" w:sz="4" w:space="0" w:color="auto"/>
              <w:right w:val="single" w:sz="4" w:space="0" w:color="auto"/>
            </w:tcBorders>
          </w:tcPr>
          <w:p w14:paraId="2BFD9016" w14:textId="652747A5" w:rsidR="00AC3AA6" w:rsidRPr="00243511" w:rsidRDefault="00B91733" w:rsidP="00B91733">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 xml:space="preserve">Johannes Osterholm, Ann-Charlotte </w:t>
            </w:r>
            <w:proofErr w:type="spellStart"/>
            <w:r>
              <w:rPr>
                <w:rFonts w:ascii="Arial" w:eastAsia="Times New Roman" w:hAnsi="Arial" w:cs="Arial"/>
                <w:color w:val="323E4F"/>
                <w:kern w:val="0"/>
                <w:lang w:eastAsia="en-GB"/>
                <w14:ligatures w14:val="none"/>
              </w:rPr>
              <w:t>Nedlund</w:t>
            </w:r>
            <w:proofErr w:type="spellEnd"/>
            <w:r>
              <w:rPr>
                <w:rFonts w:ascii="Arial" w:eastAsia="Times New Roman" w:hAnsi="Arial" w:cs="Arial"/>
                <w:color w:val="323E4F"/>
                <w:kern w:val="0"/>
                <w:lang w:eastAsia="en-GB"/>
                <w14:ligatures w14:val="none"/>
              </w:rPr>
              <w:t xml:space="preserve"> and Asa Larsson Ranada</w:t>
            </w:r>
          </w:p>
        </w:tc>
        <w:tc>
          <w:tcPr>
            <w:tcW w:w="1283" w:type="dxa"/>
            <w:tcBorders>
              <w:top w:val="single" w:sz="4" w:space="0" w:color="auto"/>
              <w:left w:val="single" w:sz="4" w:space="0" w:color="auto"/>
              <w:bottom w:val="single" w:sz="4" w:space="0" w:color="auto"/>
              <w:right w:val="single" w:sz="4" w:space="0" w:color="auto"/>
            </w:tcBorders>
          </w:tcPr>
          <w:p w14:paraId="398D6DBD" w14:textId="0F2629CE" w:rsidR="00AC3AA6" w:rsidRPr="00243511" w:rsidRDefault="00B91733">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2022</w:t>
            </w:r>
          </w:p>
        </w:tc>
        <w:tc>
          <w:tcPr>
            <w:tcW w:w="1829" w:type="dxa"/>
            <w:tcBorders>
              <w:top w:val="single" w:sz="4" w:space="0" w:color="auto"/>
              <w:left w:val="single" w:sz="4" w:space="0" w:color="auto"/>
              <w:bottom w:val="single" w:sz="4" w:space="0" w:color="auto"/>
              <w:right w:val="single" w:sz="4" w:space="0" w:color="auto"/>
            </w:tcBorders>
          </w:tcPr>
          <w:p w14:paraId="01B7CC06" w14:textId="114C6F3E" w:rsidR="00AC3AA6" w:rsidRPr="00243511" w:rsidRDefault="00B91733">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BMJ open</w:t>
            </w:r>
          </w:p>
        </w:tc>
        <w:tc>
          <w:tcPr>
            <w:tcW w:w="842" w:type="dxa"/>
            <w:tcBorders>
              <w:top w:val="single" w:sz="4" w:space="0" w:color="auto"/>
              <w:left w:val="single" w:sz="4" w:space="0" w:color="auto"/>
              <w:bottom w:val="single" w:sz="4" w:space="0" w:color="auto"/>
              <w:right w:val="single" w:sz="4" w:space="0" w:color="auto"/>
            </w:tcBorders>
          </w:tcPr>
          <w:p w14:paraId="031AA5ED" w14:textId="61C3A2AE" w:rsidR="00AC3AA6" w:rsidRPr="00243511" w:rsidRDefault="00B91733">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c>
          <w:tcPr>
            <w:tcW w:w="2883" w:type="dxa"/>
            <w:tcBorders>
              <w:top w:val="single" w:sz="4" w:space="0" w:color="auto"/>
              <w:left w:val="single" w:sz="4" w:space="0" w:color="auto"/>
              <w:bottom w:val="single" w:sz="4" w:space="0" w:color="auto"/>
              <w:right w:val="single" w:sz="4" w:space="0" w:color="auto"/>
            </w:tcBorders>
          </w:tcPr>
          <w:p w14:paraId="74CFEFCB" w14:textId="7D2DF78D" w:rsidR="00AC3AA6" w:rsidRDefault="00B91733" w:rsidP="00B91733">
            <w:pPr>
              <w:jc w:val="both"/>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Scoping review</w:t>
            </w:r>
          </w:p>
          <w:p w14:paraId="677EDF32" w14:textId="0D8D078E" w:rsidR="00B91733" w:rsidRDefault="00B91733" w:rsidP="00B91733">
            <w:pPr>
              <w:jc w:val="both"/>
              <w:textAlignment w:val="baseline"/>
              <w:rPr>
                <w:rFonts w:ascii="Arial" w:eastAsia="Times New Roman" w:hAnsi="Arial" w:cs="Arial"/>
                <w:color w:val="323E4F"/>
                <w:kern w:val="0"/>
                <w:lang w:eastAsia="en-GB"/>
                <w14:ligatures w14:val="none"/>
              </w:rPr>
            </w:pPr>
            <w:r w:rsidRPr="00243511">
              <w:rPr>
                <w:rFonts w:ascii="Arial" w:eastAsia="Times New Roman" w:hAnsi="Arial" w:cs="Arial"/>
                <w:color w:val="323E4F"/>
                <w:kern w:val="0"/>
                <w:lang w:eastAsia="en-GB"/>
                <w14:ligatures w14:val="none"/>
              </w:rPr>
              <w:t>Joanna Briggs Instit</w:t>
            </w:r>
            <w:r>
              <w:rPr>
                <w:rFonts w:ascii="Arial" w:eastAsia="Times New Roman" w:hAnsi="Arial" w:cs="Arial"/>
                <w:color w:val="323E4F"/>
                <w:kern w:val="0"/>
                <w:lang w:eastAsia="en-GB"/>
                <w14:ligatures w14:val="none"/>
              </w:rPr>
              <w:t xml:space="preserve">ute (JBI) methodology for mixed </w:t>
            </w:r>
            <w:r w:rsidRPr="00243511">
              <w:rPr>
                <w:rFonts w:ascii="Arial" w:eastAsia="Times New Roman" w:hAnsi="Arial" w:cs="Arial"/>
                <w:color w:val="323E4F"/>
                <w:kern w:val="0"/>
                <w:lang w:eastAsia="en-GB"/>
                <w14:ligatures w14:val="none"/>
              </w:rPr>
              <w:t>methods systematic review</w:t>
            </w:r>
            <w:r>
              <w:rPr>
                <w:rFonts w:ascii="Arial" w:eastAsia="Times New Roman" w:hAnsi="Arial" w:cs="Arial"/>
                <w:color w:val="323E4F"/>
                <w:kern w:val="0"/>
                <w:lang w:eastAsia="en-GB"/>
                <w14:ligatures w14:val="none"/>
              </w:rPr>
              <w:t xml:space="preserve"> and </w:t>
            </w:r>
            <w:r w:rsidRPr="00243511">
              <w:rPr>
                <w:rFonts w:ascii="Arial" w:eastAsia="Times New Roman" w:hAnsi="Arial" w:cs="Arial"/>
                <w:color w:val="323E4F"/>
                <w:kern w:val="0"/>
                <w:lang w:eastAsia="en-GB"/>
                <w14:ligatures w14:val="none"/>
              </w:rPr>
              <w:t>Preferred Reporting Items for Syste</w:t>
            </w:r>
            <w:r>
              <w:rPr>
                <w:rFonts w:ascii="Arial" w:eastAsia="Times New Roman" w:hAnsi="Arial" w:cs="Arial"/>
                <w:color w:val="323E4F"/>
                <w:kern w:val="0"/>
                <w:lang w:eastAsia="en-GB"/>
                <w14:ligatures w14:val="none"/>
              </w:rPr>
              <w:t xml:space="preserve">matic Reviews and Meta-Analyses </w:t>
            </w:r>
            <w:r w:rsidRPr="00243511">
              <w:rPr>
                <w:rFonts w:ascii="Arial" w:eastAsia="Times New Roman" w:hAnsi="Arial" w:cs="Arial"/>
                <w:color w:val="323E4F"/>
                <w:kern w:val="0"/>
                <w:lang w:eastAsia="en-GB"/>
                <w14:ligatures w14:val="none"/>
              </w:rPr>
              <w:t>(PRISMA) guideline</w:t>
            </w:r>
            <w:r>
              <w:rPr>
                <w:rFonts w:ascii="Arial" w:eastAsia="Times New Roman" w:hAnsi="Arial" w:cs="Arial"/>
                <w:color w:val="323E4F"/>
                <w:kern w:val="0"/>
                <w:lang w:eastAsia="en-GB"/>
                <w14:ligatures w14:val="none"/>
              </w:rPr>
              <w:t xml:space="preserve"> used.</w:t>
            </w:r>
          </w:p>
          <w:p w14:paraId="305C1ADD" w14:textId="58BD64C6" w:rsidR="00B91733" w:rsidRPr="00243511" w:rsidRDefault="00B91733" w:rsidP="00B91733">
            <w:pPr>
              <w:textAlignment w:val="baseline"/>
              <w:rPr>
                <w:rFonts w:ascii="Arial" w:eastAsia="Times New Roman" w:hAnsi="Arial" w:cs="Arial"/>
                <w:color w:val="323E4F"/>
                <w:kern w:val="0"/>
                <w:lang w:eastAsia="en-GB"/>
                <w14:ligatures w14:val="none"/>
              </w:rPr>
            </w:pPr>
          </w:p>
        </w:tc>
        <w:tc>
          <w:tcPr>
            <w:tcW w:w="707" w:type="dxa"/>
            <w:tcBorders>
              <w:top w:val="single" w:sz="4" w:space="0" w:color="auto"/>
              <w:left w:val="single" w:sz="4" w:space="0" w:color="auto"/>
              <w:bottom w:val="single" w:sz="4" w:space="0" w:color="auto"/>
              <w:right w:val="single" w:sz="4" w:space="0" w:color="auto"/>
            </w:tcBorders>
          </w:tcPr>
          <w:p w14:paraId="587F6FBD" w14:textId="7D97E686" w:rsidR="00AC3AA6" w:rsidRPr="00243511" w:rsidRDefault="00B91733">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c>
          <w:tcPr>
            <w:tcW w:w="708" w:type="dxa"/>
            <w:tcBorders>
              <w:top w:val="single" w:sz="4" w:space="0" w:color="auto"/>
              <w:left w:val="single" w:sz="4" w:space="0" w:color="auto"/>
              <w:bottom w:val="single" w:sz="4" w:space="0" w:color="auto"/>
              <w:right w:val="single" w:sz="4" w:space="0" w:color="auto"/>
            </w:tcBorders>
          </w:tcPr>
          <w:p w14:paraId="2BEE8798" w14:textId="1206F9C5" w:rsidR="00AC3AA6" w:rsidRPr="00243511" w:rsidRDefault="00B91733">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c>
          <w:tcPr>
            <w:tcW w:w="975" w:type="dxa"/>
            <w:tcBorders>
              <w:top w:val="single" w:sz="4" w:space="0" w:color="auto"/>
              <w:left w:val="single" w:sz="4" w:space="0" w:color="auto"/>
              <w:bottom w:val="single" w:sz="4" w:space="0" w:color="auto"/>
              <w:right w:val="single" w:sz="4" w:space="0" w:color="auto"/>
            </w:tcBorders>
          </w:tcPr>
          <w:p w14:paraId="78D49534" w14:textId="5E90A52A" w:rsidR="00AC3AA6" w:rsidRPr="00243511" w:rsidRDefault="00B91733">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No required</w:t>
            </w:r>
          </w:p>
        </w:tc>
        <w:tc>
          <w:tcPr>
            <w:tcW w:w="842" w:type="dxa"/>
            <w:tcBorders>
              <w:top w:val="single" w:sz="4" w:space="0" w:color="auto"/>
              <w:left w:val="single" w:sz="4" w:space="0" w:color="auto"/>
              <w:bottom w:val="single" w:sz="4" w:space="0" w:color="auto"/>
              <w:right w:val="single" w:sz="4" w:space="0" w:color="auto"/>
            </w:tcBorders>
          </w:tcPr>
          <w:p w14:paraId="0E6CD492" w14:textId="0CFADBF3" w:rsidR="00AC3AA6" w:rsidRPr="00243511" w:rsidRDefault="00B91733">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r>
      <w:tr w:rsidR="00506440" w14:paraId="2F0FFB9B" w14:textId="77777777" w:rsidTr="00AC3AA6">
        <w:trPr>
          <w:trHeight w:val="1327"/>
        </w:trPr>
        <w:tc>
          <w:tcPr>
            <w:tcW w:w="3545" w:type="dxa"/>
            <w:tcBorders>
              <w:top w:val="single" w:sz="4" w:space="0" w:color="auto"/>
              <w:left w:val="single" w:sz="4" w:space="0" w:color="auto"/>
              <w:bottom w:val="single" w:sz="4" w:space="0" w:color="auto"/>
              <w:right w:val="single" w:sz="4" w:space="0" w:color="auto"/>
            </w:tcBorders>
          </w:tcPr>
          <w:p w14:paraId="6F34A1EB" w14:textId="5FA550D9" w:rsidR="00AC3AA6" w:rsidRPr="00506440" w:rsidRDefault="00506440" w:rsidP="00506440">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Becoming a family caregiver to a person with dementia: A literature review on the needs of family caregivers</w:t>
            </w:r>
          </w:p>
        </w:tc>
        <w:tc>
          <w:tcPr>
            <w:tcW w:w="2405" w:type="dxa"/>
            <w:tcBorders>
              <w:top w:val="single" w:sz="4" w:space="0" w:color="auto"/>
              <w:left w:val="single" w:sz="4" w:space="0" w:color="auto"/>
              <w:bottom w:val="single" w:sz="4" w:space="0" w:color="auto"/>
              <w:right w:val="single" w:sz="4" w:space="0" w:color="auto"/>
            </w:tcBorders>
          </w:tcPr>
          <w:p w14:paraId="5134A24B" w14:textId="67AB77F7" w:rsidR="00AC3AA6" w:rsidRPr="00506440" w:rsidRDefault="00506440" w:rsidP="00506440">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 xml:space="preserve">Vibeke Ostergaard </w:t>
            </w:r>
            <w:proofErr w:type="spellStart"/>
            <w:r>
              <w:rPr>
                <w:rFonts w:ascii="Arial" w:eastAsia="Times New Roman" w:hAnsi="Arial" w:cs="Arial"/>
                <w:color w:val="323E4F"/>
                <w:kern w:val="0"/>
                <w:lang w:eastAsia="en-GB"/>
                <w14:ligatures w14:val="none"/>
              </w:rPr>
              <w:t>Steenfedlt</w:t>
            </w:r>
            <w:proofErr w:type="spellEnd"/>
            <w:r>
              <w:rPr>
                <w:rFonts w:ascii="Arial" w:eastAsia="Times New Roman" w:hAnsi="Arial" w:cs="Arial"/>
                <w:color w:val="323E4F"/>
                <w:kern w:val="0"/>
                <w:lang w:eastAsia="en-GB"/>
                <w14:ligatures w14:val="none"/>
              </w:rPr>
              <w:t xml:space="preserve">, Lars Christian Aagerup, Anna Holm Jacobsen and Ulla </w:t>
            </w:r>
            <w:proofErr w:type="spellStart"/>
            <w:r>
              <w:rPr>
                <w:rFonts w:ascii="Arial" w:eastAsia="Times New Roman" w:hAnsi="Arial" w:cs="Arial"/>
                <w:color w:val="323E4F"/>
                <w:kern w:val="0"/>
                <w:lang w:eastAsia="en-GB"/>
                <w14:ligatures w14:val="none"/>
              </w:rPr>
              <w:t>Skjodt</w:t>
            </w:r>
            <w:proofErr w:type="spellEnd"/>
          </w:p>
        </w:tc>
        <w:tc>
          <w:tcPr>
            <w:tcW w:w="1283" w:type="dxa"/>
            <w:tcBorders>
              <w:top w:val="single" w:sz="4" w:space="0" w:color="auto"/>
              <w:left w:val="single" w:sz="4" w:space="0" w:color="auto"/>
              <w:bottom w:val="single" w:sz="4" w:space="0" w:color="auto"/>
              <w:right w:val="single" w:sz="4" w:space="0" w:color="auto"/>
            </w:tcBorders>
          </w:tcPr>
          <w:p w14:paraId="6B42EB17" w14:textId="1C94FB65" w:rsidR="00AC3AA6" w:rsidRPr="00506440" w:rsidRDefault="00506440">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2021</w:t>
            </w:r>
          </w:p>
        </w:tc>
        <w:tc>
          <w:tcPr>
            <w:tcW w:w="1829" w:type="dxa"/>
            <w:tcBorders>
              <w:top w:val="single" w:sz="4" w:space="0" w:color="auto"/>
              <w:left w:val="single" w:sz="4" w:space="0" w:color="auto"/>
              <w:bottom w:val="single" w:sz="4" w:space="0" w:color="auto"/>
              <w:right w:val="single" w:sz="4" w:space="0" w:color="auto"/>
            </w:tcBorders>
          </w:tcPr>
          <w:p w14:paraId="0141B504" w14:textId="3885CF4B" w:rsidR="00AC3AA6" w:rsidRPr="00506440" w:rsidRDefault="00506440">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SAGE open nursing</w:t>
            </w:r>
          </w:p>
        </w:tc>
        <w:tc>
          <w:tcPr>
            <w:tcW w:w="842" w:type="dxa"/>
            <w:tcBorders>
              <w:top w:val="single" w:sz="4" w:space="0" w:color="auto"/>
              <w:left w:val="single" w:sz="4" w:space="0" w:color="auto"/>
              <w:bottom w:val="single" w:sz="4" w:space="0" w:color="auto"/>
              <w:right w:val="single" w:sz="4" w:space="0" w:color="auto"/>
            </w:tcBorders>
          </w:tcPr>
          <w:p w14:paraId="50C9FE0B" w14:textId="44E3F02E" w:rsidR="00AC3AA6" w:rsidRPr="00506440" w:rsidRDefault="00506440">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c>
          <w:tcPr>
            <w:tcW w:w="2883" w:type="dxa"/>
            <w:tcBorders>
              <w:top w:val="single" w:sz="4" w:space="0" w:color="auto"/>
              <w:left w:val="single" w:sz="4" w:space="0" w:color="auto"/>
              <w:bottom w:val="single" w:sz="4" w:space="0" w:color="auto"/>
              <w:right w:val="single" w:sz="4" w:space="0" w:color="auto"/>
            </w:tcBorders>
          </w:tcPr>
          <w:p w14:paraId="217E6A3D" w14:textId="77777777" w:rsidR="00AC3AA6" w:rsidRDefault="00506440" w:rsidP="00506440">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Matrix method</w:t>
            </w:r>
          </w:p>
          <w:p w14:paraId="7023D08C" w14:textId="204897D0" w:rsidR="00506440" w:rsidRPr="00506440" w:rsidRDefault="00506440" w:rsidP="00506440">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Inspired by Thomas and Harden’s thematic synthesis</w:t>
            </w:r>
          </w:p>
        </w:tc>
        <w:tc>
          <w:tcPr>
            <w:tcW w:w="707" w:type="dxa"/>
            <w:tcBorders>
              <w:top w:val="single" w:sz="4" w:space="0" w:color="auto"/>
              <w:left w:val="single" w:sz="4" w:space="0" w:color="auto"/>
              <w:bottom w:val="single" w:sz="4" w:space="0" w:color="auto"/>
              <w:right w:val="single" w:sz="4" w:space="0" w:color="auto"/>
            </w:tcBorders>
          </w:tcPr>
          <w:p w14:paraId="29048D63" w14:textId="7D0503F1" w:rsidR="00AC3AA6" w:rsidRPr="00506440" w:rsidRDefault="00506440" w:rsidP="00506440">
            <w:pP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c>
          <w:tcPr>
            <w:tcW w:w="708" w:type="dxa"/>
            <w:tcBorders>
              <w:top w:val="single" w:sz="4" w:space="0" w:color="auto"/>
              <w:left w:val="single" w:sz="4" w:space="0" w:color="auto"/>
              <w:bottom w:val="single" w:sz="4" w:space="0" w:color="auto"/>
              <w:right w:val="single" w:sz="4" w:space="0" w:color="auto"/>
            </w:tcBorders>
          </w:tcPr>
          <w:p w14:paraId="2EB0D2A0" w14:textId="15D8FC89" w:rsidR="00AC3AA6" w:rsidRPr="00506440" w:rsidRDefault="00506440">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c>
          <w:tcPr>
            <w:tcW w:w="975" w:type="dxa"/>
            <w:tcBorders>
              <w:top w:val="single" w:sz="4" w:space="0" w:color="auto"/>
              <w:left w:val="single" w:sz="4" w:space="0" w:color="auto"/>
              <w:bottom w:val="single" w:sz="4" w:space="0" w:color="auto"/>
              <w:right w:val="single" w:sz="4" w:space="0" w:color="auto"/>
            </w:tcBorders>
          </w:tcPr>
          <w:p w14:paraId="508D1ECA" w14:textId="298911BC" w:rsidR="00AC3AA6" w:rsidRPr="00506440" w:rsidRDefault="00506440">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c>
          <w:tcPr>
            <w:tcW w:w="842" w:type="dxa"/>
            <w:tcBorders>
              <w:top w:val="single" w:sz="4" w:space="0" w:color="auto"/>
              <w:left w:val="single" w:sz="4" w:space="0" w:color="auto"/>
              <w:bottom w:val="single" w:sz="4" w:space="0" w:color="auto"/>
              <w:right w:val="single" w:sz="4" w:space="0" w:color="auto"/>
            </w:tcBorders>
          </w:tcPr>
          <w:p w14:paraId="50E2FCFB" w14:textId="7632102D" w:rsidR="00AC3AA6" w:rsidRPr="00506440" w:rsidRDefault="00506440">
            <w:pPr>
              <w:jc w:val="center"/>
              <w:textAlignment w:val="baseline"/>
              <w:rPr>
                <w:rFonts w:ascii="Arial" w:eastAsia="Times New Roman" w:hAnsi="Arial" w:cs="Arial"/>
                <w:color w:val="323E4F"/>
                <w:kern w:val="0"/>
                <w:lang w:eastAsia="en-GB"/>
                <w14:ligatures w14:val="none"/>
              </w:rPr>
            </w:pPr>
            <w:r>
              <w:rPr>
                <w:rFonts w:ascii="Arial" w:eastAsia="Times New Roman" w:hAnsi="Arial" w:cs="Arial"/>
                <w:color w:val="323E4F"/>
                <w:kern w:val="0"/>
                <w:lang w:eastAsia="en-GB"/>
                <w14:ligatures w14:val="none"/>
              </w:rPr>
              <w:t>Yes</w:t>
            </w:r>
          </w:p>
        </w:tc>
      </w:tr>
    </w:tbl>
    <w:p w14:paraId="13343BA8" w14:textId="77777777" w:rsidR="00AC3AA6" w:rsidRDefault="00AC3AA6" w:rsidP="00AC3AA6">
      <w:pPr>
        <w:spacing w:after="0" w:line="240" w:lineRule="auto"/>
        <w:jc w:val="center"/>
        <w:textAlignment w:val="baseline"/>
        <w:rPr>
          <w:rFonts w:ascii="Arial" w:eastAsia="Times New Roman" w:hAnsi="Arial" w:cs="Arial"/>
          <w:color w:val="323E4F"/>
          <w:kern w:val="0"/>
          <w:sz w:val="32"/>
          <w:szCs w:val="32"/>
          <w:lang w:eastAsia="en-GB"/>
          <w14:ligatures w14:val="none"/>
        </w:rPr>
      </w:pPr>
    </w:p>
    <w:p w14:paraId="2F3F9FF8" w14:textId="77777777" w:rsidR="00AC3AA6" w:rsidRPr="00B378D4" w:rsidRDefault="00AC3AA6" w:rsidP="000E0265"/>
    <w:p w14:paraId="2FE992CC" w14:textId="77777777" w:rsidR="00D22804" w:rsidRDefault="00D22804" w:rsidP="000E0265"/>
    <w:p w14:paraId="501B0DC0" w14:textId="77777777" w:rsidR="008021FC" w:rsidRDefault="008021FC" w:rsidP="000E0265"/>
    <w:p w14:paraId="0A01B798" w14:textId="77777777" w:rsidR="00623C42" w:rsidRDefault="00623C42" w:rsidP="000E0265"/>
    <w:p w14:paraId="4F66D632" w14:textId="77777777" w:rsidR="00623C42" w:rsidRDefault="00623C42" w:rsidP="000E0265"/>
    <w:p w14:paraId="166E0A15" w14:textId="77777777" w:rsidR="00B73AF9" w:rsidRDefault="00B73AF9" w:rsidP="000E0265"/>
    <w:p w14:paraId="18EA96D4" w14:textId="7AA90CD1" w:rsidR="00B73AF9" w:rsidRDefault="00B73AF9" w:rsidP="000E0265">
      <w:r>
        <w:t xml:space="preserve"> </w:t>
      </w:r>
    </w:p>
    <w:p w14:paraId="527949A2" w14:textId="77777777" w:rsidR="00144368" w:rsidRDefault="00144368" w:rsidP="000E0265"/>
    <w:p w14:paraId="3E5DBF25" w14:textId="77777777" w:rsidR="00144368" w:rsidRDefault="00144368" w:rsidP="000E0265"/>
    <w:p w14:paraId="595F8F77" w14:textId="77777777" w:rsidR="00144368" w:rsidRDefault="00144368" w:rsidP="000E0265"/>
    <w:p w14:paraId="708F32C1" w14:textId="77777777" w:rsidR="00144368" w:rsidRDefault="00144368" w:rsidP="000E0265"/>
    <w:p w14:paraId="1818BA29" w14:textId="77777777" w:rsidR="00144368" w:rsidRDefault="00144368" w:rsidP="000E0265"/>
    <w:p w14:paraId="2F947220" w14:textId="77777777" w:rsidR="00144368" w:rsidRDefault="00144368" w:rsidP="000E0265"/>
    <w:p w14:paraId="0E6FD46B" w14:textId="77777777" w:rsidR="00144368" w:rsidRDefault="00144368" w:rsidP="000E0265"/>
    <w:p w14:paraId="24C8D75D" w14:textId="77777777" w:rsidR="00144368" w:rsidRPr="000E0265" w:rsidRDefault="00144368" w:rsidP="000E0265"/>
    <w:sectPr w:rsidR="00144368" w:rsidRPr="000E0265" w:rsidSect="00AC3AA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541DC" w14:textId="77777777" w:rsidR="00536D47" w:rsidRDefault="00536D47" w:rsidP="00144368">
      <w:pPr>
        <w:spacing w:after="0" w:line="240" w:lineRule="auto"/>
      </w:pPr>
      <w:r>
        <w:separator/>
      </w:r>
    </w:p>
  </w:endnote>
  <w:endnote w:type="continuationSeparator" w:id="0">
    <w:p w14:paraId="264FEFCA" w14:textId="77777777" w:rsidR="00536D47" w:rsidRDefault="00536D47" w:rsidP="00144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0125822"/>
      <w:docPartObj>
        <w:docPartGallery w:val="Page Numbers (Bottom of Page)"/>
        <w:docPartUnique/>
      </w:docPartObj>
    </w:sdtPr>
    <w:sdtEndPr>
      <w:rPr>
        <w:noProof/>
      </w:rPr>
    </w:sdtEndPr>
    <w:sdtContent>
      <w:p w14:paraId="5B91805E" w14:textId="404D06B5" w:rsidR="002D2336" w:rsidRDefault="002D2336">
        <w:pPr>
          <w:pStyle w:val="Footer"/>
          <w:jc w:val="right"/>
        </w:pPr>
        <w:r>
          <w:fldChar w:fldCharType="begin"/>
        </w:r>
        <w:r>
          <w:instrText xml:space="preserve"> PAGE   \* MERGEFORMAT </w:instrText>
        </w:r>
        <w:r>
          <w:fldChar w:fldCharType="separate"/>
        </w:r>
        <w:r w:rsidR="00F054C7">
          <w:rPr>
            <w:noProof/>
          </w:rPr>
          <w:t>2</w:t>
        </w:r>
        <w:r>
          <w:rPr>
            <w:noProof/>
          </w:rPr>
          <w:fldChar w:fldCharType="end"/>
        </w:r>
      </w:p>
    </w:sdtContent>
  </w:sdt>
  <w:p w14:paraId="58812161" w14:textId="77777777" w:rsidR="00144368" w:rsidRDefault="00144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6CD0A" w14:textId="77777777" w:rsidR="00536D47" w:rsidRDefault="00536D47" w:rsidP="00144368">
      <w:pPr>
        <w:spacing w:after="0" w:line="240" w:lineRule="auto"/>
      </w:pPr>
      <w:r>
        <w:separator/>
      </w:r>
    </w:p>
  </w:footnote>
  <w:footnote w:type="continuationSeparator" w:id="0">
    <w:p w14:paraId="789AC593" w14:textId="77777777" w:rsidR="00536D47" w:rsidRDefault="00536D47" w:rsidP="001443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265"/>
    <w:rsid w:val="000013C2"/>
    <w:rsid w:val="0000395F"/>
    <w:rsid w:val="000266EB"/>
    <w:rsid w:val="000372CD"/>
    <w:rsid w:val="00051A43"/>
    <w:rsid w:val="00060B66"/>
    <w:rsid w:val="00066935"/>
    <w:rsid w:val="00072EDE"/>
    <w:rsid w:val="00072FDF"/>
    <w:rsid w:val="00073E07"/>
    <w:rsid w:val="0008029C"/>
    <w:rsid w:val="000825F3"/>
    <w:rsid w:val="00096BCE"/>
    <w:rsid w:val="000A2CB0"/>
    <w:rsid w:val="000B2978"/>
    <w:rsid w:val="000C5D73"/>
    <w:rsid w:val="000E0265"/>
    <w:rsid w:val="000E298B"/>
    <w:rsid w:val="000F533F"/>
    <w:rsid w:val="001134F7"/>
    <w:rsid w:val="0013065A"/>
    <w:rsid w:val="00134CB6"/>
    <w:rsid w:val="0014039F"/>
    <w:rsid w:val="0014186A"/>
    <w:rsid w:val="00142384"/>
    <w:rsid w:val="00144368"/>
    <w:rsid w:val="0016501C"/>
    <w:rsid w:val="00165363"/>
    <w:rsid w:val="0017132A"/>
    <w:rsid w:val="00173113"/>
    <w:rsid w:val="00180EFA"/>
    <w:rsid w:val="0018779F"/>
    <w:rsid w:val="0019460E"/>
    <w:rsid w:val="001A0D04"/>
    <w:rsid w:val="001A2AE1"/>
    <w:rsid w:val="001A42D3"/>
    <w:rsid w:val="001A4610"/>
    <w:rsid w:val="001B06A8"/>
    <w:rsid w:val="001B1795"/>
    <w:rsid w:val="001B1BCB"/>
    <w:rsid w:val="001D13F4"/>
    <w:rsid w:val="001D1A32"/>
    <w:rsid w:val="001D3607"/>
    <w:rsid w:val="001D7C4B"/>
    <w:rsid w:val="001E7E28"/>
    <w:rsid w:val="00200F70"/>
    <w:rsid w:val="00222B77"/>
    <w:rsid w:val="00243511"/>
    <w:rsid w:val="00245FA9"/>
    <w:rsid w:val="00247385"/>
    <w:rsid w:val="0026199D"/>
    <w:rsid w:val="0026744A"/>
    <w:rsid w:val="00271632"/>
    <w:rsid w:val="00283BFC"/>
    <w:rsid w:val="00283F73"/>
    <w:rsid w:val="002A150F"/>
    <w:rsid w:val="002A25C3"/>
    <w:rsid w:val="002B04AF"/>
    <w:rsid w:val="002B31ED"/>
    <w:rsid w:val="002B3369"/>
    <w:rsid w:val="002B5524"/>
    <w:rsid w:val="002C1819"/>
    <w:rsid w:val="002C51EB"/>
    <w:rsid w:val="002D2336"/>
    <w:rsid w:val="002D4F7B"/>
    <w:rsid w:val="002E7F1A"/>
    <w:rsid w:val="002F0301"/>
    <w:rsid w:val="002F0631"/>
    <w:rsid w:val="002F0921"/>
    <w:rsid w:val="002F4876"/>
    <w:rsid w:val="002F4FF0"/>
    <w:rsid w:val="002F7593"/>
    <w:rsid w:val="00342876"/>
    <w:rsid w:val="00361154"/>
    <w:rsid w:val="003641C0"/>
    <w:rsid w:val="0036724B"/>
    <w:rsid w:val="00371C38"/>
    <w:rsid w:val="00372CF5"/>
    <w:rsid w:val="00375403"/>
    <w:rsid w:val="00375636"/>
    <w:rsid w:val="00375F80"/>
    <w:rsid w:val="003A5A85"/>
    <w:rsid w:val="003C3E7A"/>
    <w:rsid w:val="003C65CA"/>
    <w:rsid w:val="003D0D30"/>
    <w:rsid w:val="003E12DA"/>
    <w:rsid w:val="003F67A9"/>
    <w:rsid w:val="00416007"/>
    <w:rsid w:val="00420527"/>
    <w:rsid w:val="00424C34"/>
    <w:rsid w:val="004369EA"/>
    <w:rsid w:val="004451FD"/>
    <w:rsid w:val="004456D3"/>
    <w:rsid w:val="00450900"/>
    <w:rsid w:val="004635E9"/>
    <w:rsid w:val="00465E61"/>
    <w:rsid w:val="00470FA3"/>
    <w:rsid w:val="00475239"/>
    <w:rsid w:val="00487412"/>
    <w:rsid w:val="004B7EDF"/>
    <w:rsid w:val="004C1671"/>
    <w:rsid w:val="004C6060"/>
    <w:rsid w:val="004C7624"/>
    <w:rsid w:val="004D04A2"/>
    <w:rsid w:val="004D04A3"/>
    <w:rsid w:val="004E4ACC"/>
    <w:rsid w:val="004E502C"/>
    <w:rsid w:val="004E5941"/>
    <w:rsid w:val="004F4906"/>
    <w:rsid w:val="00504E61"/>
    <w:rsid w:val="00505F5E"/>
    <w:rsid w:val="00506440"/>
    <w:rsid w:val="00507A44"/>
    <w:rsid w:val="00513942"/>
    <w:rsid w:val="00513CD3"/>
    <w:rsid w:val="0051490D"/>
    <w:rsid w:val="00524D01"/>
    <w:rsid w:val="00525896"/>
    <w:rsid w:val="00531BBE"/>
    <w:rsid w:val="00536D47"/>
    <w:rsid w:val="00542FC9"/>
    <w:rsid w:val="00554357"/>
    <w:rsid w:val="0056742A"/>
    <w:rsid w:val="005708FE"/>
    <w:rsid w:val="00586190"/>
    <w:rsid w:val="00586A39"/>
    <w:rsid w:val="005B1408"/>
    <w:rsid w:val="005B3184"/>
    <w:rsid w:val="005C6FF1"/>
    <w:rsid w:val="005D1FB5"/>
    <w:rsid w:val="005D2568"/>
    <w:rsid w:val="005D49E8"/>
    <w:rsid w:val="005D5DF0"/>
    <w:rsid w:val="005E7953"/>
    <w:rsid w:val="005F08C7"/>
    <w:rsid w:val="005F6F16"/>
    <w:rsid w:val="0060499D"/>
    <w:rsid w:val="006153FD"/>
    <w:rsid w:val="0061615B"/>
    <w:rsid w:val="00623C42"/>
    <w:rsid w:val="00636EB0"/>
    <w:rsid w:val="00646C26"/>
    <w:rsid w:val="006644AD"/>
    <w:rsid w:val="00665410"/>
    <w:rsid w:val="00674411"/>
    <w:rsid w:val="0067505B"/>
    <w:rsid w:val="00684079"/>
    <w:rsid w:val="00693FC5"/>
    <w:rsid w:val="006A74AC"/>
    <w:rsid w:val="006B5BEF"/>
    <w:rsid w:val="006C3976"/>
    <w:rsid w:val="006D52E0"/>
    <w:rsid w:val="006E18FB"/>
    <w:rsid w:val="00710474"/>
    <w:rsid w:val="00735359"/>
    <w:rsid w:val="00747C8C"/>
    <w:rsid w:val="00747CE0"/>
    <w:rsid w:val="007612F1"/>
    <w:rsid w:val="00761F65"/>
    <w:rsid w:val="00773BC8"/>
    <w:rsid w:val="00784169"/>
    <w:rsid w:val="007922A4"/>
    <w:rsid w:val="0079238D"/>
    <w:rsid w:val="007A5277"/>
    <w:rsid w:val="007A52EB"/>
    <w:rsid w:val="007B1E9F"/>
    <w:rsid w:val="007D2061"/>
    <w:rsid w:val="007E2473"/>
    <w:rsid w:val="007E3275"/>
    <w:rsid w:val="007F1E56"/>
    <w:rsid w:val="008021FC"/>
    <w:rsid w:val="008032A5"/>
    <w:rsid w:val="00810D3D"/>
    <w:rsid w:val="00811F57"/>
    <w:rsid w:val="00812AB5"/>
    <w:rsid w:val="008140D6"/>
    <w:rsid w:val="00822A81"/>
    <w:rsid w:val="00831FF7"/>
    <w:rsid w:val="00861438"/>
    <w:rsid w:val="00861D63"/>
    <w:rsid w:val="008632B9"/>
    <w:rsid w:val="0086427B"/>
    <w:rsid w:val="008667B3"/>
    <w:rsid w:val="00894924"/>
    <w:rsid w:val="008C6583"/>
    <w:rsid w:val="008D0E93"/>
    <w:rsid w:val="008D1EB4"/>
    <w:rsid w:val="008E0DAD"/>
    <w:rsid w:val="008F3112"/>
    <w:rsid w:val="008F45D1"/>
    <w:rsid w:val="00904502"/>
    <w:rsid w:val="00921DB7"/>
    <w:rsid w:val="00923D8B"/>
    <w:rsid w:val="00927109"/>
    <w:rsid w:val="0094260B"/>
    <w:rsid w:val="0094597D"/>
    <w:rsid w:val="00951698"/>
    <w:rsid w:val="0095709F"/>
    <w:rsid w:val="00957DB2"/>
    <w:rsid w:val="00961B6E"/>
    <w:rsid w:val="00966403"/>
    <w:rsid w:val="009666B7"/>
    <w:rsid w:val="00974371"/>
    <w:rsid w:val="009774EC"/>
    <w:rsid w:val="009A5FB4"/>
    <w:rsid w:val="009B3456"/>
    <w:rsid w:val="009C441A"/>
    <w:rsid w:val="009C5A33"/>
    <w:rsid w:val="009D07D8"/>
    <w:rsid w:val="009D1E77"/>
    <w:rsid w:val="009D47CC"/>
    <w:rsid w:val="009D4A72"/>
    <w:rsid w:val="009D4EDD"/>
    <w:rsid w:val="009E473A"/>
    <w:rsid w:val="00A1563E"/>
    <w:rsid w:val="00A21945"/>
    <w:rsid w:val="00A25127"/>
    <w:rsid w:val="00A367EF"/>
    <w:rsid w:val="00A47842"/>
    <w:rsid w:val="00A54CB4"/>
    <w:rsid w:val="00A573A8"/>
    <w:rsid w:val="00A6454F"/>
    <w:rsid w:val="00A65901"/>
    <w:rsid w:val="00A80F91"/>
    <w:rsid w:val="00A81457"/>
    <w:rsid w:val="00A82FE4"/>
    <w:rsid w:val="00AB4533"/>
    <w:rsid w:val="00AC3AA6"/>
    <w:rsid w:val="00AC51C9"/>
    <w:rsid w:val="00AD1509"/>
    <w:rsid w:val="00AD2C3F"/>
    <w:rsid w:val="00AE2AAC"/>
    <w:rsid w:val="00B00E76"/>
    <w:rsid w:val="00B015EE"/>
    <w:rsid w:val="00B0764F"/>
    <w:rsid w:val="00B213F3"/>
    <w:rsid w:val="00B24C28"/>
    <w:rsid w:val="00B31517"/>
    <w:rsid w:val="00B37333"/>
    <w:rsid w:val="00B378D4"/>
    <w:rsid w:val="00B45A5E"/>
    <w:rsid w:val="00B50FE0"/>
    <w:rsid w:val="00B70B90"/>
    <w:rsid w:val="00B71E81"/>
    <w:rsid w:val="00B73AF9"/>
    <w:rsid w:val="00B7420C"/>
    <w:rsid w:val="00B909DE"/>
    <w:rsid w:val="00B90D02"/>
    <w:rsid w:val="00B91733"/>
    <w:rsid w:val="00B94C59"/>
    <w:rsid w:val="00B96A5D"/>
    <w:rsid w:val="00B97878"/>
    <w:rsid w:val="00B97B41"/>
    <w:rsid w:val="00BA186C"/>
    <w:rsid w:val="00BB7470"/>
    <w:rsid w:val="00BC4132"/>
    <w:rsid w:val="00BE3014"/>
    <w:rsid w:val="00BF58BB"/>
    <w:rsid w:val="00C0159E"/>
    <w:rsid w:val="00C0600B"/>
    <w:rsid w:val="00C0656B"/>
    <w:rsid w:val="00C2440F"/>
    <w:rsid w:val="00C2538D"/>
    <w:rsid w:val="00C26407"/>
    <w:rsid w:val="00C278AE"/>
    <w:rsid w:val="00C30E4C"/>
    <w:rsid w:val="00C43924"/>
    <w:rsid w:val="00C43ACA"/>
    <w:rsid w:val="00C82CD7"/>
    <w:rsid w:val="00CA40E3"/>
    <w:rsid w:val="00CA5577"/>
    <w:rsid w:val="00CC65DE"/>
    <w:rsid w:val="00CD62DE"/>
    <w:rsid w:val="00CE6637"/>
    <w:rsid w:val="00CF132A"/>
    <w:rsid w:val="00CF666D"/>
    <w:rsid w:val="00CF7E6D"/>
    <w:rsid w:val="00D002A0"/>
    <w:rsid w:val="00D123AE"/>
    <w:rsid w:val="00D22804"/>
    <w:rsid w:val="00D25634"/>
    <w:rsid w:val="00D307C8"/>
    <w:rsid w:val="00D53F32"/>
    <w:rsid w:val="00D57F1B"/>
    <w:rsid w:val="00D64909"/>
    <w:rsid w:val="00D65299"/>
    <w:rsid w:val="00D65B8E"/>
    <w:rsid w:val="00D70416"/>
    <w:rsid w:val="00D86372"/>
    <w:rsid w:val="00D920A4"/>
    <w:rsid w:val="00D92B62"/>
    <w:rsid w:val="00D95F36"/>
    <w:rsid w:val="00DA12B5"/>
    <w:rsid w:val="00DB665C"/>
    <w:rsid w:val="00DC1726"/>
    <w:rsid w:val="00DE3CCD"/>
    <w:rsid w:val="00DE5BC1"/>
    <w:rsid w:val="00DF4575"/>
    <w:rsid w:val="00E0534A"/>
    <w:rsid w:val="00E15E0F"/>
    <w:rsid w:val="00E163C5"/>
    <w:rsid w:val="00E27C5B"/>
    <w:rsid w:val="00E31B40"/>
    <w:rsid w:val="00E328D1"/>
    <w:rsid w:val="00E34C10"/>
    <w:rsid w:val="00E57922"/>
    <w:rsid w:val="00E665B2"/>
    <w:rsid w:val="00E72A77"/>
    <w:rsid w:val="00E84408"/>
    <w:rsid w:val="00E84650"/>
    <w:rsid w:val="00EB3B67"/>
    <w:rsid w:val="00EB7197"/>
    <w:rsid w:val="00EE38D3"/>
    <w:rsid w:val="00EE5A47"/>
    <w:rsid w:val="00EE749D"/>
    <w:rsid w:val="00EF57EE"/>
    <w:rsid w:val="00F054C7"/>
    <w:rsid w:val="00F11E7C"/>
    <w:rsid w:val="00F21333"/>
    <w:rsid w:val="00F21894"/>
    <w:rsid w:val="00F22114"/>
    <w:rsid w:val="00F2242B"/>
    <w:rsid w:val="00F279A7"/>
    <w:rsid w:val="00F43B5C"/>
    <w:rsid w:val="00F55F33"/>
    <w:rsid w:val="00F56FDE"/>
    <w:rsid w:val="00F73048"/>
    <w:rsid w:val="00F73514"/>
    <w:rsid w:val="00F7377E"/>
    <w:rsid w:val="00F813B0"/>
    <w:rsid w:val="00F861BC"/>
    <w:rsid w:val="00F919B3"/>
    <w:rsid w:val="00F9242B"/>
    <w:rsid w:val="00F94E66"/>
    <w:rsid w:val="00F95F05"/>
    <w:rsid w:val="00FA1975"/>
    <w:rsid w:val="00FC13E1"/>
    <w:rsid w:val="00FC4567"/>
    <w:rsid w:val="00FC62FD"/>
    <w:rsid w:val="00FC7691"/>
    <w:rsid w:val="00FE2BC7"/>
    <w:rsid w:val="00FF1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AC07FA"/>
  <w15:chartTrackingRefBased/>
  <w15:docId w15:val="{11ECAA99-AD76-4B69-8C76-6F2790317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02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02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02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02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02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02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02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02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02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2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02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02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02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02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02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02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02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0265"/>
    <w:rPr>
      <w:rFonts w:eastAsiaTheme="majorEastAsia" w:cstheme="majorBidi"/>
      <w:color w:val="272727" w:themeColor="text1" w:themeTint="D8"/>
    </w:rPr>
  </w:style>
  <w:style w:type="paragraph" w:styleId="Title">
    <w:name w:val="Title"/>
    <w:basedOn w:val="Normal"/>
    <w:next w:val="Normal"/>
    <w:link w:val="TitleChar"/>
    <w:uiPriority w:val="10"/>
    <w:qFormat/>
    <w:rsid w:val="000E02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02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02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02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0265"/>
    <w:pPr>
      <w:spacing w:before="160"/>
      <w:jc w:val="center"/>
    </w:pPr>
    <w:rPr>
      <w:i/>
      <w:iCs/>
      <w:color w:val="404040" w:themeColor="text1" w:themeTint="BF"/>
    </w:rPr>
  </w:style>
  <w:style w:type="character" w:customStyle="1" w:styleId="QuoteChar">
    <w:name w:val="Quote Char"/>
    <w:basedOn w:val="DefaultParagraphFont"/>
    <w:link w:val="Quote"/>
    <w:uiPriority w:val="29"/>
    <w:rsid w:val="000E0265"/>
    <w:rPr>
      <w:i/>
      <w:iCs/>
      <w:color w:val="404040" w:themeColor="text1" w:themeTint="BF"/>
    </w:rPr>
  </w:style>
  <w:style w:type="paragraph" w:styleId="ListParagraph">
    <w:name w:val="List Paragraph"/>
    <w:basedOn w:val="Normal"/>
    <w:uiPriority w:val="34"/>
    <w:qFormat/>
    <w:rsid w:val="000E0265"/>
    <w:pPr>
      <w:ind w:left="720"/>
      <w:contextualSpacing/>
    </w:pPr>
  </w:style>
  <w:style w:type="character" w:styleId="IntenseEmphasis">
    <w:name w:val="Intense Emphasis"/>
    <w:basedOn w:val="DefaultParagraphFont"/>
    <w:uiPriority w:val="21"/>
    <w:qFormat/>
    <w:rsid w:val="000E0265"/>
    <w:rPr>
      <w:i/>
      <w:iCs/>
      <w:color w:val="0F4761" w:themeColor="accent1" w:themeShade="BF"/>
    </w:rPr>
  </w:style>
  <w:style w:type="paragraph" w:styleId="IntenseQuote">
    <w:name w:val="Intense Quote"/>
    <w:basedOn w:val="Normal"/>
    <w:next w:val="Normal"/>
    <w:link w:val="IntenseQuoteChar"/>
    <w:uiPriority w:val="30"/>
    <w:qFormat/>
    <w:rsid w:val="000E02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0265"/>
    <w:rPr>
      <w:i/>
      <w:iCs/>
      <w:color w:val="0F4761" w:themeColor="accent1" w:themeShade="BF"/>
    </w:rPr>
  </w:style>
  <w:style w:type="character" w:styleId="IntenseReference">
    <w:name w:val="Intense Reference"/>
    <w:basedOn w:val="DefaultParagraphFont"/>
    <w:uiPriority w:val="32"/>
    <w:qFormat/>
    <w:rsid w:val="000E0265"/>
    <w:rPr>
      <w:b/>
      <w:bCs/>
      <w:smallCaps/>
      <w:color w:val="0F4761" w:themeColor="accent1" w:themeShade="BF"/>
      <w:spacing w:val="5"/>
    </w:rPr>
  </w:style>
  <w:style w:type="character" w:styleId="Hyperlink">
    <w:name w:val="Hyperlink"/>
    <w:basedOn w:val="DefaultParagraphFont"/>
    <w:uiPriority w:val="99"/>
    <w:unhideWhenUsed/>
    <w:rsid w:val="00F21894"/>
    <w:rPr>
      <w:color w:val="0000FF"/>
      <w:u w:val="single"/>
    </w:rPr>
  </w:style>
  <w:style w:type="character" w:customStyle="1" w:styleId="UnresolvedMention1">
    <w:name w:val="Unresolved Mention1"/>
    <w:basedOn w:val="DefaultParagraphFont"/>
    <w:uiPriority w:val="99"/>
    <w:semiHidden/>
    <w:unhideWhenUsed/>
    <w:rsid w:val="00F21894"/>
    <w:rPr>
      <w:color w:val="605E5C"/>
      <w:shd w:val="clear" w:color="auto" w:fill="E1DFDD"/>
    </w:rPr>
  </w:style>
  <w:style w:type="character" w:styleId="FollowedHyperlink">
    <w:name w:val="FollowedHyperlink"/>
    <w:basedOn w:val="DefaultParagraphFont"/>
    <w:uiPriority w:val="99"/>
    <w:semiHidden/>
    <w:unhideWhenUsed/>
    <w:rsid w:val="00222B77"/>
    <w:rPr>
      <w:color w:val="96607D" w:themeColor="followedHyperlink"/>
      <w:u w:val="single"/>
    </w:rPr>
  </w:style>
  <w:style w:type="paragraph" w:styleId="Header">
    <w:name w:val="header"/>
    <w:basedOn w:val="Normal"/>
    <w:link w:val="HeaderChar"/>
    <w:uiPriority w:val="99"/>
    <w:unhideWhenUsed/>
    <w:rsid w:val="00D95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F36"/>
  </w:style>
  <w:style w:type="paragraph" w:styleId="Footer">
    <w:name w:val="footer"/>
    <w:basedOn w:val="Normal"/>
    <w:link w:val="FooterChar"/>
    <w:uiPriority w:val="99"/>
    <w:unhideWhenUsed/>
    <w:rsid w:val="00D95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F36"/>
  </w:style>
  <w:style w:type="table" w:styleId="TableGrid">
    <w:name w:val="Table Grid"/>
    <w:basedOn w:val="TableNormal"/>
    <w:uiPriority w:val="39"/>
    <w:rsid w:val="002D4F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435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351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667646">
      <w:bodyDiv w:val="1"/>
      <w:marLeft w:val="0"/>
      <w:marRight w:val="0"/>
      <w:marTop w:val="0"/>
      <w:marBottom w:val="0"/>
      <w:divBdr>
        <w:top w:val="none" w:sz="0" w:space="0" w:color="auto"/>
        <w:left w:val="none" w:sz="0" w:space="0" w:color="auto"/>
        <w:bottom w:val="none" w:sz="0" w:space="0" w:color="auto"/>
        <w:right w:val="none" w:sz="0" w:space="0" w:color="auto"/>
      </w:divBdr>
    </w:div>
    <w:div w:id="415984597">
      <w:bodyDiv w:val="1"/>
      <w:marLeft w:val="0"/>
      <w:marRight w:val="0"/>
      <w:marTop w:val="0"/>
      <w:marBottom w:val="0"/>
      <w:divBdr>
        <w:top w:val="none" w:sz="0" w:space="0" w:color="auto"/>
        <w:left w:val="none" w:sz="0" w:space="0" w:color="auto"/>
        <w:bottom w:val="none" w:sz="0" w:space="0" w:color="auto"/>
        <w:right w:val="none" w:sz="0" w:space="0" w:color="auto"/>
      </w:divBdr>
    </w:div>
    <w:div w:id="1816407668">
      <w:bodyDiv w:val="1"/>
      <w:marLeft w:val="0"/>
      <w:marRight w:val="0"/>
      <w:marTop w:val="0"/>
      <w:marBottom w:val="0"/>
      <w:divBdr>
        <w:top w:val="none" w:sz="0" w:space="0" w:color="auto"/>
        <w:left w:val="none" w:sz="0" w:space="0" w:color="auto"/>
        <w:bottom w:val="none" w:sz="0" w:space="0" w:color="auto"/>
        <w:right w:val="none" w:sz="0" w:space="0" w:color="auto"/>
      </w:divBdr>
    </w:div>
    <w:div w:id="1965036304">
      <w:bodyDiv w:val="1"/>
      <w:marLeft w:val="0"/>
      <w:marRight w:val="0"/>
      <w:marTop w:val="0"/>
      <w:marBottom w:val="0"/>
      <w:divBdr>
        <w:top w:val="none" w:sz="0" w:space="0" w:color="auto"/>
        <w:left w:val="none" w:sz="0" w:space="0" w:color="auto"/>
        <w:bottom w:val="none" w:sz="0" w:space="0" w:color="auto"/>
        <w:right w:val="none" w:sz="0" w:space="0" w:color="auto"/>
      </w:divBdr>
    </w:div>
    <w:div w:id="2096437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pngall.com/checklist-p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pngall.com/checklist-png/" TargetMode="External"/><Relationship Id="rId17" Type="http://schemas.openxmlformats.org/officeDocument/2006/relationships/hyperlink" Target="https://creativecommons.org/licenses/by-nc/3.0/" TargetMode="External"/><Relationship Id="rId2" Type="http://schemas.openxmlformats.org/officeDocument/2006/relationships/settings" Target="settings.xml"/><Relationship Id="rId16" Type="http://schemas.openxmlformats.org/officeDocument/2006/relationships/hyperlink" Target="https://www.pngall.com/checklist-png/"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6.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creativecommons.org/licenses/by-nc/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319</TotalTime>
  <Pages>18</Pages>
  <Words>4842</Words>
  <Characters>27602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Hart</dc:creator>
  <cp:keywords/>
  <dc:description/>
  <cp:lastModifiedBy>Gemma Hart</cp:lastModifiedBy>
  <cp:revision>25</cp:revision>
  <cp:lastPrinted>2025-05-09T13:25:00Z</cp:lastPrinted>
  <dcterms:created xsi:type="dcterms:W3CDTF">2025-05-12T18:21:00Z</dcterms:created>
  <dcterms:modified xsi:type="dcterms:W3CDTF">2025-05-13T11:48:00Z</dcterms:modified>
</cp:coreProperties>
</file>