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CD4" w:rsidRDefault="00222CD4"/>
    <w:p w:rsidR="00222CD4" w:rsidRDefault="00222CD4"/>
    <w:p w:rsidR="00222CD4" w:rsidRDefault="00222CD4" w:rsidP="00222CD4">
      <w:pPr>
        <w:jc w:val="center"/>
        <w:rPr>
          <w:u w:val="single"/>
        </w:rPr>
      </w:pPr>
      <w:r>
        <w:rPr>
          <w:u w:val="single"/>
        </w:rPr>
        <w:t>Olaudah Equiano</w:t>
      </w:r>
    </w:p>
    <w:p w:rsidR="00106C28" w:rsidRDefault="00106C28" w:rsidP="00222CD4">
      <w:pPr>
        <w:jc w:val="center"/>
        <w:rPr>
          <w:u w:val="single"/>
        </w:rPr>
      </w:pPr>
    </w:p>
    <w:p w:rsidR="008A36CD" w:rsidRDefault="00106C28" w:rsidP="00222CD4">
      <w:r>
        <w:t>In the first two chapters of Equiano’s biography, are several points from which insights into the history of the 18</w:t>
      </w:r>
      <w:r w:rsidRPr="00106C28">
        <w:rPr>
          <w:vertAlign w:val="superscript"/>
        </w:rPr>
        <w:t>th</w:t>
      </w:r>
      <w:r>
        <w:t xml:space="preserve"> century </w:t>
      </w:r>
      <w:bookmarkStart w:id="0" w:name="_GoBack"/>
      <w:bookmarkEnd w:id="0"/>
      <w:r>
        <w:t xml:space="preserve">slave trade and the abolition movement can be seen. </w:t>
      </w:r>
      <w:r w:rsidR="009557A3">
        <w:t>Equiano’s description of his home and childhood starts with reference to the coastline of Guinea. He states that it is 3400 miles long and</w:t>
      </w:r>
      <w:r w:rsidR="00340A6A">
        <w:t>,</w:t>
      </w:r>
      <w:r w:rsidR="009557A3">
        <w:t xml:space="preserve"> it is from here that the slave trade operate</w:t>
      </w:r>
      <w:r w:rsidR="00340A6A">
        <w:t>d</w:t>
      </w:r>
      <w:r w:rsidR="009557A3">
        <w:t>.</w:t>
      </w:r>
      <w:r w:rsidR="009557A3">
        <w:rPr>
          <w:rStyle w:val="FootnoteReference"/>
        </w:rPr>
        <w:footnoteReference w:id="1"/>
      </w:r>
      <w:r w:rsidR="00474D0D">
        <w:t xml:space="preserve"> </w:t>
      </w:r>
      <w:r w:rsidR="009557A3">
        <w:t xml:space="preserve">His first reference to internal African slavery </w:t>
      </w:r>
      <w:r w:rsidR="0026107D">
        <w:t>claims</w:t>
      </w:r>
      <w:r w:rsidR="009557A3">
        <w:t xml:space="preserve"> that it </w:t>
      </w:r>
      <w:r w:rsidR="0026107D">
        <w:t>was</w:t>
      </w:r>
      <w:r w:rsidR="009557A3">
        <w:t xml:space="preserve"> often a punishment given for adultery.</w:t>
      </w:r>
      <w:r w:rsidR="00EC56DE">
        <w:t xml:space="preserve"> He also described slave traders at the market, and that his people would sometimes sell their prisoners of war and criminals to them</w:t>
      </w:r>
      <w:r w:rsidR="008C42F5">
        <w:t>.</w:t>
      </w:r>
      <w:r w:rsidR="009557A3">
        <w:rPr>
          <w:rStyle w:val="FootnoteReference"/>
        </w:rPr>
        <w:footnoteReference w:id="2"/>
      </w:r>
      <w:r w:rsidR="009557A3">
        <w:t xml:space="preserve"> </w:t>
      </w:r>
      <w:r w:rsidR="00340A6A">
        <w:t xml:space="preserve">The slave markets in Africa were an ideal labour source to be exploited by Europeans. </w:t>
      </w:r>
      <w:r w:rsidR="008A36CD" w:rsidRPr="008A36CD">
        <w:t>Equiano</w:t>
      </w:r>
      <w:r w:rsidR="00340A6A">
        <w:t xml:space="preserve"> even</w:t>
      </w:r>
      <w:r w:rsidR="008A36CD" w:rsidRPr="008A36CD">
        <w:t xml:space="preserve"> describes the distinctions made by</w:t>
      </w:r>
      <w:r w:rsidR="00340A6A">
        <w:t xml:space="preserve"> white</w:t>
      </w:r>
      <w:r w:rsidR="008A36CD" w:rsidRPr="008A36CD">
        <w:t xml:space="preserve"> slave owners, claiming that they preferred slaves from </w:t>
      </w:r>
      <w:proofErr w:type="spellStart"/>
      <w:r w:rsidR="008A36CD" w:rsidRPr="008A36CD">
        <w:t>Eboe</w:t>
      </w:r>
      <w:proofErr w:type="spellEnd"/>
      <w:r w:rsidR="008A36CD" w:rsidRPr="008A36CD">
        <w:t xml:space="preserve"> or Benin for their hardiness and intelligence</w:t>
      </w:r>
      <w:r w:rsidR="008A36CD">
        <w:t>.</w:t>
      </w:r>
      <w:r w:rsidR="008A36CD">
        <w:rPr>
          <w:rStyle w:val="FootnoteReference"/>
        </w:rPr>
        <w:footnoteReference w:id="3"/>
      </w:r>
      <w:r w:rsidR="008A36CD" w:rsidRPr="008A36CD">
        <w:t xml:space="preserve"> </w:t>
      </w:r>
      <w:r w:rsidR="009557A3">
        <w:t>When describing his childhood experiences Equiano uses the phrases, ‘we used to’ or, ‘I would’, this suggests that he still felt a strong connection with his homeland and people</w:t>
      </w:r>
      <w:r w:rsidR="00340A6A">
        <w:t>,</w:t>
      </w:r>
      <w:r w:rsidR="009557A3">
        <w:t xml:space="preserve"> even after so many years apart. The</w:t>
      </w:r>
      <w:r w:rsidR="00EC56DE">
        <w:t xml:space="preserve"> only exceptions to this are when he talks of the drinking of liquor or</w:t>
      </w:r>
      <w:r w:rsidR="00340A6A">
        <w:t>,</w:t>
      </w:r>
      <w:r w:rsidR="00EC56DE">
        <w:t xml:space="preserve"> more importantly</w:t>
      </w:r>
      <w:r w:rsidR="00340A6A">
        <w:t>,</w:t>
      </w:r>
      <w:r w:rsidR="00EC56DE">
        <w:t xml:space="preserve"> when he refers to religious practices. Equiano then uses the phrases, ‘they would’ or, ‘the natives used to’, to describe any ritualistic behaviour.</w:t>
      </w:r>
      <w:r w:rsidR="00EC56DE">
        <w:rPr>
          <w:rStyle w:val="FootnoteReference"/>
        </w:rPr>
        <w:footnoteReference w:id="4"/>
      </w:r>
      <w:r w:rsidR="00EC56DE">
        <w:t xml:space="preserve"> This symbolises a break with his African past and his new identity as a Christian, in this way, Equiano had developed a ‘double consciousness’ described over a hundred years later by Du </w:t>
      </w:r>
      <w:proofErr w:type="spellStart"/>
      <w:r w:rsidR="00EC56DE">
        <w:t>Bois</w:t>
      </w:r>
      <w:proofErr w:type="spellEnd"/>
      <w:r w:rsidR="00EC56DE">
        <w:t>.</w:t>
      </w:r>
      <w:r w:rsidR="00EC56DE">
        <w:rPr>
          <w:rStyle w:val="FootnoteReference"/>
        </w:rPr>
        <w:footnoteReference w:id="5"/>
      </w:r>
      <w:r w:rsidR="00EC56DE">
        <w:t xml:space="preserve"> Equiano is a</w:t>
      </w:r>
      <w:r w:rsidR="0026107D">
        <w:t>n individual</w:t>
      </w:r>
      <w:r w:rsidR="00EC56DE">
        <w:t xml:space="preserve"> representation of the</w:t>
      </w:r>
      <w:r w:rsidR="0026107D">
        <w:t xml:space="preserve"> wider</w:t>
      </w:r>
      <w:r w:rsidR="00EC56DE">
        <w:t xml:space="preserve"> African experience and identity </w:t>
      </w:r>
      <w:r w:rsidR="009A78B0">
        <w:t>initiated</w:t>
      </w:r>
      <w:r w:rsidR="00EC56DE">
        <w:t xml:space="preserve"> by the slave trade.</w:t>
      </w:r>
      <w:r w:rsidR="008C42F5">
        <w:t xml:space="preserve"> </w:t>
      </w:r>
    </w:p>
    <w:p w:rsidR="00FF7347" w:rsidRDefault="00FF7347" w:rsidP="00222CD4">
      <w:r>
        <w:t>Equiano describes the moment at which he and his sister were kidnapped by slavers, the</w:t>
      </w:r>
      <w:r w:rsidR="009A78B0">
        <w:t xml:space="preserve"> kidnappers</w:t>
      </w:r>
      <w:r>
        <w:t xml:space="preserve"> were Africans who separated the siblings and sold Equiano to a neighbouring village.</w:t>
      </w:r>
      <w:r w:rsidR="00C2048C">
        <w:t xml:space="preserve"> Approximately nine </w:t>
      </w:r>
      <w:r>
        <w:t>months later and</w:t>
      </w:r>
      <w:r w:rsidR="00C2048C">
        <w:t xml:space="preserve"> after</w:t>
      </w:r>
      <w:r>
        <w:t xml:space="preserve"> pass</w:t>
      </w:r>
      <w:r w:rsidR="00C2048C">
        <w:t>ing</w:t>
      </w:r>
      <w:r>
        <w:t xml:space="preserve"> through many hands</w:t>
      </w:r>
      <w:r w:rsidR="00C2048C">
        <w:t>,</w:t>
      </w:r>
      <w:r>
        <w:t xml:space="preserve"> he first encountered Europeans. Equiano </w:t>
      </w:r>
      <w:r w:rsidR="00033B1C">
        <w:t>describes the terror he felt at being confronted with these new people, so different from anyone he had seen before. He describes being flogged, attempting suicide and watching a man being flogged to death. He recounts a time when several slaves were successful in their suicide attempts, managing to jump overboard before being stopped by the crew.</w:t>
      </w:r>
      <w:r>
        <w:rPr>
          <w:rStyle w:val="FootnoteReference"/>
        </w:rPr>
        <w:footnoteReference w:id="6"/>
      </w:r>
      <w:r w:rsidR="00033B1C">
        <w:t xml:space="preserve"> For a white European reading this book in the</w:t>
      </w:r>
      <w:r w:rsidR="00340A6A">
        <w:t xml:space="preserve"> late 18</w:t>
      </w:r>
      <w:r w:rsidR="00340A6A" w:rsidRPr="00340A6A">
        <w:rPr>
          <w:vertAlign w:val="superscript"/>
        </w:rPr>
        <w:t>th</w:t>
      </w:r>
      <w:r w:rsidR="00340A6A">
        <w:t xml:space="preserve"> or</w:t>
      </w:r>
      <w:r w:rsidR="00033B1C">
        <w:t xml:space="preserve"> early 19</w:t>
      </w:r>
      <w:r w:rsidR="00033B1C" w:rsidRPr="00033B1C">
        <w:rPr>
          <w:vertAlign w:val="superscript"/>
        </w:rPr>
        <w:t>th</w:t>
      </w:r>
      <w:r w:rsidR="00033B1C">
        <w:t xml:space="preserve"> century, it must have been shocking to learn of the treatment of Africans in this way. To view from the perspective of an innocent child</w:t>
      </w:r>
      <w:r w:rsidR="00340A6A">
        <w:t>,</w:t>
      </w:r>
      <w:r w:rsidR="00033B1C">
        <w:t xml:space="preserve"> who was driven to attempt suicide due to the brutality of the whites. Many people reading this book would have been moved to oppose slavery.</w:t>
      </w:r>
    </w:p>
    <w:p w:rsidR="008C42F5" w:rsidRDefault="00DA4BC9" w:rsidP="00222CD4">
      <w:r>
        <w:t>In his opening statement, Equiano writes that he has penned his memoirs at the request of his friends, and he hopes that his book will promote the interest of humanity.</w:t>
      </w:r>
      <w:r>
        <w:rPr>
          <w:rStyle w:val="FootnoteReference"/>
        </w:rPr>
        <w:footnoteReference w:id="7"/>
      </w:r>
      <w:r>
        <w:t xml:space="preserve"> Clearly this book was created to aid the anti-slave trade movement.</w:t>
      </w:r>
      <w:r w:rsidR="008C42F5">
        <w:t xml:space="preserve"> Equiano does go into great detail of the abundance and quality of food grown by his people, also describing the work ethic of all the inhabitants of his </w:t>
      </w:r>
      <w:r w:rsidR="008C42F5">
        <w:lastRenderedPageBreak/>
        <w:t>community, claiming that idleness and begging are unheard of in his home.</w:t>
      </w:r>
      <w:r w:rsidR="00C2048C">
        <w:rPr>
          <w:rStyle w:val="FootnoteReference"/>
        </w:rPr>
        <w:footnoteReference w:id="8"/>
      </w:r>
      <w:r w:rsidR="008C42F5">
        <w:t xml:space="preserve"> </w:t>
      </w:r>
      <w:r w:rsidR="000F187A">
        <w:t>These statements exist as an argument to prevalent pro slavery rhetoric in the 18</w:t>
      </w:r>
      <w:r w:rsidR="000F187A" w:rsidRPr="000F187A">
        <w:rPr>
          <w:vertAlign w:val="superscript"/>
        </w:rPr>
        <w:t>th</w:t>
      </w:r>
      <w:r w:rsidR="000F187A">
        <w:t xml:space="preserve"> century.</w:t>
      </w:r>
      <w:r w:rsidR="003E0B22">
        <w:t xml:space="preserve"> </w:t>
      </w:r>
      <w:r w:rsidR="000F187A">
        <w:t xml:space="preserve"> Africans in general were described as lazy and unable to work either for their own betterment or subsistence.</w:t>
      </w:r>
      <w:r w:rsidR="000F187A">
        <w:rPr>
          <w:rStyle w:val="FootnoteReference"/>
        </w:rPr>
        <w:footnoteReference w:id="9"/>
      </w:r>
      <w:r w:rsidR="000F187A">
        <w:t xml:space="preserve"> </w:t>
      </w:r>
      <w:r w:rsidR="00340A6A">
        <w:t xml:space="preserve">Equiano’s descriptions of his people and home clearly disputed those claims. </w:t>
      </w:r>
      <w:r w:rsidR="000F187A">
        <w:t>Equiano’s book was published in 1789, at this time many black people were living and begging on the streets of many British cities.</w:t>
      </w:r>
      <w:r w:rsidR="009A78B0">
        <w:t xml:space="preserve"> </w:t>
      </w:r>
      <w:r w:rsidR="000F187A">
        <w:t>Equiano is trying to make the p</w:t>
      </w:r>
      <w:r w:rsidR="003E0B22">
        <w:t>o</w:t>
      </w:r>
      <w:r w:rsidR="000F187A">
        <w:t>int that in their native land the blacks would be gainfully employed</w:t>
      </w:r>
      <w:r w:rsidR="00340A6A">
        <w:t xml:space="preserve"> and</w:t>
      </w:r>
      <w:r w:rsidR="000F187A">
        <w:t>, it is only due to the interference of Europeans that they are displaying behaviours that fit with contemporary racial prejudices.</w:t>
      </w:r>
      <w:r w:rsidR="005F3E69" w:rsidRPr="005F3E69">
        <w:t xml:space="preserve"> At the end of the first chapter Equiano offers his first direct argument against the enslavement of people based on skin colour, he points out the hypocrisy and illogical reasoning behind the justifications for the slave trade.</w:t>
      </w:r>
      <w:r w:rsidR="005F3E69" w:rsidRPr="005F3E69">
        <w:rPr>
          <w:vertAlign w:val="superscript"/>
        </w:rPr>
        <w:footnoteReference w:id="10"/>
      </w:r>
      <w:r w:rsidR="005F3E69" w:rsidRPr="005F3E69">
        <w:t xml:space="preserve"> </w:t>
      </w:r>
      <w:r w:rsidR="005F3E69">
        <w:t>These sentiments and ideas would have been shared by contemporary abolitionists.</w:t>
      </w:r>
    </w:p>
    <w:p w:rsidR="005F3E69" w:rsidRDefault="00DA4BC9" w:rsidP="00222CD4">
      <w:r>
        <w:t xml:space="preserve">Regarding the effect slavery had on Equiano based upon his gender was potentially more pronounced for him. He describes the process by which his male relatives were marked to define them as </w:t>
      </w:r>
      <w:r w:rsidR="0026717D">
        <w:t>leaders of their communities. This mark was called, ‘</w:t>
      </w:r>
      <w:proofErr w:type="spellStart"/>
      <w:r w:rsidR="0026717D" w:rsidRPr="0026717D">
        <w:rPr>
          <w:i/>
        </w:rPr>
        <w:t>Embrenche</w:t>
      </w:r>
      <w:proofErr w:type="spellEnd"/>
      <w:r w:rsidR="0026717D">
        <w:t>’, and he would have been given it</w:t>
      </w:r>
      <w:r w:rsidR="00543E77">
        <w:t>,</w:t>
      </w:r>
      <w:r w:rsidR="0026717D">
        <w:t xml:space="preserve"> had he remained in Africa. Equiano was destined to become a leader in his community, he would have been wealthy, married and owned his own slaves.</w:t>
      </w:r>
      <w:r w:rsidR="0026717D">
        <w:rPr>
          <w:rStyle w:val="FootnoteReference"/>
        </w:rPr>
        <w:footnoteReference w:id="11"/>
      </w:r>
      <w:r w:rsidR="0026717D">
        <w:t xml:space="preserve"> He describes that women in his tribe were considered the property of their husbands, they would have been destined for a certain form of slavery, albeit, a less harsh one.</w:t>
      </w:r>
      <w:r w:rsidR="0026717D">
        <w:rPr>
          <w:rStyle w:val="FootnoteReference"/>
        </w:rPr>
        <w:footnoteReference w:id="12"/>
      </w:r>
      <w:r>
        <w:t xml:space="preserve"> </w:t>
      </w:r>
      <w:r w:rsidR="0026717D">
        <w:t>In this comparison</w:t>
      </w:r>
      <w:r w:rsidR="00543E77">
        <w:t>,</w:t>
      </w:r>
      <w:r w:rsidR="0026717D">
        <w:t xml:space="preserve"> Equiano may have viewed his own loss of liberty as more acute than if he had been female</w:t>
      </w:r>
      <w:r w:rsidR="005F3E69">
        <w:t>.</w:t>
      </w:r>
    </w:p>
    <w:sectPr w:rsidR="005F3E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D0D" w:rsidRDefault="00474D0D" w:rsidP="00474D0D">
      <w:pPr>
        <w:spacing w:after="0" w:line="240" w:lineRule="auto"/>
      </w:pPr>
      <w:r>
        <w:separator/>
      </w:r>
    </w:p>
  </w:endnote>
  <w:endnote w:type="continuationSeparator" w:id="0">
    <w:p w:rsidR="00474D0D" w:rsidRDefault="00474D0D" w:rsidP="0047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D0D" w:rsidRDefault="00474D0D" w:rsidP="00474D0D">
      <w:pPr>
        <w:spacing w:after="0" w:line="240" w:lineRule="auto"/>
      </w:pPr>
      <w:r>
        <w:separator/>
      </w:r>
    </w:p>
  </w:footnote>
  <w:footnote w:type="continuationSeparator" w:id="0">
    <w:p w:rsidR="00474D0D" w:rsidRDefault="00474D0D" w:rsidP="00474D0D">
      <w:pPr>
        <w:spacing w:after="0" w:line="240" w:lineRule="auto"/>
      </w:pPr>
      <w:r>
        <w:continuationSeparator/>
      </w:r>
    </w:p>
  </w:footnote>
  <w:footnote w:id="1">
    <w:p w:rsidR="009557A3" w:rsidRDefault="009557A3">
      <w:pPr>
        <w:pStyle w:val="FootnoteText"/>
      </w:pPr>
      <w:r>
        <w:rPr>
          <w:rStyle w:val="FootnoteReference"/>
        </w:rPr>
        <w:footnoteRef/>
      </w:r>
      <w:r>
        <w:t xml:space="preserve"> </w:t>
      </w:r>
      <w:bookmarkStart w:id="1" w:name="_Hlk30343444"/>
      <w:r w:rsidR="00FA5D3F">
        <w:t xml:space="preserve">Olaudah. </w:t>
      </w:r>
      <w:r w:rsidR="009A78B0" w:rsidRPr="009A78B0">
        <w:t>Equiano</w:t>
      </w:r>
      <w:bookmarkEnd w:id="1"/>
      <w:r w:rsidR="009A78B0">
        <w:t>, (1837).</w:t>
      </w:r>
      <w:r w:rsidR="009A78B0" w:rsidRPr="009A78B0">
        <w:t> </w:t>
      </w:r>
      <w:r w:rsidR="009A78B0" w:rsidRPr="009A78B0">
        <w:rPr>
          <w:i/>
          <w:iCs/>
        </w:rPr>
        <w:t xml:space="preserve">The Life of Olaudah Equiano, Or, Gustavus </w:t>
      </w:r>
      <w:proofErr w:type="spellStart"/>
      <w:r w:rsidR="009A78B0" w:rsidRPr="009A78B0">
        <w:rPr>
          <w:i/>
          <w:iCs/>
        </w:rPr>
        <w:t>Vassa</w:t>
      </w:r>
      <w:proofErr w:type="spellEnd"/>
      <w:r w:rsidR="009A78B0" w:rsidRPr="009A78B0">
        <w:rPr>
          <w:i/>
          <w:iCs/>
        </w:rPr>
        <w:t>, the African</w:t>
      </w:r>
      <w:r w:rsidR="009A78B0">
        <w:rPr>
          <w:i/>
          <w:iCs/>
        </w:rPr>
        <w:t>.</w:t>
      </w:r>
      <w:r w:rsidR="009A78B0" w:rsidRPr="009A78B0">
        <w:t> Boston: Boston I. Knapp,</w:t>
      </w:r>
      <w:r w:rsidR="009A78B0">
        <w:t xml:space="preserve"> p</w:t>
      </w:r>
      <w:r>
        <w:t>. 8.</w:t>
      </w:r>
    </w:p>
  </w:footnote>
  <w:footnote w:id="2">
    <w:p w:rsidR="009557A3" w:rsidRDefault="009557A3">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w:t>
      </w:r>
      <w:r>
        <w:t>.</w:t>
      </w:r>
      <w:r w:rsidR="003E6101">
        <w:t>p.</w:t>
      </w:r>
      <w:r>
        <w:t xml:space="preserve"> 10</w:t>
      </w:r>
      <w:r w:rsidR="008C42F5">
        <w:t>, 16</w:t>
      </w:r>
      <w:r w:rsidR="00DA4BC9">
        <w:t>, 21, 22.</w:t>
      </w:r>
    </w:p>
  </w:footnote>
  <w:footnote w:id="3">
    <w:p w:rsidR="008A36CD" w:rsidRDefault="008A36CD">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w:t>
      </w:r>
      <w:r>
        <w:t>. 17</w:t>
      </w:r>
      <w:r w:rsidR="00586E1E">
        <w:t>.</w:t>
      </w:r>
    </w:p>
  </w:footnote>
  <w:footnote w:id="4">
    <w:p w:rsidR="00EC56DE" w:rsidRDefault="00EC56DE">
      <w:pPr>
        <w:pStyle w:val="FootnoteText"/>
      </w:pPr>
      <w:r>
        <w:rPr>
          <w:rStyle w:val="FootnoteReference"/>
        </w:rPr>
        <w:footnoteRef/>
      </w:r>
      <w:r>
        <w:t xml:space="preserve"> </w:t>
      </w:r>
      <w:r w:rsidR="001D7DB3" w:rsidRPr="001D7DB3">
        <w:t>Equiano</w:t>
      </w:r>
      <w:r w:rsidR="001D7DB3">
        <w:t>, p</w:t>
      </w:r>
      <w:r>
        <w:t>. 14.</w:t>
      </w:r>
    </w:p>
  </w:footnote>
  <w:footnote w:id="5">
    <w:p w:rsidR="00EC56DE" w:rsidRDefault="00EC56DE">
      <w:pPr>
        <w:pStyle w:val="FootnoteText"/>
      </w:pPr>
      <w:r>
        <w:rPr>
          <w:rStyle w:val="FootnoteReference"/>
        </w:rPr>
        <w:footnoteRef/>
      </w:r>
      <w:r>
        <w:t xml:space="preserve"> </w:t>
      </w:r>
      <w:r w:rsidR="00FA5D3F" w:rsidRPr="00FA5D3F">
        <w:t>W. E. Burghardt</w:t>
      </w:r>
      <w:r w:rsidR="00FA5D3F">
        <w:t>.</w:t>
      </w:r>
      <w:r w:rsidR="00FA5D3F" w:rsidRPr="00FA5D3F">
        <w:t xml:space="preserve"> </w:t>
      </w:r>
      <w:r w:rsidR="003E0B22" w:rsidRPr="003E0B22">
        <w:t xml:space="preserve">Du </w:t>
      </w:r>
      <w:proofErr w:type="spellStart"/>
      <w:r w:rsidR="003E0B22" w:rsidRPr="003E0B22">
        <w:t>Bois</w:t>
      </w:r>
      <w:proofErr w:type="spellEnd"/>
      <w:r w:rsidR="00FA5D3F">
        <w:t>,</w:t>
      </w:r>
      <w:r w:rsidR="003E6101">
        <w:t xml:space="preserve"> (1903)</w:t>
      </w:r>
      <w:r w:rsidR="003E0B22" w:rsidRPr="003E0B22">
        <w:t xml:space="preserve"> </w:t>
      </w:r>
      <w:r w:rsidR="003E0B22" w:rsidRPr="00C2048C">
        <w:rPr>
          <w:i/>
        </w:rPr>
        <w:t>The Souls of Black Folk</w:t>
      </w:r>
      <w:r w:rsidR="003E6101">
        <w:rPr>
          <w:i/>
        </w:rPr>
        <w:t>.</w:t>
      </w:r>
      <w:r w:rsidR="003E0B22" w:rsidRPr="003E0B22">
        <w:t xml:space="preserve"> Chicago: A. C. McClurg &amp; Co</w:t>
      </w:r>
      <w:r w:rsidR="003E6101">
        <w:t>,</w:t>
      </w:r>
      <w:r w:rsidR="003E0B22">
        <w:t xml:space="preserve"> p.</w:t>
      </w:r>
      <w:r w:rsidR="00C2048C">
        <w:t xml:space="preserve"> 3.</w:t>
      </w:r>
      <w:r w:rsidR="003E0B22">
        <w:t xml:space="preserve"> </w:t>
      </w:r>
    </w:p>
  </w:footnote>
  <w:footnote w:id="6">
    <w:p w:rsidR="00FF7347" w:rsidRDefault="00FF7347">
      <w:pPr>
        <w:pStyle w:val="FootnoteText"/>
      </w:pPr>
      <w:r>
        <w:rPr>
          <w:rStyle w:val="FootnoteReference"/>
        </w:rPr>
        <w:footnoteRef/>
      </w:r>
      <w:r w:rsidR="001D7DB3" w:rsidRPr="001D7DB3">
        <w:rPr>
          <w:sz w:val="22"/>
          <w:szCs w:val="22"/>
        </w:rPr>
        <w:t xml:space="preserve"> </w:t>
      </w:r>
      <w:r w:rsidR="001D7DB3" w:rsidRPr="001D7DB3">
        <w:t>Equiano</w:t>
      </w:r>
      <w:r w:rsidR="001D7DB3">
        <w:t>, p</w:t>
      </w:r>
      <w:r>
        <w:t>.</w:t>
      </w:r>
      <w:r w:rsidR="003E6101">
        <w:t>p.</w:t>
      </w:r>
      <w:r>
        <w:t xml:space="preserve"> 32, 33, 43</w:t>
      </w:r>
      <w:r w:rsidR="00033B1C">
        <w:t xml:space="preserve">, 45, 49. </w:t>
      </w:r>
      <w:r>
        <w:t xml:space="preserve"> </w:t>
      </w:r>
    </w:p>
  </w:footnote>
  <w:footnote w:id="7">
    <w:p w:rsidR="00DA4BC9" w:rsidRDefault="00DA4BC9">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w:t>
      </w:r>
      <w:r>
        <w:t>. 8.</w:t>
      </w:r>
    </w:p>
  </w:footnote>
  <w:footnote w:id="8">
    <w:p w:rsidR="00C2048C" w:rsidRDefault="00C2048C">
      <w:pPr>
        <w:pStyle w:val="FootnoteText"/>
      </w:pPr>
      <w:r>
        <w:rPr>
          <w:rStyle w:val="FootnoteReference"/>
        </w:rPr>
        <w:footnoteRef/>
      </w:r>
      <w:r w:rsidR="001D7DB3">
        <w:t xml:space="preserve"> </w:t>
      </w:r>
      <w:r w:rsidR="001D7DB3" w:rsidRPr="001D7DB3">
        <w:t>Equiano</w:t>
      </w:r>
      <w:r w:rsidR="001D7DB3">
        <w:t>,</w:t>
      </w:r>
      <w:r>
        <w:t xml:space="preserve"> </w:t>
      </w:r>
      <w:r w:rsidR="001D7DB3">
        <w:t>p</w:t>
      </w:r>
      <w:r>
        <w:t>.</w:t>
      </w:r>
      <w:r w:rsidR="00FA5D3F">
        <w:t>p. 17-</w:t>
      </w:r>
      <w:r>
        <w:t>18</w:t>
      </w:r>
      <w:r w:rsidR="00FA5D3F">
        <w:t>.</w:t>
      </w:r>
    </w:p>
  </w:footnote>
  <w:footnote w:id="9">
    <w:p w:rsidR="000F187A" w:rsidRDefault="000F187A">
      <w:pPr>
        <w:pStyle w:val="FootnoteText"/>
      </w:pPr>
      <w:r>
        <w:rPr>
          <w:rStyle w:val="FootnoteReference"/>
        </w:rPr>
        <w:footnoteRef/>
      </w:r>
      <w:r>
        <w:t xml:space="preserve"> </w:t>
      </w:r>
      <w:r w:rsidR="00FA5D3F">
        <w:t xml:space="preserve">Thomas. </w:t>
      </w:r>
      <w:r w:rsidR="003E0B22" w:rsidRPr="003E0B22">
        <w:t>Burgess,</w:t>
      </w:r>
      <w:r w:rsidR="003E6101">
        <w:t xml:space="preserve"> (1789).</w:t>
      </w:r>
      <w:r w:rsidR="003E0B22" w:rsidRPr="003E0B22">
        <w:t xml:space="preserve"> </w:t>
      </w:r>
      <w:r w:rsidR="003E0B22" w:rsidRPr="001D7DB3">
        <w:rPr>
          <w:i/>
        </w:rPr>
        <w:t>Considerations on the Abolition of Slavery</w:t>
      </w:r>
      <w:r w:rsidR="003E6101">
        <w:rPr>
          <w:i/>
        </w:rPr>
        <w:t>.</w:t>
      </w:r>
      <w:r w:rsidR="003E0B22" w:rsidRPr="003E0B22">
        <w:t xml:space="preserve"> Oxford: D. Prince, J. Cook, J. Fletcher, </w:t>
      </w:r>
      <w:proofErr w:type="spellStart"/>
      <w:r w:rsidR="003E0B22" w:rsidRPr="003E0B22">
        <w:t>Elmsly</w:t>
      </w:r>
      <w:proofErr w:type="spellEnd"/>
      <w:r w:rsidR="003E0B22" w:rsidRPr="003E0B22">
        <w:t xml:space="preserve">, White, Payne, </w:t>
      </w:r>
      <w:proofErr w:type="spellStart"/>
      <w:r w:rsidR="003E0B22" w:rsidRPr="003E0B22">
        <w:t>Cadell</w:t>
      </w:r>
      <w:proofErr w:type="spellEnd"/>
      <w:r w:rsidR="003E0B22" w:rsidRPr="003E0B22">
        <w:t>,</w:t>
      </w:r>
      <w:r w:rsidR="003E0B22">
        <w:t xml:space="preserve"> p.p. 64,68,71,72.</w:t>
      </w:r>
    </w:p>
  </w:footnote>
  <w:footnote w:id="10">
    <w:p w:rsidR="005F3E69" w:rsidRDefault="005F3E69" w:rsidP="005F3E69">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p.p</w:t>
      </w:r>
      <w:r>
        <w:t>. 28-29.</w:t>
      </w:r>
    </w:p>
  </w:footnote>
  <w:footnote w:id="11">
    <w:p w:rsidR="0026717D" w:rsidRDefault="0026717D">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p.p</w:t>
      </w:r>
      <w:r>
        <w:t>. 9-10.</w:t>
      </w:r>
    </w:p>
  </w:footnote>
  <w:footnote w:id="12">
    <w:p w:rsidR="0026717D" w:rsidRDefault="0026717D">
      <w:pPr>
        <w:pStyle w:val="FootnoteText"/>
      </w:pPr>
      <w:r>
        <w:rPr>
          <w:rStyle w:val="FootnoteReference"/>
        </w:rPr>
        <w:footnoteRef/>
      </w:r>
      <w:r>
        <w:t xml:space="preserve"> </w:t>
      </w:r>
      <w:r w:rsidR="001D7DB3" w:rsidRPr="001D7DB3">
        <w:t>Equiano</w:t>
      </w:r>
      <w:r w:rsidR="001D7DB3">
        <w:t>,</w:t>
      </w:r>
      <w:r w:rsidR="001D7DB3" w:rsidRPr="001D7DB3">
        <w:t xml:space="preserve"> </w:t>
      </w:r>
      <w:r w:rsidR="001D7DB3">
        <w:t>p</w:t>
      </w:r>
      <w:r>
        <w:t>.11.</w:t>
      </w: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rPr>
          <w:u w:val="single"/>
        </w:rPr>
      </w:pPr>
      <w:r>
        <w:rPr>
          <w:u w:val="single"/>
        </w:rPr>
        <w:t>Bibliography</w:t>
      </w:r>
    </w:p>
    <w:p w:rsidR="00FA5D3F" w:rsidRPr="00FA5D3F" w:rsidRDefault="00FA5D3F">
      <w:pPr>
        <w:pStyle w:val="FootnoteText"/>
        <w:rPr>
          <w:u w:val="single"/>
        </w:rPr>
      </w:pPr>
    </w:p>
    <w:p w:rsidR="00FA5D3F" w:rsidRDefault="00FA5D3F">
      <w:pPr>
        <w:pStyle w:val="FootnoteText"/>
      </w:pPr>
      <w:r w:rsidRPr="00FA5D3F">
        <w:t>Burgess, Thomas</w:t>
      </w:r>
      <w:r>
        <w:t>.</w:t>
      </w:r>
      <w:r w:rsidRPr="00FA5D3F">
        <w:t> </w:t>
      </w:r>
      <w:r>
        <w:t xml:space="preserve">(1789). </w:t>
      </w:r>
      <w:r w:rsidRPr="00FA5D3F">
        <w:rPr>
          <w:i/>
          <w:iCs/>
        </w:rPr>
        <w:t>Considerations on the Abolition of Slavery</w:t>
      </w:r>
      <w:r>
        <w:rPr>
          <w:i/>
          <w:iCs/>
        </w:rPr>
        <w:t>.</w:t>
      </w:r>
      <w:r w:rsidRPr="00FA5D3F">
        <w:t xml:space="preserve"> Oxford: D. Prince, J. Cook, J. Fletcher, </w:t>
      </w:r>
      <w:proofErr w:type="spellStart"/>
      <w:r w:rsidRPr="00FA5D3F">
        <w:t>Elmsly</w:t>
      </w:r>
      <w:proofErr w:type="spellEnd"/>
      <w:r w:rsidRPr="00FA5D3F">
        <w:t xml:space="preserve">, White, Payne, </w:t>
      </w:r>
      <w:proofErr w:type="spellStart"/>
      <w:r w:rsidRPr="00FA5D3F">
        <w:t>Cadell</w:t>
      </w:r>
      <w:proofErr w:type="spellEnd"/>
      <w:r>
        <w:t>.</w:t>
      </w:r>
    </w:p>
    <w:p w:rsidR="00FA5D3F" w:rsidRDefault="00FA5D3F">
      <w:pPr>
        <w:pStyle w:val="FootnoteText"/>
      </w:pPr>
    </w:p>
    <w:p w:rsidR="00FA5D3F" w:rsidRDefault="00FA5D3F" w:rsidP="00FA5D3F">
      <w:pPr>
        <w:pStyle w:val="FootnoteText"/>
      </w:pPr>
      <w:r w:rsidRPr="00FA5D3F">
        <w:t xml:space="preserve">Du </w:t>
      </w:r>
      <w:proofErr w:type="spellStart"/>
      <w:r w:rsidRPr="00FA5D3F">
        <w:t>Bois</w:t>
      </w:r>
      <w:proofErr w:type="spellEnd"/>
      <w:r w:rsidRPr="00FA5D3F">
        <w:t>. W. E. Burghardt</w:t>
      </w:r>
      <w:r>
        <w:t>. (1903).</w:t>
      </w:r>
      <w:r w:rsidRPr="00FA5D3F">
        <w:t> </w:t>
      </w:r>
      <w:r w:rsidRPr="00FA5D3F">
        <w:rPr>
          <w:i/>
          <w:iCs/>
        </w:rPr>
        <w:t>The</w:t>
      </w:r>
      <w:r>
        <w:rPr>
          <w:i/>
          <w:iCs/>
        </w:rPr>
        <w:t xml:space="preserve"> </w:t>
      </w:r>
      <w:r w:rsidRPr="00FA5D3F">
        <w:rPr>
          <w:i/>
          <w:iCs/>
        </w:rPr>
        <w:t>Souls of Black Folk</w:t>
      </w:r>
      <w:r>
        <w:rPr>
          <w:i/>
          <w:iCs/>
        </w:rPr>
        <w:t>.</w:t>
      </w:r>
      <w:r w:rsidRPr="00FA5D3F">
        <w:t> Chicago: A. C. McClurg &amp; Co.</w:t>
      </w:r>
    </w:p>
    <w:p w:rsidR="00FA5D3F" w:rsidRPr="00FA5D3F" w:rsidRDefault="00FA5D3F" w:rsidP="00FA5D3F">
      <w:pPr>
        <w:pStyle w:val="FootnoteText"/>
      </w:pPr>
    </w:p>
    <w:p w:rsidR="00FA5D3F" w:rsidRPr="00FA5D3F" w:rsidRDefault="00FA5D3F" w:rsidP="00FA5D3F">
      <w:pPr>
        <w:pStyle w:val="FootnoteText"/>
      </w:pPr>
      <w:r w:rsidRPr="00FA5D3F">
        <w:t>Equiano</w:t>
      </w:r>
      <w:r>
        <w:t>,</w:t>
      </w:r>
      <w:r w:rsidRPr="00FA5D3F">
        <w:t xml:space="preserve"> Olaudah</w:t>
      </w:r>
      <w:r>
        <w:t>. (1837).</w:t>
      </w:r>
      <w:r w:rsidRPr="00FA5D3F">
        <w:t> </w:t>
      </w:r>
      <w:r w:rsidRPr="00FA5D3F">
        <w:rPr>
          <w:i/>
          <w:iCs/>
        </w:rPr>
        <w:t xml:space="preserve">The Life of Olaudah Equiano, Or, Gustavus </w:t>
      </w:r>
      <w:proofErr w:type="spellStart"/>
      <w:r w:rsidRPr="00FA5D3F">
        <w:rPr>
          <w:i/>
          <w:iCs/>
        </w:rPr>
        <w:t>Vassa</w:t>
      </w:r>
      <w:proofErr w:type="spellEnd"/>
      <w:r w:rsidRPr="00FA5D3F">
        <w:rPr>
          <w:i/>
          <w:iCs/>
        </w:rPr>
        <w:t>, the African</w:t>
      </w:r>
      <w:r>
        <w:rPr>
          <w:i/>
          <w:iCs/>
        </w:rPr>
        <w:t>.</w:t>
      </w:r>
      <w:r w:rsidRPr="00FA5D3F">
        <w:t> Boston: Boston I. Knapp</w:t>
      </w:r>
      <w:r>
        <w:t>.</w:t>
      </w: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p w:rsidR="00FA5D3F" w:rsidRDefault="00FA5D3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D4"/>
    <w:rsid w:val="00033B1C"/>
    <w:rsid w:val="000F187A"/>
    <w:rsid w:val="00106C28"/>
    <w:rsid w:val="001D7DB3"/>
    <w:rsid w:val="00222CD4"/>
    <w:rsid w:val="0026107D"/>
    <w:rsid w:val="0026717D"/>
    <w:rsid w:val="00340A6A"/>
    <w:rsid w:val="003E0B22"/>
    <w:rsid w:val="003E6101"/>
    <w:rsid w:val="00474D0D"/>
    <w:rsid w:val="004D0D7E"/>
    <w:rsid w:val="00543E77"/>
    <w:rsid w:val="00586E1E"/>
    <w:rsid w:val="00595F34"/>
    <w:rsid w:val="005F3E69"/>
    <w:rsid w:val="006E7A2A"/>
    <w:rsid w:val="008734AE"/>
    <w:rsid w:val="008A36CD"/>
    <w:rsid w:val="008C42F5"/>
    <w:rsid w:val="009557A3"/>
    <w:rsid w:val="009A78B0"/>
    <w:rsid w:val="00C2048C"/>
    <w:rsid w:val="00C66392"/>
    <w:rsid w:val="00C71951"/>
    <w:rsid w:val="00D159B8"/>
    <w:rsid w:val="00D55C7A"/>
    <w:rsid w:val="00DA4BC9"/>
    <w:rsid w:val="00EC56DE"/>
    <w:rsid w:val="00ED7A71"/>
    <w:rsid w:val="00EF1418"/>
    <w:rsid w:val="00FA5D3F"/>
    <w:rsid w:val="00FF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B2B8"/>
  <w15:chartTrackingRefBased/>
  <w15:docId w15:val="{380A4D3C-4310-4009-A0C1-4EEA5B214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4D0D"/>
    <w:rPr>
      <w:sz w:val="20"/>
      <w:szCs w:val="20"/>
    </w:rPr>
  </w:style>
  <w:style w:type="character" w:styleId="FootnoteReference">
    <w:name w:val="footnote reference"/>
    <w:basedOn w:val="DefaultParagraphFont"/>
    <w:uiPriority w:val="99"/>
    <w:semiHidden/>
    <w:unhideWhenUsed/>
    <w:rsid w:val="00474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03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8DCF1-A687-4983-89A0-2A10738C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Jevon (1602506)</cp:lastModifiedBy>
  <cp:revision>14</cp:revision>
  <dcterms:created xsi:type="dcterms:W3CDTF">2020-01-13T09:35:00Z</dcterms:created>
  <dcterms:modified xsi:type="dcterms:W3CDTF">2020-01-19T16:42:00Z</dcterms:modified>
</cp:coreProperties>
</file>