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F3F99" w14:textId="77777777" w:rsidR="004C3F38" w:rsidRPr="002747CC" w:rsidRDefault="004C3F38" w:rsidP="002747CC">
      <w:pPr>
        <w:rPr>
          <w:rFonts w:ascii="Arial" w:hAnsi="Arial" w:cs="Arial"/>
          <w:b/>
          <w:color w:val="2F5496" w:themeColor="accent1" w:themeShade="BF"/>
          <w:sz w:val="32"/>
          <w:szCs w:val="32"/>
          <w:u w:val="single"/>
        </w:rPr>
      </w:pPr>
      <w:bookmarkStart w:id="0" w:name="_Hlk88646563"/>
      <w:bookmarkStart w:id="1" w:name="_Hlk87987031"/>
      <w:r w:rsidRPr="002747CC">
        <w:rPr>
          <w:rFonts w:ascii="Arial" w:hAnsi="Arial" w:cs="Arial"/>
          <w:b/>
          <w:color w:val="2F5496" w:themeColor="accent1" w:themeShade="BF"/>
          <w:sz w:val="32"/>
          <w:szCs w:val="32"/>
          <w:u w:val="single"/>
        </w:rPr>
        <w:t xml:space="preserve">Developing an effective outpatient room utilisation program to allow better use of room occupancy </w:t>
      </w:r>
    </w:p>
    <w:p w14:paraId="00879D63" w14:textId="77777777" w:rsidR="004C3F38" w:rsidRPr="002747CC" w:rsidRDefault="004C3F38" w:rsidP="00AE777D">
      <w:pPr>
        <w:spacing w:line="360" w:lineRule="auto"/>
        <w:jc w:val="both"/>
        <w:rPr>
          <w:rFonts w:ascii="Arial" w:hAnsi="Arial" w:cs="Arial"/>
          <w:b/>
          <w:bCs/>
          <w:sz w:val="28"/>
          <w:szCs w:val="26"/>
          <w:u w:val="single"/>
        </w:rPr>
      </w:pPr>
      <w:r w:rsidRPr="002747CC">
        <w:rPr>
          <w:rFonts w:ascii="Arial" w:hAnsi="Arial" w:cs="Arial"/>
          <w:b/>
          <w:bCs/>
          <w:sz w:val="28"/>
          <w:szCs w:val="26"/>
          <w:u w:val="single"/>
        </w:rPr>
        <w:t>Selected Domain</w:t>
      </w:r>
      <w:bookmarkStart w:id="2" w:name="_GoBack"/>
      <w:bookmarkEnd w:id="2"/>
    </w:p>
    <w:bookmarkEnd w:id="0"/>
    <w:p w14:paraId="50299BFE" w14:textId="77777777" w:rsidR="005F2EE7" w:rsidRPr="005F2EE7" w:rsidRDefault="005F2EE7" w:rsidP="00AE777D">
      <w:pPr>
        <w:spacing w:line="360" w:lineRule="auto"/>
        <w:jc w:val="both"/>
        <w:rPr>
          <w:rFonts w:ascii="Arial" w:hAnsi="Arial" w:cs="Arial"/>
          <w:sz w:val="24"/>
          <w:szCs w:val="24"/>
        </w:rPr>
      </w:pPr>
      <w:r w:rsidRPr="005F2EE7">
        <w:rPr>
          <w:rFonts w:ascii="Arial" w:hAnsi="Arial" w:cs="Arial"/>
          <w:sz w:val="24"/>
          <w:szCs w:val="24"/>
        </w:rPr>
        <w:t>The Covid-19 pandemic has resulted in reductions to services across Wales, which has increased waiting list times for patients (Welsh Government, 2021, p. 1). With the pandemic limiting routine activities, waiting lists for patients are at their highest level recorded (Welsh Government, 2021, p. 25). With new technological approaches being introduced to outpatients by the Welsh Government (2021, p. 27), outpatient rooms need to be used more efficiently and have a depth of flexibility, not previously required. Cardiff and Vale Health Board (C&amp;VUHB) outpatient activity currently links to clinicians and their clinics, rather than the outpatient room.</w:t>
      </w:r>
    </w:p>
    <w:p w14:paraId="67523F8E" w14:textId="77777777" w:rsidR="005F2EE7" w:rsidRPr="005F2EE7" w:rsidRDefault="005F2EE7" w:rsidP="00AE777D">
      <w:pPr>
        <w:spacing w:line="360" w:lineRule="auto"/>
        <w:jc w:val="both"/>
        <w:rPr>
          <w:rFonts w:ascii="Arial" w:hAnsi="Arial" w:cs="Arial"/>
          <w:sz w:val="24"/>
          <w:szCs w:val="24"/>
        </w:rPr>
      </w:pPr>
      <w:r w:rsidRPr="005F2EE7">
        <w:rPr>
          <w:rFonts w:ascii="Arial" w:hAnsi="Arial" w:cs="Arial"/>
          <w:sz w:val="24"/>
          <w:szCs w:val="24"/>
        </w:rPr>
        <w:t>C&amp;VUHB has historically managed outpatients through separate documents and physical spreadsheets while being managed by a multitude of teams within C&amp;VUHB. The system currently being used within the main outpatient department of the University Hospital of Wales (UHW) involves information being held on an excel spreadsheet. Head nurses control the information of the UHW outpatients, with other areas of the trust still either being written on paper or in the head of the individuals running the clinic. This requires for any new or additional clinic activity having to be run through the individuals in charge of the outpatient’s areas as they hold all the information. With room data and utilisation being supplied manually, it causes issues. This creates delays in reporting and a lack of confidence in the information being provided. Which leads to the remembering and storage of information on utilisation being incorrect. A lack of information on areas is a cause for concern, as the C&amp;VUHB cannot accurately know or report on how outpatient areas are being used. Outpatient typically assign room requests on a first come first serve basis rather than clinical need, which does not align with the C&amp;VUHB’s strategies (Cardiff and Vale University Health Board, 2015).</w:t>
      </w:r>
    </w:p>
    <w:p w14:paraId="595D1415" w14:textId="77777777" w:rsidR="005F2EE7" w:rsidRPr="005F2EE7" w:rsidRDefault="005F2EE7" w:rsidP="00AE777D">
      <w:pPr>
        <w:spacing w:line="360" w:lineRule="auto"/>
        <w:jc w:val="both"/>
        <w:rPr>
          <w:rFonts w:ascii="Arial" w:hAnsi="Arial" w:cs="Arial"/>
          <w:sz w:val="24"/>
          <w:szCs w:val="24"/>
        </w:rPr>
      </w:pPr>
      <w:r w:rsidRPr="005F2EE7">
        <w:rPr>
          <w:rFonts w:ascii="Arial" w:hAnsi="Arial" w:cs="Arial"/>
          <w:sz w:val="24"/>
          <w:szCs w:val="24"/>
        </w:rPr>
        <w:t>Other issues to current outpatient utilisation are how quickly the information is obtained, such as clinic cancellations and what rooms are free to use (Wachter, 2016, p. 51). This means rooms are re-used at a low rate and the productivity of the admin and nursing staff assigned to these rooms.</w:t>
      </w:r>
    </w:p>
    <w:p w14:paraId="62D8603D" w14:textId="15B2D73C" w:rsidR="005F2EE7" w:rsidRPr="005F2EE7" w:rsidRDefault="005F2EE7" w:rsidP="00AE777D">
      <w:pPr>
        <w:spacing w:line="360" w:lineRule="auto"/>
        <w:jc w:val="both"/>
        <w:rPr>
          <w:rFonts w:ascii="Arial" w:hAnsi="Arial" w:cs="Arial"/>
          <w:sz w:val="24"/>
          <w:szCs w:val="24"/>
        </w:rPr>
      </w:pPr>
      <w:r w:rsidRPr="005F2EE7">
        <w:rPr>
          <w:rFonts w:ascii="Arial" w:hAnsi="Arial" w:cs="Arial"/>
          <w:sz w:val="24"/>
          <w:szCs w:val="24"/>
        </w:rPr>
        <w:lastRenderedPageBreak/>
        <w:t>During the pandemic, a trial within the UHW outpatient clinics based on the 6:4:2 model that is used within C&amp;VUHB’s theatres took place. The 6:4:2 model dictates that services must confirm if a clinician will use the outpatient room six weeks prior to date of the clinic, the directorate then can backfill the room until four weeks prior. Between four weeks and two weeks, other services have a chance of backfilling on a first come, first serve approach. By exception only are request agreed under two weeks for face-to-face backfilling. This model has improved communication among clinical, administrative, and operational teams. It increases chances to re-use or re-allocate rooms. However, despite the increased communication, the model is extremely resource intensive and has created an extra level of burden and admin time to individuals</w:t>
      </w:r>
      <w:r>
        <w:rPr>
          <w:rFonts w:ascii="Arial" w:hAnsi="Arial" w:cs="Arial"/>
          <w:sz w:val="24"/>
          <w:szCs w:val="24"/>
        </w:rPr>
        <w:t>.</w:t>
      </w:r>
      <w:r w:rsidRPr="005F2EE7">
        <w:rPr>
          <w:rFonts w:ascii="Arial" w:hAnsi="Arial" w:cs="Arial"/>
          <w:sz w:val="24"/>
          <w:szCs w:val="24"/>
        </w:rPr>
        <w:t xml:space="preserve"> </w:t>
      </w:r>
      <w:r>
        <w:rPr>
          <w:rFonts w:ascii="Arial" w:hAnsi="Arial" w:cs="Arial"/>
          <w:sz w:val="24"/>
          <w:szCs w:val="24"/>
        </w:rPr>
        <w:t>E</w:t>
      </w:r>
      <w:r w:rsidRPr="005F2EE7">
        <w:rPr>
          <w:rFonts w:ascii="Arial" w:hAnsi="Arial" w:cs="Arial"/>
          <w:sz w:val="24"/>
          <w:szCs w:val="24"/>
        </w:rPr>
        <w:t>specially those who oversee outpatients and directorates of clinical boards. This model is not appropriate for spread and scale across the full C&amp;VUHB (</w:t>
      </w:r>
      <w:proofErr w:type="spellStart"/>
      <w:r w:rsidRPr="005F2EE7">
        <w:rPr>
          <w:rFonts w:ascii="Arial" w:hAnsi="Arial" w:cs="Arial"/>
          <w:sz w:val="24"/>
          <w:szCs w:val="24"/>
        </w:rPr>
        <w:t>Topol</w:t>
      </w:r>
      <w:proofErr w:type="spellEnd"/>
      <w:r w:rsidRPr="005F2EE7">
        <w:rPr>
          <w:rFonts w:ascii="Arial" w:hAnsi="Arial" w:cs="Arial"/>
          <w:sz w:val="24"/>
          <w:szCs w:val="24"/>
        </w:rPr>
        <w:t>, 2019, p.11). This project intends to achieve an improvement in the system to allocate outpatient space in the C&amp;VUHB. By achieving this, it will improve the efficiency of the utilisation on the hundreds of rooms being used weekly and ensuring the best usage of each room’s potential.</w:t>
      </w:r>
    </w:p>
    <w:p w14:paraId="4CA4AE52" w14:textId="77777777" w:rsidR="004C3F38" w:rsidRPr="00AE777D" w:rsidRDefault="004C3F38" w:rsidP="00AE777D">
      <w:pPr>
        <w:spacing w:line="360" w:lineRule="auto"/>
        <w:jc w:val="both"/>
        <w:rPr>
          <w:rFonts w:ascii="Arial" w:hAnsi="Arial" w:cs="Arial"/>
          <w:b/>
          <w:bCs/>
          <w:sz w:val="26"/>
          <w:szCs w:val="26"/>
        </w:rPr>
      </w:pPr>
      <w:r w:rsidRPr="00AE777D">
        <w:rPr>
          <w:rFonts w:ascii="Arial" w:hAnsi="Arial" w:cs="Arial"/>
          <w:b/>
          <w:bCs/>
          <w:sz w:val="26"/>
          <w:szCs w:val="26"/>
        </w:rPr>
        <w:t>Literature review</w:t>
      </w:r>
    </w:p>
    <w:p w14:paraId="64C06158" w14:textId="77777777" w:rsidR="004C3F38" w:rsidRPr="00AE777D" w:rsidRDefault="004C3F38" w:rsidP="00AE777D">
      <w:pPr>
        <w:spacing w:line="360" w:lineRule="auto"/>
        <w:jc w:val="both"/>
        <w:rPr>
          <w:rFonts w:ascii="Arial" w:hAnsi="Arial" w:cs="Arial"/>
          <w:b/>
          <w:bCs/>
          <w:sz w:val="25"/>
          <w:szCs w:val="25"/>
        </w:rPr>
      </w:pPr>
      <w:r w:rsidRPr="00AE777D">
        <w:rPr>
          <w:rFonts w:ascii="Arial" w:hAnsi="Arial" w:cs="Arial"/>
          <w:b/>
          <w:bCs/>
          <w:sz w:val="25"/>
          <w:szCs w:val="25"/>
        </w:rPr>
        <w:t>Introduction</w:t>
      </w:r>
    </w:p>
    <w:p w14:paraId="436359D7" w14:textId="77777777" w:rsidR="004253D0" w:rsidRPr="00AA2F7F" w:rsidRDefault="004253D0" w:rsidP="00AE777D">
      <w:pPr>
        <w:spacing w:line="360" w:lineRule="auto"/>
        <w:jc w:val="both"/>
        <w:rPr>
          <w:rFonts w:ascii="Arial" w:hAnsi="Arial" w:cs="Arial"/>
          <w:sz w:val="24"/>
          <w:szCs w:val="24"/>
        </w:rPr>
      </w:pPr>
      <w:r w:rsidRPr="00AA2F7F">
        <w:rPr>
          <w:rFonts w:ascii="Arial" w:hAnsi="Arial" w:cs="Arial"/>
          <w:sz w:val="24"/>
          <w:szCs w:val="24"/>
        </w:rPr>
        <w:t xml:space="preserve">This literature review will look to explore any technical or operational programs that can aid in the realisation of a better utilised outpatients within C&amp;VUHB with a focus on a digital approach. Along with having a </w:t>
      </w:r>
      <w:r w:rsidR="00AA0D6E">
        <w:rPr>
          <w:rFonts w:ascii="Arial" w:hAnsi="Arial" w:cs="Arial"/>
          <w:sz w:val="24"/>
          <w:szCs w:val="24"/>
        </w:rPr>
        <w:t>clear</w:t>
      </w:r>
      <w:r w:rsidRPr="00AA2F7F">
        <w:rPr>
          <w:rFonts w:ascii="Arial" w:hAnsi="Arial" w:cs="Arial"/>
          <w:sz w:val="24"/>
          <w:szCs w:val="24"/>
        </w:rPr>
        <w:t xml:space="preserve"> understanding of the impact better utilisation will have on the outpatient rooms, there is a need to focus on a </w:t>
      </w:r>
      <w:r w:rsidR="00AD6CCF">
        <w:rPr>
          <w:rFonts w:ascii="Arial" w:hAnsi="Arial" w:cs="Arial"/>
          <w:sz w:val="24"/>
          <w:szCs w:val="24"/>
        </w:rPr>
        <w:t>more effective</w:t>
      </w:r>
      <w:r w:rsidRPr="00AA2F7F">
        <w:rPr>
          <w:rFonts w:ascii="Arial" w:hAnsi="Arial" w:cs="Arial"/>
          <w:sz w:val="24"/>
          <w:szCs w:val="24"/>
        </w:rPr>
        <w:t xml:space="preserve"> booking process and prioritisation method for use of rooms. Therefore, the literature review needs to focus on the following questions.</w:t>
      </w:r>
    </w:p>
    <w:p w14:paraId="557A6405" w14:textId="77777777" w:rsidR="004253D0" w:rsidRPr="00AA2F7F" w:rsidRDefault="004253D0" w:rsidP="00AE777D">
      <w:pPr>
        <w:pStyle w:val="ListParagraph"/>
        <w:numPr>
          <w:ilvl w:val="0"/>
          <w:numId w:val="10"/>
        </w:numPr>
        <w:spacing w:line="360" w:lineRule="auto"/>
        <w:jc w:val="both"/>
        <w:rPr>
          <w:rFonts w:ascii="Arial" w:hAnsi="Arial" w:cs="Arial"/>
          <w:sz w:val="24"/>
          <w:szCs w:val="24"/>
        </w:rPr>
      </w:pPr>
      <w:r w:rsidRPr="00AA2F7F">
        <w:rPr>
          <w:rFonts w:ascii="Arial" w:hAnsi="Arial" w:cs="Arial"/>
          <w:sz w:val="24"/>
          <w:szCs w:val="24"/>
        </w:rPr>
        <w:t>What are the advantages of a digital booking system and the best practises to consider for user acceptance?</w:t>
      </w:r>
    </w:p>
    <w:p w14:paraId="535C08A1" w14:textId="6D492616" w:rsidR="004253D0" w:rsidRPr="00AA2F7F" w:rsidRDefault="004253D0" w:rsidP="00AE777D">
      <w:pPr>
        <w:pStyle w:val="ListParagraph"/>
        <w:numPr>
          <w:ilvl w:val="0"/>
          <w:numId w:val="10"/>
        </w:numPr>
        <w:spacing w:line="360" w:lineRule="auto"/>
        <w:jc w:val="both"/>
        <w:rPr>
          <w:rFonts w:ascii="Arial" w:hAnsi="Arial" w:cs="Arial"/>
          <w:sz w:val="24"/>
          <w:szCs w:val="24"/>
        </w:rPr>
      </w:pPr>
      <w:r w:rsidRPr="00AA2F7F">
        <w:rPr>
          <w:rFonts w:ascii="Arial" w:hAnsi="Arial" w:cs="Arial"/>
          <w:sz w:val="24"/>
          <w:szCs w:val="24"/>
        </w:rPr>
        <w:t>How to define, report and improve on utilisation of outpatient</w:t>
      </w:r>
      <w:r w:rsidR="008D3C9D">
        <w:rPr>
          <w:rFonts w:ascii="Arial" w:hAnsi="Arial" w:cs="Arial"/>
          <w:sz w:val="24"/>
          <w:szCs w:val="24"/>
        </w:rPr>
        <w:t>s</w:t>
      </w:r>
      <w:r w:rsidRPr="00AA2F7F">
        <w:rPr>
          <w:rFonts w:ascii="Arial" w:hAnsi="Arial" w:cs="Arial"/>
          <w:sz w:val="24"/>
          <w:szCs w:val="24"/>
        </w:rPr>
        <w:t>.</w:t>
      </w:r>
    </w:p>
    <w:p w14:paraId="0CC3E926" w14:textId="11C0FE48" w:rsidR="004C3F38" w:rsidRPr="00AE777D" w:rsidRDefault="004C3F38" w:rsidP="00AE777D">
      <w:pPr>
        <w:spacing w:line="360" w:lineRule="auto"/>
        <w:jc w:val="both"/>
        <w:rPr>
          <w:rFonts w:ascii="Arial" w:hAnsi="Arial" w:cs="Arial"/>
          <w:b/>
          <w:bCs/>
          <w:sz w:val="25"/>
          <w:szCs w:val="25"/>
        </w:rPr>
      </w:pPr>
      <w:r w:rsidRPr="00AE777D">
        <w:rPr>
          <w:rFonts w:ascii="Arial" w:hAnsi="Arial" w:cs="Arial"/>
          <w:b/>
          <w:bCs/>
          <w:sz w:val="25"/>
          <w:szCs w:val="25"/>
        </w:rPr>
        <w:t>Method</w:t>
      </w:r>
    </w:p>
    <w:p w14:paraId="52D4166B" w14:textId="77777777" w:rsidR="00480060" w:rsidRPr="00AA2F7F" w:rsidRDefault="00480060" w:rsidP="00AE777D">
      <w:pPr>
        <w:spacing w:line="360" w:lineRule="auto"/>
        <w:jc w:val="both"/>
        <w:rPr>
          <w:rFonts w:ascii="Arial" w:hAnsi="Arial" w:cs="Arial"/>
          <w:sz w:val="24"/>
          <w:szCs w:val="24"/>
        </w:rPr>
      </w:pPr>
      <w:r w:rsidRPr="00AA2F7F">
        <w:rPr>
          <w:rFonts w:ascii="Arial" w:hAnsi="Arial" w:cs="Arial"/>
          <w:sz w:val="24"/>
          <w:szCs w:val="24"/>
        </w:rPr>
        <w:t xml:space="preserve">Several factors played a part in determining appropriate literature for this review. The University of St Trinity Library and online resources would be the main point of call for the literature review. Reasons for this were the number of online resources available, </w:t>
      </w:r>
      <w:r w:rsidRPr="00AA2F7F">
        <w:rPr>
          <w:rFonts w:ascii="Arial" w:hAnsi="Arial" w:cs="Arial"/>
          <w:sz w:val="24"/>
          <w:szCs w:val="24"/>
        </w:rPr>
        <w:lastRenderedPageBreak/>
        <w:t>such as eBooks, journals, and papers from multiple databases. The review also accessed literature from databases such as ProQuest Central, EBSCOhost, BioMed, PubMed and Google Scholar to provide the greatest depth of information available. The review would also look at Welsh Government and Health Board publications to ensure this project was contributing to the Welsh Government’s and Health Board’s policies and aims and objectives for its digital future. Search for literature principally took place during October and November 2021 with the following keywords used to generate the search results:</w:t>
      </w:r>
    </w:p>
    <w:p w14:paraId="2D6CE8E1"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Room utilisation</w:t>
      </w:r>
    </w:p>
    <w:p w14:paraId="462EC9B1"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 xml:space="preserve">Room capacity utilisation </w:t>
      </w:r>
    </w:p>
    <w:p w14:paraId="0BFC6FDC"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Room booking</w:t>
      </w:r>
    </w:p>
    <w:p w14:paraId="6E5BF541"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Online booking systems</w:t>
      </w:r>
    </w:p>
    <w:p w14:paraId="58DCB081"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Hotel booking</w:t>
      </w:r>
    </w:p>
    <w:p w14:paraId="256C224D"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Classroom booking</w:t>
      </w:r>
    </w:p>
    <w:p w14:paraId="406CAADB"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Booking service</w:t>
      </w:r>
    </w:p>
    <w:p w14:paraId="23E366F5"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Booking system</w:t>
      </w:r>
    </w:p>
    <w:p w14:paraId="65F17ED9"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Outpatient department</w:t>
      </w:r>
    </w:p>
    <w:p w14:paraId="7C9C2D5C" w14:textId="77777777" w:rsidR="004C3F38" w:rsidRPr="00AA2F7F" w:rsidRDefault="004C3F38" w:rsidP="00AE777D">
      <w:pPr>
        <w:pStyle w:val="ListParagraph"/>
        <w:numPr>
          <w:ilvl w:val="0"/>
          <w:numId w:val="9"/>
        </w:numPr>
        <w:spacing w:line="360" w:lineRule="auto"/>
        <w:jc w:val="both"/>
        <w:rPr>
          <w:rFonts w:ascii="Arial" w:hAnsi="Arial" w:cs="Arial"/>
          <w:sz w:val="24"/>
          <w:szCs w:val="24"/>
        </w:rPr>
      </w:pPr>
      <w:r w:rsidRPr="00AA2F7F">
        <w:rPr>
          <w:rFonts w:ascii="Arial" w:hAnsi="Arial" w:cs="Arial"/>
          <w:sz w:val="24"/>
          <w:szCs w:val="24"/>
        </w:rPr>
        <w:t>Outpatient transformation</w:t>
      </w:r>
    </w:p>
    <w:p w14:paraId="0E851D28" w14:textId="77777777" w:rsidR="00C2287B" w:rsidRPr="00AA2F7F" w:rsidRDefault="00C2287B" w:rsidP="00AE777D">
      <w:pPr>
        <w:spacing w:line="360" w:lineRule="auto"/>
        <w:jc w:val="both"/>
        <w:rPr>
          <w:rFonts w:ascii="Arial" w:hAnsi="Arial" w:cs="Arial"/>
          <w:sz w:val="24"/>
          <w:szCs w:val="24"/>
        </w:rPr>
      </w:pPr>
      <w:r w:rsidRPr="00AA2F7F">
        <w:rPr>
          <w:rFonts w:ascii="Arial" w:hAnsi="Arial" w:cs="Arial"/>
          <w:sz w:val="24"/>
          <w:szCs w:val="24"/>
        </w:rPr>
        <w:t xml:space="preserve">With the word </w:t>
      </w:r>
      <w:r w:rsidR="00AD6CCF">
        <w:rPr>
          <w:rFonts w:ascii="Arial" w:hAnsi="Arial" w:cs="Arial"/>
          <w:sz w:val="24"/>
          <w:szCs w:val="24"/>
        </w:rPr>
        <w:t>‘</w:t>
      </w:r>
      <w:r w:rsidRPr="00AA2F7F">
        <w:rPr>
          <w:rFonts w:ascii="Arial" w:hAnsi="Arial" w:cs="Arial"/>
          <w:sz w:val="24"/>
          <w:szCs w:val="24"/>
        </w:rPr>
        <w:t>booking</w:t>
      </w:r>
      <w:r w:rsidR="007106F2">
        <w:rPr>
          <w:rFonts w:ascii="Arial" w:hAnsi="Arial" w:cs="Arial"/>
          <w:sz w:val="24"/>
          <w:szCs w:val="24"/>
        </w:rPr>
        <w:t>’,</w:t>
      </w:r>
      <w:r w:rsidRPr="00AA2F7F">
        <w:rPr>
          <w:rFonts w:ascii="Arial" w:hAnsi="Arial" w:cs="Arial"/>
          <w:sz w:val="24"/>
          <w:szCs w:val="24"/>
        </w:rPr>
        <w:t xml:space="preserve"> e-booking and electronic booking were also used to enhance the pool of literature along with the word reservation. The word </w:t>
      </w:r>
      <w:r w:rsidR="00AD6CCF">
        <w:rPr>
          <w:rFonts w:ascii="Arial" w:hAnsi="Arial" w:cs="Arial"/>
          <w:sz w:val="24"/>
          <w:szCs w:val="24"/>
        </w:rPr>
        <w:t>‘</w:t>
      </w:r>
      <w:r w:rsidRPr="00AA2F7F">
        <w:rPr>
          <w:rFonts w:ascii="Arial" w:hAnsi="Arial" w:cs="Arial"/>
          <w:sz w:val="24"/>
          <w:szCs w:val="24"/>
        </w:rPr>
        <w:t>digital</w:t>
      </w:r>
      <w:r w:rsidR="00AD6CCF">
        <w:rPr>
          <w:rFonts w:ascii="Arial" w:hAnsi="Arial" w:cs="Arial"/>
          <w:sz w:val="24"/>
          <w:szCs w:val="24"/>
        </w:rPr>
        <w:t>’</w:t>
      </w:r>
      <w:r w:rsidRPr="00AA2F7F">
        <w:rPr>
          <w:rFonts w:ascii="Arial" w:hAnsi="Arial" w:cs="Arial"/>
          <w:sz w:val="24"/>
          <w:szCs w:val="24"/>
        </w:rPr>
        <w:t xml:space="preserve"> and </w:t>
      </w:r>
      <w:r w:rsidR="00AD6CCF">
        <w:rPr>
          <w:rFonts w:ascii="Arial" w:hAnsi="Arial" w:cs="Arial"/>
          <w:sz w:val="24"/>
          <w:szCs w:val="24"/>
        </w:rPr>
        <w:t>‘</w:t>
      </w:r>
      <w:r w:rsidRPr="00AA2F7F">
        <w:rPr>
          <w:rFonts w:ascii="Arial" w:hAnsi="Arial" w:cs="Arial"/>
          <w:sz w:val="24"/>
          <w:szCs w:val="24"/>
        </w:rPr>
        <w:t>electronic</w:t>
      </w:r>
      <w:r w:rsidR="00AD6CCF">
        <w:rPr>
          <w:rFonts w:ascii="Arial" w:hAnsi="Arial" w:cs="Arial"/>
          <w:sz w:val="24"/>
          <w:szCs w:val="24"/>
        </w:rPr>
        <w:t>’</w:t>
      </w:r>
      <w:r w:rsidRPr="00AA2F7F">
        <w:rPr>
          <w:rFonts w:ascii="Arial" w:hAnsi="Arial" w:cs="Arial"/>
          <w:sz w:val="24"/>
          <w:szCs w:val="24"/>
        </w:rPr>
        <w:t xml:space="preserve"> w</w:t>
      </w:r>
      <w:r w:rsidR="00AD6CCF">
        <w:rPr>
          <w:rFonts w:ascii="Arial" w:hAnsi="Arial" w:cs="Arial"/>
          <w:sz w:val="24"/>
          <w:szCs w:val="24"/>
        </w:rPr>
        <w:t>ere</w:t>
      </w:r>
      <w:r w:rsidRPr="00AA2F7F">
        <w:rPr>
          <w:rFonts w:ascii="Arial" w:hAnsi="Arial" w:cs="Arial"/>
          <w:sz w:val="24"/>
          <w:szCs w:val="24"/>
        </w:rPr>
        <w:t xml:space="preserve"> also used to replace the word online. To reduce results, inclusion of NHS in the searches help</w:t>
      </w:r>
      <w:r w:rsidR="00AD6CCF">
        <w:rPr>
          <w:rFonts w:ascii="Arial" w:hAnsi="Arial" w:cs="Arial"/>
          <w:sz w:val="24"/>
          <w:szCs w:val="24"/>
        </w:rPr>
        <w:t>ed</w:t>
      </w:r>
      <w:r w:rsidRPr="00AA2F7F">
        <w:rPr>
          <w:rFonts w:ascii="Arial" w:hAnsi="Arial" w:cs="Arial"/>
          <w:sz w:val="24"/>
          <w:szCs w:val="24"/>
        </w:rPr>
        <w:t xml:space="preserve"> determine if any solutions were currently being used in the U.K. health system. Additional filters added to reduce the number of materials being produced by these searches. These were:</w:t>
      </w:r>
    </w:p>
    <w:p w14:paraId="23BC4F64" w14:textId="77777777" w:rsidR="004C3F38" w:rsidRPr="00AA2F7F" w:rsidRDefault="004C3F38" w:rsidP="00AE777D">
      <w:pPr>
        <w:pStyle w:val="ListParagraph"/>
        <w:numPr>
          <w:ilvl w:val="0"/>
          <w:numId w:val="11"/>
        </w:numPr>
        <w:spacing w:line="360" w:lineRule="auto"/>
        <w:jc w:val="both"/>
        <w:rPr>
          <w:rFonts w:ascii="Arial" w:hAnsi="Arial" w:cs="Arial"/>
          <w:sz w:val="24"/>
          <w:szCs w:val="24"/>
        </w:rPr>
      </w:pPr>
      <w:r w:rsidRPr="00AA2F7F">
        <w:rPr>
          <w:rFonts w:ascii="Arial" w:hAnsi="Arial" w:cs="Arial"/>
          <w:sz w:val="24"/>
          <w:szCs w:val="24"/>
        </w:rPr>
        <w:t>Availability (Full text/Peer reviewed journals)</w:t>
      </w:r>
    </w:p>
    <w:p w14:paraId="0A3E6A3A" w14:textId="77777777" w:rsidR="004C3F38" w:rsidRPr="00AA2F7F" w:rsidRDefault="004C3F38" w:rsidP="00AE777D">
      <w:pPr>
        <w:pStyle w:val="ListParagraph"/>
        <w:numPr>
          <w:ilvl w:val="0"/>
          <w:numId w:val="11"/>
        </w:numPr>
        <w:spacing w:line="360" w:lineRule="auto"/>
        <w:jc w:val="both"/>
        <w:rPr>
          <w:rFonts w:ascii="Arial" w:hAnsi="Arial" w:cs="Arial"/>
          <w:sz w:val="24"/>
          <w:szCs w:val="24"/>
        </w:rPr>
      </w:pPr>
      <w:r w:rsidRPr="00AA2F7F">
        <w:rPr>
          <w:rFonts w:ascii="Arial" w:hAnsi="Arial" w:cs="Arial"/>
          <w:sz w:val="24"/>
          <w:szCs w:val="24"/>
        </w:rPr>
        <w:t xml:space="preserve">Resource type </w:t>
      </w:r>
    </w:p>
    <w:p w14:paraId="177DDDB5" w14:textId="77777777" w:rsidR="004C3F38" w:rsidRPr="00AA2F7F" w:rsidRDefault="004C3F38" w:rsidP="00AE777D">
      <w:pPr>
        <w:pStyle w:val="ListParagraph"/>
        <w:numPr>
          <w:ilvl w:val="0"/>
          <w:numId w:val="11"/>
        </w:numPr>
        <w:spacing w:line="360" w:lineRule="auto"/>
        <w:jc w:val="both"/>
        <w:rPr>
          <w:rFonts w:ascii="Arial" w:hAnsi="Arial" w:cs="Arial"/>
          <w:sz w:val="24"/>
          <w:szCs w:val="24"/>
        </w:rPr>
      </w:pPr>
      <w:r w:rsidRPr="00AA2F7F">
        <w:rPr>
          <w:rFonts w:ascii="Arial" w:hAnsi="Arial" w:cs="Arial"/>
          <w:sz w:val="24"/>
          <w:szCs w:val="24"/>
        </w:rPr>
        <w:t>Subject</w:t>
      </w:r>
    </w:p>
    <w:p w14:paraId="52AF29CA" w14:textId="77777777" w:rsidR="004C3F38" w:rsidRPr="00AA2F7F" w:rsidRDefault="004C3F38" w:rsidP="00AE777D">
      <w:pPr>
        <w:pStyle w:val="ListParagraph"/>
        <w:numPr>
          <w:ilvl w:val="0"/>
          <w:numId w:val="11"/>
        </w:numPr>
        <w:spacing w:line="360" w:lineRule="auto"/>
        <w:jc w:val="both"/>
        <w:rPr>
          <w:rFonts w:ascii="Arial" w:hAnsi="Arial" w:cs="Arial"/>
          <w:sz w:val="24"/>
          <w:szCs w:val="24"/>
        </w:rPr>
      </w:pPr>
      <w:r w:rsidRPr="00AA2F7F">
        <w:rPr>
          <w:rFonts w:ascii="Arial" w:hAnsi="Arial" w:cs="Arial"/>
          <w:sz w:val="24"/>
          <w:szCs w:val="24"/>
        </w:rPr>
        <w:t>Creation Date</w:t>
      </w:r>
    </w:p>
    <w:p w14:paraId="24E31DB3" w14:textId="77777777" w:rsidR="0071246A" w:rsidRPr="00AA2F7F" w:rsidRDefault="0071246A" w:rsidP="00AE777D">
      <w:pPr>
        <w:spacing w:line="360" w:lineRule="auto"/>
        <w:jc w:val="both"/>
        <w:rPr>
          <w:rFonts w:ascii="Arial" w:hAnsi="Arial" w:cs="Arial"/>
          <w:sz w:val="24"/>
          <w:szCs w:val="24"/>
        </w:rPr>
      </w:pPr>
      <w:r w:rsidRPr="00AA2F7F">
        <w:rPr>
          <w:rFonts w:ascii="Arial" w:hAnsi="Arial" w:cs="Arial"/>
          <w:sz w:val="24"/>
          <w:szCs w:val="24"/>
        </w:rPr>
        <w:t xml:space="preserve">Details and descriptions of the literature to determine if the work was suitable, along with reading any abstracts of the literature, if available. After the initial process, an in-depth review of literature takes place to discover any relevant information. The review </w:t>
      </w:r>
      <w:r w:rsidRPr="00AA2F7F">
        <w:rPr>
          <w:rFonts w:ascii="Arial" w:hAnsi="Arial" w:cs="Arial"/>
          <w:sz w:val="24"/>
          <w:szCs w:val="24"/>
        </w:rPr>
        <w:lastRenderedPageBreak/>
        <w:t>also looked at citations and references from relevant sources to create a bigger pool of literature. The favourites tab in the online library or a database with RefWorks are used to store any literature deemed suitable for the review. RefWorks is a web-based bibliography and database manager that allows for the storage of a personal database of references.</w:t>
      </w:r>
    </w:p>
    <w:p w14:paraId="37F72469" w14:textId="77777777" w:rsidR="004C3F38" w:rsidRPr="00AE777D" w:rsidRDefault="004C3F38" w:rsidP="00AE777D">
      <w:pPr>
        <w:spacing w:line="360" w:lineRule="auto"/>
        <w:jc w:val="both"/>
        <w:rPr>
          <w:rFonts w:ascii="Arial" w:hAnsi="Arial" w:cs="Arial"/>
          <w:b/>
          <w:bCs/>
          <w:sz w:val="25"/>
          <w:szCs w:val="25"/>
        </w:rPr>
      </w:pPr>
      <w:r w:rsidRPr="00AE777D">
        <w:rPr>
          <w:rFonts w:ascii="Arial" w:hAnsi="Arial" w:cs="Arial"/>
          <w:b/>
          <w:bCs/>
          <w:sz w:val="25"/>
          <w:szCs w:val="25"/>
        </w:rPr>
        <w:t>Quality appraisal</w:t>
      </w:r>
    </w:p>
    <w:p w14:paraId="1F3C9575" w14:textId="77777777" w:rsidR="002205E5" w:rsidRPr="00AA2F7F" w:rsidRDefault="002205E5" w:rsidP="00AE777D">
      <w:pPr>
        <w:spacing w:line="360" w:lineRule="auto"/>
        <w:jc w:val="both"/>
        <w:rPr>
          <w:rFonts w:ascii="Arial" w:hAnsi="Arial" w:cs="Arial"/>
          <w:sz w:val="24"/>
          <w:szCs w:val="24"/>
        </w:rPr>
      </w:pPr>
      <w:r w:rsidRPr="00AA2F7F">
        <w:rPr>
          <w:rFonts w:ascii="Arial" w:hAnsi="Arial" w:cs="Arial"/>
          <w:sz w:val="24"/>
          <w:szCs w:val="24"/>
        </w:rPr>
        <w:t>To maximise the quality of literature being ascertained, multiple factors had to be considered. The first was to aim for peer-reviewed journals and articles, as this means their peers have read and reviewed the articles before publication. Consideration of the authors’ level of experience or knowledge of the subject was also a factor.</w:t>
      </w:r>
    </w:p>
    <w:p w14:paraId="723E5DA7" w14:textId="77777777" w:rsidR="002205E5" w:rsidRPr="00AA2F7F" w:rsidRDefault="002205E5" w:rsidP="00AE777D">
      <w:pPr>
        <w:spacing w:line="360" w:lineRule="auto"/>
        <w:jc w:val="both"/>
        <w:rPr>
          <w:rFonts w:ascii="Arial" w:hAnsi="Arial" w:cs="Arial"/>
          <w:sz w:val="24"/>
          <w:szCs w:val="24"/>
        </w:rPr>
      </w:pPr>
      <w:r w:rsidRPr="00AA2F7F">
        <w:rPr>
          <w:rFonts w:ascii="Arial" w:hAnsi="Arial" w:cs="Arial"/>
          <w:sz w:val="24"/>
          <w:szCs w:val="24"/>
        </w:rPr>
        <w:t xml:space="preserve">When looking at a digital solution, the viewing of new literature is key because of quick advancement in technology. Therefore, literature from 2016 given greater relevance than items coming before this date with the years 2019 and above given most credence. However, texts before this date are still viable, as </w:t>
      </w:r>
      <w:r w:rsidR="00EB6721" w:rsidRPr="00AA2F7F">
        <w:rPr>
          <w:rFonts w:ascii="Arial" w:hAnsi="Arial" w:cs="Arial"/>
          <w:sz w:val="24"/>
          <w:szCs w:val="24"/>
        </w:rPr>
        <w:t>they</w:t>
      </w:r>
      <w:r w:rsidRPr="00AA2F7F">
        <w:rPr>
          <w:rFonts w:ascii="Arial" w:hAnsi="Arial" w:cs="Arial"/>
          <w:sz w:val="24"/>
          <w:szCs w:val="24"/>
        </w:rPr>
        <w:t xml:space="preserve"> may include relevant theories or practises that could still be of benefit.</w:t>
      </w:r>
    </w:p>
    <w:p w14:paraId="5D9BB9B1" w14:textId="77777777" w:rsidR="004C3F38" w:rsidRPr="00AE777D" w:rsidRDefault="004C3F38" w:rsidP="00AE777D">
      <w:pPr>
        <w:spacing w:line="360" w:lineRule="auto"/>
        <w:jc w:val="both"/>
        <w:rPr>
          <w:rFonts w:ascii="Arial" w:hAnsi="Arial" w:cs="Arial"/>
          <w:b/>
          <w:bCs/>
          <w:sz w:val="25"/>
          <w:szCs w:val="25"/>
        </w:rPr>
      </w:pPr>
      <w:r w:rsidRPr="00AE777D">
        <w:rPr>
          <w:rFonts w:ascii="Arial" w:hAnsi="Arial" w:cs="Arial"/>
          <w:b/>
          <w:bCs/>
          <w:sz w:val="25"/>
          <w:szCs w:val="25"/>
        </w:rPr>
        <w:t>Results</w:t>
      </w:r>
    </w:p>
    <w:p w14:paraId="3A2F960A" w14:textId="77777777" w:rsidR="004A23D7" w:rsidRPr="00AA2F7F" w:rsidRDefault="004A23D7"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The results returned were still in a high proportion and still produced an unimaginable number, therefore the inclusion/exclusion criteria applied to the first </w:t>
      </w:r>
      <w:r w:rsidR="004F6D5C" w:rsidRPr="00AA2F7F">
        <w:rPr>
          <w:rFonts w:ascii="Arial" w:hAnsi="Arial" w:cs="Arial"/>
          <w:sz w:val="24"/>
          <w:szCs w:val="24"/>
          <w:lang w:eastAsia="en-GB"/>
        </w:rPr>
        <w:t>two hundred</w:t>
      </w:r>
      <w:r w:rsidRPr="00AA2F7F">
        <w:rPr>
          <w:rFonts w:ascii="Arial" w:hAnsi="Arial" w:cs="Arial"/>
          <w:sz w:val="24"/>
          <w:szCs w:val="24"/>
          <w:lang w:eastAsia="en-GB"/>
        </w:rPr>
        <w:t xml:space="preserve"> papers due to time constraints, with </w:t>
      </w:r>
      <w:r w:rsidR="008C62D9">
        <w:rPr>
          <w:rFonts w:ascii="Arial" w:hAnsi="Arial" w:cs="Arial"/>
          <w:sz w:val="24"/>
          <w:szCs w:val="24"/>
          <w:lang w:eastAsia="en-GB"/>
        </w:rPr>
        <w:t>nineteen</w:t>
      </w:r>
      <w:r w:rsidRPr="00AA2F7F">
        <w:rPr>
          <w:rFonts w:ascii="Arial" w:hAnsi="Arial" w:cs="Arial"/>
          <w:sz w:val="24"/>
          <w:szCs w:val="24"/>
          <w:lang w:eastAsia="en-GB"/>
        </w:rPr>
        <w:t xml:space="preserve"> accepted for the review.</w:t>
      </w:r>
    </w:p>
    <w:p w14:paraId="4E9BD633" w14:textId="77777777" w:rsidR="004C3F38" w:rsidRPr="00AE777D" w:rsidRDefault="004C3F38" w:rsidP="00AE777D">
      <w:pPr>
        <w:spacing w:line="360" w:lineRule="auto"/>
        <w:jc w:val="both"/>
        <w:rPr>
          <w:rFonts w:ascii="Arial" w:hAnsi="Arial" w:cs="Arial"/>
          <w:b/>
          <w:bCs/>
          <w:sz w:val="25"/>
          <w:szCs w:val="25"/>
        </w:rPr>
      </w:pPr>
      <w:r w:rsidRPr="00AE777D">
        <w:rPr>
          <w:rFonts w:ascii="Arial" w:hAnsi="Arial" w:cs="Arial"/>
          <w:b/>
          <w:bCs/>
          <w:sz w:val="25"/>
          <w:szCs w:val="25"/>
        </w:rPr>
        <w:t xml:space="preserve">Discussion </w:t>
      </w:r>
    </w:p>
    <w:p w14:paraId="2DB9EF71" w14:textId="51238603" w:rsidR="002747CC" w:rsidRPr="00AE777D" w:rsidRDefault="004C3F38" w:rsidP="00AE777D">
      <w:pPr>
        <w:spacing w:line="360" w:lineRule="auto"/>
        <w:jc w:val="both"/>
        <w:rPr>
          <w:rFonts w:ascii="Arial" w:hAnsi="Arial" w:cs="Arial"/>
          <w:b/>
          <w:bCs/>
          <w:sz w:val="24"/>
          <w:szCs w:val="24"/>
        </w:rPr>
      </w:pPr>
      <w:r w:rsidRPr="00AE777D">
        <w:rPr>
          <w:rFonts w:ascii="Arial" w:hAnsi="Arial" w:cs="Arial"/>
          <w:b/>
          <w:bCs/>
          <w:sz w:val="24"/>
          <w:szCs w:val="24"/>
        </w:rPr>
        <w:t xml:space="preserve">Advantages </w:t>
      </w:r>
      <w:r w:rsidR="008D3C9D" w:rsidRPr="00AE777D">
        <w:rPr>
          <w:rFonts w:ascii="Arial" w:hAnsi="Arial" w:cs="Arial"/>
          <w:b/>
          <w:bCs/>
          <w:sz w:val="24"/>
          <w:szCs w:val="24"/>
        </w:rPr>
        <w:t>and consideration for an</w:t>
      </w:r>
      <w:r w:rsidRPr="00AE777D">
        <w:rPr>
          <w:rFonts w:ascii="Arial" w:hAnsi="Arial" w:cs="Arial"/>
          <w:b/>
          <w:bCs/>
          <w:sz w:val="24"/>
          <w:szCs w:val="24"/>
        </w:rPr>
        <w:t xml:space="preserve"> online booking system</w:t>
      </w:r>
      <w:r w:rsidR="008D3C9D" w:rsidRPr="00AE777D">
        <w:rPr>
          <w:rFonts w:ascii="Arial" w:hAnsi="Arial" w:cs="Arial"/>
          <w:b/>
          <w:bCs/>
          <w:sz w:val="24"/>
          <w:szCs w:val="24"/>
        </w:rPr>
        <w:t>.</w:t>
      </w:r>
    </w:p>
    <w:p w14:paraId="69DF07BC" w14:textId="77777777" w:rsidR="00250F16" w:rsidRPr="00AA2F7F" w:rsidRDefault="00250F1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Paper based booking can bring disruptions and lead to issues in deciphering staff’s schedules (</w:t>
      </w:r>
      <w:proofErr w:type="spellStart"/>
      <w:r w:rsidRPr="00AA2F7F">
        <w:rPr>
          <w:rFonts w:ascii="Arial" w:hAnsi="Arial" w:cs="Arial"/>
          <w:sz w:val="24"/>
          <w:szCs w:val="24"/>
          <w:lang w:eastAsia="en-GB"/>
        </w:rPr>
        <w:t>Ikbal</w:t>
      </w:r>
      <w:proofErr w:type="spellEnd"/>
      <w:r w:rsidRPr="00AA2F7F">
        <w:rPr>
          <w:rFonts w:ascii="Arial" w:hAnsi="Arial" w:cs="Arial"/>
          <w:sz w:val="24"/>
          <w:szCs w:val="24"/>
          <w:lang w:eastAsia="en-GB"/>
        </w:rPr>
        <w:t xml:space="preserve"> and </w:t>
      </w:r>
      <w:proofErr w:type="spellStart"/>
      <w:r w:rsidRPr="00AA2F7F">
        <w:rPr>
          <w:rFonts w:ascii="Arial" w:hAnsi="Arial" w:cs="Arial"/>
          <w:sz w:val="24"/>
          <w:szCs w:val="24"/>
          <w:lang w:eastAsia="en-GB"/>
        </w:rPr>
        <w:t>Mauluddin</w:t>
      </w:r>
      <w:proofErr w:type="spellEnd"/>
      <w:r w:rsidRPr="00AA2F7F">
        <w:rPr>
          <w:rFonts w:ascii="Arial" w:hAnsi="Arial" w:cs="Arial"/>
          <w:sz w:val="24"/>
          <w:szCs w:val="24"/>
          <w:lang w:eastAsia="en-GB"/>
        </w:rPr>
        <w:t>, 201</w:t>
      </w:r>
      <w:r w:rsidR="003E6943">
        <w:rPr>
          <w:rFonts w:ascii="Arial" w:hAnsi="Arial" w:cs="Arial"/>
          <w:sz w:val="24"/>
          <w:szCs w:val="24"/>
          <w:lang w:eastAsia="en-GB"/>
        </w:rPr>
        <w:t>9</w:t>
      </w:r>
      <w:r w:rsidRPr="00AA2F7F">
        <w:rPr>
          <w:rFonts w:ascii="Arial" w:hAnsi="Arial" w:cs="Arial"/>
          <w:sz w:val="24"/>
          <w:szCs w:val="24"/>
          <w:lang w:eastAsia="en-GB"/>
        </w:rPr>
        <w:t xml:space="preserve">, p. 1). A digital solution can solve these problems as it has shown to do in the education sector. An electronic booking system has proven in classroom settings that it can avoid overbooking of rooms (Ikbal and Mauluddin, 2018, p. 6). This leads to time saved for the room requester and avoids clashes. By delving into a digitised approach to room booking, it will allow for the correct information to </w:t>
      </w:r>
      <w:r w:rsidR="000C3DD4">
        <w:rPr>
          <w:rFonts w:ascii="Arial" w:hAnsi="Arial" w:cs="Arial"/>
          <w:sz w:val="24"/>
          <w:szCs w:val="24"/>
          <w:lang w:eastAsia="en-GB"/>
        </w:rPr>
        <w:t xml:space="preserve">be </w:t>
      </w:r>
      <w:r w:rsidRPr="00AA2F7F">
        <w:rPr>
          <w:rFonts w:ascii="Arial" w:hAnsi="Arial" w:cs="Arial"/>
          <w:sz w:val="24"/>
          <w:szCs w:val="24"/>
          <w:lang w:eastAsia="en-GB"/>
        </w:rPr>
        <w:t>available, allowing staff to complete their jobs effectively (Wachter, 2016, p. 51).</w:t>
      </w:r>
    </w:p>
    <w:p w14:paraId="2C38A585" w14:textId="5C908DEB" w:rsidR="00250F16" w:rsidRPr="00AA2F7F" w:rsidRDefault="00250F1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lastRenderedPageBreak/>
        <w:t xml:space="preserve">Push back can occur when introducing a </w:t>
      </w:r>
      <w:r w:rsidR="00344BEB">
        <w:rPr>
          <w:rFonts w:ascii="Arial" w:hAnsi="Arial" w:cs="Arial"/>
          <w:sz w:val="24"/>
          <w:szCs w:val="24"/>
          <w:lang w:eastAsia="en-GB"/>
        </w:rPr>
        <w:t>new</w:t>
      </w:r>
      <w:r w:rsidRPr="00AA2F7F">
        <w:rPr>
          <w:rFonts w:ascii="Arial" w:hAnsi="Arial" w:cs="Arial"/>
          <w:sz w:val="24"/>
          <w:szCs w:val="24"/>
          <w:lang w:eastAsia="en-GB"/>
        </w:rPr>
        <w:t xml:space="preserve"> </w:t>
      </w:r>
      <w:r w:rsidR="00253F5C" w:rsidRPr="00AA2F7F">
        <w:rPr>
          <w:rFonts w:ascii="Arial" w:hAnsi="Arial" w:cs="Arial"/>
          <w:sz w:val="24"/>
          <w:szCs w:val="24"/>
          <w:lang w:eastAsia="en-GB"/>
        </w:rPr>
        <w:t>approach</w:t>
      </w:r>
      <w:r w:rsidRPr="00AA2F7F">
        <w:rPr>
          <w:rFonts w:ascii="Arial" w:hAnsi="Arial" w:cs="Arial"/>
          <w:sz w:val="24"/>
          <w:szCs w:val="24"/>
          <w:lang w:eastAsia="en-GB"/>
        </w:rPr>
        <w:t>. This is no different to a booking system (Tanzer, Racaniello and Feldman 2020, p. E450). However, if the system implemented is a success, a culture change can occur (Tanzer, Racaniello and Feldman, 2020, p. E450). A way to help with introducing a system</w:t>
      </w:r>
      <w:r w:rsidR="000C3DD4">
        <w:rPr>
          <w:rFonts w:ascii="Arial" w:hAnsi="Arial" w:cs="Arial"/>
          <w:sz w:val="24"/>
          <w:szCs w:val="24"/>
          <w:lang w:eastAsia="en-GB"/>
        </w:rPr>
        <w:t xml:space="preserve"> is</w:t>
      </w:r>
      <w:r w:rsidRPr="00AA2F7F">
        <w:rPr>
          <w:rFonts w:ascii="Arial" w:hAnsi="Arial" w:cs="Arial"/>
          <w:sz w:val="24"/>
          <w:szCs w:val="24"/>
          <w:lang w:eastAsia="en-GB"/>
        </w:rPr>
        <w:t xml:space="preserve"> to raise awareness and introduce session</w:t>
      </w:r>
      <w:r w:rsidR="000C3DD4">
        <w:rPr>
          <w:rFonts w:ascii="Arial" w:hAnsi="Arial" w:cs="Arial"/>
          <w:sz w:val="24"/>
          <w:szCs w:val="24"/>
          <w:lang w:eastAsia="en-GB"/>
        </w:rPr>
        <w:t>s</w:t>
      </w:r>
      <w:r w:rsidRPr="00AA2F7F">
        <w:rPr>
          <w:rFonts w:ascii="Arial" w:hAnsi="Arial" w:cs="Arial"/>
          <w:sz w:val="24"/>
          <w:szCs w:val="24"/>
          <w:lang w:eastAsia="en-GB"/>
        </w:rPr>
        <w:t xml:space="preserve"> to tutor people on the new process</w:t>
      </w:r>
      <w:r w:rsidR="002C681F">
        <w:rPr>
          <w:rFonts w:ascii="Arial" w:hAnsi="Arial" w:cs="Arial"/>
          <w:sz w:val="24"/>
          <w:szCs w:val="24"/>
          <w:lang w:eastAsia="en-GB"/>
        </w:rPr>
        <w:t xml:space="preserve"> </w:t>
      </w:r>
      <w:r w:rsidRPr="00AA2F7F">
        <w:rPr>
          <w:rFonts w:ascii="Arial" w:hAnsi="Arial" w:cs="Arial"/>
          <w:sz w:val="24"/>
          <w:szCs w:val="24"/>
          <w:lang w:eastAsia="en-GB"/>
        </w:rPr>
        <w:t xml:space="preserve">(Khan, </w:t>
      </w:r>
      <w:proofErr w:type="spellStart"/>
      <w:r w:rsidRPr="00AA2F7F">
        <w:rPr>
          <w:rFonts w:ascii="Arial" w:hAnsi="Arial" w:cs="Arial"/>
          <w:sz w:val="24"/>
          <w:szCs w:val="24"/>
          <w:lang w:eastAsia="en-GB"/>
        </w:rPr>
        <w:t>Sonwalker</w:t>
      </w:r>
      <w:proofErr w:type="spellEnd"/>
      <w:r w:rsidRPr="00AA2F7F">
        <w:rPr>
          <w:rFonts w:ascii="Arial" w:hAnsi="Arial" w:cs="Arial"/>
          <w:sz w:val="24"/>
          <w:szCs w:val="24"/>
          <w:lang w:eastAsia="en-GB"/>
        </w:rPr>
        <w:t xml:space="preserve"> and Verma, 2021, p. 365).</w:t>
      </w:r>
    </w:p>
    <w:p w14:paraId="14329A37" w14:textId="4D053A5E" w:rsidR="00250F16" w:rsidRPr="00AA2F7F" w:rsidRDefault="00250F1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Convenience is key to the successful adoption of </w:t>
      </w:r>
      <w:r w:rsidR="00253F5C">
        <w:rPr>
          <w:rFonts w:ascii="Arial" w:hAnsi="Arial" w:cs="Arial"/>
          <w:sz w:val="24"/>
          <w:szCs w:val="24"/>
          <w:lang w:eastAsia="en-GB"/>
        </w:rPr>
        <w:t xml:space="preserve">the </w:t>
      </w:r>
      <w:r w:rsidRPr="00AA2F7F">
        <w:rPr>
          <w:rFonts w:ascii="Arial" w:hAnsi="Arial" w:cs="Arial"/>
          <w:sz w:val="24"/>
          <w:szCs w:val="24"/>
          <w:lang w:eastAsia="en-GB"/>
        </w:rPr>
        <w:t>booking system. As one of the most important motivators to using an online system is ease of use (Chen et al., 2002 p. 715). If the booking system is easy to use, the user will recommend (Tao et al., 2018, p. 29). This theory is furthered by Ikbal and Mauluddin (2019, p. 1) who state that users will abandon the technology if it is not useable. One method to add convenience is to tailor the experience (Tao et al., 2018, p. 32). An example of this is to store users’ details to quicken up the process, such as staff usernames</w:t>
      </w:r>
      <w:r w:rsidR="00253F5C">
        <w:rPr>
          <w:rFonts w:ascii="Arial" w:hAnsi="Arial" w:cs="Arial"/>
          <w:sz w:val="24"/>
          <w:szCs w:val="24"/>
          <w:lang w:eastAsia="en-GB"/>
        </w:rPr>
        <w:t xml:space="preserve"> </w:t>
      </w:r>
      <w:r w:rsidRPr="00AA2F7F">
        <w:rPr>
          <w:rFonts w:ascii="Arial" w:hAnsi="Arial" w:cs="Arial"/>
          <w:sz w:val="24"/>
          <w:szCs w:val="24"/>
          <w:lang w:eastAsia="en-GB"/>
        </w:rPr>
        <w:t>(Tao et al., 2018, p. 32).</w:t>
      </w:r>
    </w:p>
    <w:p w14:paraId="1B540CEC" w14:textId="423F2A04" w:rsidR="00F372EB" w:rsidRDefault="00250F1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When looking at a digital solution, there needs to be considerations to its design. As design of the environment will influence people’s perception of quality (</w:t>
      </w:r>
      <w:proofErr w:type="spellStart"/>
      <w:r w:rsidRPr="00AA2F7F">
        <w:rPr>
          <w:rFonts w:ascii="Arial" w:hAnsi="Arial" w:cs="Arial"/>
          <w:sz w:val="24"/>
          <w:szCs w:val="24"/>
          <w:lang w:eastAsia="en-GB"/>
        </w:rPr>
        <w:t>Baek</w:t>
      </w:r>
      <w:proofErr w:type="spellEnd"/>
      <w:r w:rsidRPr="00AA2F7F">
        <w:rPr>
          <w:rFonts w:ascii="Arial" w:hAnsi="Arial" w:cs="Arial"/>
          <w:sz w:val="24"/>
          <w:szCs w:val="24"/>
          <w:lang w:eastAsia="en-GB"/>
        </w:rPr>
        <w:t xml:space="preserve"> and Michael Ok, 2017, p. 8). If a user cannot navigate the system well, they are likely to revert to previous methods. A helpful feature would be to add a guide to the interface to help unaccustomed users (Tao et al., 2018, p. 32).</w:t>
      </w:r>
    </w:p>
    <w:p w14:paraId="7452DA9D" w14:textId="7A0450F5" w:rsidR="00250F16" w:rsidRPr="00AA2F7F" w:rsidRDefault="00250F1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A benefit that a digital solution could bring</w:t>
      </w:r>
      <w:r w:rsidR="00F372EB">
        <w:rPr>
          <w:rFonts w:ascii="Arial" w:hAnsi="Arial" w:cs="Arial"/>
          <w:sz w:val="24"/>
          <w:szCs w:val="24"/>
          <w:lang w:eastAsia="en-GB"/>
        </w:rPr>
        <w:t xml:space="preserve"> clinicians</w:t>
      </w:r>
      <w:r w:rsidR="00465D89">
        <w:rPr>
          <w:rFonts w:ascii="Arial" w:hAnsi="Arial" w:cs="Arial"/>
          <w:sz w:val="24"/>
          <w:szCs w:val="24"/>
          <w:lang w:eastAsia="en-GB"/>
        </w:rPr>
        <w:t>,</w:t>
      </w:r>
      <w:r w:rsidR="00F372EB">
        <w:rPr>
          <w:rFonts w:ascii="Arial" w:hAnsi="Arial" w:cs="Arial"/>
          <w:sz w:val="24"/>
          <w:szCs w:val="24"/>
          <w:lang w:eastAsia="en-GB"/>
        </w:rPr>
        <w:t xml:space="preserve"> </w:t>
      </w:r>
      <w:r w:rsidRPr="00AA2F7F">
        <w:rPr>
          <w:rFonts w:ascii="Arial" w:hAnsi="Arial" w:cs="Arial"/>
          <w:sz w:val="24"/>
          <w:szCs w:val="24"/>
          <w:lang w:eastAsia="en-GB"/>
        </w:rPr>
        <w:t xml:space="preserve">is the inclusion of pictures of </w:t>
      </w:r>
      <w:r w:rsidR="00465D89" w:rsidRPr="00AA2F7F">
        <w:rPr>
          <w:rFonts w:ascii="Arial" w:hAnsi="Arial" w:cs="Arial"/>
          <w:sz w:val="24"/>
          <w:szCs w:val="24"/>
          <w:lang w:eastAsia="en-GB"/>
        </w:rPr>
        <w:t xml:space="preserve">room facilities </w:t>
      </w:r>
      <w:r w:rsidRPr="00AA2F7F">
        <w:rPr>
          <w:rFonts w:ascii="Arial" w:hAnsi="Arial" w:cs="Arial"/>
          <w:sz w:val="24"/>
          <w:szCs w:val="24"/>
          <w:lang w:eastAsia="en-GB"/>
        </w:rPr>
        <w:t>with detail descriptions</w:t>
      </w:r>
      <w:r w:rsidR="00465D89">
        <w:rPr>
          <w:rFonts w:ascii="Arial" w:hAnsi="Arial" w:cs="Arial"/>
          <w:sz w:val="24"/>
          <w:szCs w:val="24"/>
          <w:lang w:eastAsia="en-GB"/>
        </w:rPr>
        <w:t xml:space="preserve"> </w:t>
      </w:r>
      <w:r w:rsidRPr="00AA2F7F">
        <w:rPr>
          <w:rFonts w:ascii="Arial" w:hAnsi="Arial" w:cs="Arial"/>
          <w:sz w:val="24"/>
          <w:szCs w:val="24"/>
          <w:lang w:eastAsia="en-GB"/>
        </w:rPr>
        <w:t>(</w:t>
      </w:r>
      <w:proofErr w:type="spellStart"/>
      <w:r w:rsidRPr="00AA2F7F">
        <w:rPr>
          <w:rFonts w:ascii="Arial" w:hAnsi="Arial" w:cs="Arial"/>
          <w:sz w:val="24"/>
          <w:szCs w:val="24"/>
          <w:lang w:eastAsia="en-GB"/>
        </w:rPr>
        <w:t>Baek</w:t>
      </w:r>
      <w:proofErr w:type="spellEnd"/>
      <w:r w:rsidRPr="00AA2F7F">
        <w:rPr>
          <w:rFonts w:ascii="Arial" w:hAnsi="Arial" w:cs="Arial"/>
          <w:sz w:val="24"/>
          <w:szCs w:val="24"/>
          <w:lang w:eastAsia="en-GB"/>
        </w:rPr>
        <w:t xml:space="preserve"> and Michael Ok, 2017, p. 8).</w:t>
      </w:r>
      <w:r w:rsidR="00465D89">
        <w:rPr>
          <w:rFonts w:ascii="Arial" w:hAnsi="Arial" w:cs="Arial"/>
          <w:sz w:val="24"/>
          <w:szCs w:val="24"/>
          <w:lang w:eastAsia="en-GB"/>
        </w:rPr>
        <w:t xml:space="preserve"> This will ensure the room is right for them.</w:t>
      </w:r>
    </w:p>
    <w:p w14:paraId="2999A070" w14:textId="77777777" w:rsidR="000C3DD4" w:rsidRPr="00D07BDC" w:rsidRDefault="00250F1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Correct implementation of a digital solution can avoid the user from a high workload (Hu and Gu, 2013, p. 2948). Design should be the number one factor for the booking system, as Tao et al. (2018, p. 31)</w:t>
      </w:r>
      <w:r w:rsidR="000C3DD4">
        <w:rPr>
          <w:rFonts w:ascii="Arial" w:hAnsi="Arial" w:cs="Arial"/>
          <w:sz w:val="24"/>
          <w:szCs w:val="24"/>
          <w:lang w:eastAsia="en-GB"/>
        </w:rPr>
        <w:t xml:space="preserve"> </w:t>
      </w:r>
      <w:r w:rsidRPr="00AA2F7F">
        <w:rPr>
          <w:rFonts w:ascii="Arial" w:hAnsi="Arial" w:cs="Arial"/>
          <w:sz w:val="24"/>
          <w:szCs w:val="24"/>
          <w:lang w:eastAsia="en-GB"/>
        </w:rPr>
        <w:t>conveys a user-friendly approach should always be at the forefront when designing the interface. Having design at the core will reduce the workload for the outpatient staff (Russ et al., 2014, p. e293).</w:t>
      </w:r>
    </w:p>
    <w:p w14:paraId="14650E5C" w14:textId="77777777" w:rsidR="002747CC" w:rsidRDefault="002747CC" w:rsidP="00AE777D">
      <w:pPr>
        <w:spacing w:line="360" w:lineRule="auto"/>
        <w:jc w:val="both"/>
        <w:rPr>
          <w:rFonts w:ascii="Arial" w:hAnsi="Arial" w:cs="Arial"/>
          <w:b/>
          <w:bCs/>
          <w:color w:val="000000" w:themeColor="text1"/>
          <w:sz w:val="24"/>
          <w:szCs w:val="24"/>
        </w:rPr>
      </w:pPr>
    </w:p>
    <w:p w14:paraId="4FAC7ED1" w14:textId="77777777" w:rsidR="002747CC" w:rsidRDefault="002747CC" w:rsidP="00AE777D">
      <w:pPr>
        <w:spacing w:line="360" w:lineRule="auto"/>
        <w:jc w:val="both"/>
        <w:rPr>
          <w:rFonts w:ascii="Arial" w:hAnsi="Arial" w:cs="Arial"/>
          <w:b/>
          <w:bCs/>
          <w:color w:val="000000" w:themeColor="text1"/>
          <w:sz w:val="24"/>
          <w:szCs w:val="24"/>
        </w:rPr>
      </w:pPr>
    </w:p>
    <w:p w14:paraId="7129A817" w14:textId="77777777" w:rsidR="002747CC" w:rsidRDefault="002747CC" w:rsidP="00AE777D">
      <w:pPr>
        <w:spacing w:line="360" w:lineRule="auto"/>
        <w:jc w:val="both"/>
        <w:rPr>
          <w:rFonts w:ascii="Arial" w:hAnsi="Arial" w:cs="Arial"/>
          <w:b/>
          <w:bCs/>
          <w:color w:val="000000" w:themeColor="text1"/>
          <w:sz w:val="24"/>
          <w:szCs w:val="24"/>
        </w:rPr>
      </w:pPr>
    </w:p>
    <w:p w14:paraId="05ACB5A5" w14:textId="2789EBD9" w:rsidR="004C3F38" w:rsidRPr="00AE777D" w:rsidRDefault="004C3F38" w:rsidP="00AE777D">
      <w:pPr>
        <w:spacing w:line="360" w:lineRule="auto"/>
        <w:jc w:val="both"/>
        <w:rPr>
          <w:rFonts w:ascii="Arial" w:hAnsi="Arial" w:cs="Arial"/>
          <w:b/>
          <w:bCs/>
          <w:color w:val="000000" w:themeColor="text1"/>
          <w:sz w:val="24"/>
          <w:szCs w:val="24"/>
        </w:rPr>
      </w:pPr>
      <w:r w:rsidRPr="00AE777D">
        <w:rPr>
          <w:rFonts w:ascii="Arial" w:hAnsi="Arial" w:cs="Arial"/>
          <w:b/>
          <w:bCs/>
          <w:color w:val="000000" w:themeColor="text1"/>
          <w:sz w:val="24"/>
          <w:szCs w:val="24"/>
        </w:rPr>
        <w:lastRenderedPageBreak/>
        <w:t>Improving on utilisation</w:t>
      </w:r>
    </w:p>
    <w:p w14:paraId="4DC11CF5" w14:textId="55B38564" w:rsidR="00C32CD4" w:rsidRPr="00AA2F7F" w:rsidRDefault="00C32CD4"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In the recovery process of covid-19, utilisation of </w:t>
      </w:r>
      <w:r w:rsidR="00626A3E" w:rsidRPr="00AA2F7F">
        <w:rPr>
          <w:rFonts w:ascii="Arial" w:hAnsi="Arial" w:cs="Arial"/>
          <w:sz w:val="24"/>
          <w:szCs w:val="24"/>
          <w:lang w:eastAsia="en-GB"/>
        </w:rPr>
        <w:t>facilities</w:t>
      </w:r>
      <w:r w:rsidRPr="00AA2F7F">
        <w:rPr>
          <w:rFonts w:ascii="Arial" w:hAnsi="Arial" w:cs="Arial"/>
          <w:sz w:val="24"/>
          <w:szCs w:val="24"/>
          <w:lang w:eastAsia="en-GB"/>
        </w:rPr>
        <w:t xml:space="preserve"> within the health board has become paramount</w:t>
      </w:r>
      <w:r w:rsidR="00626A3E" w:rsidRPr="00AA2F7F">
        <w:rPr>
          <w:rFonts w:ascii="Arial" w:hAnsi="Arial" w:cs="Arial"/>
          <w:sz w:val="24"/>
          <w:szCs w:val="24"/>
          <w:lang w:eastAsia="en-GB"/>
        </w:rPr>
        <w:t xml:space="preserve"> (Welsh Government, 2021, p. 5)</w:t>
      </w:r>
      <w:r w:rsidRPr="00AA2F7F">
        <w:rPr>
          <w:rFonts w:ascii="Arial" w:hAnsi="Arial" w:cs="Arial"/>
          <w:sz w:val="24"/>
          <w:szCs w:val="24"/>
          <w:lang w:eastAsia="en-GB"/>
        </w:rPr>
        <w:t xml:space="preserve">. The number of patients being seen in an outpatient setting has reduced from the pre-covid levels (Ibrahim, Venables and Levell, 2021, p. 1). Full utilisation of the outpatient rooms has therefore taken on a greater significance. </w:t>
      </w:r>
      <w:r w:rsidR="00465D89" w:rsidRPr="00AA2F7F">
        <w:rPr>
          <w:rFonts w:ascii="Arial" w:hAnsi="Arial" w:cs="Arial"/>
          <w:sz w:val="24"/>
          <w:szCs w:val="24"/>
          <w:lang w:eastAsia="en-GB"/>
        </w:rPr>
        <w:t>Any booking system that is introduced will need the benefits of a data-driven approach to improve utilisation</w:t>
      </w:r>
      <w:r w:rsidRPr="00AA2F7F">
        <w:rPr>
          <w:rFonts w:ascii="Arial" w:hAnsi="Arial" w:cs="Arial"/>
          <w:sz w:val="24"/>
          <w:szCs w:val="24"/>
          <w:lang w:eastAsia="en-GB"/>
        </w:rPr>
        <w:t>. This is to ensure we achieve the best care for the patients (Rozario and Rozario, 2020, p. E529). Essential elements of efficiency improvement are clear communication with a data-driven approach (Lee, Ding and Guzzo, 2019, p. 6).</w:t>
      </w:r>
      <w:r w:rsidR="00465D89">
        <w:rPr>
          <w:rFonts w:ascii="Arial" w:hAnsi="Arial" w:cs="Arial"/>
          <w:sz w:val="24"/>
          <w:szCs w:val="24"/>
          <w:lang w:eastAsia="en-GB"/>
        </w:rPr>
        <w:t xml:space="preserve"> </w:t>
      </w:r>
      <w:r w:rsidRPr="00AA2F7F">
        <w:rPr>
          <w:rFonts w:ascii="Arial" w:hAnsi="Arial" w:cs="Arial"/>
          <w:sz w:val="24"/>
          <w:szCs w:val="24"/>
          <w:lang w:eastAsia="en-GB"/>
        </w:rPr>
        <w:t>Data that is available and fed back to clinicians and service users brings the best result on utilisation (Ferrari et al., 2012, p. 9). By having the information, services can decide</w:t>
      </w:r>
      <w:r w:rsidR="00626A3E" w:rsidRPr="00AA2F7F">
        <w:rPr>
          <w:rFonts w:ascii="Arial" w:hAnsi="Arial" w:cs="Arial"/>
          <w:sz w:val="24"/>
          <w:szCs w:val="24"/>
          <w:lang w:eastAsia="en-GB"/>
        </w:rPr>
        <w:t xml:space="preserve"> more effectively</w:t>
      </w:r>
      <w:r w:rsidRPr="00AA2F7F">
        <w:rPr>
          <w:rFonts w:ascii="Arial" w:hAnsi="Arial" w:cs="Arial"/>
          <w:sz w:val="24"/>
          <w:szCs w:val="24"/>
          <w:lang w:eastAsia="en-GB"/>
        </w:rPr>
        <w:t xml:space="preserve"> interventions to stop underutilisation</w:t>
      </w:r>
      <w:r w:rsidR="00626A3E" w:rsidRPr="00AA2F7F">
        <w:rPr>
          <w:rFonts w:ascii="Arial" w:hAnsi="Arial" w:cs="Arial"/>
          <w:sz w:val="24"/>
          <w:szCs w:val="24"/>
          <w:lang w:eastAsia="en-GB"/>
        </w:rPr>
        <w:t xml:space="preserve"> (</w:t>
      </w:r>
      <w:r w:rsidR="00C02A19" w:rsidRPr="00AA2F7F">
        <w:rPr>
          <w:rFonts w:ascii="Arial" w:hAnsi="Arial" w:cs="Arial"/>
          <w:sz w:val="24"/>
          <w:szCs w:val="24"/>
          <w:lang w:eastAsia="en-GB"/>
        </w:rPr>
        <w:t>Welsh Government, 2016, p.17)</w:t>
      </w:r>
      <w:r w:rsidRPr="00AA2F7F">
        <w:rPr>
          <w:rFonts w:ascii="Arial" w:hAnsi="Arial" w:cs="Arial"/>
          <w:sz w:val="24"/>
          <w:szCs w:val="24"/>
          <w:lang w:eastAsia="en-GB"/>
        </w:rPr>
        <w:t>.</w:t>
      </w:r>
    </w:p>
    <w:p w14:paraId="0480CEAE" w14:textId="66226666" w:rsidR="00C32CD4" w:rsidRPr="00AA2F7F" w:rsidRDefault="00C32CD4"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work conducted by Bartek et al. (2019, p. 353) shows that when merging data with A.I., personalisation can occur. This achieve</w:t>
      </w:r>
      <w:r w:rsidR="00465D89">
        <w:rPr>
          <w:rFonts w:ascii="Arial" w:hAnsi="Arial" w:cs="Arial"/>
          <w:sz w:val="24"/>
          <w:szCs w:val="24"/>
          <w:lang w:eastAsia="en-GB"/>
        </w:rPr>
        <w:t xml:space="preserve">s </w:t>
      </w:r>
      <w:r w:rsidRPr="00AA2F7F">
        <w:rPr>
          <w:rFonts w:ascii="Arial" w:hAnsi="Arial" w:cs="Arial"/>
          <w:sz w:val="24"/>
          <w:szCs w:val="24"/>
          <w:lang w:eastAsia="en-GB"/>
        </w:rPr>
        <w:t>improvement in scheduling of clinics for individuals. By implementing these techniques, clinicians can book rooms for only one-hour slots rather than a full session. This has massive benefits to the current model, as it would allow multiple clinicians to use a room in a session which is unavailable at present. By collecting data that clinicians can easily view could have further benefits</w:t>
      </w:r>
      <w:r w:rsidR="00E5129D">
        <w:rPr>
          <w:rFonts w:ascii="Arial" w:hAnsi="Arial" w:cs="Arial"/>
          <w:sz w:val="24"/>
          <w:szCs w:val="24"/>
          <w:lang w:eastAsia="en-GB"/>
        </w:rPr>
        <w:t xml:space="preserve"> of incentivising staff improvement </w:t>
      </w:r>
      <w:r w:rsidRPr="00AA2F7F">
        <w:rPr>
          <w:rFonts w:ascii="Arial" w:hAnsi="Arial" w:cs="Arial"/>
          <w:sz w:val="24"/>
          <w:szCs w:val="24"/>
          <w:lang w:eastAsia="en-GB"/>
        </w:rPr>
        <w:t xml:space="preserve">(Ferrari et al., 2012, p. 11). </w:t>
      </w:r>
      <w:r w:rsidR="00E5129D">
        <w:rPr>
          <w:rFonts w:ascii="Arial" w:hAnsi="Arial" w:cs="Arial"/>
          <w:sz w:val="24"/>
          <w:szCs w:val="24"/>
          <w:lang w:eastAsia="en-GB"/>
        </w:rPr>
        <w:t>D</w:t>
      </w:r>
      <w:r w:rsidRPr="00AA2F7F">
        <w:rPr>
          <w:rFonts w:ascii="Arial" w:hAnsi="Arial" w:cs="Arial"/>
          <w:sz w:val="24"/>
          <w:szCs w:val="24"/>
          <w:lang w:eastAsia="en-GB"/>
        </w:rPr>
        <w:t>ata will enable better tracking of start and finish times that can help service users improve on deficiencies when identified</w:t>
      </w:r>
      <w:r w:rsidR="00E5129D">
        <w:rPr>
          <w:rFonts w:ascii="Arial" w:hAnsi="Arial" w:cs="Arial"/>
          <w:sz w:val="24"/>
          <w:szCs w:val="24"/>
          <w:lang w:eastAsia="en-GB"/>
        </w:rPr>
        <w:t xml:space="preserve"> </w:t>
      </w:r>
      <w:r w:rsidR="00E5129D" w:rsidRPr="00AA2F7F">
        <w:rPr>
          <w:rFonts w:ascii="Arial" w:hAnsi="Arial" w:cs="Arial"/>
          <w:sz w:val="24"/>
          <w:szCs w:val="24"/>
          <w:lang w:eastAsia="en-GB"/>
        </w:rPr>
        <w:t>(Kam et al., 2021, p. 9)</w:t>
      </w:r>
      <w:r w:rsidRPr="00AA2F7F">
        <w:rPr>
          <w:rFonts w:ascii="Arial" w:hAnsi="Arial" w:cs="Arial"/>
          <w:sz w:val="24"/>
          <w:szCs w:val="24"/>
          <w:lang w:eastAsia="en-GB"/>
        </w:rPr>
        <w:t xml:space="preserve">. As data collected by Ferrari et al. (2012, p. 9) reveals, by just improving on start times alone has </w:t>
      </w:r>
      <w:r w:rsidR="004F6D5C" w:rsidRPr="00AA2F7F">
        <w:rPr>
          <w:rFonts w:ascii="Arial" w:hAnsi="Arial" w:cs="Arial"/>
          <w:sz w:val="24"/>
          <w:szCs w:val="24"/>
          <w:lang w:eastAsia="en-GB"/>
        </w:rPr>
        <w:t>a significant impact</w:t>
      </w:r>
      <w:r w:rsidRPr="00AA2F7F">
        <w:rPr>
          <w:rFonts w:ascii="Arial" w:hAnsi="Arial" w:cs="Arial"/>
          <w:sz w:val="24"/>
          <w:szCs w:val="24"/>
          <w:lang w:eastAsia="en-GB"/>
        </w:rPr>
        <w:t xml:space="preserve"> on utilisation.</w:t>
      </w:r>
      <w:r w:rsidR="00C327F3" w:rsidRPr="00C327F3">
        <w:rPr>
          <w:rFonts w:ascii="Arial" w:hAnsi="Arial" w:cs="Arial"/>
          <w:sz w:val="24"/>
          <w:szCs w:val="24"/>
          <w:lang w:eastAsia="en-GB"/>
        </w:rPr>
        <w:t xml:space="preserve"> </w:t>
      </w:r>
      <w:r w:rsidR="00C327F3">
        <w:rPr>
          <w:rFonts w:ascii="Arial" w:hAnsi="Arial" w:cs="Arial"/>
          <w:sz w:val="24"/>
          <w:szCs w:val="24"/>
          <w:lang w:eastAsia="en-GB"/>
        </w:rPr>
        <w:t>A</w:t>
      </w:r>
      <w:r w:rsidR="00C327F3" w:rsidRPr="00AA2F7F">
        <w:rPr>
          <w:rFonts w:ascii="Arial" w:hAnsi="Arial" w:cs="Arial"/>
          <w:sz w:val="24"/>
          <w:szCs w:val="24"/>
          <w:lang w:eastAsia="en-GB"/>
        </w:rPr>
        <w:t>chieving higher utilisation will help in reducing patient waiting list times, which will improve patient experience (</w:t>
      </w:r>
      <w:proofErr w:type="spellStart"/>
      <w:r w:rsidR="00C327F3" w:rsidRPr="00AA2F7F">
        <w:rPr>
          <w:rFonts w:ascii="Arial" w:hAnsi="Arial" w:cs="Arial"/>
          <w:sz w:val="24"/>
          <w:szCs w:val="24"/>
          <w:lang w:eastAsia="en-GB"/>
        </w:rPr>
        <w:t>Flott</w:t>
      </w:r>
      <w:proofErr w:type="spellEnd"/>
      <w:r w:rsidR="00C327F3" w:rsidRPr="00AA2F7F">
        <w:rPr>
          <w:rFonts w:ascii="Arial" w:hAnsi="Arial" w:cs="Arial"/>
          <w:sz w:val="24"/>
          <w:szCs w:val="24"/>
          <w:lang w:eastAsia="en-GB"/>
        </w:rPr>
        <w:t>, Darzi and Mayer, 2018, p. 1).</w:t>
      </w:r>
    </w:p>
    <w:p w14:paraId="5C859D5C" w14:textId="7739B5DF" w:rsidR="00107428" w:rsidRPr="00AA2F7F" w:rsidRDefault="00C32CD4"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As multiple specialities use outpatients, one theory by Ferrari et al. (2012, p. 8) suggests that assigning rooms and time slots to specific specialities rather than individual clinicians has benefits. This means the service must internally backfill to compensate if a clinician is away. </w:t>
      </w:r>
      <w:r w:rsidR="00344BEB">
        <w:rPr>
          <w:rFonts w:ascii="Arial" w:hAnsi="Arial" w:cs="Arial"/>
          <w:sz w:val="24"/>
          <w:szCs w:val="24"/>
          <w:lang w:eastAsia="en-GB"/>
        </w:rPr>
        <w:t>L</w:t>
      </w:r>
      <w:r w:rsidRPr="00AA2F7F">
        <w:rPr>
          <w:rFonts w:ascii="Arial" w:hAnsi="Arial" w:cs="Arial"/>
          <w:sz w:val="24"/>
          <w:szCs w:val="24"/>
          <w:lang w:eastAsia="en-GB"/>
        </w:rPr>
        <w:t xml:space="preserve">ike the 6:4:2 model already being trialled in UHW, which has had success in improving re-utilisation of rooms. </w:t>
      </w:r>
      <w:r w:rsidR="00344BEB">
        <w:rPr>
          <w:rFonts w:ascii="Arial" w:hAnsi="Arial" w:cs="Arial"/>
          <w:sz w:val="24"/>
          <w:szCs w:val="24"/>
          <w:lang w:eastAsia="en-GB"/>
        </w:rPr>
        <w:t>The</w:t>
      </w:r>
      <w:r w:rsidRPr="00AA2F7F">
        <w:rPr>
          <w:rFonts w:ascii="Arial" w:hAnsi="Arial" w:cs="Arial"/>
          <w:sz w:val="24"/>
          <w:szCs w:val="24"/>
          <w:lang w:eastAsia="en-GB"/>
        </w:rPr>
        <w:t xml:space="preserve"> project should consider successful elements of the trial for the fresh approach.</w:t>
      </w:r>
    </w:p>
    <w:bookmarkEnd w:id="1"/>
    <w:p w14:paraId="571BD54E" w14:textId="77777777" w:rsidR="002747CC" w:rsidRDefault="002747CC" w:rsidP="00AE777D">
      <w:pPr>
        <w:spacing w:line="360" w:lineRule="auto"/>
        <w:jc w:val="both"/>
        <w:rPr>
          <w:rFonts w:ascii="Arial" w:hAnsi="Arial" w:cs="Arial"/>
          <w:b/>
          <w:bCs/>
          <w:sz w:val="26"/>
          <w:szCs w:val="26"/>
        </w:rPr>
      </w:pPr>
    </w:p>
    <w:p w14:paraId="0CF2BC73" w14:textId="50BF548F" w:rsidR="004C3F38" w:rsidRPr="00AE777D" w:rsidRDefault="004C3F38" w:rsidP="00AE777D">
      <w:pPr>
        <w:spacing w:line="360" w:lineRule="auto"/>
        <w:jc w:val="both"/>
        <w:rPr>
          <w:rFonts w:ascii="Arial" w:hAnsi="Arial" w:cs="Arial"/>
          <w:b/>
          <w:bCs/>
          <w:sz w:val="26"/>
          <w:szCs w:val="26"/>
        </w:rPr>
      </w:pPr>
      <w:r w:rsidRPr="00AE777D">
        <w:rPr>
          <w:rFonts w:ascii="Arial" w:hAnsi="Arial" w:cs="Arial"/>
          <w:b/>
          <w:bCs/>
          <w:sz w:val="26"/>
          <w:szCs w:val="26"/>
        </w:rPr>
        <w:lastRenderedPageBreak/>
        <w:t>Conclusion</w:t>
      </w:r>
    </w:p>
    <w:p w14:paraId="57343C14" w14:textId="7B4E05BB" w:rsidR="001D47D1" w:rsidRPr="00AA2F7F" w:rsidRDefault="001D47D1"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literature review has discovered benefits to developing an effective outpatient room utilisation program</w:t>
      </w:r>
      <w:r w:rsidR="00C327F3">
        <w:rPr>
          <w:rFonts w:ascii="Arial" w:hAnsi="Arial" w:cs="Arial"/>
          <w:sz w:val="24"/>
          <w:szCs w:val="24"/>
          <w:lang w:eastAsia="en-GB"/>
        </w:rPr>
        <w:t>. U</w:t>
      </w:r>
      <w:r w:rsidRPr="00AA2F7F">
        <w:rPr>
          <w:rFonts w:ascii="Arial" w:hAnsi="Arial" w:cs="Arial"/>
          <w:sz w:val="24"/>
          <w:szCs w:val="24"/>
          <w:lang w:eastAsia="en-GB"/>
        </w:rPr>
        <w:t xml:space="preserve">sing an electronic booking solution can improve the experience for the user along with alleviating the stress and time of </w:t>
      </w:r>
      <w:r w:rsidR="00C327F3">
        <w:rPr>
          <w:rFonts w:ascii="Arial" w:hAnsi="Arial" w:cs="Arial"/>
          <w:sz w:val="24"/>
          <w:szCs w:val="24"/>
          <w:lang w:eastAsia="en-GB"/>
        </w:rPr>
        <w:t>staff</w:t>
      </w:r>
      <w:r w:rsidRPr="00AA2F7F">
        <w:rPr>
          <w:rFonts w:ascii="Arial" w:hAnsi="Arial" w:cs="Arial"/>
          <w:sz w:val="24"/>
          <w:szCs w:val="24"/>
          <w:lang w:eastAsia="en-GB"/>
        </w:rPr>
        <w:t xml:space="preserve">. A utilisation tool to track data and room usage will also help in the post recovery. </w:t>
      </w:r>
      <w:r w:rsidR="006B777A">
        <w:rPr>
          <w:rFonts w:ascii="Arial" w:hAnsi="Arial" w:cs="Arial"/>
          <w:sz w:val="24"/>
          <w:szCs w:val="24"/>
          <w:lang w:eastAsia="en-GB"/>
        </w:rPr>
        <w:t xml:space="preserve">Utilisation will enable </w:t>
      </w:r>
      <w:r w:rsidRPr="00AA2F7F">
        <w:rPr>
          <w:rFonts w:ascii="Arial" w:hAnsi="Arial" w:cs="Arial"/>
          <w:sz w:val="24"/>
          <w:szCs w:val="24"/>
          <w:lang w:eastAsia="en-GB"/>
        </w:rPr>
        <w:t xml:space="preserve">outpatient capacity to </w:t>
      </w:r>
      <w:r w:rsidR="006B777A">
        <w:rPr>
          <w:rFonts w:ascii="Arial" w:hAnsi="Arial" w:cs="Arial"/>
          <w:sz w:val="24"/>
          <w:szCs w:val="24"/>
          <w:lang w:eastAsia="en-GB"/>
        </w:rPr>
        <w:t>be at its</w:t>
      </w:r>
      <w:r w:rsidRPr="00AA2F7F">
        <w:rPr>
          <w:rFonts w:ascii="Arial" w:hAnsi="Arial" w:cs="Arial"/>
          <w:sz w:val="24"/>
          <w:szCs w:val="24"/>
          <w:lang w:eastAsia="en-GB"/>
        </w:rPr>
        <w:t xml:space="preserve"> fullest</w:t>
      </w:r>
      <w:r w:rsidR="006B777A">
        <w:rPr>
          <w:rFonts w:ascii="Arial" w:hAnsi="Arial" w:cs="Arial"/>
          <w:sz w:val="24"/>
          <w:szCs w:val="24"/>
          <w:lang w:eastAsia="en-GB"/>
        </w:rPr>
        <w:t>,</w:t>
      </w:r>
      <w:r w:rsidRPr="00AA2F7F">
        <w:rPr>
          <w:rFonts w:ascii="Arial" w:hAnsi="Arial" w:cs="Arial"/>
          <w:sz w:val="24"/>
          <w:szCs w:val="24"/>
          <w:lang w:eastAsia="en-GB"/>
        </w:rPr>
        <w:t xml:space="preserve"> </w:t>
      </w:r>
      <w:r w:rsidR="006B777A">
        <w:rPr>
          <w:rFonts w:ascii="Arial" w:hAnsi="Arial" w:cs="Arial"/>
          <w:sz w:val="24"/>
          <w:szCs w:val="24"/>
          <w:lang w:eastAsia="en-GB"/>
        </w:rPr>
        <w:t xml:space="preserve">which </w:t>
      </w:r>
      <w:r w:rsidRPr="00AA2F7F">
        <w:rPr>
          <w:rFonts w:ascii="Arial" w:hAnsi="Arial" w:cs="Arial"/>
          <w:sz w:val="24"/>
          <w:szCs w:val="24"/>
          <w:lang w:eastAsia="en-GB"/>
        </w:rPr>
        <w:t xml:space="preserve">is the best way to reducing waiting times. Improvements brought by a digital approach will lead </w:t>
      </w:r>
      <w:r w:rsidR="006B777A">
        <w:rPr>
          <w:rFonts w:ascii="Arial" w:hAnsi="Arial" w:cs="Arial"/>
          <w:sz w:val="24"/>
          <w:szCs w:val="24"/>
          <w:lang w:eastAsia="en-GB"/>
        </w:rPr>
        <w:t xml:space="preserve">to </w:t>
      </w:r>
      <w:r w:rsidRPr="00AA2F7F">
        <w:rPr>
          <w:rFonts w:ascii="Arial" w:hAnsi="Arial" w:cs="Arial"/>
          <w:sz w:val="24"/>
          <w:szCs w:val="24"/>
          <w:lang w:eastAsia="en-GB"/>
        </w:rPr>
        <w:t xml:space="preserve">opportunities </w:t>
      </w:r>
      <w:r w:rsidR="006B777A">
        <w:rPr>
          <w:rFonts w:ascii="Arial" w:hAnsi="Arial" w:cs="Arial"/>
          <w:sz w:val="24"/>
          <w:szCs w:val="24"/>
          <w:lang w:eastAsia="en-GB"/>
        </w:rPr>
        <w:t>for</w:t>
      </w:r>
      <w:r w:rsidRPr="00AA2F7F">
        <w:rPr>
          <w:rFonts w:ascii="Arial" w:hAnsi="Arial" w:cs="Arial"/>
          <w:sz w:val="24"/>
          <w:szCs w:val="24"/>
          <w:lang w:eastAsia="en-GB"/>
        </w:rPr>
        <w:t xml:space="preserve"> the NHS to use </w:t>
      </w:r>
      <w:r w:rsidR="006B777A">
        <w:rPr>
          <w:rFonts w:ascii="Arial" w:hAnsi="Arial" w:cs="Arial"/>
          <w:sz w:val="24"/>
          <w:szCs w:val="24"/>
          <w:lang w:eastAsia="en-GB"/>
        </w:rPr>
        <w:t>outpatients</w:t>
      </w:r>
      <w:r w:rsidRPr="00AA2F7F">
        <w:rPr>
          <w:rFonts w:ascii="Arial" w:hAnsi="Arial" w:cs="Arial"/>
          <w:sz w:val="24"/>
          <w:szCs w:val="24"/>
          <w:lang w:eastAsia="en-GB"/>
        </w:rPr>
        <w:t xml:space="preserve"> more effectively for unplanned care (Welsh Government, 2021, p. 27).</w:t>
      </w:r>
    </w:p>
    <w:p w14:paraId="09F19CDE" w14:textId="77777777" w:rsidR="004C3F38" w:rsidRPr="00AE777D" w:rsidRDefault="004C3F38" w:rsidP="00AE777D">
      <w:pPr>
        <w:spacing w:line="360" w:lineRule="auto"/>
        <w:jc w:val="both"/>
        <w:rPr>
          <w:rFonts w:ascii="Arial" w:hAnsi="Arial" w:cs="Arial"/>
          <w:b/>
          <w:bCs/>
          <w:sz w:val="28"/>
          <w:szCs w:val="26"/>
          <w:u w:val="single"/>
        </w:rPr>
      </w:pPr>
      <w:r w:rsidRPr="00AE777D">
        <w:rPr>
          <w:rFonts w:ascii="Arial" w:hAnsi="Arial" w:cs="Arial"/>
          <w:b/>
          <w:bCs/>
          <w:sz w:val="28"/>
          <w:szCs w:val="26"/>
          <w:u w:val="single"/>
        </w:rPr>
        <w:t>Aims and objectives</w:t>
      </w:r>
    </w:p>
    <w:p w14:paraId="151B9CB6" w14:textId="6408B53E" w:rsidR="00FB7D03" w:rsidRPr="00AA2F7F" w:rsidRDefault="00FB7D03"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This project’s aim is to achieve an improvement in the system to allocate outpatient space in the C&amp;VUHB. By achieving this aim, it is hopeful it will improve the efficiency of the utilisation of the hundreds of rooms being used weekly, along with ensuring the best usage of each room’s potential. This will create an efficient and adaptable use of the outpatient rooms, allowing for a greater than </w:t>
      </w:r>
      <w:r w:rsidR="004F6D5C" w:rsidRPr="00AA2F7F">
        <w:rPr>
          <w:rFonts w:ascii="Arial" w:hAnsi="Arial" w:cs="Arial"/>
          <w:sz w:val="24"/>
          <w:szCs w:val="24"/>
          <w:lang w:eastAsia="en-GB"/>
        </w:rPr>
        <w:t xml:space="preserve">eighty-five percent </w:t>
      </w:r>
      <w:r w:rsidRPr="00AA2F7F">
        <w:rPr>
          <w:rFonts w:ascii="Arial" w:hAnsi="Arial" w:cs="Arial"/>
          <w:sz w:val="24"/>
          <w:szCs w:val="24"/>
          <w:lang w:eastAsia="en-GB"/>
        </w:rPr>
        <w:t>room occupancy rate, which is better than the best levels already being achieved by the hotel sector (Research Solution, 2019, p.40).</w:t>
      </w:r>
    </w:p>
    <w:p w14:paraId="5F579E19" w14:textId="77777777" w:rsidR="00FB7D03" w:rsidRPr="00AA2F7F" w:rsidRDefault="00FB7D03"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objectives to achieve this aim are:</w:t>
      </w:r>
    </w:p>
    <w:p w14:paraId="3F5916D3" w14:textId="77777777" w:rsidR="00FB7D03" w:rsidRPr="00AA2F7F" w:rsidRDefault="00FB7D03"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Develop an in-house mechanism that will enable booking of rooms for Outpatient appointments and insight into their utilisation, linked to its booking processes and systems, allowing for better use of room occupancy. This will need to include a single point of call for to view availability and booking of outpatient rooms for all clinicians and directorate specialities.</w:t>
      </w:r>
    </w:p>
    <w:p w14:paraId="57CD6C26" w14:textId="77777777" w:rsidR="00FB7D03" w:rsidRPr="00AA2F7F" w:rsidRDefault="00FB7D03"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To establish a set of reporting tools that allow for real-time data to effectively manage room utilisation. The reporting tool must be able to connect with the current IT infrastructure, such as the health boards Business Intelligence System (BIS) and our Patient Management System (PMS).</w:t>
      </w:r>
    </w:p>
    <w:p w14:paraId="7EBAE34A" w14:textId="77777777" w:rsidR="000838D7" w:rsidRPr="008C52A4" w:rsidRDefault="00FB7D03"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A trial of the project should first occur in the UHW outpatient department over three clinical spaces to allow for evaluation of the project’s suitability to spread and scale to other outpatient facilities by the end of the fiscal year of 2022/23.</w:t>
      </w:r>
    </w:p>
    <w:p w14:paraId="62AE86E4" w14:textId="77777777" w:rsidR="004C3F38" w:rsidRPr="00AE777D" w:rsidRDefault="004C3F38" w:rsidP="00AE777D">
      <w:pPr>
        <w:spacing w:line="360" w:lineRule="auto"/>
        <w:jc w:val="both"/>
        <w:rPr>
          <w:rFonts w:ascii="Arial" w:hAnsi="Arial" w:cs="Arial"/>
          <w:b/>
          <w:bCs/>
          <w:sz w:val="28"/>
          <w:szCs w:val="28"/>
          <w:u w:val="single"/>
        </w:rPr>
      </w:pPr>
      <w:r w:rsidRPr="00AE777D">
        <w:rPr>
          <w:rFonts w:ascii="Arial" w:hAnsi="Arial" w:cs="Arial"/>
          <w:b/>
          <w:bCs/>
          <w:sz w:val="28"/>
          <w:szCs w:val="28"/>
          <w:u w:val="single"/>
        </w:rPr>
        <w:lastRenderedPageBreak/>
        <w:t>Methodology</w:t>
      </w:r>
    </w:p>
    <w:p w14:paraId="5C79C027" w14:textId="77777777" w:rsidR="0058527B" w:rsidRPr="00AA2F7F" w:rsidRDefault="0058527B"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four fundamental elements of project management are to start, plan, implement, and close a project (Allan, 2017, p. 24). Project management methodology is used to improve the chances of success for a project (Wells, 2012, p. 43).</w:t>
      </w:r>
    </w:p>
    <w:p w14:paraId="45CD8484" w14:textId="77777777" w:rsidR="0058527B" w:rsidRPr="00AA2F7F" w:rsidRDefault="0058527B"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The chosen project management methodology for this project is Prince2. The reason the project chose Prince2 is that of the flexibility that Prince2 </w:t>
      </w:r>
      <w:r w:rsidR="004F6D5C" w:rsidRPr="00AA2F7F">
        <w:rPr>
          <w:rFonts w:ascii="Arial" w:hAnsi="Arial" w:cs="Arial"/>
          <w:sz w:val="24"/>
          <w:szCs w:val="24"/>
          <w:lang w:eastAsia="en-GB"/>
        </w:rPr>
        <w:t>must</w:t>
      </w:r>
      <w:r w:rsidRPr="00AA2F7F">
        <w:rPr>
          <w:rFonts w:ascii="Arial" w:hAnsi="Arial" w:cs="Arial"/>
          <w:sz w:val="24"/>
          <w:szCs w:val="24"/>
          <w:lang w:eastAsia="en-GB"/>
        </w:rPr>
        <w:t xml:space="preserve"> suit any project of any size (Cooke, 2016, p. 25) (Vaníčková, 2017, p. 235). Prince2 also encourages continuous learning and improvement (Hedeman and Seejers, 2009, p. 11)</w:t>
      </w:r>
      <w:r w:rsidR="000838D7">
        <w:rPr>
          <w:rFonts w:ascii="Arial" w:hAnsi="Arial" w:cs="Arial"/>
          <w:sz w:val="24"/>
          <w:szCs w:val="24"/>
          <w:lang w:eastAsia="en-GB"/>
        </w:rPr>
        <w:t>, it</w:t>
      </w:r>
      <w:r w:rsidRPr="00AA2F7F">
        <w:rPr>
          <w:rFonts w:ascii="Arial" w:hAnsi="Arial" w:cs="Arial"/>
          <w:sz w:val="24"/>
          <w:szCs w:val="24"/>
          <w:lang w:eastAsia="en-GB"/>
        </w:rPr>
        <w:t xml:space="preserve"> is the favoured project methodology for the NHS (Waring, Casey, and Robson, 2018, p. 622).</w:t>
      </w:r>
    </w:p>
    <w:p w14:paraId="78618874" w14:textId="77777777" w:rsidR="0058527B" w:rsidRPr="00AE777D" w:rsidRDefault="0058527B" w:rsidP="00AE777D">
      <w:pPr>
        <w:spacing w:line="360" w:lineRule="auto"/>
        <w:jc w:val="both"/>
        <w:rPr>
          <w:rFonts w:ascii="Arial" w:hAnsi="Arial" w:cs="Arial"/>
          <w:b/>
          <w:bCs/>
          <w:sz w:val="26"/>
          <w:szCs w:val="26"/>
          <w:lang w:eastAsia="en-GB"/>
        </w:rPr>
      </w:pPr>
      <w:r w:rsidRPr="00AE777D">
        <w:rPr>
          <w:rFonts w:ascii="Arial" w:hAnsi="Arial" w:cs="Arial"/>
          <w:b/>
          <w:bCs/>
          <w:sz w:val="26"/>
          <w:szCs w:val="26"/>
          <w:lang w:eastAsia="en-GB"/>
        </w:rPr>
        <w:t>Prince2</w:t>
      </w:r>
    </w:p>
    <w:p w14:paraId="50BCB570" w14:textId="77777777" w:rsidR="0058527B" w:rsidRPr="00AA2F7F" w:rsidRDefault="0058527B"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Prince2 allows for an improved efficiency, productivity, and communication (Wells, 2012, p. 56). With the desired approach of the project looking for a digital solution, a benefit of Prince2 is that it allows digital solutions that are linked to the project to be recognised at an early stage (Waring, Casey, and Robson, 2018, p. 634). Another advantage of using Prince2 is that the project board needed already exists, as C&amp;VUHB has an established CAV outpatient transformation programme board. </w:t>
      </w:r>
    </w:p>
    <w:p w14:paraId="728967B8" w14:textId="50137360" w:rsidR="0058527B" w:rsidRPr="00AA2F7F" w:rsidRDefault="0058527B"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Prince2 methodology comprises four pillars, which are principles, themes, processes, and the project environment (Vaníčková, 2017, p. 229). There are seven items to the principles, </w:t>
      </w:r>
      <w:r w:rsidR="00D03A08" w:rsidRPr="00AA2F7F">
        <w:rPr>
          <w:rFonts w:ascii="Arial" w:hAnsi="Arial" w:cs="Arial"/>
          <w:sz w:val="24"/>
          <w:szCs w:val="24"/>
          <w:lang w:eastAsia="en-GB"/>
        </w:rPr>
        <w:t>themes,</w:t>
      </w:r>
      <w:r w:rsidRPr="00AA2F7F">
        <w:rPr>
          <w:rFonts w:ascii="Arial" w:hAnsi="Arial" w:cs="Arial"/>
          <w:sz w:val="24"/>
          <w:szCs w:val="24"/>
          <w:lang w:eastAsia="en-GB"/>
        </w:rPr>
        <w:t xml:space="preserve"> and processes</w:t>
      </w:r>
      <w:r w:rsidR="00344BEB">
        <w:rPr>
          <w:rFonts w:ascii="Arial" w:hAnsi="Arial" w:cs="Arial"/>
          <w:sz w:val="24"/>
          <w:szCs w:val="24"/>
          <w:lang w:eastAsia="en-GB"/>
        </w:rPr>
        <w:t>,</w:t>
      </w:r>
      <w:r w:rsidRPr="00AA2F7F">
        <w:rPr>
          <w:rFonts w:ascii="Arial" w:hAnsi="Arial" w:cs="Arial"/>
          <w:sz w:val="24"/>
          <w:szCs w:val="24"/>
          <w:lang w:eastAsia="en-GB"/>
        </w:rPr>
        <w:t xml:space="preserve"> with the project environment being tailored to suit</w:t>
      </w:r>
      <w:r w:rsidR="009B1A4B" w:rsidRPr="00AA2F7F">
        <w:rPr>
          <w:rFonts w:ascii="Arial" w:hAnsi="Arial" w:cs="Arial"/>
          <w:sz w:val="24"/>
          <w:szCs w:val="24"/>
          <w:lang w:eastAsia="en-GB"/>
        </w:rPr>
        <w:t xml:space="preserve"> </w:t>
      </w:r>
      <w:r w:rsidRPr="00AA2F7F">
        <w:rPr>
          <w:rFonts w:ascii="Arial" w:hAnsi="Arial" w:cs="Arial"/>
          <w:sz w:val="24"/>
          <w:szCs w:val="24"/>
          <w:lang w:eastAsia="en-GB"/>
        </w:rPr>
        <w:t xml:space="preserve">(Hedeman and Seejers, 2009, p. 8). By looking at the four pillars individually with examples of each, a pattern will emerge to show how </w:t>
      </w:r>
      <w:r w:rsidR="00344BEB">
        <w:rPr>
          <w:rFonts w:ascii="Arial" w:hAnsi="Arial" w:cs="Arial"/>
          <w:sz w:val="24"/>
          <w:szCs w:val="24"/>
          <w:lang w:eastAsia="en-GB"/>
        </w:rPr>
        <w:t>the project</w:t>
      </w:r>
      <w:r w:rsidRPr="00AA2F7F">
        <w:rPr>
          <w:rFonts w:ascii="Arial" w:hAnsi="Arial" w:cs="Arial"/>
          <w:sz w:val="24"/>
          <w:szCs w:val="24"/>
          <w:lang w:eastAsia="en-GB"/>
        </w:rPr>
        <w:t xml:space="preserve"> </w:t>
      </w:r>
      <w:r w:rsidR="00E15E58">
        <w:rPr>
          <w:rFonts w:ascii="Arial" w:hAnsi="Arial" w:cs="Arial"/>
          <w:sz w:val="24"/>
          <w:szCs w:val="24"/>
          <w:lang w:eastAsia="en-GB"/>
        </w:rPr>
        <w:t xml:space="preserve">can be embed </w:t>
      </w:r>
      <w:r w:rsidR="00344BEB">
        <w:rPr>
          <w:rFonts w:ascii="Arial" w:hAnsi="Arial" w:cs="Arial"/>
          <w:sz w:val="24"/>
          <w:szCs w:val="24"/>
          <w:lang w:eastAsia="en-GB"/>
        </w:rPr>
        <w:t>Prince2</w:t>
      </w:r>
      <w:r w:rsidR="00E15E58">
        <w:rPr>
          <w:rFonts w:ascii="Arial" w:hAnsi="Arial" w:cs="Arial"/>
          <w:sz w:val="24"/>
          <w:szCs w:val="24"/>
          <w:lang w:eastAsia="en-GB"/>
        </w:rPr>
        <w:t>.</w:t>
      </w:r>
    </w:p>
    <w:p w14:paraId="1C5CFC7A" w14:textId="77777777" w:rsidR="00840D2D" w:rsidRPr="00AE777D" w:rsidRDefault="00840D2D" w:rsidP="00AE777D">
      <w:pPr>
        <w:spacing w:line="360" w:lineRule="auto"/>
        <w:jc w:val="both"/>
        <w:rPr>
          <w:rFonts w:ascii="Arial" w:hAnsi="Arial" w:cs="Arial"/>
          <w:b/>
          <w:bCs/>
          <w:sz w:val="26"/>
          <w:szCs w:val="26"/>
        </w:rPr>
      </w:pPr>
      <w:r w:rsidRPr="00AE777D">
        <w:rPr>
          <w:rFonts w:ascii="Arial" w:hAnsi="Arial" w:cs="Arial"/>
          <w:b/>
          <w:bCs/>
          <w:sz w:val="26"/>
          <w:szCs w:val="26"/>
        </w:rPr>
        <w:t>Principles</w:t>
      </w:r>
    </w:p>
    <w:p w14:paraId="364E86E6" w14:textId="77777777" w:rsidR="00992EF4" w:rsidRPr="00AA2F7F" w:rsidRDefault="00992EF4"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seven principles of Prince2 are: continued business justification, learning from the experience, defined roles and responsibilities, management by stages, manage by expectation, a focus on products and tailoring to suit the environment (Cooke, 2016, p. 27). All these principles can apply to this project, which allows Prince2 to be used (Hedeman and Seejers, 2009, p. 8).</w:t>
      </w:r>
    </w:p>
    <w:p w14:paraId="7D99F054" w14:textId="5651576D" w:rsidR="00992EF4" w:rsidRPr="00AA2F7F" w:rsidRDefault="00992EF4" w:rsidP="00AE777D">
      <w:pPr>
        <w:spacing w:line="360" w:lineRule="auto"/>
        <w:jc w:val="both"/>
        <w:rPr>
          <w:rFonts w:ascii="Arial" w:hAnsi="Arial" w:cs="Arial"/>
          <w:lang w:eastAsia="en-GB"/>
        </w:rPr>
      </w:pPr>
      <w:r w:rsidRPr="00AA2F7F">
        <w:rPr>
          <w:rFonts w:ascii="Arial" w:hAnsi="Arial" w:cs="Arial"/>
          <w:sz w:val="24"/>
          <w:szCs w:val="24"/>
          <w:lang w:eastAsia="en-GB"/>
        </w:rPr>
        <w:lastRenderedPageBreak/>
        <w:t xml:space="preserve">An example of </w:t>
      </w:r>
      <w:r w:rsidR="00FA58FF">
        <w:rPr>
          <w:rFonts w:ascii="Arial" w:hAnsi="Arial" w:cs="Arial"/>
          <w:sz w:val="24"/>
          <w:szCs w:val="24"/>
          <w:lang w:eastAsia="en-GB"/>
        </w:rPr>
        <w:t>applying</w:t>
      </w:r>
      <w:r w:rsidR="000838D7">
        <w:rPr>
          <w:rFonts w:ascii="Arial" w:hAnsi="Arial" w:cs="Arial"/>
          <w:sz w:val="24"/>
          <w:szCs w:val="24"/>
          <w:lang w:eastAsia="en-GB"/>
        </w:rPr>
        <w:t xml:space="preserve"> a </w:t>
      </w:r>
      <w:r w:rsidR="000838D7" w:rsidRPr="00AA2F7F">
        <w:rPr>
          <w:rFonts w:ascii="Arial" w:hAnsi="Arial" w:cs="Arial"/>
          <w:sz w:val="24"/>
          <w:szCs w:val="24"/>
          <w:lang w:eastAsia="en-GB"/>
        </w:rPr>
        <w:t>principle</w:t>
      </w:r>
      <w:r w:rsidR="00FA58FF">
        <w:rPr>
          <w:rFonts w:ascii="Arial" w:hAnsi="Arial" w:cs="Arial"/>
          <w:sz w:val="24"/>
          <w:szCs w:val="24"/>
          <w:lang w:eastAsia="en-GB"/>
        </w:rPr>
        <w:t xml:space="preserve"> </w:t>
      </w:r>
      <w:r w:rsidR="000838D7">
        <w:rPr>
          <w:rFonts w:ascii="Arial" w:hAnsi="Arial" w:cs="Arial"/>
          <w:sz w:val="24"/>
          <w:szCs w:val="24"/>
          <w:lang w:eastAsia="en-GB"/>
        </w:rPr>
        <w:t xml:space="preserve">is </w:t>
      </w:r>
      <w:r w:rsidRPr="00AA2F7F">
        <w:rPr>
          <w:rFonts w:ascii="Arial" w:hAnsi="Arial" w:cs="Arial"/>
          <w:sz w:val="24"/>
          <w:szCs w:val="24"/>
          <w:lang w:eastAsia="en-GB"/>
        </w:rPr>
        <w:t>th</w:t>
      </w:r>
      <w:r w:rsidR="000838D7">
        <w:rPr>
          <w:rFonts w:ascii="Arial" w:hAnsi="Arial" w:cs="Arial"/>
          <w:sz w:val="24"/>
          <w:szCs w:val="24"/>
          <w:lang w:eastAsia="en-GB"/>
        </w:rPr>
        <w:t>rough</w:t>
      </w:r>
      <w:r w:rsidRPr="00AA2F7F">
        <w:rPr>
          <w:rFonts w:ascii="Arial" w:hAnsi="Arial" w:cs="Arial"/>
          <w:sz w:val="24"/>
          <w:szCs w:val="24"/>
          <w:lang w:eastAsia="en-GB"/>
        </w:rPr>
        <w:t xml:space="preserve"> continued business justification. </w:t>
      </w:r>
      <w:r w:rsidR="000838D7">
        <w:rPr>
          <w:rFonts w:ascii="Arial" w:hAnsi="Arial" w:cs="Arial"/>
          <w:sz w:val="24"/>
          <w:szCs w:val="24"/>
          <w:lang w:eastAsia="en-GB"/>
        </w:rPr>
        <w:t>B</w:t>
      </w:r>
      <w:r w:rsidRPr="00AA2F7F">
        <w:rPr>
          <w:rFonts w:ascii="Arial" w:hAnsi="Arial" w:cs="Arial"/>
          <w:sz w:val="24"/>
          <w:szCs w:val="24"/>
          <w:lang w:eastAsia="en-GB"/>
        </w:rPr>
        <w:t>usiness justification might be there at the start of the project</w:t>
      </w:r>
      <w:r w:rsidR="000838D7">
        <w:rPr>
          <w:rFonts w:ascii="Arial" w:hAnsi="Arial" w:cs="Arial"/>
          <w:sz w:val="24"/>
          <w:szCs w:val="24"/>
          <w:lang w:eastAsia="en-GB"/>
        </w:rPr>
        <w:t xml:space="preserve"> but </w:t>
      </w:r>
      <w:r w:rsidRPr="00AA2F7F">
        <w:rPr>
          <w:rFonts w:ascii="Arial" w:hAnsi="Arial" w:cs="Arial"/>
          <w:sz w:val="24"/>
          <w:szCs w:val="24"/>
          <w:lang w:eastAsia="en-GB"/>
        </w:rPr>
        <w:t>as it moves forward, the justification may no longer be valid (AXELOS Limited, 2017, p. 20). This could be the project costing more money and resources than the process it is trying to replace. This happened with the 6:4:2 model that was introduced at the UHW outpatient department. The heavy resource burden it created outdid the benefits it produced of more engagement with directorates and a better of understanding of utilisation.</w:t>
      </w:r>
      <w:r w:rsidR="005662D7">
        <w:rPr>
          <w:rFonts w:ascii="Arial" w:hAnsi="Arial" w:cs="Arial"/>
          <w:sz w:val="24"/>
          <w:szCs w:val="24"/>
          <w:lang w:eastAsia="en-GB"/>
        </w:rPr>
        <w:t xml:space="preserve"> By embedding </w:t>
      </w:r>
      <w:r w:rsidRPr="00AA2F7F">
        <w:rPr>
          <w:rFonts w:ascii="Arial" w:hAnsi="Arial" w:cs="Arial"/>
          <w:sz w:val="24"/>
          <w:szCs w:val="24"/>
          <w:lang w:eastAsia="en-GB"/>
        </w:rPr>
        <w:t xml:space="preserve">Prince2 </w:t>
      </w:r>
      <w:r w:rsidR="005662D7">
        <w:rPr>
          <w:rFonts w:ascii="Arial" w:hAnsi="Arial" w:cs="Arial"/>
          <w:sz w:val="24"/>
          <w:szCs w:val="24"/>
          <w:lang w:eastAsia="en-GB"/>
        </w:rPr>
        <w:t xml:space="preserve">into this project it </w:t>
      </w:r>
      <w:r w:rsidRPr="00AA2F7F">
        <w:rPr>
          <w:rFonts w:ascii="Arial" w:hAnsi="Arial" w:cs="Arial"/>
          <w:sz w:val="24"/>
          <w:szCs w:val="24"/>
          <w:lang w:eastAsia="en-GB"/>
        </w:rPr>
        <w:t>w</w:t>
      </w:r>
      <w:r w:rsidR="005662D7">
        <w:rPr>
          <w:rFonts w:ascii="Arial" w:hAnsi="Arial" w:cs="Arial"/>
          <w:sz w:val="24"/>
          <w:szCs w:val="24"/>
          <w:lang w:eastAsia="en-GB"/>
        </w:rPr>
        <w:t xml:space="preserve">ill </w:t>
      </w:r>
      <w:r w:rsidRPr="00AA2F7F">
        <w:rPr>
          <w:rFonts w:ascii="Arial" w:hAnsi="Arial" w:cs="Arial"/>
          <w:sz w:val="24"/>
          <w:szCs w:val="24"/>
          <w:lang w:eastAsia="en-GB"/>
        </w:rPr>
        <w:t>address these issues</w:t>
      </w:r>
      <w:r w:rsidR="005662D7">
        <w:rPr>
          <w:rFonts w:ascii="Arial" w:hAnsi="Arial" w:cs="Arial"/>
          <w:sz w:val="24"/>
          <w:szCs w:val="24"/>
          <w:lang w:eastAsia="en-GB"/>
        </w:rPr>
        <w:t xml:space="preserve"> if they arise</w:t>
      </w:r>
      <w:r w:rsidRPr="00AA2F7F">
        <w:rPr>
          <w:rFonts w:ascii="Arial" w:hAnsi="Arial" w:cs="Arial"/>
          <w:sz w:val="24"/>
          <w:szCs w:val="24"/>
          <w:lang w:eastAsia="en-GB"/>
        </w:rPr>
        <w:t xml:space="preserve"> and enabled the resources to be assigned elsewhere to </w:t>
      </w:r>
      <w:r w:rsidR="000838D7">
        <w:rPr>
          <w:rFonts w:ascii="Arial" w:hAnsi="Arial" w:cs="Arial"/>
          <w:sz w:val="24"/>
          <w:szCs w:val="24"/>
          <w:lang w:eastAsia="en-GB"/>
        </w:rPr>
        <w:t xml:space="preserve">have </w:t>
      </w:r>
      <w:r w:rsidRPr="00AA2F7F">
        <w:rPr>
          <w:rFonts w:ascii="Arial" w:hAnsi="Arial" w:cs="Arial"/>
          <w:sz w:val="24"/>
          <w:szCs w:val="24"/>
          <w:lang w:eastAsia="en-GB"/>
        </w:rPr>
        <w:t xml:space="preserve">better effect (AXELOS Limited, 2017, p. </w:t>
      </w:r>
      <w:r w:rsidRPr="00AA2F7F">
        <w:rPr>
          <w:rFonts w:ascii="Arial" w:hAnsi="Arial" w:cs="Arial"/>
          <w:lang w:eastAsia="en-GB"/>
        </w:rPr>
        <w:t>20).</w:t>
      </w:r>
    </w:p>
    <w:p w14:paraId="15A5D15C" w14:textId="77777777" w:rsidR="00840D2D" w:rsidRPr="00AE777D" w:rsidRDefault="00840D2D" w:rsidP="00AE777D">
      <w:pPr>
        <w:spacing w:line="360" w:lineRule="auto"/>
        <w:jc w:val="both"/>
        <w:rPr>
          <w:rFonts w:ascii="Arial" w:hAnsi="Arial" w:cs="Arial"/>
          <w:b/>
          <w:bCs/>
          <w:sz w:val="26"/>
          <w:szCs w:val="26"/>
        </w:rPr>
      </w:pPr>
      <w:r w:rsidRPr="00AE777D">
        <w:rPr>
          <w:rFonts w:ascii="Arial" w:hAnsi="Arial" w:cs="Arial"/>
          <w:b/>
          <w:bCs/>
          <w:sz w:val="26"/>
          <w:szCs w:val="26"/>
        </w:rPr>
        <w:t>Themes</w:t>
      </w:r>
    </w:p>
    <w:p w14:paraId="155D803B" w14:textId="77777777" w:rsidR="000B45DE" w:rsidRPr="000B45DE" w:rsidRDefault="000B45DE" w:rsidP="00AE777D">
      <w:pPr>
        <w:spacing w:line="360" w:lineRule="auto"/>
        <w:jc w:val="both"/>
        <w:rPr>
          <w:rFonts w:ascii="Arial" w:hAnsi="Arial" w:cs="Arial"/>
          <w:sz w:val="24"/>
          <w:szCs w:val="24"/>
        </w:rPr>
      </w:pPr>
      <w:r w:rsidRPr="000B45DE">
        <w:rPr>
          <w:rFonts w:ascii="Arial" w:hAnsi="Arial" w:cs="Arial"/>
          <w:sz w:val="24"/>
          <w:szCs w:val="24"/>
        </w:rPr>
        <w:t>The themes of Prince2 are elements of the project that must have continuous addressing (Hedeman and Seejers, 2009, p. 23). The seven themes are: business case, organisation, quality, plans, risk, change and progress (Bentley, 2010, p. 11).</w:t>
      </w:r>
    </w:p>
    <w:p w14:paraId="3F0D07B0" w14:textId="77777777" w:rsidR="000B45DE" w:rsidRPr="000B45DE" w:rsidRDefault="000B45DE" w:rsidP="00AE777D">
      <w:pPr>
        <w:spacing w:line="360" w:lineRule="auto"/>
        <w:jc w:val="both"/>
        <w:rPr>
          <w:rFonts w:ascii="Arial" w:hAnsi="Arial" w:cs="Arial"/>
          <w:sz w:val="24"/>
          <w:szCs w:val="24"/>
        </w:rPr>
      </w:pPr>
      <w:r w:rsidRPr="000B45DE">
        <w:rPr>
          <w:rFonts w:ascii="Arial" w:hAnsi="Arial" w:cs="Arial"/>
          <w:sz w:val="24"/>
          <w:szCs w:val="24"/>
        </w:rPr>
        <w:t xml:space="preserve">The progress theme assures that </w:t>
      </w:r>
      <w:r w:rsidR="000838D7">
        <w:rPr>
          <w:rFonts w:ascii="Arial" w:hAnsi="Arial" w:cs="Arial"/>
          <w:sz w:val="24"/>
          <w:szCs w:val="24"/>
        </w:rPr>
        <w:t xml:space="preserve">the </w:t>
      </w:r>
      <w:r w:rsidRPr="000B45DE">
        <w:rPr>
          <w:rFonts w:ascii="Arial" w:hAnsi="Arial" w:cs="Arial"/>
          <w:sz w:val="24"/>
          <w:szCs w:val="24"/>
        </w:rPr>
        <w:t>project checks continually against the plan to make sure progress of the project is being achieved</w:t>
      </w:r>
      <w:r w:rsidR="000838D7">
        <w:rPr>
          <w:rFonts w:ascii="Arial" w:hAnsi="Arial" w:cs="Arial"/>
          <w:sz w:val="24"/>
          <w:szCs w:val="24"/>
        </w:rPr>
        <w:t xml:space="preserve">, </w:t>
      </w:r>
      <w:r w:rsidRPr="000B45DE">
        <w:rPr>
          <w:rFonts w:ascii="Arial" w:hAnsi="Arial" w:cs="Arial"/>
          <w:sz w:val="24"/>
          <w:szCs w:val="24"/>
        </w:rPr>
        <w:t>ensuring delivery of the project on time (Bentley, 2010, p. 173). As the project involves multiple unique elements, it will allow the project manager to oversee each area and assure that teams deliver each section on time. Areas such as the utilisation tools or the front end of the booking system need to stay on track, as each element needs to be delivered on time. Like a conveyer belt, any delay to one element of the project will affect overall delivery of the digital solution.</w:t>
      </w:r>
    </w:p>
    <w:p w14:paraId="71ECC3E0" w14:textId="77777777" w:rsidR="000B45DE" w:rsidRPr="000B45DE" w:rsidRDefault="000B45DE" w:rsidP="00AE777D">
      <w:pPr>
        <w:spacing w:line="360" w:lineRule="auto"/>
        <w:jc w:val="both"/>
        <w:rPr>
          <w:rFonts w:ascii="Arial" w:hAnsi="Arial" w:cs="Arial"/>
          <w:sz w:val="24"/>
          <w:szCs w:val="24"/>
        </w:rPr>
      </w:pPr>
      <w:r w:rsidRPr="000B45DE">
        <w:rPr>
          <w:rFonts w:ascii="Arial" w:hAnsi="Arial" w:cs="Arial"/>
          <w:sz w:val="24"/>
          <w:szCs w:val="24"/>
        </w:rPr>
        <w:t>Progress links in well with the principles of manage by expectations (Bentley, 2010, p. 173) as it enables teams, such as Information Management and Technology (IM&amp;T) team to make slight alterations to certain aspects of the digital application. However, the theme will allow the project manager to realise if these changes have deviated too far from the aims of the project (AXELOS Limited, 2017, p.148).</w:t>
      </w:r>
    </w:p>
    <w:p w14:paraId="72C03896" w14:textId="77777777" w:rsidR="002747CC" w:rsidRDefault="002747CC" w:rsidP="00AE777D">
      <w:pPr>
        <w:spacing w:line="360" w:lineRule="auto"/>
        <w:jc w:val="both"/>
        <w:rPr>
          <w:rFonts w:ascii="Arial" w:hAnsi="Arial" w:cs="Arial"/>
          <w:b/>
          <w:bCs/>
          <w:sz w:val="26"/>
          <w:szCs w:val="26"/>
        </w:rPr>
      </w:pPr>
    </w:p>
    <w:p w14:paraId="050ECC8E" w14:textId="77777777" w:rsidR="002747CC" w:rsidRDefault="002747CC" w:rsidP="00AE777D">
      <w:pPr>
        <w:spacing w:line="360" w:lineRule="auto"/>
        <w:jc w:val="both"/>
        <w:rPr>
          <w:rFonts w:ascii="Arial" w:hAnsi="Arial" w:cs="Arial"/>
          <w:b/>
          <w:bCs/>
          <w:sz w:val="26"/>
          <w:szCs w:val="26"/>
        </w:rPr>
      </w:pPr>
    </w:p>
    <w:p w14:paraId="18A1CC7B" w14:textId="77777777" w:rsidR="002747CC" w:rsidRDefault="002747CC" w:rsidP="00AE777D">
      <w:pPr>
        <w:spacing w:line="360" w:lineRule="auto"/>
        <w:jc w:val="both"/>
        <w:rPr>
          <w:rFonts w:ascii="Arial" w:hAnsi="Arial" w:cs="Arial"/>
          <w:b/>
          <w:bCs/>
          <w:sz w:val="26"/>
          <w:szCs w:val="26"/>
        </w:rPr>
      </w:pPr>
    </w:p>
    <w:p w14:paraId="23235985" w14:textId="23CA0801" w:rsidR="00840D2D" w:rsidRPr="00AE777D" w:rsidRDefault="00840D2D" w:rsidP="00AE777D">
      <w:pPr>
        <w:spacing w:line="360" w:lineRule="auto"/>
        <w:jc w:val="both"/>
        <w:rPr>
          <w:rFonts w:ascii="Arial" w:hAnsi="Arial" w:cs="Arial"/>
          <w:b/>
          <w:bCs/>
          <w:sz w:val="26"/>
          <w:szCs w:val="26"/>
        </w:rPr>
      </w:pPr>
      <w:r w:rsidRPr="00AE777D">
        <w:rPr>
          <w:rFonts w:ascii="Arial" w:hAnsi="Arial" w:cs="Arial"/>
          <w:b/>
          <w:bCs/>
          <w:sz w:val="26"/>
          <w:szCs w:val="26"/>
        </w:rPr>
        <w:lastRenderedPageBreak/>
        <w:t>Processes</w:t>
      </w:r>
    </w:p>
    <w:p w14:paraId="1E2E0196" w14:textId="77777777" w:rsidR="00021740" w:rsidRPr="00AA2F7F" w:rsidRDefault="00021740"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processes within Prince2 are to give the project guidance throughout each stage to ensure the project is successful and delivers on time and to scale (Hedeman and Seejers, 2009, p. 77). The seven processes are: starting up a project, directing a project, initiating a project, controlling a stage, managing product delivery, managing stage boundaries, closing a project (Cooke, 2016, p. 28).</w:t>
      </w:r>
    </w:p>
    <w:p w14:paraId="65FF88CB" w14:textId="0DA8BE5A" w:rsidR="00021740" w:rsidRPr="00AA2F7F" w:rsidRDefault="00021740"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Managing product delivery process ensures it establishe</w:t>
      </w:r>
      <w:r w:rsidR="0071273B">
        <w:rPr>
          <w:rFonts w:ascii="Arial" w:hAnsi="Arial" w:cs="Arial"/>
          <w:sz w:val="24"/>
          <w:szCs w:val="24"/>
          <w:lang w:eastAsia="en-GB"/>
        </w:rPr>
        <w:t>s</w:t>
      </w:r>
      <w:r w:rsidRPr="00AA2F7F">
        <w:rPr>
          <w:rFonts w:ascii="Arial" w:hAnsi="Arial" w:cs="Arial"/>
          <w:sz w:val="24"/>
          <w:szCs w:val="24"/>
          <w:lang w:eastAsia="en-GB"/>
        </w:rPr>
        <w:t xml:space="preserve"> a connection between the project manager and team managers (Bentley, 2010, p. 92). This process fits well into this project of delivering a </w:t>
      </w:r>
      <w:r w:rsidR="0038040F">
        <w:rPr>
          <w:rFonts w:ascii="Arial" w:hAnsi="Arial" w:cs="Arial"/>
          <w:sz w:val="24"/>
          <w:szCs w:val="24"/>
          <w:lang w:eastAsia="en-GB"/>
        </w:rPr>
        <w:t>digital</w:t>
      </w:r>
      <w:r w:rsidRPr="00AA2F7F">
        <w:rPr>
          <w:rFonts w:ascii="Arial" w:hAnsi="Arial" w:cs="Arial"/>
          <w:sz w:val="24"/>
          <w:szCs w:val="24"/>
          <w:lang w:eastAsia="en-GB"/>
        </w:rPr>
        <w:t xml:space="preserve"> outpatient booking system, as there are multiple unique elements that require different teams that will each have their own team leader. The project can set conditions for technical teams that are building the booking system</w:t>
      </w:r>
      <w:r w:rsidR="00E15E58">
        <w:rPr>
          <w:rFonts w:ascii="Arial" w:hAnsi="Arial" w:cs="Arial"/>
          <w:sz w:val="24"/>
          <w:szCs w:val="24"/>
          <w:lang w:eastAsia="en-GB"/>
        </w:rPr>
        <w:t xml:space="preserve"> and</w:t>
      </w:r>
      <w:r w:rsidRPr="00AA2F7F">
        <w:rPr>
          <w:rFonts w:ascii="Arial" w:hAnsi="Arial" w:cs="Arial"/>
          <w:sz w:val="24"/>
          <w:szCs w:val="24"/>
          <w:lang w:eastAsia="en-GB"/>
        </w:rPr>
        <w:t xml:space="preserve"> to the practical teams mapping out the outpatient rooms. By agreeing conditions for the project, such</w:t>
      </w:r>
      <w:r w:rsidR="00E15E58">
        <w:rPr>
          <w:rFonts w:ascii="Arial" w:hAnsi="Arial" w:cs="Arial"/>
          <w:sz w:val="24"/>
          <w:szCs w:val="24"/>
          <w:lang w:eastAsia="en-GB"/>
        </w:rPr>
        <w:t xml:space="preserve"> as</w:t>
      </w:r>
      <w:r w:rsidRPr="00AA2F7F">
        <w:rPr>
          <w:rFonts w:ascii="Arial" w:hAnsi="Arial" w:cs="Arial"/>
          <w:sz w:val="24"/>
          <w:szCs w:val="24"/>
          <w:lang w:eastAsia="en-GB"/>
        </w:rPr>
        <w:t xml:space="preserve"> the specifications of the product needed for delivery</w:t>
      </w:r>
      <w:r w:rsidR="00E15E58">
        <w:rPr>
          <w:rFonts w:ascii="Arial" w:hAnsi="Arial" w:cs="Arial"/>
          <w:sz w:val="24"/>
          <w:szCs w:val="24"/>
          <w:lang w:eastAsia="en-GB"/>
        </w:rPr>
        <w:t xml:space="preserve"> and </w:t>
      </w:r>
      <w:r w:rsidR="00E15E58" w:rsidRPr="00AA2F7F">
        <w:rPr>
          <w:rFonts w:ascii="Arial" w:hAnsi="Arial" w:cs="Arial"/>
          <w:sz w:val="24"/>
          <w:szCs w:val="24"/>
          <w:lang w:eastAsia="en-GB"/>
        </w:rPr>
        <w:t>timescales</w:t>
      </w:r>
      <w:r w:rsidRPr="00AA2F7F">
        <w:rPr>
          <w:rFonts w:ascii="Arial" w:hAnsi="Arial" w:cs="Arial"/>
          <w:sz w:val="24"/>
          <w:szCs w:val="24"/>
          <w:lang w:eastAsia="en-GB"/>
        </w:rPr>
        <w:t xml:space="preserve"> achieve this (Hedeman and Seejers, 2009, p. 103) (AXELOS Limited, 2017, p. 15).</w:t>
      </w:r>
    </w:p>
    <w:p w14:paraId="172FC185" w14:textId="77777777" w:rsidR="00840D2D" w:rsidRPr="00AE777D" w:rsidRDefault="00840D2D" w:rsidP="00AE777D">
      <w:pPr>
        <w:spacing w:line="360" w:lineRule="auto"/>
        <w:jc w:val="both"/>
        <w:rPr>
          <w:rFonts w:ascii="Arial" w:hAnsi="Arial" w:cs="Arial"/>
          <w:b/>
          <w:bCs/>
          <w:sz w:val="26"/>
          <w:szCs w:val="26"/>
        </w:rPr>
      </w:pPr>
      <w:r w:rsidRPr="00AE777D">
        <w:rPr>
          <w:rFonts w:ascii="Arial" w:hAnsi="Arial" w:cs="Arial"/>
          <w:b/>
          <w:bCs/>
          <w:sz w:val="26"/>
          <w:szCs w:val="26"/>
        </w:rPr>
        <w:t>Limitation and Collaboration</w:t>
      </w:r>
    </w:p>
    <w:p w14:paraId="1E1FC2C4" w14:textId="77777777" w:rsidR="00021740" w:rsidRPr="00AA2F7F" w:rsidRDefault="00021740"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limitations of Prince2 are that the methodology does not focus on overall stakeholder engagement (Eskerod and Huemann, 2013, p.43). For this project to succeed, stakeholder engagement will be key. As the literature review pointed out, for a successful booking system to be implemented, the product needs to be convenient for all users.</w:t>
      </w:r>
    </w:p>
    <w:p w14:paraId="437F9C90" w14:textId="77777777" w:rsidR="00021740" w:rsidRPr="00AA2F7F" w:rsidRDefault="00021740"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A way to counteract the issues of stakeholder engagement is Theory of Change (ToC). ToC can support and strengthen communication</w:t>
      </w:r>
      <w:r w:rsidR="0071273B">
        <w:rPr>
          <w:rFonts w:ascii="Arial" w:hAnsi="Arial" w:cs="Arial"/>
          <w:sz w:val="24"/>
          <w:szCs w:val="24"/>
          <w:lang w:eastAsia="en-GB"/>
        </w:rPr>
        <w:t>, it</w:t>
      </w:r>
      <w:r w:rsidRPr="00AA2F7F">
        <w:rPr>
          <w:rFonts w:ascii="Arial" w:hAnsi="Arial" w:cs="Arial"/>
          <w:sz w:val="24"/>
          <w:szCs w:val="24"/>
          <w:lang w:eastAsia="en-GB"/>
        </w:rPr>
        <w:t xml:space="preserve"> will add value through planning of assumptions (Taplin et al., 2013, p. 3) (Adedeji, 2021, p.145).</w:t>
      </w:r>
    </w:p>
    <w:p w14:paraId="11A62578" w14:textId="77777777" w:rsidR="00021740" w:rsidRPr="00AA2F7F" w:rsidRDefault="00021740"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A </w:t>
      </w:r>
      <w:r w:rsidR="00852192">
        <w:rPr>
          <w:rFonts w:ascii="Arial" w:hAnsi="Arial" w:cs="Arial"/>
          <w:sz w:val="24"/>
          <w:szCs w:val="24"/>
          <w:lang w:eastAsia="en-GB"/>
        </w:rPr>
        <w:t xml:space="preserve">digital </w:t>
      </w:r>
      <w:r w:rsidRPr="00AA2F7F">
        <w:rPr>
          <w:rFonts w:ascii="Arial" w:hAnsi="Arial" w:cs="Arial"/>
          <w:sz w:val="24"/>
          <w:szCs w:val="24"/>
          <w:lang w:eastAsia="en-GB"/>
        </w:rPr>
        <w:t xml:space="preserve">outpatient booking system will influence all service users, including multiple specialities and clinicians. It will also affect the nurses and admin teams that help run and organise outpatients. Therefore, it is incredibly important that stakeholder engagement is a key process throughout the project. Stakeholder engagement will help achieve the project’s long-term goals and desired outcomes for the end users. Successful stakeholder engagement throughout the project will further ensure the </w:t>
      </w:r>
      <w:r w:rsidRPr="00AA2F7F">
        <w:rPr>
          <w:rFonts w:ascii="Arial" w:hAnsi="Arial" w:cs="Arial"/>
          <w:sz w:val="24"/>
          <w:szCs w:val="24"/>
          <w:lang w:eastAsia="en-GB"/>
        </w:rPr>
        <w:lastRenderedPageBreak/>
        <w:t xml:space="preserve">likelihood of success. ToC will help this process by working backwards from the long-term goal of an outpatient room booking utilisation system by finding solutions through assumption (Taplin et al., 2013, p. 4). ToC can </w:t>
      </w:r>
      <w:r w:rsidR="00852192">
        <w:rPr>
          <w:rFonts w:ascii="Arial" w:hAnsi="Arial" w:cs="Arial"/>
          <w:sz w:val="24"/>
          <w:szCs w:val="24"/>
          <w:lang w:eastAsia="en-GB"/>
        </w:rPr>
        <w:t>give the project better</w:t>
      </w:r>
      <w:r w:rsidRPr="00AA2F7F">
        <w:rPr>
          <w:rFonts w:ascii="Arial" w:hAnsi="Arial" w:cs="Arial"/>
          <w:sz w:val="24"/>
          <w:szCs w:val="24"/>
          <w:lang w:eastAsia="en-GB"/>
        </w:rPr>
        <w:t xml:space="preserve"> understanding of success and failure of a project (Adedeji, 2021, p.156).</w:t>
      </w:r>
    </w:p>
    <w:p w14:paraId="2DF82850" w14:textId="77777777" w:rsidR="00021740" w:rsidRPr="00AA2F7F" w:rsidRDefault="00021740"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project should revisit ToC throughout to ensure things are going to plan or find out why it is not (Taplin et al., 2013, p. 10). By revisiting the initial plan, the project can make slight alterations to the long-term goal</w:t>
      </w:r>
      <w:r w:rsidR="00DD6DDC">
        <w:rPr>
          <w:rFonts w:ascii="Arial" w:hAnsi="Arial" w:cs="Arial"/>
          <w:sz w:val="24"/>
          <w:szCs w:val="24"/>
          <w:lang w:eastAsia="en-GB"/>
        </w:rPr>
        <w:t xml:space="preserve">. </w:t>
      </w:r>
      <w:r w:rsidR="00DD6DDC" w:rsidRPr="00AA2F7F">
        <w:rPr>
          <w:rFonts w:ascii="Arial" w:hAnsi="Arial" w:cs="Arial"/>
          <w:sz w:val="24"/>
          <w:szCs w:val="24"/>
          <w:lang w:eastAsia="en-GB"/>
        </w:rPr>
        <w:t>This will help the project in ensuring that the outpatient booking system remains relevant for stakeholders if discoveries</w:t>
      </w:r>
      <w:r w:rsidR="00DD6DDC">
        <w:rPr>
          <w:rFonts w:ascii="Arial" w:hAnsi="Arial" w:cs="Arial"/>
          <w:sz w:val="24"/>
          <w:szCs w:val="24"/>
          <w:lang w:eastAsia="en-GB"/>
        </w:rPr>
        <w:t xml:space="preserve"> made in further engagement</w:t>
      </w:r>
      <w:r w:rsidR="00DD6DDC" w:rsidRPr="00AA2F7F">
        <w:rPr>
          <w:rFonts w:ascii="Arial" w:hAnsi="Arial" w:cs="Arial"/>
          <w:sz w:val="24"/>
          <w:szCs w:val="24"/>
          <w:lang w:eastAsia="en-GB"/>
        </w:rPr>
        <w:t xml:space="preserve"> are viable and do not create scope creep</w:t>
      </w:r>
      <w:r w:rsidR="00DD6DDC">
        <w:rPr>
          <w:rFonts w:ascii="Arial" w:hAnsi="Arial" w:cs="Arial"/>
          <w:sz w:val="24"/>
          <w:szCs w:val="24"/>
          <w:lang w:eastAsia="en-GB"/>
        </w:rPr>
        <w:t xml:space="preserve"> </w:t>
      </w:r>
      <w:r w:rsidRPr="00AA2F7F">
        <w:rPr>
          <w:rFonts w:ascii="Arial" w:hAnsi="Arial" w:cs="Arial"/>
          <w:sz w:val="24"/>
          <w:szCs w:val="24"/>
          <w:lang w:eastAsia="en-GB"/>
        </w:rPr>
        <w:t xml:space="preserve">(Adedeji, 2021, p.145). </w:t>
      </w:r>
    </w:p>
    <w:p w14:paraId="242F55FD" w14:textId="77777777" w:rsidR="00021740" w:rsidRPr="00AA2F7F" w:rsidRDefault="00021740"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 project delivery method considerations have also taken place with waterfall and agile approaches both looked at. Out of the two approaches, the project chose agile, as it is better suited to a digital approach (AXELOS Limited, 2017, p. 15). Digital projects work well with agile as it helps address issues that involve deadlines and ensuring product satisfaction. (Cooke, 2016, p. 34) It also helps in bringing projects to market quicker (Project Management Institute, 2017, p. 73)</w:t>
      </w:r>
    </w:p>
    <w:p w14:paraId="470284FB" w14:textId="77777777" w:rsidR="002438A7" w:rsidRPr="00AA2F7F" w:rsidRDefault="00021740"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Th literature review discovered usability and convenience is key successful implementation for a digital booking system. Agile will be a benefit in achieving usability by assuring that </w:t>
      </w:r>
      <w:r w:rsidR="00381823">
        <w:rPr>
          <w:rFonts w:ascii="Arial" w:hAnsi="Arial" w:cs="Arial"/>
          <w:sz w:val="24"/>
          <w:szCs w:val="24"/>
          <w:lang w:eastAsia="en-GB"/>
        </w:rPr>
        <w:t>the stakeholders</w:t>
      </w:r>
      <w:r w:rsidRPr="00AA2F7F">
        <w:rPr>
          <w:rFonts w:ascii="Arial" w:hAnsi="Arial" w:cs="Arial"/>
          <w:sz w:val="24"/>
          <w:szCs w:val="24"/>
          <w:lang w:eastAsia="en-GB"/>
        </w:rPr>
        <w:t xml:space="preserve"> and the project team talk continuously throughout</w:t>
      </w:r>
      <w:r w:rsidR="00381823">
        <w:rPr>
          <w:rFonts w:ascii="Arial" w:hAnsi="Arial" w:cs="Arial"/>
          <w:sz w:val="24"/>
          <w:szCs w:val="24"/>
          <w:lang w:eastAsia="en-GB"/>
        </w:rPr>
        <w:t xml:space="preserve"> </w:t>
      </w:r>
      <w:r w:rsidRPr="00AA2F7F">
        <w:rPr>
          <w:rFonts w:ascii="Arial" w:hAnsi="Arial" w:cs="Arial"/>
          <w:sz w:val="24"/>
          <w:szCs w:val="24"/>
          <w:lang w:eastAsia="en-GB"/>
        </w:rPr>
        <w:t>(Cooke, 2016, p.35)</w:t>
      </w:r>
      <w:r w:rsidR="00381823">
        <w:rPr>
          <w:rFonts w:ascii="Arial" w:hAnsi="Arial" w:cs="Arial"/>
          <w:sz w:val="24"/>
          <w:szCs w:val="24"/>
          <w:lang w:eastAsia="en-GB"/>
        </w:rPr>
        <w:t>.</w:t>
      </w:r>
    </w:p>
    <w:p w14:paraId="46B46242" w14:textId="77777777" w:rsidR="00840D2D" w:rsidRPr="00AE777D" w:rsidRDefault="00840D2D" w:rsidP="00AE777D">
      <w:pPr>
        <w:spacing w:line="360" w:lineRule="auto"/>
        <w:jc w:val="both"/>
        <w:rPr>
          <w:rFonts w:ascii="Arial" w:hAnsi="Arial" w:cs="Arial"/>
          <w:b/>
          <w:bCs/>
          <w:sz w:val="26"/>
          <w:szCs w:val="26"/>
        </w:rPr>
      </w:pPr>
      <w:r w:rsidRPr="00AE777D">
        <w:rPr>
          <w:rFonts w:ascii="Arial" w:hAnsi="Arial" w:cs="Arial"/>
          <w:b/>
          <w:bCs/>
          <w:sz w:val="26"/>
          <w:szCs w:val="26"/>
        </w:rPr>
        <w:t>Conclusion</w:t>
      </w:r>
    </w:p>
    <w:p w14:paraId="16693629" w14:textId="77777777" w:rsidR="002747CC" w:rsidRDefault="004A580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By combining Prince2, Agile and the Theory of Change will actively increase the chances of the successful implementation of a </w:t>
      </w:r>
      <w:r w:rsidR="0038040F">
        <w:rPr>
          <w:rFonts w:ascii="Arial" w:hAnsi="Arial" w:cs="Arial"/>
          <w:sz w:val="24"/>
          <w:szCs w:val="24"/>
          <w:lang w:eastAsia="en-GB"/>
        </w:rPr>
        <w:t>digital</w:t>
      </w:r>
      <w:r w:rsidRPr="00AA2F7F">
        <w:rPr>
          <w:rFonts w:ascii="Arial" w:hAnsi="Arial" w:cs="Arial"/>
          <w:sz w:val="24"/>
          <w:szCs w:val="24"/>
          <w:lang w:eastAsia="en-GB"/>
        </w:rPr>
        <w:t xml:space="preserve"> outpatient booking system and achieve its aim to be fully operational by the end of the fiscal year of 2022/23. Prince2, Agile and Theory of Change will ensure communication between all stakeholders, with </w:t>
      </w:r>
    </w:p>
    <w:p w14:paraId="112A45FC" w14:textId="122E546B" w:rsidR="004A5806" w:rsidRPr="00AA2F7F" w:rsidRDefault="004A580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control of the project not being lost for the project manager.</w:t>
      </w:r>
    </w:p>
    <w:p w14:paraId="4CF8869F" w14:textId="77777777" w:rsidR="002747CC" w:rsidRDefault="002747CC" w:rsidP="00AE777D">
      <w:pPr>
        <w:spacing w:line="360" w:lineRule="auto"/>
        <w:jc w:val="both"/>
        <w:rPr>
          <w:rFonts w:ascii="Arial" w:hAnsi="Arial" w:cs="Arial"/>
          <w:b/>
          <w:bCs/>
          <w:sz w:val="28"/>
          <w:szCs w:val="26"/>
          <w:u w:val="single"/>
        </w:rPr>
      </w:pPr>
    </w:p>
    <w:p w14:paraId="4F533C2D" w14:textId="77777777" w:rsidR="002747CC" w:rsidRDefault="002747CC" w:rsidP="00AE777D">
      <w:pPr>
        <w:spacing w:line="360" w:lineRule="auto"/>
        <w:jc w:val="both"/>
        <w:rPr>
          <w:rFonts w:ascii="Arial" w:hAnsi="Arial" w:cs="Arial"/>
          <w:b/>
          <w:bCs/>
          <w:sz w:val="28"/>
          <w:szCs w:val="26"/>
          <w:u w:val="single"/>
        </w:rPr>
      </w:pPr>
    </w:p>
    <w:p w14:paraId="579C6BCD" w14:textId="77777777" w:rsidR="002747CC" w:rsidRDefault="002747CC" w:rsidP="00AE777D">
      <w:pPr>
        <w:spacing w:line="360" w:lineRule="auto"/>
        <w:jc w:val="both"/>
        <w:rPr>
          <w:rFonts w:ascii="Arial" w:hAnsi="Arial" w:cs="Arial"/>
          <w:b/>
          <w:bCs/>
          <w:sz w:val="28"/>
          <w:szCs w:val="26"/>
          <w:u w:val="single"/>
        </w:rPr>
      </w:pPr>
    </w:p>
    <w:p w14:paraId="1DCB9D61" w14:textId="47385833" w:rsidR="004C3F38" w:rsidRPr="00AE777D" w:rsidRDefault="004C3F38" w:rsidP="00AE777D">
      <w:pPr>
        <w:spacing w:line="360" w:lineRule="auto"/>
        <w:jc w:val="both"/>
        <w:rPr>
          <w:rFonts w:ascii="Arial" w:hAnsi="Arial" w:cs="Arial"/>
          <w:b/>
          <w:bCs/>
          <w:sz w:val="28"/>
          <w:szCs w:val="26"/>
          <w:u w:val="single"/>
        </w:rPr>
      </w:pPr>
      <w:r w:rsidRPr="00AE777D">
        <w:rPr>
          <w:rFonts w:ascii="Arial" w:hAnsi="Arial" w:cs="Arial"/>
          <w:b/>
          <w:bCs/>
          <w:sz w:val="28"/>
          <w:szCs w:val="26"/>
          <w:u w:val="single"/>
        </w:rPr>
        <w:lastRenderedPageBreak/>
        <w:t xml:space="preserve">Measures </w:t>
      </w:r>
    </w:p>
    <w:p w14:paraId="27615AFF" w14:textId="3706B529" w:rsidR="002B5E41" w:rsidRPr="00AE777D" w:rsidRDefault="00F02692" w:rsidP="00AE777D">
      <w:pPr>
        <w:spacing w:line="360" w:lineRule="auto"/>
        <w:jc w:val="both"/>
        <w:rPr>
          <w:rFonts w:ascii="Arial" w:hAnsi="Arial" w:cs="Arial"/>
          <w:b/>
          <w:bCs/>
          <w:sz w:val="25"/>
          <w:szCs w:val="25"/>
        </w:rPr>
      </w:pPr>
      <w:bookmarkStart w:id="3" w:name="_Hlk88657839"/>
      <w:r w:rsidRPr="00AE777D">
        <w:rPr>
          <w:rFonts w:ascii="Arial" w:hAnsi="Arial" w:cs="Arial"/>
          <w:b/>
          <w:bCs/>
          <w:sz w:val="25"/>
          <w:szCs w:val="25"/>
        </w:rPr>
        <w:t>Improved Utilisation</w:t>
      </w:r>
    </w:p>
    <w:bookmarkEnd w:id="3"/>
    <w:p w14:paraId="5CECAA6C" w14:textId="77777777" w:rsidR="004A5806" w:rsidRPr="00AA2F7F" w:rsidRDefault="004A580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Improved data and information will allow for accurate modelling of the demand of outpatient services, enabling greater planning and mapping of future activity. The type and effectiveness of room usage will define this. Data will need to be collected from the PMS system used by C&amp;VUHB. This will include the number of patients booked, frequency the clinician sees the patients, and appointment type. COMII can collect more information, such as a period of room usage. COMII is the C&amp;VUHB’s clinical outcome management system that allows clinicians to outcome clinical appointments, set target dates for next review, and record non-attendances, amongst other things. Only roughly sixty-five percent of all clinicians currently used COMII and therefore will need to be rolled out completely as part of the project for the </w:t>
      </w:r>
      <w:r w:rsidR="0071273B">
        <w:rPr>
          <w:rFonts w:ascii="Arial" w:hAnsi="Arial" w:cs="Arial"/>
          <w:sz w:val="24"/>
          <w:szCs w:val="24"/>
          <w:lang w:eastAsia="en-GB"/>
        </w:rPr>
        <w:t>e</w:t>
      </w:r>
      <w:r w:rsidRPr="00AA2F7F">
        <w:rPr>
          <w:rFonts w:ascii="Arial" w:hAnsi="Arial" w:cs="Arial"/>
          <w:sz w:val="24"/>
          <w:szCs w:val="24"/>
          <w:lang w:eastAsia="en-GB"/>
        </w:rPr>
        <w:t>ffective utilisation tool to be used to its full extent.</w:t>
      </w:r>
    </w:p>
    <w:p w14:paraId="7E52DD81" w14:textId="77777777" w:rsidR="004A5806" w:rsidRPr="00AA2F7F" w:rsidRDefault="004A580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By creating utilisation reports, stakeholders from the outpatient department and relevant service users can have operational meetings to discuss issues with room usage. This will allow the outpatient departments to feedback to service users if rooms are not being used and allow for rooms to be repurposed. These meetings are to be triggered if a directorate or service user confirms room usage incorrectly or they are not hitting the proposed eighty-five percent target of room usage for their allocation.</w:t>
      </w:r>
    </w:p>
    <w:p w14:paraId="4C0889C2" w14:textId="77777777" w:rsidR="004A5806" w:rsidRPr="00AA2F7F" w:rsidRDefault="004A5806"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Effective utilised outpatient rooms will impact on lowering waiting list times as C&amp;VUHB can see more appropriate patients. It will also help in limiting last-minute cancellations to patients. Both outcomes will improve the overall patient experience.</w:t>
      </w:r>
    </w:p>
    <w:p w14:paraId="7E99C6E4" w14:textId="747B5E06" w:rsidR="00DB6725" w:rsidRPr="00AE777D" w:rsidRDefault="002B5E41" w:rsidP="00AE777D">
      <w:pPr>
        <w:spacing w:line="360" w:lineRule="auto"/>
        <w:jc w:val="both"/>
        <w:rPr>
          <w:rFonts w:ascii="Arial" w:hAnsi="Arial" w:cs="Arial"/>
          <w:b/>
          <w:bCs/>
          <w:color w:val="212121"/>
          <w:sz w:val="25"/>
          <w:szCs w:val="25"/>
        </w:rPr>
      </w:pPr>
      <w:r w:rsidRPr="00AE777D">
        <w:rPr>
          <w:rFonts w:ascii="Arial" w:hAnsi="Arial" w:cs="Arial"/>
          <w:b/>
          <w:bCs/>
          <w:color w:val="212121"/>
          <w:sz w:val="25"/>
          <w:szCs w:val="25"/>
        </w:rPr>
        <w:t>Digital Room Booking</w:t>
      </w:r>
      <w:r w:rsidR="00F02692" w:rsidRPr="00AE777D">
        <w:rPr>
          <w:rFonts w:ascii="Arial" w:hAnsi="Arial" w:cs="Arial"/>
          <w:b/>
          <w:bCs/>
          <w:color w:val="212121"/>
          <w:sz w:val="25"/>
          <w:szCs w:val="25"/>
        </w:rPr>
        <w:t xml:space="preserve"> Solution</w:t>
      </w:r>
    </w:p>
    <w:p w14:paraId="6C701CD9" w14:textId="77777777"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A bespoke room booking system will need to be created within C&amp;VUHB that will be a one stop shop for all outpatient room bookings enquiries. The system will include a database of all available rooms, locations, and amenities. This will allow for a uniform approach and reduce time wastage for both requester and manager of the bookings. It will also align with the digital strategy of the health board (Cardiff and Vale University Health Board, 2020)</w:t>
      </w:r>
    </w:p>
    <w:p w14:paraId="240FB322" w14:textId="77777777"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lastRenderedPageBreak/>
        <w:t xml:space="preserve">Discovered by the literature review, block booking by specialty can be successful for utilisation. Therefore, incorporation of successful elements of the 6:4:2 model into the innovative approach should take place. Directorates of their specialties will take advantage of their cohort of rooms and have the first option to backfill with another clinician until 4 weeks before the date of the clinic before </w:t>
      </w:r>
      <w:r w:rsidR="00915BB9">
        <w:rPr>
          <w:rFonts w:ascii="Arial" w:hAnsi="Arial" w:cs="Arial"/>
          <w:sz w:val="24"/>
          <w:szCs w:val="24"/>
          <w:lang w:eastAsia="en-GB"/>
        </w:rPr>
        <w:t xml:space="preserve">being </w:t>
      </w:r>
      <w:r w:rsidRPr="00AA2F7F">
        <w:rPr>
          <w:rFonts w:ascii="Arial" w:hAnsi="Arial" w:cs="Arial"/>
          <w:sz w:val="24"/>
          <w:szCs w:val="24"/>
          <w:lang w:eastAsia="en-GB"/>
        </w:rPr>
        <w:t>offered to other services. The trial of the 6:4:2 model improved utilisation and reduced the need for waiting list initiative clinics on weekends and evenings. Which reduces cost of overtime needed for these services. This will have the added benefit for staff as they will be less likely to experience burnout from working extra hours. The system will also avoid staff wastage, such as nursing cover, as data on utilisation of rooms will be available in advance, allowing for easier staff rostering.</w:t>
      </w:r>
    </w:p>
    <w:p w14:paraId="0957F466" w14:textId="07F1A2E3"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To add convenience for service users, the project will look to design the front end of the booking system within Office365. Office 365 is a cloud-based service designed by Microsoft (Katzer and Crawford, 2013, p. 1). All staff already use Office365 within the health board daily. SharePoint is one product associated with Office365. The IT department, amongst others, has already taken advantage of SharePoint to create an intranet site (Hu et al., 2021 p. 258).</w:t>
      </w:r>
      <w:bookmarkStart w:id="4" w:name="_Hlk89624706"/>
      <w:r w:rsidRPr="00AA2F7F">
        <w:rPr>
          <w:rFonts w:ascii="Arial" w:hAnsi="Arial" w:cs="Arial"/>
          <w:sz w:val="24"/>
          <w:szCs w:val="24"/>
          <w:lang w:eastAsia="en-GB"/>
        </w:rPr>
        <w:t xml:space="preserve"> </w:t>
      </w:r>
      <w:bookmarkEnd w:id="4"/>
      <w:r w:rsidRPr="00AA2F7F">
        <w:rPr>
          <w:rFonts w:ascii="Arial" w:hAnsi="Arial" w:cs="Arial"/>
          <w:sz w:val="24"/>
          <w:szCs w:val="24"/>
          <w:lang w:eastAsia="en-GB"/>
        </w:rPr>
        <w:t>This will hopefully add a level of convenience for users, as they are already familiar with elements of the booking system.</w:t>
      </w:r>
    </w:p>
    <w:p w14:paraId="0E47A6C1" w14:textId="362EAF9A"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An area of concern will be clinician acceptance. There is always initial pushback from consultants in accepting change (Tanzer, Racaniello and Feldman 2020, p. E450). However, it is hopeful that the changes implemented by improving on the 6:4:2 model and using Office365 will make it feel like slight adjustments are being made</w:t>
      </w:r>
      <w:r w:rsidR="0038040F">
        <w:rPr>
          <w:rFonts w:ascii="Arial" w:hAnsi="Arial" w:cs="Arial"/>
          <w:sz w:val="24"/>
          <w:szCs w:val="24"/>
          <w:lang w:eastAsia="en-GB"/>
        </w:rPr>
        <w:t>.</w:t>
      </w:r>
      <w:r w:rsidRPr="00AA2F7F">
        <w:rPr>
          <w:rFonts w:ascii="Arial" w:hAnsi="Arial" w:cs="Arial"/>
          <w:sz w:val="24"/>
          <w:szCs w:val="24"/>
          <w:lang w:eastAsia="en-GB"/>
        </w:rPr>
        <w:t xml:space="preserve"> </w:t>
      </w:r>
      <w:r w:rsidR="0038040F">
        <w:rPr>
          <w:rFonts w:ascii="Arial" w:hAnsi="Arial" w:cs="Arial"/>
          <w:sz w:val="24"/>
          <w:szCs w:val="24"/>
          <w:lang w:eastAsia="en-GB"/>
        </w:rPr>
        <w:t>R</w:t>
      </w:r>
      <w:r w:rsidRPr="00AA2F7F">
        <w:rPr>
          <w:rFonts w:ascii="Arial" w:hAnsi="Arial" w:cs="Arial"/>
          <w:sz w:val="24"/>
          <w:szCs w:val="24"/>
          <w:lang w:eastAsia="en-GB"/>
        </w:rPr>
        <w:t>ather than something completely new</w:t>
      </w:r>
      <w:r w:rsidR="0038040F">
        <w:rPr>
          <w:rFonts w:ascii="Arial" w:hAnsi="Arial" w:cs="Arial"/>
          <w:sz w:val="24"/>
          <w:szCs w:val="24"/>
          <w:lang w:eastAsia="en-GB"/>
        </w:rPr>
        <w:t xml:space="preserve"> being</w:t>
      </w:r>
      <w:r w:rsidRPr="00AA2F7F">
        <w:rPr>
          <w:rFonts w:ascii="Arial" w:hAnsi="Arial" w:cs="Arial"/>
          <w:sz w:val="24"/>
          <w:szCs w:val="24"/>
          <w:lang w:eastAsia="en-GB"/>
        </w:rPr>
        <w:t xml:space="preserve"> introduced. To aid in digital acceptance, there should be deployment and encouragement of tutorials and training sessions (Topol, 2019, p. 27).</w:t>
      </w:r>
    </w:p>
    <w:p w14:paraId="6DD4E857" w14:textId="0287F41F"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A benefit to the project is the reduction of admin burden for the nurses dealing with requests for room allocation. Less admin burden will allow the nurses to have more time for their clinical responsibilities (Topol, 2019, p. 7). It will also reduce unnecessary emails and demands being placed on individuals. With a uniform approach across the board, it will allow for a reduction in stress and anxiety levels</w:t>
      </w:r>
      <w:r w:rsidR="00393DE1">
        <w:rPr>
          <w:rFonts w:ascii="Arial" w:hAnsi="Arial" w:cs="Arial"/>
          <w:sz w:val="24"/>
          <w:szCs w:val="24"/>
          <w:lang w:eastAsia="en-GB"/>
        </w:rPr>
        <w:t>.</w:t>
      </w:r>
    </w:p>
    <w:p w14:paraId="1BE25495" w14:textId="77777777"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Increased demand on admin staff has the potential of being an unintended consequence for the project, with rooms being allocated at shorter notice for greater </w:t>
      </w:r>
      <w:r w:rsidRPr="00AA2F7F">
        <w:rPr>
          <w:rFonts w:ascii="Arial" w:hAnsi="Arial" w:cs="Arial"/>
          <w:sz w:val="24"/>
          <w:szCs w:val="24"/>
          <w:lang w:eastAsia="en-GB"/>
        </w:rPr>
        <w:lastRenderedPageBreak/>
        <w:t xml:space="preserve">utilisation. This will include calling more patients at short notice to fill relevant appointment slots and </w:t>
      </w:r>
      <w:r w:rsidR="00915BB9">
        <w:rPr>
          <w:rFonts w:ascii="Arial" w:hAnsi="Arial" w:cs="Arial"/>
          <w:sz w:val="24"/>
          <w:szCs w:val="24"/>
          <w:lang w:eastAsia="en-GB"/>
        </w:rPr>
        <w:t xml:space="preserve">an </w:t>
      </w:r>
      <w:r w:rsidRPr="00AA2F7F">
        <w:rPr>
          <w:rFonts w:ascii="Arial" w:hAnsi="Arial" w:cs="Arial"/>
          <w:sz w:val="24"/>
          <w:szCs w:val="24"/>
          <w:lang w:eastAsia="en-GB"/>
        </w:rPr>
        <w:t>increase in required reception cover. Currently, admin staff can cover multiple receptions at once that are in proximity if the number of patients entering the outpatient area is low.</w:t>
      </w:r>
    </w:p>
    <w:p w14:paraId="54D39F16" w14:textId="32AE7997"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However, in contradiction to the assumption that nurses will have more time for their clinical responsibilities, the opposite could take place from an increase in short notice requests. Even though clear guidance to state room request under 2 weeks will not have guaranteed nursing support, nurses might feel the pressure to hit utilisation targets and accept late requests. Therefore, nurse rostering might need to be done at short notice, which could take </w:t>
      </w:r>
      <w:r w:rsidR="00F02692">
        <w:rPr>
          <w:rFonts w:ascii="Arial" w:hAnsi="Arial" w:cs="Arial"/>
          <w:sz w:val="24"/>
          <w:szCs w:val="24"/>
          <w:lang w:eastAsia="en-GB"/>
        </w:rPr>
        <w:t>senior nurses</w:t>
      </w:r>
      <w:r w:rsidRPr="00AA2F7F">
        <w:rPr>
          <w:rFonts w:ascii="Arial" w:hAnsi="Arial" w:cs="Arial"/>
          <w:sz w:val="24"/>
          <w:szCs w:val="24"/>
          <w:lang w:eastAsia="en-GB"/>
        </w:rPr>
        <w:t xml:space="preserve"> away from their clinical responsibilities.</w:t>
      </w:r>
    </w:p>
    <w:p w14:paraId="558AE95B" w14:textId="77777777" w:rsidR="00DA249B" w:rsidRPr="00AE777D" w:rsidRDefault="00DA249B" w:rsidP="00AE777D">
      <w:pPr>
        <w:spacing w:after="0" w:line="360" w:lineRule="auto"/>
        <w:jc w:val="both"/>
        <w:rPr>
          <w:rFonts w:ascii="Arial" w:hAnsi="Arial" w:cs="Arial"/>
          <w:color w:val="212121"/>
          <w:sz w:val="26"/>
          <w:szCs w:val="26"/>
        </w:rPr>
      </w:pPr>
    </w:p>
    <w:p w14:paraId="4D272425" w14:textId="77777777" w:rsidR="00B27E9A" w:rsidRPr="00AE777D" w:rsidRDefault="00B27E9A" w:rsidP="00AE777D">
      <w:pPr>
        <w:spacing w:line="360" w:lineRule="auto"/>
        <w:jc w:val="both"/>
        <w:rPr>
          <w:rFonts w:ascii="Arial" w:hAnsi="Arial" w:cs="Arial"/>
          <w:b/>
          <w:bCs/>
          <w:sz w:val="25"/>
          <w:szCs w:val="25"/>
        </w:rPr>
      </w:pPr>
      <w:r w:rsidRPr="00AE777D">
        <w:rPr>
          <w:rFonts w:ascii="Arial" w:hAnsi="Arial" w:cs="Arial"/>
          <w:b/>
          <w:bCs/>
          <w:sz w:val="25"/>
          <w:szCs w:val="25"/>
        </w:rPr>
        <w:t>Evaluation before Spread and Scale</w:t>
      </w:r>
    </w:p>
    <w:p w14:paraId="71A28258" w14:textId="6A7B741D" w:rsidR="002068D5" w:rsidRPr="00AA2F7F" w:rsidRDefault="002068D5"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By rolling out the project slowly and introducing a valuation stage, it will help appraise how effective the booking utilisation system is. The project hopes to meet the potential benefits without the potential consequences and concerns arising. However, if the concerns or consequences arise, there is time to address and </w:t>
      </w:r>
      <w:r w:rsidR="00915BB9">
        <w:rPr>
          <w:rFonts w:ascii="Arial" w:hAnsi="Arial" w:cs="Arial"/>
          <w:sz w:val="24"/>
          <w:szCs w:val="24"/>
          <w:lang w:eastAsia="en-GB"/>
        </w:rPr>
        <w:t>re</w:t>
      </w:r>
      <w:r w:rsidRPr="00AA2F7F">
        <w:rPr>
          <w:rFonts w:ascii="Arial" w:hAnsi="Arial" w:cs="Arial"/>
          <w:sz w:val="24"/>
          <w:szCs w:val="24"/>
          <w:lang w:eastAsia="en-GB"/>
        </w:rPr>
        <w:t>solve before moving forward with the spread and scale throughout outpatients in C&amp;VUHB.</w:t>
      </w:r>
    </w:p>
    <w:p w14:paraId="026F612F" w14:textId="46414A13" w:rsidR="002068D5" w:rsidRPr="00AA2F7F" w:rsidRDefault="002068D5"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 xml:space="preserve">An example of how the evaluation will help is the potential concern in the rollout of COMII. </w:t>
      </w:r>
      <w:r w:rsidR="004F6D5C" w:rsidRPr="00AA2F7F">
        <w:rPr>
          <w:rFonts w:ascii="Arial" w:hAnsi="Arial" w:cs="Arial"/>
          <w:sz w:val="24"/>
          <w:szCs w:val="24"/>
          <w:lang w:eastAsia="en-GB"/>
        </w:rPr>
        <w:t>Sixty-five percent</w:t>
      </w:r>
      <w:r w:rsidRPr="00AA2F7F">
        <w:rPr>
          <w:rFonts w:ascii="Arial" w:hAnsi="Arial" w:cs="Arial"/>
          <w:sz w:val="24"/>
          <w:szCs w:val="24"/>
          <w:lang w:eastAsia="en-GB"/>
        </w:rPr>
        <w:t xml:space="preserve"> of all clinicians use COMII and therefore will need to be rolled out completely as part of the project for the </w:t>
      </w:r>
      <w:r w:rsidR="00915BB9">
        <w:rPr>
          <w:rFonts w:ascii="Arial" w:hAnsi="Arial" w:cs="Arial"/>
          <w:sz w:val="24"/>
          <w:szCs w:val="24"/>
          <w:lang w:eastAsia="en-GB"/>
        </w:rPr>
        <w:t>e</w:t>
      </w:r>
      <w:r w:rsidRPr="00AA2F7F">
        <w:rPr>
          <w:rFonts w:ascii="Arial" w:hAnsi="Arial" w:cs="Arial"/>
          <w:sz w:val="24"/>
          <w:szCs w:val="24"/>
          <w:lang w:eastAsia="en-GB"/>
        </w:rPr>
        <w:t xml:space="preserve">ffective utilisation tool to be used to its full extent. Therefore, the successful rollout COMII will need to be incorporated </w:t>
      </w:r>
      <w:r w:rsidR="008A4243">
        <w:rPr>
          <w:rFonts w:ascii="Arial" w:hAnsi="Arial" w:cs="Arial"/>
          <w:sz w:val="24"/>
          <w:szCs w:val="24"/>
          <w:lang w:eastAsia="en-GB"/>
        </w:rPr>
        <w:t>into the</w:t>
      </w:r>
      <w:r w:rsidRPr="00AA2F7F">
        <w:rPr>
          <w:rFonts w:ascii="Arial" w:hAnsi="Arial" w:cs="Arial"/>
          <w:sz w:val="24"/>
          <w:szCs w:val="24"/>
          <w:lang w:eastAsia="en-GB"/>
        </w:rPr>
        <w:t xml:space="preserve"> project. In the evaluation stage, this will need to be addressed and a solution will need to be discovered before spread and scale if COMII is not being used sufficiently.</w:t>
      </w:r>
    </w:p>
    <w:p w14:paraId="0C6A9019" w14:textId="77777777" w:rsidR="002747CC" w:rsidRDefault="002747CC" w:rsidP="00AE777D">
      <w:pPr>
        <w:spacing w:line="360" w:lineRule="auto"/>
        <w:jc w:val="both"/>
        <w:rPr>
          <w:rFonts w:ascii="Arial" w:hAnsi="Arial" w:cs="Arial"/>
          <w:b/>
          <w:bCs/>
          <w:sz w:val="28"/>
          <w:szCs w:val="28"/>
          <w:u w:val="single"/>
        </w:rPr>
      </w:pPr>
    </w:p>
    <w:p w14:paraId="3EDA2469" w14:textId="77777777" w:rsidR="002747CC" w:rsidRDefault="002747CC" w:rsidP="00AE777D">
      <w:pPr>
        <w:spacing w:line="360" w:lineRule="auto"/>
        <w:jc w:val="both"/>
        <w:rPr>
          <w:rFonts w:ascii="Arial" w:hAnsi="Arial" w:cs="Arial"/>
          <w:b/>
          <w:bCs/>
          <w:sz w:val="28"/>
          <w:szCs w:val="28"/>
          <w:u w:val="single"/>
        </w:rPr>
      </w:pPr>
    </w:p>
    <w:p w14:paraId="76B4E163" w14:textId="77777777" w:rsidR="002747CC" w:rsidRDefault="002747CC" w:rsidP="00AE777D">
      <w:pPr>
        <w:spacing w:line="360" w:lineRule="auto"/>
        <w:jc w:val="both"/>
        <w:rPr>
          <w:rFonts w:ascii="Arial" w:hAnsi="Arial" w:cs="Arial"/>
          <w:b/>
          <w:bCs/>
          <w:sz w:val="28"/>
          <w:szCs w:val="28"/>
          <w:u w:val="single"/>
        </w:rPr>
      </w:pPr>
    </w:p>
    <w:p w14:paraId="2F6C9488" w14:textId="77777777" w:rsidR="002747CC" w:rsidRDefault="002747CC" w:rsidP="00AE777D">
      <w:pPr>
        <w:spacing w:line="360" w:lineRule="auto"/>
        <w:jc w:val="both"/>
        <w:rPr>
          <w:rFonts w:ascii="Arial" w:hAnsi="Arial" w:cs="Arial"/>
          <w:b/>
          <w:bCs/>
          <w:sz w:val="28"/>
          <w:szCs w:val="28"/>
          <w:u w:val="single"/>
        </w:rPr>
      </w:pPr>
    </w:p>
    <w:p w14:paraId="31C5FB3B" w14:textId="77777777" w:rsidR="002747CC" w:rsidRDefault="002747CC" w:rsidP="00AE777D">
      <w:pPr>
        <w:spacing w:line="360" w:lineRule="auto"/>
        <w:jc w:val="both"/>
        <w:rPr>
          <w:rFonts w:ascii="Arial" w:hAnsi="Arial" w:cs="Arial"/>
          <w:b/>
          <w:bCs/>
          <w:sz w:val="28"/>
          <w:szCs w:val="28"/>
          <w:u w:val="single"/>
        </w:rPr>
      </w:pPr>
    </w:p>
    <w:p w14:paraId="05EFFB41" w14:textId="738AE026" w:rsidR="004C3F38" w:rsidRPr="00AE777D" w:rsidRDefault="004C3F38" w:rsidP="00AE777D">
      <w:pPr>
        <w:spacing w:line="360" w:lineRule="auto"/>
        <w:jc w:val="both"/>
        <w:rPr>
          <w:rFonts w:ascii="Arial" w:hAnsi="Arial" w:cs="Arial"/>
          <w:b/>
          <w:bCs/>
          <w:sz w:val="28"/>
          <w:szCs w:val="28"/>
          <w:u w:val="single"/>
        </w:rPr>
      </w:pPr>
      <w:r w:rsidRPr="00AE777D">
        <w:rPr>
          <w:rFonts w:ascii="Arial" w:hAnsi="Arial" w:cs="Arial"/>
          <w:b/>
          <w:bCs/>
          <w:sz w:val="28"/>
          <w:szCs w:val="28"/>
          <w:u w:val="single"/>
        </w:rPr>
        <w:lastRenderedPageBreak/>
        <w:t>Improvements</w:t>
      </w:r>
    </w:p>
    <w:p w14:paraId="6286A26A" w14:textId="77777777" w:rsidR="005C7884" w:rsidRDefault="005C7884"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With resources limited by Covid-19</w:t>
      </w:r>
      <w:r>
        <w:rPr>
          <w:rFonts w:ascii="Arial" w:hAnsi="Arial" w:cs="Arial"/>
          <w:sz w:val="24"/>
          <w:szCs w:val="24"/>
          <w:lang w:eastAsia="en-GB"/>
        </w:rPr>
        <w:t xml:space="preserve"> and</w:t>
      </w:r>
      <w:r w:rsidRPr="00AA2F7F">
        <w:rPr>
          <w:rFonts w:ascii="Arial" w:hAnsi="Arial" w:cs="Arial"/>
          <w:sz w:val="24"/>
          <w:szCs w:val="24"/>
          <w:lang w:eastAsia="en-GB"/>
        </w:rPr>
        <w:t xml:space="preserve"> old methods</w:t>
      </w:r>
      <w:r>
        <w:rPr>
          <w:rFonts w:ascii="Arial" w:hAnsi="Arial" w:cs="Arial"/>
          <w:sz w:val="24"/>
          <w:szCs w:val="24"/>
          <w:lang w:eastAsia="en-GB"/>
        </w:rPr>
        <w:t xml:space="preserve"> of working </w:t>
      </w:r>
      <w:r w:rsidRPr="00AA2F7F">
        <w:rPr>
          <w:rFonts w:ascii="Arial" w:hAnsi="Arial" w:cs="Arial"/>
          <w:sz w:val="24"/>
          <w:szCs w:val="24"/>
          <w:lang w:eastAsia="en-GB"/>
        </w:rPr>
        <w:t>becom</w:t>
      </w:r>
      <w:r>
        <w:rPr>
          <w:rFonts w:ascii="Arial" w:hAnsi="Arial" w:cs="Arial"/>
          <w:sz w:val="24"/>
          <w:szCs w:val="24"/>
          <w:lang w:eastAsia="en-GB"/>
        </w:rPr>
        <w:t>ing</w:t>
      </w:r>
      <w:r w:rsidRPr="00AA2F7F">
        <w:rPr>
          <w:rFonts w:ascii="Arial" w:hAnsi="Arial" w:cs="Arial"/>
          <w:sz w:val="24"/>
          <w:szCs w:val="24"/>
          <w:lang w:eastAsia="en-GB"/>
        </w:rPr>
        <w:t xml:space="preserve"> obsolete, there is a need for new principles of usage for outpatients (Welsh Government, 2021, p.25). This will enable for the project to align with C&amp;VUHB’s (2015, p. 29) objectives and ensuring the continued availability of vital resources for the patients most in need (Ahmed, Nasiri and Zayed, 2021 p. 10).</w:t>
      </w:r>
    </w:p>
    <w:p w14:paraId="62119703" w14:textId="77777777" w:rsidR="005C7884" w:rsidRPr="00AA2F7F" w:rsidRDefault="005C7884"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The key elements that should be at the core of the principles of usage are the effects on patients. Patients with life-threatening conditions and negative effects associated with delays should take priority (Tanzer, Racaniello and Feldman, 2020, p. E450). Appointment type also needs to be considered. In an outpatient setting, over three quarters of patients can have virtual appointments (Patel and Douglas-Moore 2020, p. 340)</w:t>
      </w:r>
      <w:r>
        <w:rPr>
          <w:rFonts w:ascii="Arial" w:hAnsi="Arial" w:cs="Arial"/>
          <w:sz w:val="24"/>
          <w:szCs w:val="24"/>
          <w:lang w:eastAsia="en-GB"/>
        </w:rPr>
        <w:t xml:space="preserve">. </w:t>
      </w:r>
      <w:r w:rsidRPr="00AA2F7F">
        <w:rPr>
          <w:rFonts w:ascii="Arial" w:hAnsi="Arial" w:cs="Arial"/>
          <w:sz w:val="24"/>
          <w:szCs w:val="24"/>
          <w:lang w:eastAsia="en-GB"/>
        </w:rPr>
        <w:t>But data from March 2021 suggest only 35% of patients are currently being seen virtually (Welsh Government, 2021, p. 25). Therefore, the project will need to engage with stakeholders to incentiv</w:t>
      </w:r>
      <w:r>
        <w:rPr>
          <w:rFonts w:ascii="Arial" w:hAnsi="Arial" w:cs="Arial"/>
          <w:sz w:val="24"/>
          <w:szCs w:val="24"/>
          <w:lang w:eastAsia="en-GB"/>
        </w:rPr>
        <w:t>is</w:t>
      </w:r>
      <w:r w:rsidRPr="00AA2F7F">
        <w:rPr>
          <w:rFonts w:ascii="Arial" w:hAnsi="Arial" w:cs="Arial"/>
          <w:sz w:val="24"/>
          <w:szCs w:val="24"/>
          <w:lang w:eastAsia="en-GB"/>
        </w:rPr>
        <w:t>e the use of virtual</w:t>
      </w:r>
      <w:r>
        <w:rPr>
          <w:rFonts w:ascii="Arial" w:hAnsi="Arial" w:cs="Arial"/>
          <w:sz w:val="24"/>
          <w:szCs w:val="24"/>
          <w:lang w:eastAsia="en-GB"/>
        </w:rPr>
        <w:t xml:space="preserve"> </w:t>
      </w:r>
      <w:r w:rsidRPr="00AA2F7F">
        <w:rPr>
          <w:rFonts w:ascii="Arial" w:hAnsi="Arial" w:cs="Arial"/>
          <w:sz w:val="24"/>
          <w:szCs w:val="24"/>
          <w:lang w:eastAsia="en-GB"/>
        </w:rPr>
        <w:t xml:space="preserve">appointments. </w:t>
      </w:r>
    </w:p>
    <w:p w14:paraId="57DB28D4" w14:textId="77777777" w:rsidR="005C7884" w:rsidRPr="00AA2F7F" w:rsidRDefault="005C7884"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By implementing agreed principles of usage</w:t>
      </w:r>
      <w:r>
        <w:rPr>
          <w:rFonts w:ascii="Arial" w:hAnsi="Arial" w:cs="Arial"/>
          <w:sz w:val="24"/>
          <w:szCs w:val="24"/>
          <w:lang w:eastAsia="en-GB"/>
        </w:rPr>
        <w:t xml:space="preserve">, </w:t>
      </w:r>
      <w:r w:rsidRPr="00AA2F7F">
        <w:rPr>
          <w:rFonts w:ascii="Arial" w:hAnsi="Arial" w:cs="Arial"/>
          <w:sz w:val="24"/>
          <w:szCs w:val="24"/>
          <w:lang w:eastAsia="en-GB"/>
        </w:rPr>
        <w:t>clinician</w:t>
      </w:r>
      <w:r>
        <w:rPr>
          <w:rFonts w:ascii="Arial" w:hAnsi="Arial" w:cs="Arial"/>
          <w:sz w:val="24"/>
          <w:szCs w:val="24"/>
          <w:lang w:eastAsia="en-GB"/>
        </w:rPr>
        <w:t>s</w:t>
      </w:r>
      <w:r w:rsidRPr="00AA2F7F">
        <w:rPr>
          <w:rFonts w:ascii="Arial" w:hAnsi="Arial" w:cs="Arial"/>
          <w:sz w:val="24"/>
          <w:szCs w:val="24"/>
          <w:lang w:eastAsia="en-GB"/>
        </w:rPr>
        <w:t xml:space="preserve"> </w:t>
      </w:r>
      <w:r>
        <w:rPr>
          <w:rFonts w:ascii="Arial" w:hAnsi="Arial" w:cs="Arial"/>
          <w:sz w:val="24"/>
          <w:szCs w:val="24"/>
          <w:lang w:eastAsia="en-GB"/>
        </w:rPr>
        <w:t xml:space="preserve">will </w:t>
      </w:r>
      <w:r w:rsidRPr="00AA2F7F">
        <w:rPr>
          <w:rFonts w:ascii="Arial" w:hAnsi="Arial" w:cs="Arial"/>
          <w:sz w:val="24"/>
          <w:szCs w:val="24"/>
          <w:lang w:eastAsia="en-GB"/>
        </w:rPr>
        <w:t>use the outpatient rooms for best practice and will help the outpatient’s department achieve its utilisation goals. With agreed principles of usage set through robust clinical validation (</w:t>
      </w:r>
      <w:r w:rsidRPr="00AA2F7F">
        <w:rPr>
          <w:rFonts w:ascii="Arial" w:hAnsi="Arial" w:cs="Arial"/>
          <w:sz w:val="24"/>
          <w:szCs w:val="24"/>
          <w:shd w:val="clear" w:color="auto" w:fill="FFFFFF"/>
        </w:rPr>
        <w:t>Topol, 2019, p. 6</w:t>
      </w:r>
      <w:r w:rsidRPr="00AA2F7F">
        <w:rPr>
          <w:rFonts w:ascii="Arial" w:hAnsi="Arial" w:cs="Arial"/>
          <w:sz w:val="24"/>
          <w:szCs w:val="24"/>
          <w:lang w:eastAsia="en-GB"/>
        </w:rPr>
        <w:t xml:space="preserve">), it will allow an algorithm to be written into the booking system program to implement and prioritise the request and reduce the need for human intervention. </w:t>
      </w:r>
    </w:p>
    <w:p w14:paraId="0DBA2596" w14:textId="77777777"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Improvements to the project as it moves fo</w:t>
      </w:r>
      <w:r w:rsidR="00915BB9">
        <w:rPr>
          <w:rFonts w:ascii="Arial" w:hAnsi="Arial" w:cs="Arial"/>
          <w:sz w:val="24"/>
          <w:szCs w:val="24"/>
          <w:lang w:eastAsia="en-GB"/>
        </w:rPr>
        <w:t>r</w:t>
      </w:r>
      <w:r w:rsidRPr="00AA2F7F">
        <w:rPr>
          <w:rFonts w:ascii="Arial" w:hAnsi="Arial" w:cs="Arial"/>
          <w:sz w:val="24"/>
          <w:szCs w:val="24"/>
          <w:lang w:eastAsia="en-GB"/>
        </w:rPr>
        <w:t>ward is to have the outpatient rooms linked behind the scenes to Scan4Safety and GS1. Scan4Safety programme is to assure everything within a hospital has a unique code which will include individual rooms (Veitch and Darg, 2018 p. 120). GS1 is the standard by which it will create barcodes for unique identification of individual locations (Duggan, 2020, p. 16). The project could use these barcodes as a backup option if there are issues with rollout of COMII. As the clinicians could use the barcode to sign in and out of the room.</w:t>
      </w:r>
    </w:p>
    <w:p w14:paraId="3940936E" w14:textId="77777777"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t>Every room in C&amp;VUHB having its own unique location I.D. could lead to the use of any room within the booking system. This could include those in primary, community, and secondary care. It could also include offices to allow consultants to book rooms for virtual appointments or even meetings, such as MDT.</w:t>
      </w:r>
    </w:p>
    <w:p w14:paraId="7D64B5AE" w14:textId="77777777" w:rsidR="00AA2F7F" w:rsidRPr="00AA2F7F" w:rsidRDefault="00AA2F7F" w:rsidP="00AE777D">
      <w:pPr>
        <w:spacing w:line="360" w:lineRule="auto"/>
        <w:jc w:val="both"/>
        <w:rPr>
          <w:rFonts w:ascii="Arial" w:hAnsi="Arial" w:cs="Arial"/>
          <w:sz w:val="24"/>
          <w:szCs w:val="24"/>
          <w:lang w:eastAsia="en-GB"/>
        </w:rPr>
      </w:pPr>
      <w:r w:rsidRPr="00AA2F7F">
        <w:rPr>
          <w:rFonts w:ascii="Arial" w:hAnsi="Arial" w:cs="Arial"/>
          <w:sz w:val="24"/>
          <w:szCs w:val="24"/>
          <w:lang w:eastAsia="en-GB"/>
        </w:rPr>
        <w:lastRenderedPageBreak/>
        <w:t>Once of the areas that is of concern that could need addressing in the future is the delays caused by the PMS admin team being overrun with requests to create clinics on PMS. Currently, within the health board, there is a two-week delay for request</w:t>
      </w:r>
      <w:r w:rsidR="00915BB9">
        <w:rPr>
          <w:rFonts w:ascii="Arial" w:hAnsi="Arial" w:cs="Arial"/>
          <w:sz w:val="24"/>
          <w:szCs w:val="24"/>
          <w:lang w:eastAsia="en-GB"/>
        </w:rPr>
        <w:t>s</w:t>
      </w:r>
      <w:r w:rsidRPr="00AA2F7F">
        <w:rPr>
          <w:rFonts w:ascii="Arial" w:hAnsi="Arial" w:cs="Arial"/>
          <w:sz w:val="24"/>
          <w:szCs w:val="24"/>
          <w:lang w:eastAsia="en-GB"/>
        </w:rPr>
        <w:t xml:space="preserve"> to be actioned. A solution for this could be for more integration with the room booking system and PMS. This could allow a request for the clinic with an agreement to be opened automatically. By achieving this it will alleviate the burden on admin staff to open these clinics and allow them to focus on other areas within their job role that are currently being neglected because of the high volume of requests. Room cancellations could also automatically trigger a clinic to be cancelled on the PMS system. With further development, this could activate automatic cancellation text/letters to patients.</w:t>
      </w:r>
    </w:p>
    <w:p w14:paraId="1B9AC26F" w14:textId="77FF114A" w:rsidR="00AA2F7F" w:rsidRPr="00AA2F7F" w:rsidRDefault="00F81DFC" w:rsidP="00AE777D">
      <w:pPr>
        <w:spacing w:line="360" w:lineRule="auto"/>
        <w:jc w:val="both"/>
        <w:rPr>
          <w:rFonts w:ascii="Arial" w:hAnsi="Arial" w:cs="Arial"/>
          <w:sz w:val="24"/>
          <w:szCs w:val="24"/>
          <w:lang w:eastAsia="en-GB"/>
        </w:rPr>
      </w:pPr>
      <w:r>
        <w:rPr>
          <w:rFonts w:ascii="Arial" w:hAnsi="Arial" w:cs="Arial"/>
          <w:sz w:val="24"/>
          <w:szCs w:val="24"/>
          <w:lang w:eastAsia="en-GB"/>
        </w:rPr>
        <w:t>I</w:t>
      </w:r>
      <w:r w:rsidR="00AA2F7F" w:rsidRPr="00AA2F7F">
        <w:rPr>
          <w:rFonts w:ascii="Arial" w:hAnsi="Arial" w:cs="Arial"/>
          <w:sz w:val="24"/>
          <w:szCs w:val="24"/>
          <w:lang w:eastAsia="en-GB"/>
        </w:rPr>
        <w:t>ntegration between software platforms could improve patient experience</w:t>
      </w:r>
      <w:r w:rsidR="00FA58FF">
        <w:rPr>
          <w:rFonts w:ascii="Arial" w:hAnsi="Arial" w:cs="Arial"/>
          <w:sz w:val="24"/>
          <w:szCs w:val="24"/>
          <w:lang w:eastAsia="en-GB"/>
        </w:rPr>
        <w:t>.</w:t>
      </w:r>
      <w:r w:rsidR="00AA2F7F" w:rsidRPr="00AA2F7F">
        <w:rPr>
          <w:rFonts w:ascii="Arial" w:hAnsi="Arial" w:cs="Arial"/>
          <w:sz w:val="24"/>
          <w:szCs w:val="24"/>
          <w:lang w:eastAsia="en-GB"/>
        </w:rPr>
        <w:t xml:space="preserve"> </w:t>
      </w:r>
      <w:r w:rsidR="00FA58FF">
        <w:rPr>
          <w:rFonts w:ascii="Arial" w:hAnsi="Arial" w:cs="Arial"/>
          <w:sz w:val="24"/>
          <w:szCs w:val="24"/>
          <w:lang w:eastAsia="en-GB"/>
        </w:rPr>
        <w:t>B</w:t>
      </w:r>
      <w:r w:rsidR="00AA2F7F" w:rsidRPr="00AA2F7F">
        <w:rPr>
          <w:rFonts w:ascii="Arial" w:hAnsi="Arial" w:cs="Arial"/>
          <w:sz w:val="24"/>
          <w:szCs w:val="24"/>
          <w:lang w:eastAsia="en-GB"/>
        </w:rPr>
        <w:t>y triggering text messages to selected patients to choose and book their appt with the opening of an ad-hoc clinic</w:t>
      </w:r>
      <w:r w:rsidR="00FA58FF">
        <w:rPr>
          <w:rFonts w:ascii="Arial" w:hAnsi="Arial" w:cs="Arial"/>
          <w:sz w:val="24"/>
          <w:szCs w:val="24"/>
          <w:lang w:eastAsia="en-GB"/>
        </w:rPr>
        <w:t xml:space="preserve">, it will align </w:t>
      </w:r>
      <w:r w:rsidR="00AA2F7F" w:rsidRPr="00AA2F7F">
        <w:rPr>
          <w:rFonts w:ascii="Arial" w:hAnsi="Arial" w:cs="Arial"/>
          <w:sz w:val="24"/>
          <w:szCs w:val="24"/>
          <w:lang w:eastAsia="en-GB"/>
        </w:rPr>
        <w:t>with aims of the Welsh Government (2021, p. 27). This design would need further research before implementation, as even though it would bring benefits in reduction to admin staff’s workload, it could lead to increased cost. Cost would not just be down to extra text messaging services but also from addition</w:t>
      </w:r>
      <w:r w:rsidR="00915BB9">
        <w:rPr>
          <w:rFonts w:ascii="Arial" w:hAnsi="Arial" w:cs="Arial"/>
          <w:sz w:val="24"/>
          <w:szCs w:val="24"/>
          <w:lang w:eastAsia="en-GB"/>
        </w:rPr>
        <w:t>al</w:t>
      </w:r>
      <w:r w:rsidR="00AA2F7F" w:rsidRPr="00AA2F7F">
        <w:rPr>
          <w:rFonts w:ascii="Arial" w:hAnsi="Arial" w:cs="Arial"/>
          <w:sz w:val="24"/>
          <w:szCs w:val="24"/>
          <w:lang w:eastAsia="en-GB"/>
        </w:rPr>
        <w:t xml:space="preserve"> development to current systems for the IMT department to enable a choose and book approach.</w:t>
      </w:r>
    </w:p>
    <w:p w14:paraId="1B21D74C" w14:textId="6BF5ADA4" w:rsidR="00AA2F7F" w:rsidRPr="00AA2F7F" w:rsidRDefault="004F3AC9" w:rsidP="00AE777D">
      <w:pPr>
        <w:spacing w:line="360" w:lineRule="auto"/>
        <w:jc w:val="both"/>
        <w:rPr>
          <w:rFonts w:ascii="Arial" w:hAnsi="Arial" w:cs="Arial"/>
          <w:sz w:val="24"/>
          <w:szCs w:val="24"/>
          <w:lang w:eastAsia="en-GB"/>
        </w:rPr>
      </w:pPr>
      <w:r>
        <w:rPr>
          <w:rFonts w:ascii="Arial" w:hAnsi="Arial" w:cs="Arial"/>
          <w:sz w:val="24"/>
          <w:szCs w:val="24"/>
          <w:lang w:eastAsia="en-GB"/>
        </w:rPr>
        <w:t>As d</w:t>
      </w:r>
      <w:r w:rsidR="00AA2F7F" w:rsidRPr="00AA2F7F">
        <w:rPr>
          <w:rFonts w:ascii="Arial" w:hAnsi="Arial" w:cs="Arial"/>
          <w:sz w:val="24"/>
          <w:szCs w:val="24"/>
          <w:lang w:eastAsia="en-GB"/>
        </w:rPr>
        <w:t xml:space="preserve">iscovered </w:t>
      </w:r>
      <w:r>
        <w:rPr>
          <w:rFonts w:ascii="Arial" w:hAnsi="Arial" w:cs="Arial"/>
          <w:sz w:val="24"/>
          <w:szCs w:val="24"/>
          <w:lang w:eastAsia="en-GB"/>
        </w:rPr>
        <w:t>by</w:t>
      </w:r>
      <w:r w:rsidR="00AA2F7F" w:rsidRPr="00AA2F7F">
        <w:rPr>
          <w:rFonts w:ascii="Arial" w:hAnsi="Arial" w:cs="Arial"/>
          <w:sz w:val="24"/>
          <w:szCs w:val="24"/>
          <w:lang w:eastAsia="en-GB"/>
        </w:rPr>
        <w:t xml:space="preserve"> the literature </w:t>
      </w:r>
      <w:r w:rsidRPr="00AA2F7F">
        <w:rPr>
          <w:rFonts w:ascii="Arial" w:hAnsi="Arial" w:cs="Arial"/>
          <w:sz w:val="24"/>
          <w:szCs w:val="24"/>
          <w:lang w:eastAsia="en-GB"/>
        </w:rPr>
        <w:t>review</w:t>
      </w:r>
      <w:r>
        <w:rPr>
          <w:rFonts w:ascii="Arial" w:hAnsi="Arial" w:cs="Arial"/>
          <w:sz w:val="24"/>
          <w:szCs w:val="24"/>
          <w:lang w:eastAsia="en-GB"/>
        </w:rPr>
        <w:t xml:space="preserve">, </w:t>
      </w:r>
      <w:r w:rsidRPr="00AA2F7F">
        <w:rPr>
          <w:rFonts w:ascii="Arial" w:hAnsi="Arial" w:cs="Arial"/>
          <w:sz w:val="24"/>
          <w:szCs w:val="24"/>
          <w:lang w:eastAsia="en-GB"/>
        </w:rPr>
        <w:t>once</w:t>
      </w:r>
      <w:r w:rsidR="00AA2F7F" w:rsidRPr="00AA2F7F">
        <w:rPr>
          <w:rFonts w:ascii="Arial" w:hAnsi="Arial" w:cs="Arial"/>
          <w:sz w:val="24"/>
          <w:szCs w:val="24"/>
          <w:lang w:eastAsia="en-GB"/>
        </w:rPr>
        <w:t xml:space="preserve"> the project collects data, then it is possible to tailor clinics to individual clinicians. This will allow the increase or decrease of the number of patients per session for clinician</w:t>
      </w:r>
      <w:r w:rsidR="00F81DFC">
        <w:rPr>
          <w:rFonts w:ascii="Arial" w:hAnsi="Arial" w:cs="Arial"/>
          <w:sz w:val="24"/>
          <w:szCs w:val="24"/>
          <w:lang w:eastAsia="en-GB"/>
        </w:rPr>
        <w:t>s</w:t>
      </w:r>
      <w:r w:rsidR="00AA2F7F" w:rsidRPr="00AA2F7F">
        <w:rPr>
          <w:rFonts w:ascii="Arial" w:hAnsi="Arial" w:cs="Arial"/>
          <w:sz w:val="24"/>
          <w:szCs w:val="24"/>
          <w:lang w:eastAsia="en-GB"/>
        </w:rPr>
        <w:t xml:space="preserve"> without impacting on start and finish times. This would also allow for rooms to be booked by the hour and used by multiple clinicians throughout a session. It will also reduce the need for staff to work late and the build-up of time in lieu.</w:t>
      </w:r>
    </w:p>
    <w:p w14:paraId="17225832" w14:textId="77777777" w:rsidR="00F81DFC" w:rsidRPr="00F81DFC" w:rsidRDefault="00F81DFC" w:rsidP="00AE777D">
      <w:pPr>
        <w:spacing w:line="360" w:lineRule="auto"/>
        <w:jc w:val="both"/>
        <w:rPr>
          <w:rFonts w:ascii="Arial" w:hAnsi="Arial" w:cs="Arial"/>
          <w:sz w:val="24"/>
          <w:szCs w:val="24"/>
        </w:rPr>
      </w:pPr>
      <w:r w:rsidRPr="00F81DFC">
        <w:rPr>
          <w:rFonts w:ascii="Arial" w:hAnsi="Arial" w:cs="Arial"/>
          <w:sz w:val="24"/>
          <w:szCs w:val="24"/>
        </w:rPr>
        <w:t>If other health boards adopt this project, it could lead to more collaboration. As in theory, clinicians from other health boards could use the rooms not used by C&amp;VUHB and vice versa. This should allow for a reduction in waiting lists across the NHS in Wales, as more outpatient rooms would be available to be used to capacity. This will go a long way to achieving the priorities set out by the Welsh Government (2021, p. 28 &amp; 29).</w:t>
      </w:r>
    </w:p>
    <w:p w14:paraId="383F6AE6" w14:textId="1343CFCB" w:rsidR="00E009ED" w:rsidRDefault="00E009ED" w:rsidP="00AE777D">
      <w:pPr>
        <w:spacing w:line="360" w:lineRule="auto"/>
        <w:jc w:val="both"/>
        <w:rPr>
          <w:rFonts w:ascii="Arial" w:hAnsi="Arial" w:cs="Arial"/>
        </w:rPr>
      </w:pPr>
    </w:p>
    <w:p w14:paraId="0A2F90FA" w14:textId="77777777" w:rsidR="002747CC" w:rsidRPr="00305F5D" w:rsidRDefault="002747CC" w:rsidP="002747CC">
      <w:pPr>
        <w:pStyle w:val="NormalWeb"/>
        <w:shd w:val="clear" w:color="auto" w:fill="FFFFFF"/>
        <w:spacing w:before="0" w:beforeAutospacing="0" w:after="173" w:afterAutospacing="0" w:line="360" w:lineRule="auto"/>
        <w:ind w:left="450" w:hanging="450"/>
        <w:rPr>
          <w:rFonts w:ascii="Arial" w:hAnsi="Arial" w:cs="Arial"/>
          <w:b/>
          <w:sz w:val="28"/>
          <w:szCs w:val="28"/>
          <w:u w:val="single"/>
        </w:rPr>
      </w:pPr>
      <w:r w:rsidRPr="00305F5D">
        <w:rPr>
          <w:rFonts w:ascii="Arial" w:hAnsi="Arial" w:cs="Arial"/>
          <w:b/>
          <w:sz w:val="28"/>
          <w:szCs w:val="28"/>
          <w:u w:val="single"/>
        </w:rPr>
        <w:lastRenderedPageBreak/>
        <w:t>References:</w:t>
      </w:r>
    </w:p>
    <w:p w14:paraId="5DD97D84"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Adedej</w:t>
      </w:r>
      <w:proofErr w:type="spellEnd"/>
      <w:r w:rsidRPr="00BE7E8C">
        <w:rPr>
          <w:rFonts w:ascii="Arial" w:hAnsi="Arial" w:cs="Arial"/>
        </w:rPr>
        <w:t>, T.A. (2021), </w:t>
      </w:r>
      <w:r w:rsidRPr="00BE7E8C">
        <w:rPr>
          <w:rFonts w:ascii="Arial" w:hAnsi="Arial" w:cs="Arial"/>
          <w:i/>
          <w:iCs/>
        </w:rPr>
        <w:t>Realising the benefits of digital health implementation in a middle-income country: Applying Theory of Change in Nigerian primary care</w:t>
      </w:r>
      <w:r w:rsidRPr="00BE7E8C">
        <w:rPr>
          <w:rFonts w:ascii="Arial" w:hAnsi="Arial" w:cs="Arial"/>
        </w:rPr>
        <w:t xml:space="preserve">. Unpublished PhD thesis University of Portsmouth. Available at: </w:t>
      </w:r>
      <w:hyperlink r:id="rId8" w:history="1">
        <w:r w:rsidRPr="00BE7E8C">
          <w:rPr>
            <w:rStyle w:val="Hyperlink"/>
            <w:rFonts w:ascii="Arial" w:hAnsi="Arial" w:cs="Arial"/>
          </w:rPr>
          <w:t>https://pure.port.ac.uk/ws/portalfiles/portal/42751423/Taiwo_Adedeji_471280_PhD_Thesis_Final.pdf</w:t>
        </w:r>
      </w:hyperlink>
      <w:r w:rsidRPr="00BE7E8C">
        <w:rPr>
          <w:rFonts w:ascii="Arial" w:hAnsi="Arial" w:cs="Arial"/>
        </w:rPr>
        <w:t xml:space="preserve"> (Accessed: 27 November 2021)</w:t>
      </w:r>
    </w:p>
    <w:p w14:paraId="7BB121B8"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 xml:space="preserve">Ahmed, R., </w:t>
      </w:r>
      <w:proofErr w:type="spellStart"/>
      <w:r w:rsidRPr="00BE7E8C">
        <w:rPr>
          <w:rFonts w:ascii="Arial" w:hAnsi="Arial" w:cs="Arial"/>
        </w:rPr>
        <w:t>Nasiri</w:t>
      </w:r>
      <w:proofErr w:type="spellEnd"/>
      <w:r w:rsidRPr="00BE7E8C">
        <w:rPr>
          <w:rFonts w:ascii="Arial" w:hAnsi="Arial" w:cs="Arial"/>
        </w:rPr>
        <w:t xml:space="preserve">, F. and Zayed, T. (2021), ‘A novel </w:t>
      </w:r>
      <w:proofErr w:type="spellStart"/>
      <w:r w:rsidRPr="00BE7E8C">
        <w:rPr>
          <w:rFonts w:ascii="Arial" w:hAnsi="Arial" w:cs="Arial"/>
        </w:rPr>
        <w:t>Neutrosophic</w:t>
      </w:r>
      <w:proofErr w:type="spellEnd"/>
      <w:r w:rsidRPr="00BE7E8C">
        <w:rPr>
          <w:rFonts w:ascii="Arial" w:hAnsi="Arial" w:cs="Arial"/>
        </w:rPr>
        <w:t>-based machine learning approach for maintenance prioritization in healthcare facilities’</w:t>
      </w:r>
      <w:r w:rsidRPr="00BE7E8C">
        <w:rPr>
          <w:rFonts w:ascii="Arial" w:hAnsi="Arial" w:cs="Arial"/>
          <w:i/>
          <w:iCs/>
        </w:rPr>
        <w:t>, Journal of Building Engineering, </w:t>
      </w:r>
      <w:r w:rsidRPr="00BE7E8C">
        <w:rPr>
          <w:rFonts w:ascii="Arial" w:hAnsi="Arial" w:cs="Arial"/>
        </w:rPr>
        <w:t>42, pp. 102480. DOI: 10.1016/j.jobe.2021.102480</w:t>
      </w:r>
    </w:p>
    <w:p w14:paraId="556777D8"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Allan, B. (2017),</w:t>
      </w:r>
      <w:r w:rsidRPr="00BE7E8C">
        <w:rPr>
          <w:rFonts w:ascii="Arial" w:hAnsi="Arial" w:cs="Arial"/>
          <w:i/>
          <w:iCs/>
        </w:rPr>
        <w:t> The no-nonsense guide to project management</w:t>
      </w:r>
      <w:r w:rsidRPr="00BE7E8C">
        <w:rPr>
          <w:rFonts w:ascii="Arial" w:hAnsi="Arial" w:cs="Arial"/>
        </w:rPr>
        <w:t>. London: Facet.</w:t>
      </w:r>
    </w:p>
    <w:p w14:paraId="7D6D77CD"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AXELOS Limited (2017),</w:t>
      </w:r>
      <w:r w:rsidRPr="00BE7E8C">
        <w:rPr>
          <w:rFonts w:ascii="Arial" w:hAnsi="Arial" w:cs="Arial"/>
          <w:i/>
          <w:iCs/>
        </w:rPr>
        <w:t> Managing successful projects with PRINCE2.</w:t>
      </w:r>
      <w:r w:rsidRPr="00BE7E8C">
        <w:rPr>
          <w:rFonts w:ascii="Arial" w:hAnsi="Arial" w:cs="Arial"/>
        </w:rPr>
        <w:t xml:space="preserve"> 6</w:t>
      </w:r>
      <w:r w:rsidRPr="00BE7E8C">
        <w:rPr>
          <w:rFonts w:ascii="Arial" w:hAnsi="Arial" w:cs="Arial"/>
          <w:vertAlign w:val="superscript"/>
        </w:rPr>
        <w:t>th</w:t>
      </w:r>
      <w:r w:rsidRPr="00BE7E8C">
        <w:rPr>
          <w:rFonts w:ascii="Arial" w:hAnsi="Arial" w:cs="Arial"/>
        </w:rPr>
        <w:t xml:space="preserve"> </w:t>
      </w:r>
      <w:proofErr w:type="spellStart"/>
      <w:r w:rsidRPr="00BE7E8C">
        <w:rPr>
          <w:rFonts w:ascii="Arial" w:hAnsi="Arial" w:cs="Arial"/>
        </w:rPr>
        <w:t>edn</w:t>
      </w:r>
      <w:proofErr w:type="spellEnd"/>
      <w:r w:rsidRPr="00BE7E8C">
        <w:rPr>
          <w:rFonts w:ascii="Arial" w:hAnsi="Arial" w:cs="Arial"/>
        </w:rPr>
        <w:t>. London: TSO</w:t>
      </w:r>
    </w:p>
    <w:p w14:paraId="6B99E79C"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Baek</w:t>
      </w:r>
      <w:proofErr w:type="spellEnd"/>
      <w:r w:rsidRPr="00BE7E8C">
        <w:rPr>
          <w:rFonts w:ascii="Arial" w:hAnsi="Arial" w:cs="Arial"/>
        </w:rPr>
        <w:t>, J. and Michael Ok, C. (2017), ‘The power of design: How does design affect consumers’ online hotel booking?’</w:t>
      </w:r>
      <w:r w:rsidRPr="00BE7E8C">
        <w:rPr>
          <w:rFonts w:ascii="Arial" w:hAnsi="Arial" w:cs="Arial"/>
          <w:i/>
          <w:iCs/>
        </w:rPr>
        <w:t>, International journal of hospitality management, </w:t>
      </w:r>
      <w:r w:rsidRPr="00BE7E8C">
        <w:rPr>
          <w:rFonts w:ascii="Arial" w:hAnsi="Arial" w:cs="Arial"/>
        </w:rPr>
        <w:t xml:space="preserve">65, pp. 1-10. DOI: </w:t>
      </w:r>
      <w:r w:rsidRPr="00BE7E8C">
        <w:rPr>
          <w:rFonts w:ascii="Arial" w:hAnsi="Arial" w:cs="Arial"/>
          <w:shd w:val="clear" w:color="auto" w:fill="FFFFFF"/>
        </w:rPr>
        <w:t>10.1016/j.ijhm.2017.05.001</w:t>
      </w:r>
    </w:p>
    <w:p w14:paraId="0A573A7F"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 xml:space="preserve">Bartek, M.A., Saxena, R.C., Solomon, S., Fong, C.T., </w:t>
      </w:r>
      <w:proofErr w:type="spellStart"/>
      <w:r w:rsidRPr="00BE7E8C">
        <w:rPr>
          <w:rFonts w:ascii="Arial" w:hAnsi="Arial" w:cs="Arial"/>
        </w:rPr>
        <w:t>Behara</w:t>
      </w:r>
      <w:proofErr w:type="spellEnd"/>
      <w:r w:rsidRPr="00BE7E8C">
        <w:rPr>
          <w:rFonts w:ascii="Arial" w:hAnsi="Arial" w:cs="Arial"/>
        </w:rPr>
        <w:t xml:space="preserve">, L.D., </w:t>
      </w:r>
      <w:proofErr w:type="spellStart"/>
      <w:r w:rsidRPr="00BE7E8C">
        <w:rPr>
          <w:rFonts w:ascii="Arial" w:hAnsi="Arial" w:cs="Arial"/>
        </w:rPr>
        <w:t>Venigandla</w:t>
      </w:r>
      <w:proofErr w:type="spellEnd"/>
      <w:r w:rsidRPr="00BE7E8C">
        <w:rPr>
          <w:rFonts w:ascii="Arial" w:hAnsi="Arial" w:cs="Arial"/>
        </w:rPr>
        <w:t xml:space="preserve">, R., </w:t>
      </w:r>
      <w:proofErr w:type="spellStart"/>
      <w:r w:rsidRPr="00BE7E8C">
        <w:rPr>
          <w:rFonts w:ascii="Arial" w:hAnsi="Arial" w:cs="Arial"/>
        </w:rPr>
        <w:t>Velagapudi</w:t>
      </w:r>
      <w:proofErr w:type="spellEnd"/>
      <w:r w:rsidRPr="00BE7E8C">
        <w:rPr>
          <w:rFonts w:ascii="Arial" w:hAnsi="Arial" w:cs="Arial"/>
        </w:rPr>
        <w:t>, K., Lang, J.D. and Nair, B.G. (2019), ‘Improving Operating Room Efficiency: Machine Learning Approach to Predict Case-Time Duration’</w:t>
      </w:r>
      <w:r w:rsidRPr="00BE7E8C">
        <w:rPr>
          <w:rFonts w:ascii="Arial" w:hAnsi="Arial" w:cs="Arial"/>
          <w:i/>
          <w:iCs/>
        </w:rPr>
        <w:t xml:space="preserve">, Journal of the American College of Surgeons; J Am Coll </w:t>
      </w:r>
      <w:proofErr w:type="spellStart"/>
      <w:r w:rsidRPr="00BE7E8C">
        <w:rPr>
          <w:rFonts w:ascii="Arial" w:hAnsi="Arial" w:cs="Arial"/>
          <w:i/>
          <w:iCs/>
        </w:rPr>
        <w:t>Surg</w:t>
      </w:r>
      <w:proofErr w:type="spellEnd"/>
      <w:r w:rsidRPr="00BE7E8C">
        <w:rPr>
          <w:rFonts w:ascii="Arial" w:hAnsi="Arial" w:cs="Arial"/>
          <w:i/>
          <w:iCs/>
        </w:rPr>
        <w:t>, </w:t>
      </w:r>
      <w:r w:rsidRPr="00BE7E8C">
        <w:rPr>
          <w:rFonts w:ascii="Arial" w:hAnsi="Arial" w:cs="Arial"/>
        </w:rPr>
        <w:t>229(4), pp. 346-354.e3. DOI:</w:t>
      </w:r>
      <w:r w:rsidRPr="00BE7E8C">
        <w:rPr>
          <w:rFonts w:ascii="Arial" w:hAnsi="Arial" w:cs="Arial"/>
          <w:shd w:val="clear" w:color="auto" w:fill="FFFFFF"/>
        </w:rPr>
        <w:t xml:space="preserve"> 10.1016/j.jamcollsurg.2019.05.029</w:t>
      </w:r>
    </w:p>
    <w:p w14:paraId="4F6BC020"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Bentley, C. (2010),</w:t>
      </w:r>
      <w:r w:rsidRPr="00BE7E8C">
        <w:rPr>
          <w:rFonts w:ascii="Arial" w:hAnsi="Arial" w:cs="Arial"/>
          <w:i/>
          <w:iCs/>
        </w:rPr>
        <w:t> PRINCE2 a practical handbook</w:t>
      </w:r>
      <w:r w:rsidRPr="00BE7E8C">
        <w:rPr>
          <w:rFonts w:ascii="Arial" w:hAnsi="Arial" w:cs="Arial"/>
        </w:rPr>
        <w:t>. 3</w:t>
      </w:r>
      <w:r w:rsidRPr="00BE7E8C">
        <w:rPr>
          <w:rFonts w:ascii="Arial" w:hAnsi="Arial" w:cs="Arial"/>
          <w:vertAlign w:val="superscript"/>
        </w:rPr>
        <w:t>rd</w:t>
      </w:r>
      <w:r w:rsidRPr="00BE7E8C">
        <w:rPr>
          <w:rFonts w:ascii="Arial" w:hAnsi="Arial" w:cs="Arial"/>
        </w:rPr>
        <w:t xml:space="preserve"> </w:t>
      </w:r>
      <w:proofErr w:type="spellStart"/>
      <w:r w:rsidRPr="00BE7E8C">
        <w:rPr>
          <w:rFonts w:ascii="Arial" w:hAnsi="Arial" w:cs="Arial"/>
        </w:rPr>
        <w:t>edn</w:t>
      </w:r>
      <w:proofErr w:type="spellEnd"/>
      <w:r w:rsidRPr="00BE7E8C">
        <w:rPr>
          <w:rFonts w:ascii="Arial" w:hAnsi="Arial" w:cs="Arial"/>
        </w:rPr>
        <w:t>. Amsterdam: Elsevier/Butterworth-Heinemann</w:t>
      </w:r>
    </w:p>
    <w:p w14:paraId="73B668FC"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shd w:val="clear" w:color="auto" w:fill="FFFFFF"/>
        </w:rPr>
      </w:pPr>
      <w:r w:rsidRPr="00BE7E8C">
        <w:rPr>
          <w:rFonts w:ascii="Arial" w:hAnsi="Arial" w:cs="Arial"/>
        </w:rPr>
        <w:t xml:space="preserve">Cardiff and Vale University Health Board (2015) </w:t>
      </w:r>
      <w:r w:rsidRPr="00BE7E8C">
        <w:rPr>
          <w:rFonts w:ascii="Arial" w:hAnsi="Arial" w:cs="Arial"/>
          <w:i/>
          <w:iCs/>
          <w:shd w:val="clear" w:color="auto" w:fill="FFFFFF"/>
        </w:rPr>
        <w:t xml:space="preserve">Shaping our Future Wellbeing Strategy. </w:t>
      </w:r>
      <w:r w:rsidRPr="00BE7E8C">
        <w:rPr>
          <w:rFonts w:ascii="Arial" w:hAnsi="Arial" w:cs="Arial"/>
          <w:shd w:val="clear" w:color="auto" w:fill="FFFFFF"/>
        </w:rPr>
        <w:t xml:space="preserve">Available at: </w:t>
      </w:r>
      <w:hyperlink r:id="rId9" w:history="1">
        <w:r w:rsidRPr="00BE7E8C">
          <w:rPr>
            <w:rStyle w:val="Hyperlink"/>
            <w:rFonts w:ascii="Arial" w:hAnsi="Arial" w:cs="Arial"/>
            <w:shd w:val="clear" w:color="auto" w:fill="FFFFFF"/>
          </w:rPr>
          <w:t>https://cavuhb.nhs.wales/files/shaping-our-future-wellbeing-strategy/10-uhb-shaping-our-future-wellbeing-strategy-final-pdf/</w:t>
        </w:r>
      </w:hyperlink>
      <w:r w:rsidRPr="00BE7E8C">
        <w:rPr>
          <w:rFonts w:ascii="Arial" w:hAnsi="Arial" w:cs="Arial"/>
          <w:shd w:val="clear" w:color="auto" w:fill="FFFFFF"/>
        </w:rPr>
        <w:t xml:space="preserve"> (Accessed on: 20 November 2021)</w:t>
      </w:r>
    </w:p>
    <w:p w14:paraId="37E671D3"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shd w:val="clear" w:color="auto" w:fill="FFFFFF"/>
        </w:rPr>
      </w:pPr>
      <w:r w:rsidRPr="00BE7E8C">
        <w:rPr>
          <w:rFonts w:ascii="Arial" w:hAnsi="Arial" w:cs="Arial"/>
        </w:rPr>
        <w:t xml:space="preserve">Cardiff and Vale University Health Board (2020) </w:t>
      </w:r>
      <w:r w:rsidRPr="00BE7E8C">
        <w:rPr>
          <w:rFonts w:ascii="Arial" w:hAnsi="Arial" w:cs="Arial"/>
          <w:i/>
          <w:iCs/>
          <w:shd w:val="clear" w:color="auto" w:fill="FFFFFF"/>
        </w:rPr>
        <w:t xml:space="preserve">Delivering Digital: Building a learning health and care system. A </w:t>
      </w:r>
      <w:proofErr w:type="gramStart"/>
      <w:r w:rsidRPr="00BE7E8C">
        <w:rPr>
          <w:rFonts w:ascii="Arial" w:hAnsi="Arial" w:cs="Arial"/>
          <w:i/>
          <w:iCs/>
          <w:shd w:val="clear" w:color="auto" w:fill="FFFFFF"/>
        </w:rPr>
        <w:t>Five Year</w:t>
      </w:r>
      <w:proofErr w:type="gramEnd"/>
      <w:r w:rsidRPr="00BE7E8C">
        <w:rPr>
          <w:rFonts w:ascii="Arial" w:hAnsi="Arial" w:cs="Arial"/>
          <w:i/>
          <w:iCs/>
          <w:shd w:val="clear" w:color="auto" w:fill="FFFFFF"/>
        </w:rPr>
        <w:t xml:space="preserve"> Strategy. </w:t>
      </w:r>
      <w:r w:rsidRPr="00BE7E8C">
        <w:rPr>
          <w:rFonts w:ascii="Arial" w:hAnsi="Arial" w:cs="Arial"/>
          <w:shd w:val="clear" w:color="auto" w:fill="FFFFFF"/>
        </w:rPr>
        <w:t xml:space="preserve">Available at: </w:t>
      </w:r>
      <w:hyperlink r:id="rId10" w:history="1">
        <w:r w:rsidRPr="00BE7E8C">
          <w:rPr>
            <w:rFonts w:ascii="Arial" w:hAnsi="Arial" w:cs="Arial"/>
          </w:rPr>
          <w:t xml:space="preserve"> </w:t>
        </w:r>
        <w:r w:rsidRPr="00BE7E8C">
          <w:rPr>
            <w:rStyle w:val="Hyperlink"/>
            <w:rFonts w:ascii="Arial" w:hAnsi="Arial" w:cs="Arial"/>
            <w:shd w:val="clear" w:color="auto" w:fill="FFFFFF"/>
          </w:rPr>
          <w:t>https://cavuhb.nhs.wales/files/publications/cardiff-and-vale-uhb-digital-strategy//</w:t>
        </w:r>
      </w:hyperlink>
      <w:r w:rsidRPr="00BE7E8C">
        <w:rPr>
          <w:rFonts w:ascii="Arial" w:hAnsi="Arial" w:cs="Arial"/>
          <w:shd w:val="clear" w:color="auto" w:fill="FFFFFF"/>
        </w:rPr>
        <w:t xml:space="preserve"> (Accessed on: 29 November 2021)</w:t>
      </w:r>
    </w:p>
    <w:p w14:paraId="1EA9833F"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lastRenderedPageBreak/>
        <w:t xml:space="preserve">Chen, L., </w:t>
      </w:r>
      <w:proofErr w:type="spellStart"/>
      <w:r w:rsidRPr="00BE7E8C">
        <w:rPr>
          <w:rFonts w:ascii="Arial" w:hAnsi="Arial" w:cs="Arial"/>
        </w:rPr>
        <w:t>Gillenson</w:t>
      </w:r>
      <w:proofErr w:type="spellEnd"/>
      <w:r w:rsidRPr="00BE7E8C">
        <w:rPr>
          <w:rFonts w:ascii="Arial" w:hAnsi="Arial" w:cs="Arial"/>
        </w:rPr>
        <w:t>, M.L. and Sherrell, D.L. (2002), ‘Enticing online consumers: an extended technology acceptance perspective’</w:t>
      </w:r>
      <w:r w:rsidRPr="00BE7E8C">
        <w:rPr>
          <w:rFonts w:ascii="Arial" w:hAnsi="Arial" w:cs="Arial"/>
          <w:i/>
          <w:iCs/>
        </w:rPr>
        <w:t>, Information &amp; management, </w:t>
      </w:r>
      <w:r w:rsidRPr="00BE7E8C">
        <w:rPr>
          <w:rFonts w:ascii="Arial" w:hAnsi="Arial" w:cs="Arial"/>
        </w:rPr>
        <w:t>39(8), pp. 705-719. DOI:</w:t>
      </w:r>
      <w:r w:rsidRPr="00BE7E8C">
        <w:rPr>
          <w:rFonts w:ascii="Arial" w:hAnsi="Arial" w:cs="Arial"/>
          <w:shd w:val="clear" w:color="auto" w:fill="FFFFFF"/>
        </w:rPr>
        <w:t xml:space="preserve"> 10.1016/S0378-7206(01)00127-6</w:t>
      </w:r>
    </w:p>
    <w:p w14:paraId="681CC853"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Cooke, J.L. (2016),</w:t>
      </w:r>
      <w:r w:rsidRPr="00BE7E8C">
        <w:rPr>
          <w:rFonts w:ascii="Arial" w:hAnsi="Arial" w:cs="Arial"/>
          <w:i/>
          <w:iCs/>
        </w:rPr>
        <w:t> Prince2 agile: an implementation pocket guide: step-by-step advice for every project type</w:t>
      </w:r>
      <w:r w:rsidRPr="00BE7E8C">
        <w:rPr>
          <w:rFonts w:ascii="Arial" w:hAnsi="Arial" w:cs="Arial"/>
        </w:rPr>
        <w:t>. Cambridgeshire, England: IT Governance Publishing</w:t>
      </w:r>
    </w:p>
    <w:p w14:paraId="333DFA16"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Duggan, S. (2020), ‘Pandemic is a catalyst for change’</w:t>
      </w:r>
      <w:r w:rsidRPr="00BE7E8C">
        <w:rPr>
          <w:rFonts w:ascii="Arial" w:hAnsi="Arial" w:cs="Arial"/>
          <w:i/>
          <w:iCs/>
        </w:rPr>
        <w:t>, Irish Medical Times,</w:t>
      </w:r>
      <w:r w:rsidRPr="00BE7E8C">
        <w:rPr>
          <w:rFonts w:ascii="Arial" w:hAnsi="Arial" w:cs="Arial"/>
        </w:rPr>
        <w:t xml:space="preserve"> 54(12), pp. 16-17. Available at: </w:t>
      </w:r>
      <w:hyperlink r:id="rId11" w:history="1">
        <w:r w:rsidRPr="00BE7E8C">
          <w:rPr>
            <w:rStyle w:val="Hyperlink"/>
            <w:rFonts w:ascii="Arial" w:hAnsi="Arial" w:cs="Arial"/>
          </w:rPr>
          <w:t>Pandemic is a catalyst for change - ProQuest</w:t>
        </w:r>
      </w:hyperlink>
      <w:r w:rsidRPr="00BE7E8C">
        <w:rPr>
          <w:rFonts w:ascii="Arial" w:hAnsi="Arial" w:cs="Arial"/>
        </w:rPr>
        <w:t xml:space="preserve"> (Accessed: 22 November 2021)</w:t>
      </w:r>
    </w:p>
    <w:p w14:paraId="6BAFE0FA"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Eskerod</w:t>
      </w:r>
      <w:proofErr w:type="spellEnd"/>
      <w:r w:rsidRPr="00BE7E8C">
        <w:rPr>
          <w:rFonts w:ascii="Arial" w:hAnsi="Arial" w:cs="Arial"/>
        </w:rPr>
        <w:t xml:space="preserve">, P. and </w:t>
      </w:r>
      <w:proofErr w:type="spellStart"/>
      <w:r w:rsidRPr="00BE7E8C">
        <w:rPr>
          <w:rFonts w:ascii="Arial" w:hAnsi="Arial" w:cs="Arial"/>
        </w:rPr>
        <w:t>Huemann</w:t>
      </w:r>
      <w:proofErr w:type="spellEnd"/>
      <w:r w:rsidRPr="00BE7E8C">
        <w:rPr>
          <w:rFonts w:ascii="Arial" w:hAnsi="Arial" w:cs="Arial"/>
        </w:rPr>
        <w:t>, M. (2013), ‘Sustainable development and project stakeholder management: what standards say’</w:t>
      </w:r>
      <w:r w:rsidRPr="00BE7E8C">
        <w:rPr>
          <w:rFonts w:ascii="Arial" w:hAnsi="Arial" w:cs="Arial"/>
          <w:i/>
          <w:iCs/>
        </w:rPr>
        <w:t>, International journal of managing projects in business, </w:t>
      </w:r>
      <w:r w:rsidRPr="00BE7E8C">
        <w:rPr>
          <w:rFonts w:ascii="Arial" w:hAnsi="Arial" w:cs="Arial"/>
        </w:rPr>
        <w:t xml:space="preserve">6(1), pp. 36-50. DOI: </w:t>
      </w:r>
      <w:r w:rsidRPr="00BE7E8C">
        <w:rPr>
          <w:rFonts w:ascii="Arial" w:hAnsi="Arial" w:cs="Arial"/>
          <w:shd w:val="clear" w:color="auto" w:fill="FFFFFF"/>
        </w:rPr>
        <w:t>10.1108/17538371311291017</w:t>
      </w:r>
    </w:p>
    <w:p w14:paraId="5556BF7F"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 xml:space="preserve">Ferrari, L.R., </w:t>
      </w:r>
      <w:proofErr w:type="spellStart"/>
      <w:r w:rsidRPr="00BE7E8C">
        <w:rPr>
          <w:rFonts w:ascii="Arial" w:hAnsi="Arial" w:cs="Arial"/>
        </w:rPr>
        <w:t>Micheli</w:t>
      </w:r>
      <w:proofErr w:type="spellEnd"/>
      <w:r w:rsidRPr="00BE7E8C">
        <w:rPr>
          <w:rFonts w:ascii="Arial" w:hAnsi="Arial" w:cs="Arial"/>
        </w:rPr>
        <w:t xml:space="preserve">, A., </w:t>
      </w:r>
      <w:proofErr w:type="spellStart"/>
      <w:r w:rsidRPr="00BE7E8C">
        <w:rPr>
          <w:rFonts w:ascii="Arial" w:hAnsi="Arial" w:cs="Arial"/>
        </w:rPr>
        <w:t>Whiteley</w:t>
      </w:r>
      <w:proofErr w:type="spellEnd"/>
      <w:r w:rsidRPr="00BE7E8C">
        <w:rPr>
          <w:rFonts w:ascii="Arial" w:hAnsi="Arial" w:cs="Arial"/>
        </w:rPr>
        <w:t xml:space="preserve">, C., </w:t>
      </w:r>
      <w:proofErr w:type="spellStart"/>
      <w:r w:rsidRPr="00BE7E8C">
        <w:rPr>
          <w:rFonts w:ascii="Arial" w:hAnsi="Arial" w:cs="Arial"/>
        </w:rPr>
        <w:t>Chazaro</w:t>
      </w:r>
      <w:proofErr w:type="spellEnd"/>
      <w:r w:rsidRPr="00BE7E8C">
        <w:rPr>
          <w:rFonts w:ascii="Arial" w:hAnsi="Arial" w:cs="Arial"/>
        </w:rPr>
        <w:t xml:space="preserve">, R. and </w:t>
      </w:r>
      <w:proofErr w:type="spellStart"/>
      <w:r w:rsidRPr="00BE7E8C">
        <w:rPr>
          <w:rFonts w:ascii="Arial" w:hAnsi="Arial" w:cs="Arial"/>
        </w:rPr>
        <w:t>Zurakowski</w:t>
      </w:r>
      <w:proofErr w:type="spellEnd"/>
      <w:r w:rsidRPr="00BE7E8C">
        <w:rPr>
          <w:rFonts w:ascii="Arial" w:hAnsi="Arial" w:cs="Arial"/>
        </w:rPr>
        <w:t>, D. (2012), ‘Criteria for assessing operating room utilization in a free-standing children's hospital’</w:t>
      </w:r>
      <w:r w:rsidRPr="00BE7E8C">
        <w:rPr>
          <w:rFonts w:ascii="Arial" w:hAnsi="Arial" w:cs="Arial"/>
          <w:i/>
          <w:iCs/>
        </w:rPr>
        <w:t xml:space="preserve">, </w:t>
      </w:r>
      <w:proofErr w:type="spellStart"/>
      <w:r w:rsidRPr="00BE7E8C">
        <w:rPr>
          <w:rFonts w:ascii="Arial" w:hAnsi="Arial" w:cs="Arial"/>
          <w:i/>
          <w:iCs/>
        </w:rPr>
        <w:t>Pediatric</w:t>
      </w:r>
      <w:proofErr w:type="spellEnd"/>
      <w:r w:rsidRPr="00BE7E8C">
        <w:rPr>
          <w:rFonts w:ascii="Arial" w:hAnsi="Arial" w:cs="Arial"/>
          <w:i/>
          <w:iCs/>
        </w:rPr>
        <w:t xml:space="preserve"> </w:t>
      </w:r>
      <w:proofErr w:type="spellStart"/>
      <w:r w:rsidRPr="00BE7E8C">
        <w:rPr>
          <w:rFonts w:ascii="Arial" w:hAnsi="Arial" w:cs="Arial"/>
          <w:i/>
          <w:iCs/>
        </w:rPr>
        <w:t>anesthesia</w:t>
      </w:r>
      <w:proofErr w:type="spellEnd"/>
      <w:r w:rsidRPr="00BE7E8C">
        <w:rPr>
          <w:rFonts w:ascii="Arial" w:hAnsi="Arial" w:cs="Arial"/>
          <w:i/>
          <w:iCs/>
        </w:rPr>
        <w:t xml:space="preserve">; </w:t>
      </w:r>
      <w:proofErr w:type="spellStart"/>
      <w:r w:rsidRPr="00BE7E8C">
        <w:rPr>
          <w:rFonts w:ascii="Arial" w:hAnsi="Arial" w:cs="Arial"/>
          <w:i/>
          <w:iCs/>
        </w:rPr>
        <w:t>Paediatr</w:t>
      </w:r>
      <w:proofErr w:type="spellEnd"/>
      <w:r w:rsidRPr="00BE7E8C">
        <w:rPr>
          <w:rFonts w:ascii="Arial" w:hAnsi="Arial" w:cs="Arial"/>
          <w:i/>
          <w:iCs/>
        </w:rPr>
        <w:t xml:space="preserve"> </w:t>
      </w:r>
      <w:proofErr w:type="spellStart"/>
      <w:r w:rsidRPr="00BE7E8C">
        <w:rPr>
          <w:rFonts w:ascii="Arial" w:hAnsi="Arial" w:cs="Arial"/>
          <w:i/>
          <w:iCs/>
        </w:rPr>
        <w:t>Anaesth</w:t>
      </w:r>
      <w:proofErr w:type="spellEnd"/>
      <w:r w:rsidRPr="00BE7E8C">
        <w:rPr>
          <w:rFonts w:ascii="Arial" w:hAnsi="Arial" w:cs="Arial"/>
          <w:i/>
          <w:iCs/>
        </w:rPr>
        <w:t>, </w:t>
      </w:r>
      <w:r w:rsidRPr="00BE7E8C">
        <w:rPr>
          <w:rFonts w:ascii="Arial" w:hAnsi="Arial" w:cs="Arial"/>
        </w:rPr>
        <w:t xml:space="preserve">22(7), pp. 696-706. DOI: </w:t>
      </w:r>
      <w:r w:rsidRPr="00BE7E8C">
        <w:rPr>
          <w:rFonts w:ascii="Arial" w:hAnsi="Arial" w:cs="Arial"/>
          <w:shd w:val="clear" w:color="auto" w:fill="FFFFFF"/>
        </w:rPr>
        <w:t>10.1111/j.1460-9592.</w:t>
      </w:r>
      <w:proofErr w:type="gramStart"/>
      <w:r w:rsidRPr="00BE7E8C">
        <w:rPr>
          <w:rFonts w:ascii="Arial" w:hAnsi="Arial" w:cs="Arial"/>
          <w:shd w:val="clear" w:color="auto" w:fill="FFFFFF"/>
        </w:rPr>
        <w:t>2011.03690.x</w:t>
      </w:r>
      <w:proofErr w:type="gramEnd"/>
    </w:p>
    <w:p w14:paraId="7BFD3B88"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Flott</w:t>
      </w:r>
      <w:proofErr w:type="spellEnd"/>
      <w:r w:rsidRPr="00BE7E8C">
        <w:rPr>
          <w:rFonts w:ascii="Arial" w:hAnsi="Arial" w:cs="Arial"/>
        </w:rPr>
        <w:t>, K., Darzi, A. and Mayer, E. (2018), ‘Care pathway and organisational features driving patient experience: statistical analysis of large NHS datasets’</w:t>
      </w:r>
      <w:r w:rsidRPr="00BE7E8C">
        <w:rPr>
          <w:rFonts w:ascii="Arial" w:hAnsi="Arial" w:cs="Arial"/>
          <w:i/>
          <w:iCs/>
        </w:rPr>
        <w:t>, BMJ open; BMJ Open, </w:t>
      </w:r>
      <w:r w:rsidRPr="00BE7E8C">
        <w:rPr>
          <w:rFonts w:ascii="Arial" w:hAnsi="Arial" w:cs="Arial"/>
        </w:rPr>
        <w:t>8(7), pp. e020411. DOI:</w:t>
      </w:r>
      <w:r w:rsidRPr="00BE7E8C">
        <w:rPr>
          <w:rFonts w:ascii="Arial" w:hAnsi="Arial" w:cs="Arial"/>
          <w:shd w:val="clear" w:color="auto" w:fill="FFFFFF"/>
        </w:rPr>
        <w:t xml:space="preserve"> 10.1136/bmjopen-2017-020411</w:t>
      </w:r>
    </w:p>
    <w:p w14:paraId="3CE1CCCA"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Hedeman</w:t>
      </w:r>
      <w:proofErr w:type="spellEnd"/>
      <w:r w:rsidRPr="00BE7E8C">
        <w:rPr>
          <w:rFonts w:ascii="Arial" w:hAnsi="Arial" w:cs="Arial"/>
        </w:rPr>
        <w:t xml:space="preserve">, B. and </w:t>
      </w:r>
      <w:proofErr w:type="spellStart"/>
      <w:r w:rsidRPr="00BE7E8C">
        <w:rPr>
          <w:rFonts w:ascii="Arial" w:hAnsi="Arial" w:cs="Arial"/>
        </w:rPr>
        <w:t>Seegers</w:t>
      </w:r>
      <w:proofErr w:type="spellEnd"/>
      <w:r w:rsidRPr="00BE7E8C">
        <w:rPr>
          <w:rFonts w:ascii="Arial" w:hAnsi="Arial" w:cs="Arial"/>
        </w:rPr>
        <w:t>, R. (2009),</w:t>
      </w:r>
      <w:r w:rsidRPr="00BE7E8C">
        <w:rPr>
          <w:rFonts w:ascii="Arial" w:hAnsi="Arial" w:cs="Arial"/>
          <w:i/>
          <w:iCs/>
        </w:rPr>
        <w:t> PRINCE2 2009 edition: a pocket guide</w:t>
      </w:r>
      <w:r w:rsidRPr="00BE7E8C">
        <w:rPr>
          <w:rFonts w:ascii="Arial" w:hAnsi="Arial" w:cs="Arial"/>
        </w:rPr>
        <w:t xml:space="preserve">. Zaltbommel: Van </w:t>
      </w:r>
      <w:proofErr w:type="spellStart"/>
      <w:r w:rsidRPr="00BE7E8C">
        <w:rPr>
          <w:rFonts w:ascii="Arial" w:hAnsi="Arial" w:cs="Arial"/>
        </w:rPr>
        <w:t>Haren</w:t>
      </w:r>
      <w:proofErr w:type="spellEnd"/>
      <w:r w:rsidRPr="00BE7E8C">
        <w:rPr>
          <w:rFonts w:ascii="Arial" w:hAnsi="Arial" w:cs="Arial"/>
        </w:rPr>
        <w:t xml:space="preserve"> Pub.</w:t>
      </w:r>
    </w:p>
    <w:p w14:paraId="3D7A28F1"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Hiti</w:t>
      </w:r>
      <w:proofErr w:type="spellEnd"/>
      <w:r w:rsidRPr="00BE7E8C">
        <w:rPr>
          <w:rFonts w:ascii="Arial" w:hAnsi="Arial" w:cs="Arial"/>
        </w:rPr>
        <w:t xml:space="preserve">, C.J., Chang, J., </w:t>
      </w:r>
      <w:proofErr w:type="spellStart"/>
      <w:r w:rsidRPr="00BE7E8C">
        <w:rPr>
          <w:rFonts w:ascii="Arial" w:hAnsi="Arial" w:cs="Arial"/>
        </w:rPr>
        <w:t>Gwal</w:t>
      </w:r>
      <w:proofErr w:type="spellEnd"/>
      <w:r w:rsidRPr="00BE7E8C">
        <w:rPr>
          <w:rFonts w:ascii="Arial" w:hAnsi="Arial" w:cs="Arial"/>
        </w:rPr>
        <w:t xml:space="preserve">, K., Escobedo, E., Rea, M. and </w:t>
      </w:r>
      <w:proofErr w:type="spellStart"/>
      <w:r w:rsidRPr="00BE7E8C">
        <w:rPr>
          <w:rFonts w:ascii="Arial" w:hAnsi="Arial" w:cs="Arial"/>
        </w:rPr>
        <w:t>Bindra</w:t>
      </w:r>
      <w:proofErr w:type="spellEnd"/>
      <w:r w:rsidRPr="00BE7E8C">
        <w:rPr>
          <w:rFonts w:ascii="Arial" w:hAnsi="Arial" w:cs="Arial"/>
        </w:rPr>
        <w:t>, J. (2021), ‘The New Normal: Coronavirus Pandemic Response Utilizing Microsoft SharePoint’</w:t>
      </w:r>
      <w:r w:rsidRPr="00BE7E8C">
        <w:rPr>
          <w:rFonts w:ascii="Arial" w:hAnsi="Arial" w:cs="Arial"/>
          <w:i/>
          <w:iCs/>
        </w:rPr>
        <w:t>, Journal of Digital Imaging; J Digit Imaging, </w:t>
      </w:r>
      <w:r w:rsidRPr="00BE7E8C">
        <w:rPr>
          <w:rFonts w:ascii="Arial" w:hAnsi="Arial" w:cs="Arial"/>
        </w:rPr>
        <w:t xml:space="preserve">34(2), pp. 257-262. DOI: </w:t>
      </w:r>
      <w:r w:rsidRPr="00BE7E8C">
        <w:rPr>
          <w:rFonts w:ascii="Arial" w:hAnsi="Arial" w:cs="Arial"/>
          <w:shd w:val="clear" w:color="auto" w:fill="FFFFFF"/>
        </w:rPr>
        <w:t>10.1007/s10278-021-00419-4</w:t>
      </w:r>
    </w:p>
    <w:p w14:paraId="12816AF0"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bookmarkStart w:id="5" w:name="_Hlk89458026"/>
      <w:r w:rsidRPr="00BE7E8C">
        <w:rPr>
          <w:rFonts w:ascii="Arial" w:hAnsi="Arial" w:cs="Arial"/>
        </w:rPr>
        <w:t>Hu</w:t>
      </w:r>
      <w:bookmarkEnd w:id="5"/>
      <w:r w:rsidRPr="00BE7E8C">
        <w:rPr>
          <w:rFonts w:ascii="Arial" w:hAnsi="Arial" w:cs="Arial"/>
        </w:rPr>
        <w:t>, P. and Gu, D.X. (2013), ‘Development and Implementation of WEB-Based Online Hotel Reservation System’</w:t>
      </w:r>
      <w:r w:rsidRPr="00BE7E8C">
        <w:rPr>
          <w:rFonts w:ascii="Arial" w:hAnsi="Arial" w:cs="Arial"/>
          <w:i/>
          <w:iCs/>
        </w:rPr>
        <w:t>, Applied mechanics and materials, </w:t>
      </w:r>
      <w:r w:rsidRPr="00BE7E8C">
        <w:rPr>
          <w:rFonts w:ascii="Arial" w:hAnsi="Arial" w:cs="Arial"/>
        </w:rPr>
        <w:t xml:space="preserve">347-350, pp. 2947-2951. DOI: </w:t>
      </w:r>
      <w:r w:rsidRPr="00BE7E8C">
        <w:rPr>
          <w:rFonts w:ascii="Arial" w:hAnsi="Arial" w:cs="Arial"/>
          <w:shd w:val="clear" w:color="auto" w:fill="FFFFFF"/>
        </w:rPr>
        <w:t>10.4028/www.scientific.net/AMM.347-350.2947</w:t>
      </w:r>
    </w:p>
    <w:p w14:paraId="09F0344F"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lastRenderedPageBreak/>
        <w:t xml:space="preserve">Ibrahim, L.S., Venables, Z.C. and </w:t>
      </w:r>
      <w:proofErr w:type="spellStart"/>
      <w:r w:rsidRPr="00BE7E8C">
        <w:rPr>
          <w:rFonts w:ascii="Arial" w:hAnsi="Arial" w:cs="Arial"/>
        </w:rPr>
        <w:t>Levell</w:t>
      </w:r>
      <w:proofErr w:type="spellEnd"/>
      <w:r w:rsidRPr="00BE7E8C">
        <w:rPr>
          <w:rFonts w:ascii="Arial" w:hAnsi="Arial" w:cs="Arial"/>
        </w:rPr>
        <w:t>, N.J. (2021), ‘The impact of COVID</w:t>
      </w:r>
      <w:r w:rsidRPr="00BE7E8C">
        <w:rPr>
          <w:rFonts w:ascii="Cambria Math" w:hAnsi="Cambria Math" w:cs="Cambria Math"/>
        </w:rPr>
        <w:t>‐</w:t>
      </w:r>
      <w:r w:rsidRPr="00BE7E8C">
        <w:rPr>
          <w:rFonts w:ascii="Arial" w:hAnsi="Arial" w:cs="Arial"/>
        </w:rPr>
        <w:t>19 on dermatology outpatient services in England in 2020’</w:t>
      </w:r>
      <w:r w:rsidRPr="00BE7E8C">
        <w:rPr>
          <w:rFonts w:ascii="Arial" w:hAnsi="Arial" w:cs="Arial"/>
          <w:i/>
          <w:iCs/>
        </w:rPr>
        <w:t>, Clinical and experimental dermatology; Clin Exp Dermatol, </w:t>
      </w:r>
      <w:r w:rsidRPr="00BE7E8C">
        <w:rPr>
          <w:rFonts w:ascii="Arial" w:hAnsi="Arial" w:cs="Arial"/>
        </w:rPr>
        <w:t xml:space="preserve">46(2), pp. 377-378. DOI: </w:t>
      </w:r>
      <w:r w:rsidRPr="00BE7E8C">
        <w:rPr>
          <w:rFonts w:ascii="Arial" w:hAnsi="Arial" w:cs="Arial"/>
          <w:shd w:val="clear" w:color="auto" w:fill="FFFFFF"/>
        </w:rPr>
        <w:t>10.1111/ced.14547</w:t>
      </w:r>
    </w:p>
    <w:p w14:paraId="5F137A3D"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Ikbal</w:t>
      </w:r>
      <w:proofErr w:type="spellEnd"/>
      <w:r w:rsidRPr="00BE7E8C">
        <w:rPr>
          <w:rFonts w:ascii="Arial" w:hAnsi="Arial" w:cs="Arial"/>
        </w:rPr>
        <w:t xml:space="preserve">, I. and </w:t>
      </w:r>
      <w:proofErr w:type="spellStart"/>
      <w:r w:rsidRPr="00BE7E8C">
        <w:rPr>
          <w:rFonts w:ascii="Arial" w:hAnsi="Arial" w:cs="Arial"/>
        </w:rPr>
        <w:t>Mauluddin</w:t>
      </w:r>
      <w:proofErr w:type="spellEnd"/>
      <w:r w:rsidRPr="00BE7E8C">
        <w:rPr>
          <w:rFonts w:ascii="Arial" w:hAnsi="Arial" w:cs="Arial"/>
        </w:rPr>
        <w:t>, S. (2019), ‘Usability Measurement of Classroom Booking Information System Integrated with Course Scheduling Information System’</w:t>
      </w:r>
      <w:r w:rsidRPr="00BE7E8C">
        <w:rPr>
          <w:rFonts w:ascii="Arial" w:hAnsi="Arial" w:cs="Arial"/>
          <w:i/>
          <w:iCs/>
        </w:rPr>
        <w:t xml:space="preserve">, IOP conference </w:t>
      </w:r>
      <w:proofErr w:type="spellStart"/>
      <w:proofErr w:type="gramStart"/>
      <w:r w:rsidRPr="00BE7E8C">
        <w:rPr>
          <w:rFonts w:ascii="Arial" w:hAnsi="Arial" w:cs="Arial"/>
          <w:i/>
          <w:iCs/>
        </w:rPr>
        <w:t>series.Materials</w:t>
      </w:r>
      <w:proofErr w:type="spellEnd"/>
      <w:proofErr w:type="gramEnd"/>
      <w:r w:rsidRPr="00BE7E8C">
        <w:rPr>
          <w:rFonts w:ascii="Arial" w:hAnsi="Arial" w:cs="Arial"/>
          <w:i/>
          <w:iCs/>
        </w:rPr>
        <w:t xml:space="preserve"> Science and Engineering; IOP </w:t>
      </w:r>
      <w:proofErr w:type="spellStart"/>
      <w:r w:rsidRPr="00BE7E8C">
        <w:rPr>
          <w:rFonts w:ascii="Arial" w:hAnsi="Arial" w:cs="Arial"/>
          <w:i/>
          <w:iCs/>
        </w:rPr>
        <w:t>Conf.Ser</w:t>
      </w:r>
      <w:proofErr w:type="spellEnd"/>
      <w:r w:rsidRPr="00BE7E8C">
        <w:rPr>
          <w:rFonts w:ascii="Arial" w:hAnsi="Arial" w:cs="Arial"/>
          <w:i/>
          <w:iCs/>
        </w:rPr>
        <w:t xml:space="preserve">: </w:t>
      </w:r>
      <w:proofErr w:type="spellStart"/>
      <w:r w:rsidRPr="00BE7E8C">
        <w:rPr>
          <w:rFonts w:ascii="Arial" w:hAnsi="Arial" w:cs="Arial"/>
          <w:i/>
          <w:iCs/>
        </w:rPr>
        <w:t>Mater.Sci.Eng</w:t>
      </w:r>
      <w:proofErr w:type="spellEnd"/>
      <w:r w:rsidRPr="00BE7E8C">
        <w:rPr>
          <w:rFonts w:ascii="Arial" w:hAnsi="Arial" w:cs="Arial"/>
          <w:i/>
          <w:iCs/>
        </w:rPr>
        <w:t>, </w:t>
      </w:r>
      <w:r w:rsidRPr="00BE7E8C">
        <w:rPr>
          <w:rFonts w:ascii="Arial" w:hAnsi="Arial" w:cs="Arial"/>
        </w:rPr>
        <w:t xml:space="preserve">662(2), pp. 22093. DOI: </w:t>
      </w:r>
      <w:r w:rsidRPr="00BE7E8C">
        <w:rPr>
          <w:rFonts w:ascii="Arial" w:hAnsi="Arial" w:cs="Arial"/>
          <w:shd w:val="clear" w:color="auto" w:fill="FFFFFF"/>
        </w:rPr>
        <w:t>10.1088/1757-899X/662/2/022093</w:t>
      </w:r>
    </w:p>
    <w:p w14:paraId="09455134"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Ikbal</w:t>
      </w:r>
      <w:proofErr w:type="spellEnd"/>
      <w:r w:rsidRPr="00BE7E8C">
        <w:rPr>
          <w:rFonts w:ascii="Arial" w:hAnsi="Arial" w:cs="Arial"/>
        </w:rPr>
        <w:t xml:space="preserve">, I. and </w:t>
      </w:r>
      <w:proofErr w:type="spellStart"/>
      <w:r w:rsidRPr="00BE7E8C">
        <w:rPr>
          <w:rFonts w:ascii="Arial" w:hAnsi="Arial" w:cs="Arial"/>
        </w:rPr>
        <w:t>Mauluddin</w:t>
      </w:r>
      <w:proofErr w:type="spellEnd"/>
      <w:r w:rsidRPr="00BE7E8C">
        <w:rPr>
          <w:rFonts w:ascii="Arial" w:hAnsi="Arial" w:cs="Arial"/>
        </w:rPr>
        <w:t>, S. (2018), ‘Classroom Booking Information System Integrated with Course Scheduling Information System’</w:t>
      </w:r>
      <w:r w:rsidRPr="00BE7E8C">
        <w:rPr>
          <w:rFonts w:ascii="Arial" w:hAnsi="Arial" w:cs="Arial"/>
          <w:i/>
          <w:iCs/>
        </w:rPr>
        <w:t xml:space="preserve">, IOP conference </w:t>
      </w:r>
      <w:proofErr w:type="spellStart"/>
      <w:proofErr w:type="gramStart"/>
      <w:r w:rsidRPr="00BE7E8C">
        <w:rPr>
          <w:rFonts w:ascii="Arial" w:hAnsi="Arial" w:cs="Arial"/>
          <w:i/>
          <w:iCs/>
        </w:rPr>
        <w:t>series.Materials</w:t>
      </w:r>
      <w:proofErr w:type="spellEnd"/>
      <w:proofErr w:type="gramEnd"/>
      <w:r w:rsidRPr="00BE7E8C">
        <w:rPr>
          <w:rFonts w:ascii="Arial" w:hAnsi="Arial" w:cs="Arial"/>
          <w:i/>
          <w:iCs/>
        </w:rPr>
        <w:t xml:space="preserve"> Science and Engineering; IOP </w:t>
      </w:r>
      <w:proofErr w:type="spellStart"/>
      <w:r w:rsidRPr="00BE7E8C">
        <w:rPr>
          <w:rFonts w:ascii="Arial" w:hAnsi="Arial" w:cs="Arial"/>
          <w:i/>
          <w:iCs/>
        </w:rPr>
        <w:t>Conf.Ser</w:t>
      </w:r>
      <w:proofErr w:type="spellEnd"/>
      <w:r w:rsidRPr="00BE7E8C">
        <w:rPr>
          <w:rFonts w:ascii="Arial" w:hAnsi="Arial" w:cs="Arial"/>
          <w:i/>
          <w:iCs/>
        </w:rPr>
        <w:t xml:space="preserve">: </w:t>
      </w:r>
      <w:proofErr w:type="spellStart"/>
      <w:r w:rsidRPr="00BE7E8C">
        <w:rPr>
          <w:rFonts w:ascii="Arial" w:hAnsi="Arial" w:cs="Arial"/>
          <w:i/>
          <w:iCs/>
        </w:rPr>
        <w:t>Mater.Sci.Eng</w:t>
      </w:r>
      <w:proofErr w:type="spellEnd"/>
      <w:r w:rsidRPr="00BE7E8C">
        <w:rPr>
          <w:rFonts w:ascii="Arial" w:hAnsi="Arial" w:cs="Arial"/>
          <w:i/>
          <w:iCs/>
        </w:rPr>
        <w:t>, </w:t>
      </w:r>
      <w:r w:rsidRPr="00BE7E8C">
        <w:rPr>
          <w:rFonts w:ascii="Arial" w:hAnsi="Arial" w:cs="Arial"/>
        </w:rPr>
        <w:t xml:space="preserve">407(1), pp. 12163. DOI: </w:t>
      </w:r>
      <w:r w:rsidRPr="00BE7E8C">
        <w:rPr>
          <w:rFonts w:ascii="Arial" w:hAnsi="Arial" w:cs="Arial"/>
          <w:shd w:val="clear" w:color="auto" w:fill="FFFFFF"/>
        </w:rPr>
        <w:t>10.1088/1757-899X/407/1/012163</w:t>
      </w:r>
    </w:p>
    <w:p w14:paraId="4348DF9A"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Institute, P. (2017),</w:t>
      </w:r>
      <w:r w:rsidRPr="00BE7E8C">
        <w:rPr>
          <w:rFonts w:ascii="Arial" w:hAnsi="Arial" w:cs="Arial"/>
          <w:i/>
          <w:iCs/>
        </w:rPr>
        <w:t> Agile practice guide</w:t>
      </w:r>
      <w:r w:rsidRPr="00BE7E8C">
        <w:rPr>
          <w:rFonts w:ascii="Arial" w:hAnsi="Arial" w:cs="Arial"/>
        </w:rPr>
        <w:t>, 1</w:t>
      </w:r>
      <w:r w:rsidRPr="00BE7E8C">
        <w:rPr>
          <w:rFonts w:ascii="Arial" w:hAnsi="Arial" w:cs="Arial"/>
          <w:vertAlign w:val="superscript"/>
        </w:rPr>
        <w:t>st</w:t>
      </w:r>
      <w:r w:rsidRPr="00BE7E8C">
        <w:rPr>
          <w:rFonts w:ascii="Arial" w:hAnsi="Arial" w:cs="Arial"/>
        </w:rPr>
        <w:t xml:space="preserve"> </w:t>
      </w:r>
      <w:proofErr w:type="spellStart"/>
      <w:r w:rsidRPr="00BE7E8C">
        <w:rPr>
          <w:rFonts w:ascii="Arial" w:hAnsi="Arial" w:cs="Arial"/>
        </w:rPr>
        <w:t>edn</w:t>
      </w:r>
      <w:proofErr w:type="spellEnd"/>
      <w:r w:rsidRPr="00BE7E8C">
        <w:rPr>
          <w:rFonts w:ascii="Arial" w:hAnsi="Arial" w:cs="Arial"/>
        </w:rPr>
        <w:t>. Newtown Square, Pennsylvania: Project Management Institute.</w:t>
      </w:r>
    </w:p>
    <w:p w14:paraId="5DB6FB1F"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 xml:space="preserve">Kam, A.W., Collins, S., Park, T., </w:t>
      </w:r>
      <w:proofErr w:type="spellStart"/>
      <w:r w:rsidRPr="00BE7E8C">
        <w:rPr>
          <w:rFonts w:ascii="Arial" w:hAnsi="Arial" w:cs="Arial"/>
        </w:rPr>
        <w:t>Mihail</w:t>
      </w:r>
      <w:proofErr w:type="spellEnd"/>
      <w:r w:rsidRPr="00BE7E8C">
        <w:rPr>
          <w:rFonts w:ascii="Arial" w:hAnsi="Arial" w:cs="Arial"/>
        </w:rPr>
        <w:t xml:space="preserve">, M., </w:t>
      </w:r>
      <w:proofErr w:type="spellStart"/>
      <w:r w:rsidRPr="00BE7E8C">
        <w:rPr>
          <w:rFonts w:ascii="Arial" w:hAnsi="Arial" w:cs="Arial"/>
        </w:rPr>
        <w:t>Stanaway</w:t>
      </w:r>
      <w:proofErr w:type="spellEnd"/>
      <w:r w:rsidRPr="00BE7E8C">
        <w:rPr>
          <w:rFonts w:ascii="Arial" w:hAnsi="Arial" w:cs="Arial"/>
        </w:rPr>
        <w:t xml:space="preserve">, F.F., Lewis, N.L., </w:t>
      </w:r>
      <w:proofErr w:type="spellStart"/>
      <w:r w:rsidRPr="00BE7E8C">
        <w:rPr>
          <w:rFonts w:ascii="Arial" w:hAnsi="Arial" w:cs="Arial"/>
        </w:rPr>
        <w:t>Polya</w:t>
      </w:r>
      <w:proofErr w:type="spellEnd"/>
      <w:r w:rsidRPr="00BE7E8C">
        <w:rPr>
          <w:rFonts w:ascii="Arial" w:hAnsi="Arial" w:cs="Arial"/>
        </w:rPr>
        <w:t>, D., Fraser-Bell, S., Roberts, T.V. and Smith, J.E.H. (2021), ‘Using Lean Six Sigma techniques to improve efficiency in outpatient ophthalmology clinics’</w:t>
      </w:r>
      <w:r w:rsidRPr="00BE7E8C">
        <w:rPr>
          <w:rFonts w:ascii="Arial" w:hAnsi="Arial" w:cs="Arial"/>
          <w:i/>
          <w:iCs/>
        </w:rPr>
        <w:t>, BMC health services research; BMC Health Serv Res, </w:t>
      </w:r>
      <w:r w:rsidRPr="00BE7E8C">
        <w:rPr>
          <w:rFonts w:ascii="Arial" w:hAnsi="Arial" w:cs="Arial"/>
        </w:rPr>
        <w:t xml:space="preserve">21(1), pp. 38. DOI: </w:t>
      </w:r>
      <w:r w:rsidRPr="00BE7E8C">
        <w:rPr>
          <w:rFonts w:ascii="Arial" w:hAnsi="Arial" w:cs="Arial"/>
          <w:shd w:val="clear" w:color="auto" w:fill="FFFFFF"/>
        </w:rPr>
        <w:t>10.1186/s12913-020-06034-3</w:t>
      </w:r>
    </w:p>
    <w:p w14:paraId="4FCCCED8"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Katzer</w:t>
      </w:r>
      <w:proofErr w:type="spellEnd"/>
      <w:r w:rsidRPr="00BE7E8C">
        <w:rPr>
          <w:rFonts w:ascii="Arial" w:hAnsi="Arial" w:cs="Arial"/>
        </w:rPr>
        <w:t>, M. and Crawford, D. (2013),</w:t>
      </w:r>
      <w:r w:rsidRPr="00BE7E8C">
        <w:rPr>
          <w:rFonts w:ascii="Arial" w:hAnsi="Arial" w:cs="Arial"/>
          <w:i/>
          <w:iCs/>
        </w:rPr>
        <w:t> Office 365: Migrating and Managing Your Business in the Cloud</w:t>
      </w:r>
      <w:r w:rsidRPr="00BE7E8C">
        <w:rPr>
          <w:rFonts w:ascii="Arial" w:hAnsi="Arial" w:cs="Arial"/>
        </w:rPr>
        <w:t xml:space="preserve">, 1st </w:t>
      </w:r>
      <w:proofErr w:type="spellStart"/>
      <w:r w:rsidRPr="00BE7E8C">
        <w:rPr>
          <w:rFonts w:ascii="Arial" w:hAnsi="Arial" w:cs="Arial"/>
        </w:rPr>
        <w:t>edn</w:t>
      </w:r>
      <w:proofErr w:type="spellEnd"/>
      <w:r w:rsidRPr="00BE7E8C">
        <w:rPr>
          <w:rFonts w:ascii="Arial" w:hAnsi="Arial" w:cs="Arial"/>
        </w:rPr>
        <w:t xml:space="preserve">. Berkeley, CA: </w:t>
      </w:r>
      <w:proofErr w:type="spellStart"/>
      <w:r w:rsidRPr="00BE7E8C">
        <w:rPr>
          <w:rFonts w:ascii="Arial" w:hAnsi="Arial" w:cs="Arial"/>
        </w:rPr>
        <w:t>Apress</w:t>
      </w:r>
      <w:proofErr w:type="spellEnd"/>
      <w:r w:rsidRPr="00BE7E8C">
        <w:rPr>
          <w:rFonts w:ascii="Arial" w:hAnsi="Arial" w:cs="Arial"/>
        </w:rPr>
        <w:t>.</w:t>
      </w:r>
    </w:p>
    <w:p w14:paraId="7F281499"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 xml:space="preserve">Khan, M.T., </w:t>
      </w:r>
      <w:proofErr w:type="spellStart"/>
      <w:r w:rsidRPr="00BE7E8C">
        <w:rPr>
          <w:rFonts w:ascii="Arial" w:hAnsi="Arial" w:cs="Arial"/>
        </w:rPr>
        <w:t>Sonwalkar</w:t>
      </w:r>
      <w:proofErr w:type="spellEnd"/>
      <w:r w:rsidRPr="00BE7E8C">
        <w:rPr>
          <w:rFonts w:ascii="Arial" w:hAnsi="Arial" w:cs="Arial"/>
        </w:rPr>
        <w:t>, S. and Verma, A. (2021), ‘P365 Gastroenterology outpatient transformation – clinical assessment service (CAS)’</w:t>
      </w:r>
      <w:r w:rsidRPr="00BE7E8C">
        <w:rPr>
          <w:rFonts w:ascii="Arial" w:hAnsi="Arial" w:cs="Arial"/>
          <w:i/>
          <w:iCs/>
        </w:rPr>
        <w:t>, Gut, </w:t>
      </w:r>
      <w:r w:rsidRPr="00BE7E8C">
        <w:rPr>
          <w:rFonts w:ascii="Arial" w:hAnsi="Arial" w:cs="Arial"/>
        </w:rPr>
        <w:t xml:space="preserve">70, pp. A229-A230. DOI: </w:t>
      </w:r>
      <w:r w:rsidRPr="00BE7E8C">
        <w:rPr>
          <w:rFonts w:ascii="Arial" w:hAnsi="Arial" w:cs="Arial"/>
          <w:shd w:val="clear" w:color="auto" w:fill="FFFFFF"/>
        </w:rPr>
        <w:t>10.1136/gutjnl-2020-bsgcampus.439</w:t>
      </w:r>
    </w:p>
    <w:p w14:paraId="3FAB3382"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 xml:space="preserve">Lee, D.J., Ding, J. and </w:t>
      </w:r>
      <w:proofErr w:type="spellStart"/>
      <w:r w:rsidRPr="00BE7E8C">
        <w:rPr>
          <w:rFonts w:ascii="Arial" w:hAnsi="Arial" w:cs="Arial"/>
        </w:rPr>
        <w:t>Guzzo</w:t>
      </w:r>
      <w:proofErr w:type="spellEnd"/>
      <w:r w:rsidRPr="00BE7E8C">
        <w:rPr>
          <w:rFonts w:ascii="Arial" w:hAnsi="Arial" w:cs="Arial"/>
        </w:rPr>
        <w:t>, T.J. (2019), ‘Improving Operating Room Efficiency’</w:t>
      </w:r>
      <w:r w:rsidRPr="00BE7E8C">
        <w:rPr>
          <w:rFonts w:ascii="Arial" w:hAnsi="Arial" w:cs="Arial"/>
          <w:i/>
          <w:iCs/>
        </w:rPr>
        <w:t xml:space="preserve">, Current urology reports; </w:t>
      </w:r>
      <w:proofErr w:type="spellStart"/>
      <w:r w:rsidRPr="00BE7E8C">
        <w:rPr>
          <w:rFonts w:ascii="Arial" w:hAnsi="Arial" w:cs="Arial"/>
          <w:i/>
          <w:iCs/>
        </w:rPr>
        <w:t>Curr</w:t>
      </w:r>
      <w:proofErr w:type="spellEnd"/>
      <w:r w:rsidRPr="00BE7E8C">
        <w:rPr>
          <w:rFonts w:ascii="Arial" w:hAnsi="Arial" w:cs="Arial"/>
          <w:i/>
          <w:iCs/>
        </w:rPr>
        <w:t xml:space="preserve"> </w:t>
      </w:r>
      <w:proofErr w:type="spellStart"/>
      <w:r w:rsidRPr="00BE7E8C">
        <w:rPr>
          <w:rFonts w:ascii="Arial" w:hAnsi="Arial" w:cs="Arial"/>
          <w:i/>
          <w:iCs/>
        </w:rPr>
        <w:t>Urol</w:t>
      </w:r>
      <w:proofErr w:type="spellEnd"/>
      <w:r w:rsidRPr="00BE7E8C">
        <w:rPr>
          <w:rFonts w:ascii="Arial" w:hAnsi="Arial" w:cs="Arial"/>
          <w:i/>
          <w:iCs/>
        </w:rPr>
        <w:t xml:space="preserve"> Rep, </w:t>
      </w:r>
      <w:r w:rsidRPr="00BE7E8C">
        <w:rPr>
          <w:rFonts w:ascii="Arial" w:hAnsi="Arial" w:cs="Arial"/>
        </w:rPr>
        <w:t xml:space="preserve">20(6), pp. 1-8. DOI: </w:t>
      </w:r>
      <w:r w:rsidRPr="00BE7E8C">
        <w:rPr>
          <w:rFonts w:ascii="Arial" w:hAnsi="Arial" w:cs="Arial"/>
          <w:shd w:val="clear" w:color="auto" w:fill="FFFFFF"/>
        </w:rPr>
        <w:t>10.1007/s11934-019-0895-3</w:t>
      </w:r>
    </w:p>
    <w:p w14:paraId="25E3DADE"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Patel, S. and Douglas</w:t>
      </w:r>
      <w:r w:rsidRPr="00BE7E8C">
        <w:rPr>
          <w:rFonts w:ascii="Cambria Math" w:hAnsi="Cambria Math" w:cs="Cambria Math"/>
        </w:rPr>
        <w:t>‐</w:t>
      </w:r>
      <w:r w:rsidRPr="00BE7E8C">
        <w:rPr>
          <w:rFonts w:ascii="Arial" w:hAnsi="Arial" w:cs="Arial"/>
        </w:rPr>
        <w:t>Moore, J. (2020), ‘A reflection on an adapted approach from face</w:t>
      </w:r>
      <w:r w:rsidRPr="00BE7E8C">
        <w:rPr>
          <w:rFonts w:ascii="Cambria Math" w:hAnsi="Cambria Math" w:cs="Cambria Math"/>
        </w:rPr>
        <w:t>‐</w:t>
      </w:r>
      <w:r w:rsidRPr="00BE7E8C">
        <w:rPr>
          <w:rFonts w:ascii="Arial" w:hAnsi="Arial" w:cs="Arial"/>
        </w:rPr>
        <w:t>to</w:t>
      </w:r>
      <w:r w:rsidRPr="00BE7E8C">
        <w:rPr>
          <w:rFonts w:ascii="Cambria Math" w:hAnsi="Cambria Math" w:cs="Cambria Math"/>
        </w:rPr>
        <w:t>‐</w:t>
      </w:r>
      <w:r w:rsidRPr="00BE7E8C">
        <w:rPr>
          <w:rFonts w:ascii="Arial" w:hAnsi="Arial" w:cs="Arial"/>
        </w:rPr>
        <w:t>face to telephone consultations in our Urology Outpatient Department during the COVID</w:t>
      </w:r>
      <w:r w:rsidRPr="00BE7E8C">
        <w:rPr>
          <w:rFonts w:ascii="Cambria Math" w:hAnsi="Cambria Math" w:cs="Cambria Math"/>
        </w:rPr>
        <w:t>‐</w:t>
      </w:r>
      <w:r w:rsidRPr="00BE7E8C">
        <w:rPr>
          <w:rFonts w:ascii="Arial" w:hAnsi="Arial" w:cs="Arial"/>
        </w:rPr>
        <w:t>19 pandemic – a pathway for change to future practice?’</w:t>
      </w:r>
      <w:r w:rsidRPr="00BE7E8C">
        <w:rPr>
          <w:rFonts w:ascii="Arial" w:hAnsi="Arial" w:cs="Arial"/>
          <w:i/>
          <w:iCs/>
        </w:rPr>
        <w:t xml:space="preserve">, BJU international; BJU Int, </w:t>
      </w:r>
      <w:r w:rsidRPr="00BE7E8C">
        <w:rPr>
          <w:rFonts w:ascii="Arial" w:hAnsi="Arial" w:cs="Arial"/>
        </w:rPr>
        <w:t xml:space="preserve">126(3), pp. 339-341. DOI: </w:t>
      </w:r>
      <w:r w:rsidRPr="00BE7E8C">
        <w:rPr>
          <w:rFonts w:ascii="Arial" w:hAnsi="Arial" w:cs="Arial"/>
          <w:shd w:val="clear" w:color="auto" w:fill="FFFFFF"/>
        </w:rPr>
        <w:t>10.1111/bju.15119</w:t>
      </w:r>
    </w:p>
    <w:p w14:paraId="31504BEB"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lastRenderedPageBreak/>
        <w:t xml:space="preserve">Radka </w:t>
      </w:r>
      <w:proofErr w:type="spellStart"/>
      <w:r w:rsidRPr="00BE7E8C">
        <w:rPr>
          <w:rFonts w:ascii="Arial" w:hAnsi="Arial" w:cs="Arial"/>
        </w:rPr>
        <w:t>Vaníčková</w:t>
      </w:r>
      <w:proofErr w:type="spellEnd"/>
      <w:r w:rsidRPr="00BE7E8C">
        <w:rPr>
          <w:rFonts w:ascii="Arial" w:hAnsi="Arial" w:cs="Arial"/>
        </w:rPr>
        <w:t xml:space="preserve"> (2017), ‘Application of PRINCE2 Project Management Methodology’</w:t>
      </w:r>
      <w:r w:rsidRPr="00BE7E8C">
        <w:rPr>
          <w:rFonts w:ascii="Arial" w:hAnsi="Arial" w:cs="Arial"/>
          <w:i/>
          <w:iCs/>
        </w:rPr>
        <w:t xml:space="preserve">, </w:t>
      </w:r>
      <w:proofErr w:type="spellStart"/>
      <w:r w:rsidRPr="00BE7E8C">
        <w:rPr>
          <w:rFonts w:ascii="Arial" w:hAnsi="Arial" w:cs="Arial"/>
          <w:i/>
          <w:iCs/>
        </w:rPr>
        <w:t>Studia</w:t>
      </w:r>
      <w:proofErr w:type="spellEnd"/>
      <w:r w:rsidRPr="00BE7E8C">
        <w:rPr>
          <w:rFonts w:ascii="Arial" w:hAnsi="Arial" w:cs="Arial"/>
          <w:i/>
          <w:iCs/>
        </w:rPr>
        <w:t xml:space="preserve"> </w:t>
      </w:r>
      <w:proofErr w:type="spellStart"/>
      <w:r w:rsidRPr="00BE7E8C">
        <w:rPr>
          <w:rFonts w:ascii="Arial" w:hAnsi="Arial" w:cs="Arial"/>
          <w:i/>
          <w:iCs/>
        </w:rPr>
        <w:t>commercialia</w:t>
      </w:r>
      <w:proofErr w:type="spellEnd"/>
      <w:r w:rsidRPr="00BE7E8C">
        <w:rPr>
          <w:rFonts w:ascii="Arial" w:hAnsi="Arial" w:cs="Arial"/>
          <w:i/>
          <w:iCs/>
        </w:rPr>
        <w:t xml:space="preserve"> </w:t>
      </w:r>
      <w:proofErr w:type="spellStart"/>
      <w:r w:rsidRPr="00BE7E8C">
        <w:rPr>
          <w:rFonts w:ascii="Arial" w:hAnsi="Arial" w:cs="Arial"/>
          <w:i/>
          <w:iCs/>
        </w:rPr>
        <w:t>Bratislavensia</w:t>
      </w:r>
      <w:proofErr w:type="spellEnd"/>
      <w:r w:rsidRPr="00BE7E8C">
        <w:rPr>
          <w:rFonts w:ascii="Arial" w:hAnsi="Arial" w:cs="Arial"/>
          <w:i/>
          <w:iCs/>
        </w:rPr>
        <w:t>, </w:t>
      </w:r>
      <w:r w:rsidRPr="00BE7E8C">
        <w:rPr>
          <w:rFonts w:ascii="Arial" w:hAnsi="Arial" w:cs="Arial"/>
        </w:rPr>
        <w:t xml:space="preserve">10(38), pp. 227-238. DOI: </w:t>
      </w:r>
      <w:r w:rsidRPr="00BE7E8C">
        <w:rPr>
          <w:rFonts w:ascii="Arial" w:hAnsi="Arial" w:cs="Arial"/>
          <w:shd w:val="clear" w:color="auto" w:fill="FFFFFF"/>
        </w:rPr>
        <w:t>10.1515/stcb-2017-0021</w:t>
      </w:r>
    </w:p>
    <w:p w14:paraId="707D44F8"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Rozario</w:t>
      </w:r>
      <w:proofErr w:type="spellEnd"/>
      <w:r w:rsidRPr="00BE7E8C">
        <w:rPr>
          <w:rFonts w:ascii="Arial" w:hAnsi="Arial" w:cs="Arial"/>
        </w:rPr>
        <w:t xml:space="preserve">, N. and </w:t>
      </w:r>
      <w:proofErr w:type="spellStart"/>
      <w:r w:rsidRPr="00BE7E8C">
        <w:rPr>
          <w:rFonts w:ascii="Arial" w:hAnsi="Arial" w:cs="Arial"/>
        </w:rPr>
        <w:t>Rozario</w:t>
      </w:r>
      <w:proofErr w:type="spellEnd"/>
      <w:r w:rsidRPr="00BE7E8C">
        <w:rPr>
          <w:rFonts w:ascii="Arial" w:hAnsi="Arial" w:cs="Arial"/>
        </w:rPr>
        <w:t>, D. (2020), ‘Can machine learning optimize the efficiency of the operating room in the era of COVID-19?’</w:t>
      </w:r>
      <w:r w:rsidRPr="00BE7E8C">
        <w:rPr>
          <w:rFonts w:ascii="Arial" w:hAnsi="Arial" w:cs="Arial"/>
          <w:i/>
          <w:iCs/>
        </w:rPr>
        <w:t xml:space="preserve">, Canadian journal of surgery; Can J </w:t>
      </w:r>
      <w:proofErr w:type="spellStart"/>
      <w:r w:rsidRPr="00BE7E8C">
        <w:rPr>
          <w:rFonts w:ascii="Arial" w:hAnsi="Arial" w:cs="Arial"/>
          <w:i/>
          <w:iCs/>
        </w:rPr>
        <w:t>Surg</w:t>
      </w:r>
      <w:proofErr w:type="spellEnd"/>
      <w:r w:rsidRPr="00BE7E8C">
        <w:rPr>
          <w:rFonts w:ascii="Arial" w:hAnsi="Arial" w:cs="Arial"/>
          <w:i/>
          <w:iCs/>
        </w:rPr>
        <w:t>, </w:t>
      </w:r>
      <w:r w:rsidRPr="00BE7E8C">
        <w:rPr>
          <w:rFonts w:ascii="Arial" w:hAnsi="Arial" w:cs="Arial"/>
        </w:rPr>
        <w:t xml:space="preserve">63(6), pp. E527-E529. DOI: </w:t>
      </w:r>
      <w:r w:rsidRPr="00BE7E8C">
        <w:rPr>
          <w:rFonts w:ascii="Arial" w:hAnsi="Arial" w:cs="Arial"/>
          <w:shd w:val="clear" w:color="auto" w:fill="FFFFFF"/>
        </w:rPr>
        <w:t>10.1503/cjs.016520</w:t>
      </w:r>
    </w:p>
    <w:p w14:paraId="10CBCCB1"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 xml:space="preserve">Russ, A.L., </w:t>
      </w:r>
      <w:proofErr w:type="spellStart"/>
      <w:r w:rsidRPr="00BE7E8C">
        <w:rPr>
          <w:rFonts w:ascii="Arial" w:hAnsi="Arial" w:cs="Arial"/>
        </w:rPr>
        <w:t>Zillich</w:t>
      </w:r>
      <w:proofErr w:type="spellEnd"/>
      <w:r w:rsidRPr="00BE7E8C">
        <w:rPr>
          <w:rFonts w:ascii="Arial" w:hAnsi="Arial" w:cs="Arial"/>
        </w:rPr>
        <w:t xml:space="preserve">, A.J., Melton, B.L., Russell, S.A., Chen, S., Spina, J.R., Weiner, M., Johnson, E.G., </w:t>
      </w:r>
      <w:proofErr w:type="spellStart"/>
      <w:r w:rsidRPr="00BE7E8C">
        <w:rPr>
          <w:rFonts w:ascii="Arial" w:hAnsi="Arial" w:cs="Arial"/>
        </w:rPr>
        <w:t>Daggy</w:t>
      </w:r>
      <w:proofErr w:type="spellEnd"/>
      <w:r w:rsidRPr="00BE7E8C">
        <w:rPr>
          <w:rFonts w:ascii="Arial" w:hAnsi="Arial" w:cs="Arial"/>
        </w:rPr>
        <w:t xml:space="preserve">, J.K., McManus, M.S., </w:t>
      </w:r>
      <w:proofErr w:type="spellStart"/>
      <w:r w:rsidRPr="00BE7E8C">
        <w:rPr>
          <w:rFonts w:ascii="Arial" w:hAnsi="Arial" w:cs="Arial"/>
        </w:rPr>
        <w:t>Hawsey</w:t>
      </w:r>
      <w:proofErr w:type="spellEnd"/>
      <w:r w:rsidRPr="00BE7E8C">
        <w:rPr>
          <w:rFonts w:ascii="Arial" w:hAnsi="Arial" w:cs="Arial"/>
        </w:rPr>
        <w:t xml:space="preserve">, J.M., Puleo, A.G., </w:t>
      </w:r>
      <w:proofErr w:type="spellStart"/>
      <w:r w:rsidRPr="00BE7E8C">
        <w:rPr>
          <w:rFonts w:ascii="Arial" w:hAnsi="Arial" w:cs="Arial"/>
        </w:rPr>
        <w:t>Doebbeling</w:t>
      </w:r>
      <w:proofErr w:type="spellEnd"/>
      <w:r w:rsidRPr="00BE7E8C">
        <w:rPr>
          <w:rFonts w:ascii="Arial" w:hAnsi="Arial" w:cs="Arial"/>
        </w:rPr>
        <w:t>, B.N. and Saleem, J.J. (2014), ‘Applying human factors principles to alert design increases efficiency and reduces prescribing errors in a scenario-based simulation’</w:t>
      </w:r>
      <w:r w:rsidRPr="00BE7E8C">
        <w:rPr>
          <w:rFonts w:ascii="Arial" w:hAnsi="Arial" w:cs="Arial"/>
          <w:i/>
          <w:iCs/>
        </w:rPr>
        <w:t>, Journal of the American Medical Informatics Association : JAMIA; J Am Med Inform Assoc, </w:t>
      </w:r>
      <w:r w:rsidRPr="00BE7E8C">
        <w:rPr>
          <w:rFonts w:ascii="Arial" w:hAnsi="Arial" w:cs="Arial"/>
        </w:rPr>
        <w:t xml:space="preserve">21, pp. e287-e296. DOI: </w:t>
      </w:r>
      <w:r w:rsidRPr="00BE7E8C">
        <w:rPr>
          <w:rFonts w:ascii="Arial" w:hAnsi="Arial" w:cs="Arial"/>
          <w:shd w:val="clear" w:color="auto" w:fill="FFFFFF"/>
        </w:rPr>
        <w:t>10.1136/amiajnl-2013-002045</w:t>
      </w:r>
    </w:p>
    <w:p w14:paraId="757859AB"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t>Tanzer</w:t>
      </w:r>
      <w:proofErr w:type="spellEnd"/>
      <w:r w:rsidRPr="00BE7E8C">
        <w:rPr>
          <w:rFonts w:ascii="Arial" w:hAnsi="Arial" w:cs="Arial"/>
        </w:rPr>
        <w:t xml:space="preserve">, M., </w:t>
      </w:r>
      <w:proofErr w:type="spellStart"/>
      <w:r w:rsidRPr="00BE7E8C">
        <w:rPr>
          <w:rFonts w:ascii="Arial" w:hAnsi="Arial" w:cs="Arial"/>
        </w:rPr>
        <w:t>Racaniello</w:t>
      </w:r>
      <w:proofErr w:type="spellEnd"/>
      <w:r w:rsidRPr="00BE7E8C">
        <w:rPr>
          <w:rFonts w:ascii="Arial" w:hAnsi="Arial" w:cs="Arial"/>
        </w:rPr>
        <w:t>, S. and Feldman, L. (2020), ‘Redesigning operating room booking in a tertiary care academic centre during the COVID-19 pandemic’</w:t>
      </w:r>
      <w:r w:rsidRPr="00BE7E8C">
        <w:rPr>
          <w:rFonts w:ascii="Arial" w:hAnsi="Arial" w:cs="Arial"/>
          <w:i/>
          <w:iCs/>
        </w:rPr>
        <w:t xml:space="preserve">, Canadian journal of surgery; Can J </w:t>
      </w:r>
      <w:proofErr w:type="spellStart"/>
      <w:r w:rsidRPr="00BE7E8C">
        <w:rPr>
          <w:rFonts w:ascii="Arial" w:hAnsi="Arial" w:cs="Arial"/>
          <w:i/>
          <w:iCs/>
        </w:rPr>
        <w:t>Surg</w:t>
      </w:r>
      <w:proofErr w:type="spellEnd"/>
      <w:r w:rsidRPr="00BE7E8C">
        <w:rPr>
          <w:rFonts w:ascii="Arial" w:hAnsi="Arial" w:cs="Arial"/>
          <w:i/>
          <w:iCs/>
        </w:rPr>
        <w:t>, </w:t>
      </w:r>
      <w:r w:rsidRPr="00BE7E8C">
        <w:rPr>
          <w:rFonts w:ascii="Arial" w:hAnsi="Arial" w:cs="Arial"/>
        </w:rPr>
        <w:t>63(5), pp. E449-</w:t>
      </w:r>
      <w:bookmarkStart w:id="6" w:name="_Hlk89465939"/>
      <w:r w:rsidRPr="00BE7E8C">
        <w:rPr>
          <w:rFonts w:ascii="Arial" w:hAnsi="Arial" w:cs="Arial"/>
        </w:rPr>
        <w:t>E450</w:t>
      </w:r>
      <w:bookmarkEnd w:id="6"/>
      <w:r w:rsidRPr="00BE7E8C">
        <w:rPr>
          <w:rFonts w:ascii="Arial" w:hAnsi="Arial" w:cs="Arial"/>
        </w:rPr>
        <w:t xml:space="preserve">. DOI: </w:t>
      </w:r>
      <w:r w:rsidRPr="00BE7E8C">
        <w:rPr>
          <w:rFonts w:ascii="Arial" w:hAnsi="Arial" w:cs="Arial"/>
          <w:shd w:val="clear" w:color="auto" w:fill="FFFFFF"/>
        </w:rPr>
        <w:t>10.1503/cjs.013520</w:t>
      </w:r>
    </w:p>
    <w:p w14:paraId="2514FE3E"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shd w:val="clear" w:color="auto" w:fill="FFFFFF"/>
        </w:rPr>
      </w:pPr>
      <w:r w:rsidRPr="00BE7E8C">
        <w:rPr>
          <w:rFonts w:ascii="Arial" w:hAnsi="Arial" w:cs="Arial"/>
        </w:rPr>
        <w:t>Tao, M., Nawaz, M.Z., Nawaz, S., Butt, A.H. and Ahmad, H. (2018), ‘Users’ acceptance of innovative mobile hotel booking trends: UK vs. PRC’</w:t>
      </w:r>
      <w:r w:rsidRPr="00BE7E8C">
        <w:rPr>
          <w:rFonts w:ascii="Arial" w:hAnsi="Arial" w:cs="Arial"/>
          <w:i/>
          <w:iCs/>
        </w:rPr>
        <w:t>, Information technology &amp; tourism, </w:t>
      </w:r>
      <w:r w:rsidRPr="00BE7E8C">
        <w:rPr>
          <w:rFonts w:ascii="Arial" w:hAnsi="Arial" w:cs="Arial"/>
        </w:rPr>
        <w:t xml:space="preserve">20(1-4), pp. 9-36. DOI: </w:t>
      </w:r>
      <w:r w:rsidRPr="00BE7E8C">
        <w:rPr>
          <w:rFonts w:ascii="Arial" w:hAnsi="Arial" w:cs="Arial"/>
          <w:shd w:val="clear" w:color="auto" w:fill="FFFFFF"/>
        </w:rPr>
        <w:t>10.1007/s40558-018-0123-x</w:t>
      </w:r>
    </w:p>
    <w:p w14:paraId="316A5396" w14:textId="77777777" w:rsidR="002747CC" w:rsidRPr="00BE7E8C" w:rsidRDefault="002747CC" w:rsidP="002747CC">
      <w:pPr>
        <w:pStyle w:val="NormalWeb"/>
        <w:shd w:val="clear" w:color="auto" w:fill="FFFFFF"/>
        <w:spacing w:after="173" w:line="360" w:lineRule="auto"/>
        <w:ind w:left="450" w:hanging="450"/>
        <w:rPr>
          <w:rFonts w:ascii="Arial" w:hAnsi="Arial" w:cs="Arial"/>
        </w:rPr>
      </w:pPr>
      <w:r w:rsidRPr="00BE7E8C">
        <w:rPr>
          <w:rFonts w:ascii="Arial" w:hAnsi="Arial" w:cs="Arial"/>
        </w:rPr>
        <w:t xml:space="preserve">Taplin, D. H., </w:t>
      </w:r>
      <w:r w:rsidRPr="00BE7E8C">
        <w:rPr>
          <w:rFonts w:ascii="Arial" w:hAnsi="Arial" w:cs="Arial"/>
          <w:shd w:val="clear" w:color="auto" w:fill="FFFFFF"/>
        </w:rPr>
        <w:t>Clarke, H., Collins, E. and Colby, D. C.</w:t>
      </w:r>
      <w:r w:rsidRPr="00BE7E8C">
        <w:rPr>
          <w:rFonts w:ascii="Arial" w:hAnsi="Arial" w:cs="Arial"/>
        </w:rPr>
        <w:t xml:space="preserve"> (2013) </w:t>
      </w:r>
      <w:r w:rsidRPr="00BE7E8C">
        <w:rPr>
          <w:rFonts w:ascii="Arial" w:hAnsi="Arial" w:cs="Arial"/>
          <w:i/>
          <w:iCs/>
        </w:rPr>
        <w:t>Theory of Change Technical Papers: A series of papers to support development of theories of change based on practice in the field.</w:t>
      </w:r>
      <w:r w:rsidRPr="00BE7E8C">
        <w:rPr>
          <w:rFonts w:ascii="Arial" w:hAnsi="Arial" w:cs="Arial"/>
        </w:rPr>
        <w:t xml:space="preserve"> New York: Act Knowledge. Available at: </w:t>
      </w:r>
      <w:hyperlink r:id="rId12" w:history="1">
        <w:r w:rsidRPr="00BE7E8C">
          <w:rPr>
            <w:rStyle w:val="Hyperlink"/>
            <w:rFonts w:ascii="Arial" w:hAnsi="Arial" w:cs="Arial"/>
          </w:rPr>
          <w:t>http://www.theoryofchange.org/wp-content/uploads/toco_library/pdf/ToC-Tech-Papers.pdf</w:t>
        </w:r>
      </w:hyperlink>
      <w:r w:rsidRPr="00BE7E8C">
        <w:rPr>
          <w:rFonts w:ascii="Arial" w:hAnsi="Arial" w:cs="Arial"/>
        </w:rPr>
        <w:t>. (Accessed: 27 November 2021)</w:t>
      </w:r>
    </w:p>
    <w:p w14:paraId="57156AC5"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 xml:space="preserve">The research solution. (2018) </w:t>
      </w:r>
      <w:r w:rsidRPr="00BE7E8C">
        <w:rPr>
          <w:rFonts w:ascii="Arial" w:hAnsi="Arial" w:cs="Arial"/>
          <w:i/>
          <w:iCs/>
          <w:shd w:val="clear" w:color="auto" w:fill="FFFFFF"/>
        </w:rPr>
        <w:t>Visit Wales Accommodation Occupancy Survey Annual Report 2018</w:t>
      </w:r>
      <w:r w:rsidRPr="00BE7E8C">
        <w:rPr>
          <w:rFonts w:ascii="Arial" w:hAnsi="Arial" w:cs="Arial"/>
        </w:rPr>
        <w:t xml:space="preserve">. Available at: </w:t>
      </w:r>
      <w:hyperlink r:id="rId13" w:history="1">
        <w:r w:rsidRPr="00BE7E8C">
          <w:rPr>
            <w:rStyle w:val="Hyperlink"/>
            <w:rFonts w:ascii="Arial" w:hAnsi="Arial" w:cs="Arial"/>
          </w:rPr>
          <w:t>https://gov.wales/sites/default/files/statistics-and-research/2019-11/wales-accommodation-occupancy-survey-2018.pdf</w:t>
        </w:r>
      </w:hyperlink>
      <w:r w:rsidRPr="00BE7E8C">
        <w:rPr>
          <w:rFonts w:ascii="Arial" w:hAnsi="Arial" w:cs="Arial"/>
        </w:rPr>
        <w:t xml:space="preserve"> (Accessed: 05 November 2021)</w:t>
      </w:r>
    </w:p>
    <w:p w14:paraId="6BADFA21"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proofErr w:type="spellStart"/>
      <w:r w:rsidRPr="00BE7E8C">
        <w:rPr>
          <w:rFonts w:ascii="Arial" w:hAnsi="Arial" w:cs="Arial"/>
        </w:rPr>
        <w:lastRenderedPageBreak/>
        <w:t>Topol</w:t>
      </w:r>
      <w:proofErr w:type="spellEnd"/>
      <w:r w:rsidRPr="00BE7E8C">
        <w:rPr>
          <w:rFonts w:ascii="Arial" w:hAnsi="Arial" w:cs="Arial"/>
        </w:rPr>
        <w:t xml:space="preserve">, E., </w:t>
      </w:r>
      <w:r w:rsidRPr="00BE7E8C">
        <w:rPr>
          <w:rFonts w:ascii="Arial" w:hAnsi="Arial" w:cs="Arial"/>
          <w:i/>
          <w:iCs/>
          <w:shd w:val="clear" w:color="auto" w:fill="FFFFFF"/>
        </w:rPr>
        <w:t xml:space="preserve">The </w:t>
      </w:r>
      <w:proofErr w:type="spellStart"/>
      <w:r w:rsidRPr="00BE7E8C">
        <w:rPr>
          <w:rFonts w:ascii="Arial" w:hAnsi="Arial" w:cs="Arial"/>
          <w:i/>
          <w:iCs/>
          <w:shd w:val="clear" w:color="auto" w:fill="FFFFFF"/>
        </w:rPr>
        <w:t>Topol</w:t>
      </w:r>
      <w:proofErr w:type="spellEnd"/>
      <w:r w:rsidRPr="00BE7E8C">
        <w:rPr>
          <w:rFonts w:ascii="Arial" w:hAnsi="Arial" w:cs="Arial"/>
          <w:i/>
          <w:iCs/>
          <w:shd w:val="clear" w:color="auto" w:fill="FFFFFF"/>
        </w:rPr>
        <w:t xml:space="preserve"> Review. Preparing the Healthcare Workforce to Deliver the Digital Future.</w:t>
      </w:r>
      <w:r w:rsidRPr="00BE7E8C">
        <w:rPr>
          <w:rFonts w:ascii="Arial" w:hAnsi="Arial" w:cs="Arial"/>
          <w:shd w:val="clear" w:color="auto" w:fill="FFFFFF"/>
        </w:rPr>
        <w:t xml:space="preserve"> pp.1-48.</w:t>
      </w:r>
      <w:r w:rsidRPr="00BE7E8C">
        <w:rPr>
          <w:rFonts w:ascii="Arial" w:hAnsi="Arial" w:cs="Arial"/>
          <w:i/>
          <w:iCs/>
          <w:shd w:val="clear" w:color="auto" w:fill="FFFFFF"/>
        </w:rPr>
        <w:t xml:space="preserve"> </w:t>
      </w:r>
      <w:r w:rsidRPr="00BE7E8C">
        <w:rPr>
          <w:rFonts w:ascii="Arial" w:hAnsi="Arial" w:cs="Arial"/>
          <w:shd w:val="clear" w:color="auto" w:fill="FFFFFF"/>
        </w:rPr>
        <w:t xml:space="preserve">Available at: </w:t>
      </w:r>
      <w:hyperlink r:id="rId14" w:history="1">
        <w:r w:rsidRPr="00BE7E8C">
          <w:rPr>
            <w:rStyle w:val="Hyperlink"/>
            <w:rFonts w:ascii="Arial" w:hAnsi="Arial" w:cs="Arial"/>
          </w:rPr>
          <w:t>HEE-Topol-Review-2019.pdf</w:t>
        </w:r>
      </w:hyperlink>
      <w:r w:rsidRPr="00BE7E8C">
        <w:rPr>
          <w:rFonts w:ascii="Arial" w:hAnsi="Arial" w:cs="Arial"/>
        </w:rPr>
        <w:t xml:space="preserve"> (Accessed on: 10 November 2021)</w:t>
      </w:r>
    </w:p>
    <w:p w14:paraId="0C61B9C7"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Veitch, S. and Drag, R. (2018), ‘Scan4Safety’</w:t>
      </w:r>
      <w:r w:rsidRPr="00BE7E8C">
        <w:rPr>
          <w:rFonts w:ascii="Arial" w:hAnsi="Arial" w:cs="Arial"/>
          <w:i/>
          <w:iCs/>
        </w:rPr>
        <w:t xml:space="preserve">, Journal of perioperative practice; J </w:t>
      </w:r>
      <w:proofErr w:type="spellStart"/>
      <w:r w:rsidRPr="00BE7E8C">
        <w:rPr>
          <w:rFonts w:ascii="Arial" w:hAnsi="Arial" w:cs="Arial"/>
          <w:i/>
          <w:iCs/>
        </w:rPr>
        <w:t>Perioper</w:t>
      </w:r>
      <w:proofErr w:type="spellEnd"/>
      <w:r w:rsidRPr="00BE7E8C">
        <w:rPr>
          <w:rFonts w:ascii="Arial" w:hAnsi="Arial" w:cs="Arial"/>
          <w:i/>
          <w:iCs/>
        </w:rPr>
        <w:t xml:space="preserve"> </w:t>
      </w:r>
      <w:proofErr w:type="spellStart"/>
      <w:r w:rsidRPr="00BE7E8C">
        <w:rPr>
          <w:rFonts w:ascii="Arial" w:hAnsi="Arial" w:cs="Arial"/>
          <w:i/>
          <w:iCs/>
        </w:rPr>
        <w:t>Pract</w:t>
      </w:r>
      <w:proofErr w:type="spellEnd"/>
      <w:r w:rsidRPr="00BE7E8C">
        <w:rPr>
          <w:rFonts w:ascii="Arial" w:hAnsi="Arial" w:cs="Arial"/>
          <w:i/>
          <w:iCs/>
        </w:rPr>
        <w:t>, </w:t>
      </w:r>
      <w:r w:rsidRPr="00BE7E8C">
        <w:rPr>
          <w:rFonts w:ascii="Arial" w:hAnsi="Arial" w:cs="Arial"/>
        </w:rPr>
        <w:t>28(5), pp. 120-122. DOI:</w:t>
      </w:r>
      <w:r w:rsidRPr="00BE7E8C">
        <w:rPr>
          <w:rFonts w:ascii="Arial" w:hAnsi="Arial" w:cs="Arial"/>
          <w:shd w:val="clear" w:color="auto" w:fill="FFFFFF"/>
        </w:rPr>
        <w:t xml:space="preserve"> 10.1177/1750458918767565</w:t>
      </w:r>
    </w:p>
    <w:p w14:paraId="1C20CF74"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shd w:val="clear" w:color="auto" w:fill="FFFFFF"/>
        </w:rPr>
      </w:pPr>
      <w:r w:rsidRPr="00BE7E8C">
        <w:rPr>
          <w:rFonts w:ascii="Arial" w:hAnsi="Arial" w:cs="Arial"/>
        </w:rPr>
        <w:t>Waring, T., Casey, R. and Robson, A. (2018), ‘Benefits realisation from IT-enabled innovation: A capability challenge for NHS English acute hospital trusts?’</w:t>
      </w:r>
      <w:r w:rsidRPr="00BE7E8C">
        <w:rPr>
          <w:rFonts w:ascii="Arial" w:hAnsi="Arial" w:cs="Arial"/>
          <w:i/>
          <w:iCs/>
        </w:rPr>
        <w:t>, Information technology &amp; people (West Linn, Or.), </w:t>
      </w:r>
      <w:r w:rsidRPr="00BE7E8C">
        <w:rPr>
          <w:rFonts w:ascii="Arial" w:hAnsi="Arial" w:cs="Arial"/>
        </w:rPr>
        <w:t xml:space="preserve">31(3), pp. 618-645. DOI: </w:t>
      </w:r>
      <w:r w:rsidRPr="00BE7E8C">
        <w:rPr>
          <w:rFonts w:ascii="Arial" w:hAnsi="Arial" w:cs="Arial"/>
          <w:shd w:val="clear" w:color="auto" w:fill="FFFFFF"/>
        </w:rPr>
        <w:t>10.1108/ITP-06-2015-0151</w:t>
      </w:r>
    </w:p>
    <w:p w14:paraId="31C3458C"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rPr>
      </w:pPr>
      <w:r w:rsidRPr="00BE7E8C">
        <w:rPr>
          <w:rFonts w:ascii="Arial" w:hAnsi="Arial" w:cs="Arial"/>
        </w:rPr>
        <w:t>Watcher, Prof. R., (2016),</w:t>
      </w:r>
      <w:r w:rsidRPr="00BE7E8C">
        <w:rPr>
          <w:rFonts w:ascii="Arial" w:hAnsi="Arial" w:cs="Arial"/>
          <w:shd w:val="clear" w:color="auto" w:fill="FFFFFF"/>
        </w:rPr>
        <w:t> </w:t>
      </w:r>
      <w:r w:rsidRPr="00BE7E8C">
        <w:rPr>
          <w:rFonts w:ascii="Arial" w:hAnsi="Arial" w:cs="Arial"/>
          <w:i/>
          <w:iCs/>
          <w:shd w:val="clear" w:color="auto" w:fill="FFFFFF"/>
        </w:rPr>
        <w:t>Making IT work: Harnessing the Power of Health Information Technology to Improve Care in England.</w:t>
      </w:r>
      <w:r w:rsidRPr="00BE7E8C">
        <w:rPr>
          <w:rFonts w:ascii="Arial" w:hAnsi="Arial" w:cs="Arial"/>
          <w:shd w:val="clear" w:color="auto" w:fill="FFFFFF"/>
        </w:rPr>
        <w:t xml:space="preserve"> London, Department of Health and Social Care. Available at: </w:t>
      </w:r>
      <w:hyperlink r:id="rId15" w:history="1">
        <w:r w:rsidRPr="00BE7E8C">
          <w:rPr>
            <w:rStyle w:val="Hyperlink"/>
            <w:rFonts w:ascii="Arial" w:hAnsi="Arial" w:cs="Arial"/>
          </w:rPr>
          <w:t>Making IT Work: Harnessing the Power of Health Information Technology to Improve Care in England (publishing.service.gov.uk)</w:t>
        </w:r>
      </w:hyperlink>
      <w:r w:rsidRPr="00BE7E8C">
        <w:rPr>
          <w:rFonts w:ascii="Arial" w:hAnsi="Arial" w:cs="Arial"/>
        </w:rPr>
        <w:t xml:space="preserve"> (Accessed on 14 November 2021)</w:t>
      </w:r>
    </w:p>
    <w:p w14:paraId="2B4FCC60"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shd w:val="clear" w:color="auto" w:fill="FFFFFF"/>
        </w:rPr>
      </w:pPr>
      <w:r w:rsidRPr="00BE7E8C">
        <w:rPr>
          <w:rFonts w:ascii="Arial" w:hAnsi="Arial" w:cs="Arial"/>
        </w:rPr>
        <w:t>Welsh Government (2016)</w:t>
      </w:r>
      <w:r w:rsidRPr="00BE7E8C">
        <w:rPr>
          <w:rFonts w:ascii="Arial" w:hAnsi="Arial" w:cs="Arial"/>
          <w:i/>
          <w:iCs/>
        </w:rPr>
        <w:t xml:space="preserve"> </w:t>
      </w:r>
      <w:r w:rsidRPr="00BE7E8C">
        <w:rPr>
          <w:rFonts w:ascii="Arial" w:hAnsi="Arial" w:cs="Arial"/>
          <w:i/>
          <w:iCs/>
          <w:shd w:val="clear" w:color="auto" w:fill="FFFFFF"/>
        </w:rPr>
        <w:t xml:space="preserve">Informed Health and Care: A Digital Health and Social Care Strategy for Wales. </w:t>
      </w:r>
      <w:r w:rsidRPr="00BE7E8C">
        <w:rPr>
          <w:rFonts w:ascii="Arial" w:hAnsi="Arial" w:cs="Arial"/>
          <w:shd w:val="clear" w:color="auto" w:fill="FFFFFF"/>
        </w:rPr>
        <w:t xml:space="preserve">Available at: </w:t>
      </w:r>
      <w:hyperlink r:id="rId16" w:history="1">
        <w:r w:rsidRPr="00BE7E8C">
          <w:rPr>
            <w:rStyle w:val="Hyperlink"/>
            <w:rFonts w:ascii="Arial" w:hAnsi="Arial" w:cs="Arial"/>
          </w:rPr>
          <w:t>A Digital Health and Social Care Informed Heath and Care; A Digital Health and Social Care Strategy for Wales (</w:t>
        </w:r>
        <w:proofErr w:type="spellStart"/>
        <w:r w:rsidRPr="00BE7E8C">
          <w:rPr>
            <w:rStyle w:val="Hyperlink"/>
            <w:rFonts w:ascii="Arial" w:hAnsi="Arial" w:cs="Arial"/>
          </w:rPr>
          <w:t>gov.wales</w:t>
        </w:r>
        <w:proofErr w:type="spellEnd"/>
        <w:r w:rsidRPr="00BE7E8C">
          <w:rPr>
            <w:rStyle w:val="Hyperlink"/>
            <w:rFonts w:ascii="Arial" w:hAnsi="Arial" w:cs="Arial"/>
          </w:rPr>
          <w:t>)</w:t>
        </w:r>
      </w:hyperlink>
      <w:r w:rsidRPr="00BE7E8C">
        <w:rPr>
          <w:rFonts w:ascii="Arial" w:hAnsi="Arial" w:cs="Arial"/>
          <w:shd w:val="clear" w:color="auto" w:fill="FFFFFF"/>
        </w:rPr>
        <w:t xml:space="preserve"> (Accessed on: 08 November 2021)</w:t>
      </w:r>
    </w:p>
    <w:p w14:paraId="2F60416A" w14:textId="77777777" w:rsidR="002747CC" w:rsidRPr="00BE7E8C" w:rsidRDefault="002747CC" w:rsidP="002747CC">
      <w:pPr>
        <w:pStyle w:val="NormalWeb"/>
        <w:shd w:val="clear" w:color="auto" w:fill="FFFFFF"/>
        <w:spacing w:before="0" w:beforeAutospacing="0" w:after="173" w:afterAutospacing="0" w:line="360" w:lineRule="auto"/>
        <w:ind w:left="450" w:hanging="450"/>
        <w:rPr>
          <w:rFonts w:ascii="Arial" w:hAnsi="Arial" w:cs="Arial"/>
          <w:shd w:val="clear" w:color="auto" w:fill="FFFFFF"/>
        </w:rPr>
      </w:pPr>
      <w:r w:rsidRPr="00BE7E8C">
        <w:rPr>
          <w:rFonts w:ascii="Arial" w:hAnsi="Arial" w:cs="Arial"/>
        </w:rPr>
        <w:t xml:space="preserve">Welsh Government (2021) </w:t>
      </w:r>
      <w:r w:rsidRPr="00BE7E8C">
        <w:rPr>
          <w:rFonts w:ascii="Arial" w:hAnsi="Arial" w:cs="Arial"/>
          <w:i/>
          <w:iCs/>
        </w:rPr>
        <w:t>Health and Social Care in Wales – COVID-19: Looking forward</w:t>
      </w:r>
      <w:r w:rsidRPr="00BE7E8C">
        <w:rPr>
          <w:rFonts w:ascii="Arial" w:hAnsi="Arial" w:cs="Arial"/>
          <w:i/>
          <w:iCs/>
          <w:shd w:val="clear" w:color="auto" w:fill="FFFFFF"/>
        </w:rPr>
        <w:t xml:space="preserve">. </w:t>
      </w:r>
      <w:r w:rsidRPr="00BE7E8C">
        <w:rPr>
          <w:rFonts w:ascii="Arial" w:hAnsi="Arial" w:cs="Arial"/>
          <w:shd w:val="clear" w:color="auto" w:fill="FFFFFF"/>
        </w:rPr>
        <w:t xml:space="preserve">Available at: </w:t>
      </w:r>
      <w:hyperlink r:id="rId17" w:history="1">
        <w:r w:rsidRPr="00BE7E8C">
          <w:rPr>
            <w:rStyle w:val="Hyperlink"/>
            <w:rFonts w:ascii="Arial" w:hAnsi="Arial" w:cs="Arial"/>
          </w:rPr>
          <w:t>health-and-social-care-in-wales--covid-19-looking-forward_0.pdf (</w:t>
        </w:r>
        <w:proofErr w:type="spellStart"/>
        <w:r w:rsidRPr="00BE7E8C">
          <w:rPr>
            <w:rStyle w:val="Hyperlink"/>
            <w:rFonts w:ascii="Arial" w:hAnsi="Arial" w:cs="Arial"/>
          </w:rPr>
          <w:t>gov.wales</w:t>
        </w:r>
        <w:proofErr w:type="spellEnd"/>
        <w:r w:rsidRPr="00BE7E8C">
          <w:rPr>
            <w:rStyle w:val="Hyperlink"/>
            <w:rFonts w:ascii="Arial" w:hAnsi="Arial" w:cs="Arial"/>
          </w:rPr>
          <w:t>)</w:t>
        </w:r>
      </w:hyperlink>
      <w:r w:rsidRPr="00BE7E8C">
        <w:rPr>
          <w:rFonts w:ascii="Arial" w:hAnsi="Arial" w:cs="Arial"/>
          <w:shd w:val="clear" w:color="auto" w:fill="FFFFFF"/>
        </w:rPr>
        <w:t xml:space="preserve"> (Accessed on: 05 December 2021)</w:t>
      </w:r>
    </w:p>
    <w:p w14:paraId="1ABA3E60" w14:textId="77777777" w:rsidR="002747CC" w:rsidRPr="009F3C85" w:rsidRDefault="002747CC" w:rsidP="002747CC">
      <w:pPr>
        <w:spacing w:line="360" w:lineRule="auto"/>
        <w:rPr>
          <w:rFonts w:ascii="Arial" w:hAnsi="Arial" w:cs="Arial"/>
          <w:sz w:val="24"/>
          <w:szCs w:val="24"/>
        </w:rPr>
      </w:pPr>
    </w:p>
    <w:p w14:paraId="2B874B8E" w14:textId="006A51E5" w:rsidR="002747CC" w:rsidRDefault="002747CC" w:rsidP="00AE777D">
      <w:pPr>
        <w:spacing w:line="360" w:lineRule="auto"/>
        <w:jc w:val="both"/>
        <w:rPr>
          <w:rFonts w:ascii="Arial" w:hAnsi="Arial" w:cs="Arial"/>
        </w:rPr>
      </w:pPr>
    </w:p>
    <w:p w14:paraId="09D4605D" w14:textId="77777777" w:rsidR="002747CC" w:rsidRPr="00AA2F7F" w:rsidRDefault="002747CC" w:rsidP="00AE777D">
      <w:pPr>
        <w:spacing w:line="360" w:lineRule="auto"/>
        <w:jc w:val="both"/>
        <w:rPr>
          <w:rFonts w:ascii="Arial" w:hAnsi="Arial" w:cs="Arial"/>
        </w:rPr>
      </w:pPr>
    </w:p>
    <w:sectPr w:rsidR="002747CC" w:rsidRPr="00AA2F7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DA167" w14:textId="77777777" w:rsidR="001F27F0" w:rsidRDefault="001F27F0" w:rsidP="001F27F0">
      <w:pPr>
        <w:spacing w:after="0" w:line="240" w:lineRule="auto"/>
      </w:pPr>
      <w:r>
        <w:separator/>
      </w:r>
    </w:p>
  </w:endnote>
  <w:endnote w:type="continuationSeparator" w:id="0">
    <w:p w14:paraId="0D763595" w14:textId="77777777" w:rsidR="001F27F0" w:rsidRDefault="001F27F0" w:rsidP="001F2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8212117"/>
      <w:docPartObj>
        <w:docPartGallery w:val="Page Numbers (Bottom of Page)"/>
        <w:docPartUnique/>
      </w:docPartObj>
    </w:sdtPr>
    <w:sdtEndPr/>
    <w:sdtContent>
      <w:sdt>
        <w:sdtPr>
          <w:id w:val="-1769616900"/>
          <w:docPartObj>
            <w:docPartGallery w:val="Page Numbers (Top of Page)"/>
            <w:docPartUnique/>
          </w:docPartObj>
        </w:sdtPr>
        <w:sdtEndPr/>
        <w:sdtContent>
          <w:p w14:paraId="11B136B3" w14:textId="5D01B0C3" w:rsidR="001F27F0" w:rsidRDefault="001F27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D20CC0B" w14:textId="77777777" w:rsidR="001F27F0" w:rsidRDefault="001F2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DA313E" w14:textId="77777777" w:rsidR="001F27F0" w:rsidRDefault="001F27F0" w:rsidP="001F27F0">
      <w:pPr>
        <w:spacing w:after="0" w:line="240" w:lineRule="auto"/>
      </w:pPr>
      <w:r>
        <w:separator/>
      </w:r>
    </w:p>
  </w:footnote>
  <w:footnote w:type="continuationSeparator" w:id="0">
    <w:p w14:paraId="73BCDDCA" w14:textId="77777777" w:rsidR="001F27F0" w:rsidRDefault="001F27F0" w:rsidP="001F2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FD0905" w14:textId="7778B2A2" w:rsidR="001F27F0" w:rsidRPr="00306938" w:rsidRDefault="001F27F0">
    <w:pPr>
      <w:pStyle w:val="Header"/>
      <w:rPr>
        <w:rFonts w:ascii="Arial" w:hAnsi="Arial" w:cs="Arial"/>
        <w:sz w:val="20"/>
        <w:szCs w:val="20"/>
      </w:rPr>
    </w:pPr>
    <w:r w:rsidRPr="00306938">
      <w:rPr>
        <w:rFonts w:ascii="Arial" w:hAnsi="Arial" w:cs="Arial"/>
        <w:sz w:val="20"/>
        <w:szCs w:val="20"/>
      </w:rPr>
      <w:t>Jonathan Davies – 2112927</w:t>
    </w:r>
  </w:p>
  <w:p w14:paraId="44A4A7B5" w14:textId="3F939DB0" w:rsidR="001F27F0" w:rsidRPr="00306938" w:rsidRDefault="001F27F0">
    <w:pPr>
      <w:pStyle w:val="Header"/>
      <w:rPr>
        <w:rFonts w:ascii="Arial" w:hAnsi="Arial" w:cs="Arial"/>
        <w:sz w:val="20"/>
        <w:szCs w:val="20"/>
      </w:rPr>
    </w:pPr>
    <w:r w:rsidRPr="00306938">
      <w:rPr>
        <w:rFonts w:ascii="Arial" w:hAnsi="Arial" w:cs="Arial"/>
        <w:sz w:val="20"/>
        <w:szCs w:val="20"/>
      </w:rPr>
      <w:t xml:space="preserve">The Digital Professional for Health and Care (BMDS7000) - </w:t>
    </w:r>
    <w:r w:rsidR="00306938" w:rsidRPr="00306938">
      <w:rPr>
        <w:rFonts w:ascii="Arial" w:hAnsi="Arial" w:cs="Arial"/>
        <w:sz w:val="20"/>
        <w:szCs w:val="20"/>
      </w:rPr>
      <w:t>System Improvement Programme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E04F6"/>
    <w:multiLevelType w:val="hybridMultilevel"/>
    <w:tmpl w:val="F2F0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95528"/>
    <w:multiLevelType w:val="hybridMultilevel"/>
    <w:tmpl w:val="4FFE2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FB637A"/>
    <w:multiLevelType w:val="hybridMultilevel"/>
    <w:tmpl w:val="3C341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F33B0"/>
    <w:multiLevelType w:val="hybridMultilevel"/>
    <w:tmpl w:val="3392D3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303018"/>
    <w:multiLevelType w:val="hybridMultilevel"/>
    <w:tmpl w:val="92E04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8D4571"/>
    <w:multiLevelType w:val="hybridMultilevel"/>
    <w:tmpl w:val="AAE22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49332F"/>
    <w:multiLevelType w:val="hybridMultilevel"/>
    <w:tmpl w:val="C19CE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5C1295"/>
    <w:multiLevelType w:val="hybridMultilevel"/>
    <w:tmpl w:val="10F4A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DE2E96"/>
    <w:multiLevelType w:val="hybridMultilevel"/>
    <w:tmpl w:val="FA147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502FDF"/>
    <w:multiLevelType w:val="hybridMultilevel"/>
    <w:tmpl w:val="6DA01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0F72B6"/>
    <w:multiLevelType w:val="hybridMultilevel"/>
    <w:tmpl w:val="DF22D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8"/>
  </w:num>
  <w:num w:numId="4">
    <w:abstractNumId w:val="7"/>
  </w:num>
  <w:num w:numId="5">
    <w:abstractNumId w:val="9"/>
  </w:num>
  <w:num w:numId="6">
    <w:abstractNumId w:val="3"/>
  </w:num>
  <w:num w:numId="7">
    <w:abstractNumId w:val="10"/>
  </w:num>
  <w:num w:numId="8">
    <w:abstractNumId w:val="2"/>
  </w:num>
  <w:num w:numId="9">
    <w:abstractNumId w:val="1"/>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A71"/>
    <w:rsid w:val="00000779"/>
    <w:rsid w:val="00007741"/>
    <w:rsid w:val="00021740"/>
    <w:rsid w:val="00027ACF"/>
    <w:rsid w:val="00041A60"/>
    <w:rsid w:val="0005667A"/>
    <w:rsid w:val="00060811"/>
    <w:rsid w:val="000613BF"/>
    <w:rsid w:val="00062AB6"/>
    <w:rsid w:val="000666A2"/>
    <w:rsid w:val="000838D7"/>
    <w:rsid w:val="00087C72"/>
    <w:rsid w:val="000913FC"/>
    <w:rsid w:val="00094231"/>
    <w:rsid w:val="00095796"/>
    <w:rsid w:val="000B45DE"/>
    <w:rsid w:val="000B7589"/>
    <w:rsid w:val="000C3DD4"/>
    <w:rsid w:val="000D63D6"/>
    <w:rsid w:val="000E1450"/>
    <w:rsid w:val="000E5879"/>
    <w:rsid w:val="000F2FFA"/>
    <w:rsid w:val="00105F49"/>
    <w:rsid w:val="00107428"/>
    <w:rsid w:val="00110C13"/>
    <w:rsid w:val="001260F3"/>
    <w:rsid w:val="001404B6"/>
    <w:rsid w:val="00143014"/>
    <w:rsid w:val="001506C7"/>
    <w:rsid w:val="00155261"/>
    <w:rsid w:val="00171908"/>
    <w:rsid w:val="00187C04"/>
    <w:rsid w:val="00190594"/>
    <w:rsid w:val="001970AA"/>
    <w:rsid w:val="001B2193"/>
    <w:rsid w:val="001B25D6"/>
    <w:rsid w:val="001C13C2"/>
    <w:rsid w:val="001C46CE"/>
    <w:rsid w:val="001C63CC"/>
    <w:rsid w:val="001D47D1"/>
    <w:rsid w:val="001E1544"/>
    <w:rsid w:val="001F27F0"/>
    <w:rsid w:val="00203218"/>
    <w:rsid w:val="00204E31"/>
    <w:rsid w:val="002068D5"/>
    <w:rsid w:val="002205E5"/>
    <w:rsid w:val="0022284C"/>
    <w:rsid w:val="00233195"/>
    <w:rsid w:val="0023340D"/>
    <w:rsid w:val="002348E0"/>
    <w:rsid w:val="002438A7"/>
    <w:rsid w:val="00250F16"/>
    <w:rsid w:val="00251688"/>
    <w:rsid w:val="00253F5C"/>
    <w:rsid w:val="0026589B"/>
    <w:rsid w:val="00270F19"/>
    <w:rsid w:val="00271E42"/>
    <w:rsid w:val="002747CC"/>
    <w:rsid w:val="002837FA"/>
    <w:rsid w:val="002A66CB"/>
    <w:rsid w:val="002B174B"/>
    <w:rsid w:val="002B5E41"/>
    <w:rsid w:val="002C681F"/>
    <w:rsid w:val="002D56A1"/>
    <w:rsid w:val="002E2813"/>
    <w:rsid w:val="002F1286"/>
    <w:rsid w:val="002F2159"/>
    <w:rsid w:val="00300503"/>
    <w:rsid w:val="00306938"/>
    <w:rsid w:val="003157CD"/>
    <w:rsid w:val="00325532"/>
    <w:rsid w:val="00343C3A"/>
    <w:rsid w:val="0034424C"/>
    <w:rsid w:val="00344BEB"/>
    <w:rsid w:val="00357D28"/>
    <w:rsid w:val="00357DFD"/>
    <w:rsid w:val="00360653"/>
    <w:rsid w:val="00360A0B"/>
    <w:rsid w:val="00363253"/>
    <w:rsid w:val="0036756C"/>
    <w:rsid w:val="00367D8B"/>
    <w:rsid w:val="003701F6"/>
    <w:rsid w:val="00371786"/>
    <w:rsid w:val="003771E4"/>
    <w:rsid w:val="0038040F"/>
    <w:rsid w:val="00381823"/>
    <w:rsid w:val="0039272E"/>
    <w:rsid w:val="00393CED"/>
    <w:rsid w:val="00393DE1"/>
    <w:rsid w:val="003B41A7"/>
    <w:rsid w:val="003B47F0"/>
    <w:rsid w:val="003C7FE9"/>
    <w:rsid w:val="003D10C1"/>
    <w:rsid w:val="003D52A3"/>
    <w:rsid w:val="003E2D8E"/>
    <w:rsid w:val="003E40EB"/>
    <w:rsid w:val="003E6943"/>
    <w:rsid w:val="003F101C"/>
    <w:rsid w:val="0041127C"/>
    <w:rsid w:val="00411BE5"/>
    <w:rsid w:val="00417186"/>
    <w:rsid w:val="0042425D"/>
    <w:rsid w:val="004253D0"/>
    <w:rsid w:val="00435943"/>
    <w:rsid w:val="00435A7E"/>
    <w:rsid w:val="00436282"/>
    <w:rsid w:val="00437CBE"/>
    <w:rsid w:val="004409E1"/>
    <w:rsid w:val="0045269F"/>
    <w:rsid w:val="00455509"/>
    <w:rsid w:val="0045617F"/>
    <w:rsid w:val="00464F53"/>
    <w:rsid w:val="00464FCE"/>
    <w:rsid w:val="00465950"/>
    <w:rsid w:val="00465D89"/>
    <w:rsid w:val="0046657E"/>
    <w:rsid w:val="00472A19"/>
    <w:rsid w:val="00477443"/>
    <w:rsid w:val="00480060"/>
    <w:rsid w:val="004803AE"/>
    <w:rsid w:val="00482BA9"/>
    <w:rsid w:val="004946FB"/>
    <w:rsid w:val="004A061D"/>
    <w:rsid w:val="004A23D7"/>
    <w:rsid w:val="004A5806"/>
    <w:rsid w:val="004B3959"/>
    <w:rsid w:val="004C2B1F"/>
    <w:rsid w:val="004C3F38"/>
    <w:rsid w:val="004D29E7"/>
    <w:rsid w:val="004E0899"/>
    <w:rsid w:val="004E1FC4"/>
    <w:rsid w:val="004E294E"/>
    <w:rsid w:val="004E6EE7"/>
    <w:rsid w:val="004E7F2D"/>
    <w:rsid w:val="004F3AC9"/>
    <w:rsid w:val="004F607A"/>
    <w:rsid w:val="004F6D5C"/>
    <w:rsid w:val="0050767C"/>
    <w:rsid w:val="00510936"/>
    <w:rsid w:val="00512355"/>
    <w:rsid w:val="0051592D"/>
    <w:rsid w:val="0051721C"/>
    <w:rsid w:val="005243C4"/>
    <w:rsid w:val="00527734"/>
    <w:rsid w:val="00531246"/>
    <w:rsid w:val="005340C5"/>
    <w:rsid w:val="005347FC"/>
    <w:rsid w:val="00535C94"/>
    <w:rsid w:val="005662D7"/>
    <w:rsid w:val="0057594C"/>
    <w:rsid w:val="0058527B"/>
    <w:rsid w:val="00592354"/>
    <w:rsid w:val="00592479"/>
    <w:rsid w:val="005A0C54"/>
    <w:rsid w:val="005C0037"/>
    <w:rsid w:val="005C5B1E"/>
    <w:rsid w:val="005C7884"/>
    <w:rsid w:val="005C7D5A"/>
    <w:rsid w:val="005D14B8"/>
    <w:rsid w:val="005D4489"/>
    <w:rsid w:val="005D568D"/>
    <w:rsid w:val="005D61F3"/>
    <w:rsid w:val="005D797D"/>
    <w:rsid w:val="005F2087"/>
    <w:rsid w:val="005F2EE7"/>
    <w:rsid w:val="00626A3E"/>
    <w:rsid w:val="00635C42"/>
    <w:rsid w:val="0065361C"/>
    <w:rsid w:val="00653AA7"/>
    <w:rsid w:val="006604BF"/>
    <w:rsid w:val="0067421D"/>
    <w:rsid w:val="006913EF"/>
    <w:rsid w:val="0069617C"/>
    <w:rsid w:val="006A14C6"/>
    <w:rsid w:val="006B014E"/>
    <w:rsid w:val="006B777A"/>
    <w:rsid w:val="006C3B8B"/>
    <w:rsid w:val="006D067E"/>
    <w:rsid w:val="006D20AF"/>
    <w:rsid w:val="006E1AE2"/>
    <w:rsid w:val="006E6284"/>
    <w:rsid w:val="006E6CE8"/>
    <w:rsid w:val="006E7B73"/>
    <w:rsid w:val="006F35A8"/>
    <w:rsid w:val="007106F2"/>
    <w:rsid w:val="0071246A"/>
    <w:rsid w:val="0071273B"/>
    <w:rsid w:val="00722037"/>
    <w:rsid w:val="007270B3"/>
    <w:rsid w:val="00737B6B"/>
    <w:rsid w:val="00740EB2"/>
    <w:rsid w:val="007500B9"/>
    <w:rsid w:val="00762259"/>
    <w:rsid w:val="007622B6"/>
    <w:rsid w:val="007634AB"/>
    <w:rsid w:val="0076445C"/>
    <w:rsid w:val="007743B9"/>
    <w:rsid w:val="007822AE"/>
    <w:rsid w:val="0078247D"/>
    <w:rsid w:val="00784804"/>
    <w:rsid w:val="00787E47"/>
    <w:rsid w:val="007B38CE"/>
    <w:rsid w:val="007C5006"/>
    <w:rsid w:val="007D12FC"/>
    <w:rsid w:val="007E1DA9"/>
    <w:rsid w:val="007F6073"/>
    <w:rsid w:val="007F6E74"/>
    <w:rsid w:val="00802AD9"/>
    <w:rsid w:val="00804617"/>
    <w:rsid w:val="00807C45"/>
    <w:rsid w:val="00811C7B"/>
    <w:rsid w:val="0081264F"/>
    <w:rsid w:val="00821C7B"/>
    <w:rsid w:val="008275D2"/>
    <w:rsid w:val="00840D2D"/>
    <w:rsid w:val="008410BA"/>
    <w:rsid w:val="0084612A"/>
    <w:rsid w:val="00852192"/>
    <w:rsid w:val="00853D09"/>
    <w:rsid w:val="0085770A"/>
    <w:rsid w:val="008623EB"/>
    <w:rsid w:val="00863F92"/>
    <w:rsid w:val="008714E3"/>
    <w:rsid w:val="00876012"/>
    <w:rsid w:val="00892E50"/>
    <w:rsid w:val="008A33C4"/>
    <w:rsid w:val="008A4243"/>
    <w:rsid w:val="008A569F"/>
    <w:rsid w:val="008C3AC2"/>
    <w:rsid w:val="008C52A4"/>
    <w:rsid w:val="008C62D9"/>
    <w:rsid w:val="008D3C9D"/>
    <w:rsid w:val="008F13DB"/>
    <w:rsid w:val="00915BB9"/>
    <w:rsid w:val="00917D3B"/>
    <w:rsid w:val="00923E3D"/>
    <w:rsid w:val="00924B84"/>
    <w:rsid w:val="0093319A"/>
    <w:rsid w:val="00951762"/>
    <w:rsid w:val="00956FDB"/>
    <w:rsid w:val="009747D7"/>
    <w:rsid w:val="009840AA"/>
    <w:rsid w:val="00992EF4"/>
    <w:rsid w:val="0099396B"/>
    <w:rsid w:val="009A22F1"/>
    <w:rsid w:val="009A50BD"/>
    <w:rsid w:val="009B1A4B"/>
    <w:rsid w:val="009B2063"/>
    <w:rsid w:val="009B5A19"/>
    <w:rsid w:val="009B5C66"/>
    <w:rsid w:val="009C088D"/>
    <w:rsid w:val="009C2540"/>
    <w:rsid w:val="009C6FD1"/>
    <w:rsid w:val="009D7F3E"/>
    <w:rsid w:val="009E225C"/>
    <w:rsid w:val="009E6540"/>
    <w:rsid w:val="009F3A53"/>
    <w:rsid w:val="00A15402"/>
    <w:rsid w:val="00A31D6F"/>
    <w:rsid w:val="00A3438F"/>
    <w:rsid w:val="00A44CBE"/>
    <w:rsid w:val="00A47289"/>
    <w:rsid w:val="00A51BE2"/>
    <w:rsid w:val="00A54E12"/>
    <w:rsid w:val="00A578B1"/>
    <w:rsid w:val="00A6116B"/>
    <w:rsid w:val="00A741E0"/>
    <w:rsid w:val="00A8368B"/>
    <w:rsid w:val="00A86829"/>
    <w:rsid w:val="00A870CF"/>
    <w:rsid w:val="00A92698"/>
    <w:rsid w:val="00AA0D6E"/>
    <w:rsid w:val="00AA2F7F"/>
    <w:rsid w:val="00AA6DC8"/>
    <w:rsid w:val="00AB5B2D"/>
    <w:rsid w:val="00AD332E"/>
    <w:rsid w:val="00AD6CCF"/>
    <w:rsid w:val="00AE062F"/>
    <w:rsid w:val="00AE14C6"/>
    <w:rsid w:val="00AE32E4"/>
    <w:rsid w:val="00AE46B1"/>
    <w:rsid w:val="00AE777D"/>
    <w:rsid w:val="00AF091C"/>
    <w:rsid w:val="00AF74D0"/>
    <w:rsid w:val="00B134DB"/>
    <w:rsid w:val="00B27E9A"/>
    <w:rsid w:val="00B3316B"/>
    <w:rsid w:val="00B37D58"/>
    <w:rsid w:val="00B4659A"/>
    <w:rsid w:val="00B535FE"/>
    <w:rsid w:val="00B7107B"/>
    <w:rsid w:val="00B75C98"/>
    <w:rsid w:val="00B86EC6"/>
    <w:rsid w:val="00B90F9C"/>
    <w:rsid w:val="00BA6DCB"/>
    <w:rsid w:val="00BB103C"/>
    <w:rsid w:val="00BB51A9"/>
    <w:rsid w:val="00BC2F95"/>
    <w:rsid w:val="00BC5CE7"/>
    <w:rsid w:val="00BC7B09"/>
    <w:rsid w:val="00BD4538"/>
    <w:rsid w:val="00BE5836"/>
    <w:rsid w:val="00BE63D7"/>
    <w:rsid w:val="00BF5D83"/>
    <w:rsid w:val="00C02A19"/>
    <w:rsid w:val="00C037F2"/>
    <w:rsid w:val="00C05D6D"/>
    <w:rsid w:val="00C107E1"/>
    <w:rsid w:val="00C10BF7"/>
    <w:rsid w:val="00C1548F"/>
    <w:rsid w:val="00C2287B"/>
    <w:rsid w:val="00C25248"/>
    <w:rsid w:val="00C31BD9"/>
    <w:rsid w:val="00C327F3"/>
    <w:rsid w:val="00C32CD4"/>
    <w:rsid w:val="00C34043"/>
    <w:rsid w:val="00C36BAF"/>
    <w:rsid w:val="00C540CB"/>
    <w:rsid w:val="00C65511"/>
    <w:rsid w:val="00C8706A"/>
    <w:rsid w:val="00C8742E"/>
    <w:rsid w:val="00C87A5E"/>
    <w:rsid w:val="00C96969"/>
    <w:rsid w:val="00CE2A11"/>
    <w:rsid w:val="00CE4B0A"/>
    <w:rsid w:val="00CF43E4"/>
    <w:rsid w:val="00D03A08"/>
    <w:rsid w:val="00D07277"/>
    <w:rsid w:val="00D07BDC"/>
    <w:rsid w:val="00D31492"/>
    <w:rsid w:val="00D33C02"/>
    <w:rsid w:val="00D3554E"/>
    <w:rsid w:val="00D42D58"/>
    <w:rsid w:val="00D47FE1"/>
    <w:rsid w:val="00D555F6"/>
    <w:rsid w:val="00D6745A"/>
    <w:rsid w:val="00D71E2C"/>
    <w:rsid w:val="00D86FB3"/>
    <w:rsid w:val="00D96254"/>
    <w:rsid w:val="00DA249B"/>
    <w:rsid w:val="00DA2B29"/>
    <w:rsid w:val="00DA38AB"/>
    <w:rsid w:val="00DA60C7"/>
    <w:rsid w:val="00DB6725"/>
    <w:rsid w:val="00DC4330"/>
    <w:rsid w:val="00DD2FE0"/>
    <w:rsid w:val="00DD6DDC"/>
    <w:rsid w:val="00DE00FD"/>
    <w:rsid w:val="00DE37CC"/>
    <w:rsid w:val="00DF05CD"/>
    <w:rsid w:val="00E009ED"/>
    <w:rsid w:val="00E0316D"/>
    <w:rsid w:val="00E0319D"/>
    <w:rsid w:val="00E03EA4"/>
    <w:rsid w:val="00E0790A"/>
    <w:rsid w:val="00E10B1D"/>
    <w:rsid w:val="00E13008"/>
    <w:rsid w:val="00E15E58"/>
    <w:rsid w:val="00E27E3B"/>
    <w:rsid w:val="00E40D0C"/>
    <w:rsid w:val="00E50458"/>
    <w:rsid w:val="00E5091F"/>
    <w:rsid w:val="00E5129D"/>
    <w:rsid w:val="00E64542"/>
    <w:rsid w:val="00E711BA"/>
    <w:rsid w:val="00E731F2"/>
    <w:rsid w:val="00E73547"/>
    <w:rsid w:val="00E87B53"/>
    <w:rsid w:val="00E90CE7"/>
    <w:rsid w:val="00E94F0E"/>
    <w:rsid w:val="00E96393"/>
    <w:rsid w:val="00E97C3E"/>
    <w:rsid w:val="00EA2409"/>
    <w:rsid w:val="00EB2BF1"/>
    <w:rsid w:val="00EB32FF"/>
    <w:rsid w:val="00EB3B93"/>
    <w:rsid w:val="00EB6721"/>
    <w:rsid w:val="00EC1DBD"/>
    <w:rsid w:val="00EC63BD"/>
    <w:rsid w:val="00ED1CA2"/>
    <w:rsid w:val="00ED4F8D"/>
    <w:rsid w:val="00ED4FF4"/>
    <w:rsid w:val="00ED656A"/>
    <w:rsid w:val="00EE758D"/>
    <w:rsid w:val="00EF6DFB"/>
    <w:rsid w:val="00F010F4"/>
    <w:rsid w:val="00F02692"/>
    <w:rsid w:val="00F028F8"/>
    <w:rsid w:val="00F20C21"/>
    <w:rsid w:val="00F22EBF"/>
    <w:rsid w:val="00F24A62"/>
    <w:rsid w:val="00F32718"/>
    <w:rsid w:val="00F372EB"/>
    <w:rsid w:val="00F40D27"/>
    <w:rsid w:val="00F50CB0"/>
    <w:rsid w:val="00F53176"/>
    <w:rsid w:val="00F565EA"/>
    <w:rsid w:val="00F65AB8"/>
    <w:rsid w:val="00F81DFC"/>
    <w:rsid w:val="00F904D1"/>
    <w:rsid w:val="00FA1A71"/>
    <w:rsid w:val="00FA4A3D"/>
    <w:rsid w:val="00FA58FF"/>
    <w:rsid w:val="00FA6E0B"/>
    <w:rsid w:val="00FB5253"/>
    <w:rsid w:val="00FB65B5"/>
    <w:rsid w:val="00FB7975"/>
    <w:rsid w:val="00FB7D03"/>
    <w:rsid w:val="00FC7C4D"/>
    <w:rsid w:val="00FE6D6E"/>
    <w:rsid w:val="00FF3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8170D6"/>
  <w15:chartTrackingRefBased/>
  <w15:docId w15:val="{285777F5-AA3E-435B-A362-487841885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1A71"/>
    <w:pPr>
      <w:spacing w:after="200" w:line="276" w:lineRule="auto"/>
    </w:pPr>
  </w:style>
  <w:style w:type="paragraph" w:styleId="Heading1">
    <w:name w:val="heading 1"/>
    <w:basedOn w:val="Normal"/>
    <w:next w:val="Normal"/>
    <w:link w:val="Heading1Char"/>
    <w:uiPriority w:val="9"/>
    <w:qFormat/>
    <w:rsid w:val="002747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07E1"/>
    <w:pPr>
      <w:spacing w:after="160" w:line="259" w:lineRule="auto"/>
      <w:ind w:left="720"/>
      <w:contextualSpacing/>
    </w:pPr>
  </w:style>
  <w:style w:type="paragraph" w:styleId="NormalWeb">
    <w:name w:val="Normal (Web)"/>
    <w:basedOn w:val="Normal"/>
    <w:uiPriority w:val="99"/>
    <w:semiHidden/>
    <w:unhideWhenUsed/>
    <w:rsid w:val="009D7F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F2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7F0"/>
  </w:style>
  <w:style w:type="paragraph" w:styleId="Footer">
    <w:name w:val="footer"/>
    <w:basedOn w:val="Normal"/>
    <w:link w:val="FooterChar"/>
    <w:uiPriority w:val="99"/>
    <w:unhideWhenUsed/>
    <w:rsid w:val="001F2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7F0"/>
  </w:style>
  <w:style w:type="character" w:styleId="Hyperlink">
    <w:name w:val="Hyperlink"/>
    <w:basedOn w:val="DefaultParagraphFont"/>
    <w:uiPriority w:val="99"/>
    <w:unhideWhenUsed/>
    <w:rsid w:val="002747CC"/>
    <w:rPr>
      <w:color w:val="0563C1" w:themeColor="hyperlink"/>
      <w:u w:val="single"/>
    </w:rPr>
  </w:style>
  <w:style w:type="character" w:customStyle="1" w:styleId="Heading1Char">
    <w:name w:val="Heading 1 Char"/>
    <w:basedOn w:val="DefaultParagraphFont"/>
    <w:link w:val="Heading1"/>
    <w:uiPriority w:val="9"/>
    <w:rsid w:val="002747C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61914">
      <w:bodyDiv w:val="1"/>
      <w:marLeft w:val="0"/>
      <w:marRight w:val="0"/>
      <w:marTop w:val="0"/>
      <w:marBottom w:val="0"/>
      <w:divBdr>
        <w:top w:val="none" w:sz="0" w:space="0" w:color="auto"/>
        <w:left w:val="none" w:sz="0" w:space="0" w:color="auto"/>
        <w:bottom w:val="none" w:sz="0" w:space="0" w:color="auto"/>
        <w:right w:val="none" w:sz="0" w:space="0" w:color="auto"/>
      </w:divBdr>
    </w:div>
    <w:div w:id="131795389">
      <w:bodyDiv w:val="1"/>
      <w:marLeft w:val="0"/>
      <w:marRight w:val="0"/>
      <w:marTop w:val="0"/>
      <w:marBottom w:val="0"/>
      <w:divBdr>
        <w:top w:val="none" w:sz="0" w:space="0" w:color="auto"/>
        <w:left w:val="none" w:sz="0" w:space="0" w:color="auto"/>
        <w:bottom w:val="none" w:sz="0" w:space="0" w:color="auto"/>
        <w:right w:val="none" w:sz="0" w:space="0" w:color="auto"/>
      </w:divBdr>
    </w:div>
    <w:div w:id="139857194">
      <w:bodyDiv w:val="1"/>
      <w:marLeft w:val="0"/>
      <w:marRight w:val="0"/>
      <w:marTop w:val="0"/>
      <w:marBottom w:val="0"/>
      <w:divBdr>
        <w:top w:val="none" w:sz="0" w:space="0" w:color="auto"/>
        <w:left w:val="none" w:sz="0" w:space="0" w:color="auto"/>
        <w:bottom w:val="none" w:sz="0" w:space="0" w:color="auto"/>
        <w:right w:val="none" w:sz="0" w:space="0" w:color="auto"/>
      </w:divBdr>
    </w:div>
    <w:div w:id="145633588">
      <w:bodyDiv w:val="1"/>
      <w:marLeft w:val="0"/>
      <w:marRight w:val="0"/>
      <w:marTop w:val="0"/>
      <w:marBottom w:val="0"/>
      <w:divBdr>
        <w:top w:val="none" w:sz="0" w:space="0" w:color="auto"/>
        <w:left w:val="none" w:sz="0" w:space="0" w:color="auto"/>
        <w:bottom w:val="none" w:sz="0" w:space="0" w:color="auto"/>
        <w:right w:val="none" w:sz="0" w:space="0" w:color="auto"/>
      </w:divBdr>
    </w:div>
    <w:div w:id="175309139">
      <w:bodyDiv w:val="1"/>
      <w:marLeft w:val="0"/>
      <w:marRight w:val="0"/>
      <w:marTop w:val="0"/>
      <w:marBottom w:val="0"/>
      <w:divBdr>
        <w:top w:val="none" w:sz="0" w:space="0" w:color="auto"/>
        <w:left w:val="none" w:sz="0" w:space="0" w:color="auto"/>
        <w:bottom w:val="none" w:sz="0" w:space="0" w:color="auto"/>
        <w:right w:val="none" w:sz="0" w:space="0" w:color="auto"/>
      </w:divBdr>
    </w:div>
    <w:div w:id="182597058">
      <w:bodyDiv w:val="1"/>
      <w:marLeft w:val="0"/>
      <w:marRight w:val="0"/>
      <w:marTop w:val="0"/>
      <w:marBottom w:val="0"/>
      <w:divBdr>
        <w:top w:val="none" w:sz="0" w:space="0" w:color="auto"/>
        <w:left w:val="none" w:sz="0" w:space="0" w:color="auto"/>
        <w:bottom w:val="none" w:sz="0" w:space="0" w:color="auto"/>
        <w:right w:val="none" w:sz="0" w:space="0" w:color="auto"/>
      </w:divBdr>
    </w:div>
    <w:div w:id="224725824">
      <w:bodyDiv w:val="1"/>
      <w:marLeft w:val="0"/>
      <w:marRight w:val="0"/>
      <w:marTop w:val="0"/>
      <w:marBottom w:val="0"/>
      <w:divBdr>
        <w:top w:val="none" w:sz="0" w:space="0" w:color="auto"/>
        <w:left w:val="none" w:sz="0" w:space="0" w:color="auto"/>
        <w:bottom w:val="none" w:sz="0" w:space="0" w:color="auto"/>
        <w:right w:val="none" w:sz="0" w:space="0" w:color="auto"/>
      </w:divBdr>
    </w:div>
    <w:div w:id="226649603">
      <w:bodyDiv w:val="1"/>
      <w:marLeft w:val="0"/>
      <w:marRight w:val="0"/>
      <w:marTop w:val="0"/>
      <w:marBottom w:val="0"/>
      <w:divBdr>
        <w:top w:val="none" w:sz="0" w:space="0" w:color="auto"/>
        <w:left w:val="none" w:sz="0" w:space="0" w:color="auto"/>
        <w:bottom w:val="none" w:sz="0" w:space="0" w:color="auto"/>
        <w:right w:val="none" w:sz="0" w:space="0" w:color="auto"/>
      </w:divBdr>
    </w:div>
    <w:div w:id="295113731">
      <w:bodyDiv w:val="1"/>
      <w:marLeft w:val="0"/>
      <w:marRight w:val="0"/>
      <w:marTop w:val="0"/>
      <w:marBottom w:val="0"/>
      <w:divBdr>
        <w:top w:val="none" w:sz="0" w:space="0" w:color="auto"/>
        <w:left w:val="none" w:sz="0" w:space="0" w:color="auto"/>
        <w:bottom w:val="none" w:sz="0" w:space="0" w:color="auto"/>
        <w:right w:val="none" w:sz="0" w:space="0" w:color="auto"/>
      </w:divBdr>
    </w:div>
    <w:div w:id="308097172">
      <w:bodyDiv w:val="1"/>
      <w:marLeft w:val="0"/>
      <w:marRight w:val="0"/>
      <w:marTop w:val="0"/>
      <w:marBottom w:val="0"/>
      <w:divBdr>
        <w:top w:val="none" w:sz="0" w:space="0" w:color="auto"/>
        <w:left w:val="none" w:sz="0" w:space="0" w:color="auto"/>
        <w:bottom w:val="none" w:sz="0" w:space="0" w:color="auto"/>
        <w:right w:val="none" w:sz="0" w:space="0" w:color="auto"/>
      </w:divBdr>
    </w:div>
    <w:div w:id="341326244">
      <w:bodyDiv w:val="1"/>
      <w:marLeft w:val="0"/>
      <w:marRight w:val="0"/>
      <w:marTop w:val="0"/>
      <w:marBottom w:val="0"/>
      <w:divBdr>
        <w:top w:val="none" w:sz="0" w:space="0" w:color="auto"/>
        <w:left w:val="none" w:sz="0" w:space="0" w:color="auto"/>
        <w:bottom w:val="none" w:sz="0" w:space="0" w:color="auto"/>
        <w:right w:val="none" w:sz="0" w:space="0" w:color="auto"/>
      </w:divBdr>
    </w:div>
    <w:div w:id="395469013">
      <w:bodyDiv w:val="1"/>
      <w:marLeft w:val="0"/>
      <w:marRight w:val="0"/>
      <w:marTop w:val="0"/>
      <w:marBottom w:val="0"/>
      <w:divBdr>
        <w:top w:val="none" w:sz="0" w:space="0" w:color="auto"/>
        <w:left w:val="none" w:sz="0" w:space="0" w:color="auto"/>
        <w:bottom w:val="none" w:sz="0" w:space="0" w:color="auto"/>
        <w:right w:val="none" w:sz="0" w:space="0" w:color="auto"/>
      </w:divBdr>
    </w:div>
    <w:div w:id="601376186">
      <w:bodyDiv w:val="1"/>
      <w:marLeft w:val="0"/>
      <w:marRight w:val="0"/>
      <w:marTop w:val="0"/>
      <w:marBottom w:val="0"/>
      <w:divBdr>
        <w:top w:val="none" w:sz="0" w:space="0" w:color="auto"/>
        <w:left w:val="none" w:sz="0" w:space="0" w:color="auto"/>
        <w:bottom w:val="none" w:sz="0" w:space="0" w:color="auto"/>
        <w:right w:val="none" w:sz="0" w:space="0" w:color="auto"/>
      </w:divBdr>
    </w:div>
    <w:div w:id="623343161">
      <w:bodyDiv w:val="1"/>
      <w:marLeft w:val="0"/>
      <w:marRight w:val="0"/>
      <w:marTop w:val="0"/>
      <w:marBottom w:val="0"/>
      <w:divBdr>
        <w:top w:val="none" w:sz="0" w:space="0" w:color="auto"/>
        <w:left w:val="none" w:sz="0" w:space="0" w:color="auto"/>
        <w:bottom w:val="none" w:sz="0" w:space="0" w:color="auto"/>
        <w:right w:val="none" w:sz="0" w:space="0" w:color="auto"/>
      </w:divBdr>
    </w:div>
    <w:div w:id="635641050">
      <w:bodyDiv w:val="1"/>
      <w:marLeft w:val="0"/>
      <w:marRight w:val="0"/>
      <w:marTop w:val="0"/>
      <w:marBottom w:val="0"/>
      <w:divBdr>
        <w:top w:val="none" w:sz="0" w:space="0" w:color="auto"/>
        <w:left w:val="none" w:sz="0" w:space="0" w:color="auto"/>
        <w:bottom w:val="none" w:sz="0" w:space="0" w:color="auto"/>
        <w:right w:val="none" w:sz="0" w:space="0" w:color="auto"/>
      </w:divBdr>
    </w:div>
    <w:div w:id="687370710">
      <w:bodyDiv w:val="1"/>
      <w:marLeft w:val="0"/>
      <w:marRight w:val="0"/>
      <w:marTop w:val="0"/>
      <w:marBottom w:val="0"/>
      <w:divBdr>
        <w:top w:val="none" w:sz="0" w:space="0" w:color="auto"/>
        <w:left w:val="none" w:sz="0" w:space="0" w:color="auto"/>
        <w:bottom w:val="none" w:sz="0" w:space="0" w:color="auto"/>
        <w:right w:val="none" w:sz="0" w:space="0" w:color="auto"/>
      </w:divBdr>
    </w:div>
    <w:div w:id="723217167">
      <w:bodyDiv w:val="1"/>
      <w:marLeft w:val="0"/>
      <w:marRight w:val="0"/>
      <w:marTop w:val="0"/>
      <w:marBottom w:val="0"/>
      <w:divBdr>
        <w:top w:val="none" w:sz="0" w:space="0" w:color="auto"/>
        <w:left w:val="none" w:sz="0" w:space="0" w:color="auto"/>
        <w:bottom w:val="none" w:sz="0" w:space="0" w:color="auto"/>
        <w:right w:val="none" w:sz="0" w:space="0" w:color="auto"/>
      </w:divBdr>
    </w:div>
    <w:div w:id="725178179">
      <w:bodyDiv w:val="1"/>
      <w:marLeft w:val="0"/>
      <w:marRight w:val="0"/>
      <w:marTop w:val="0"/>
      <w:marBottom w:val="0"/>
      <w:divBdr>
        <w:top w:val="none" w:sz="0" w:space="0" w:color="auto"/>
        <w:left w:val="none" w:sz="0" w:space="0" w:color="auto"/>
        <w:bottom w:val="none" w:sz="0" w:space="0" w:color="auto"/>
        <w:right w:val="none" w:sz="0" w:space="0" w:color="auto"/>
      </w:divBdr>
    </w:div>
    <w:div w:id="771438487">
      <w:bodyDiv w:val="1"/>
      <w:marLeft w:val="0"/>
      <w:marRight w:val="0"/>
      <w:marTop w:val="0"/>
      <w:marBottom w:val="0"/>
      <w:divBdr>
        <w:top w:val="none" w:sz="0" w:space="0" w:color="auto"/>
        <w:left w:val="none" w:sz="0" w:space="0" w:color="auto"/>
        <w:bottom w:val="none" w:sz="0" w:space="0" w:color="auto"/>
        <w:right w:val="none" w:sz="0" w:space="0" w:color="auto"/>
      </w:divBdr>
    </w:div>
    <w:div w:id="937954523">
      <w:bodyDiv w:val="1"/>
      <w:marLeft w:val="0"/>
      <w:marRight w:val="0"/>
      <w:marTop w:val="0"/>
      <w:marBottom w:val="0"/>
      <w:divBdr>
        <w:top w:val="none" w:sz="0" w:space="0" w:color="auto"/>
        <w:left w:val="none" w:sz="0" w:space="0" w:color="auto"/>
        <w:bottom w:val="none" w:sz="0" w:space="0" w:color="auto"/>
        <w:right w:val="none" w:sz="0" w:space="0" w:color="auto"/>
      </w:divBdr>
    </w:div>
    <w:div w:id="945846433">
      <w:bodyDiv w:val="1"/>
      <w:marLeft w:val="0"/>
      <w:marRight w:val="0"/>
      <w:marTop w:val="0"/>
      <w:marBottom w:val="0"/>
      <w:divBdr>
        <w:top w:val="none" w:sz="0" w:space="0" w:color="auto"/>
        <w:left w:val="none" w:sz="0" w:space="0" w:color="auto"/>
        <w:bottom w:val="none" w:sz="0" w:space="0" w:color="auto"/>
        <w:right w:val="none" w:sz="0" w:space="0" w:color="auto"/>
      </w:divBdr>
    </w:div>
    <w:div w:id="985547362">
      <w:bodyDiv w:val="1"/>
      <w:marLeft w:val="0"/>
      <w:marRight w:val="0"/>
      <w:marTop w:val="0"/>
      <w:marBottom w:val="0"/>
      <w:divBdr>
        <w:top w:val="none" w:sz="0" w:space="0" w:color="auto"/>
        <w:left w:val="none" w:sz="0" w:space="0" w:color="auto"/>
        <w:bottom w:val="none" w:sz="0" w:space="0" w:color="auto"/>
        <w:right w:val="none" w:sz="0" w:space="0" w:color="auto"/>
      </w:divBdr>
    </w:div>
    <w:div w:id="993677862">
      <w:bodyDiv w:val="1"/>
      <w:marLeft w:val="0"/>
      <w:marRight w:val="0"/>
      <w:marTop w:val="0"/>
      <w:marBottom w:val="0"/>
      <w:divBdr>
        <w:top w:val="none" w:sz="0" w:space="0" w:color="auto"/>
        <w:left w:val="none" w:sz="0" w:space="0" w:color="auto"/>
        <w:bottom w:val="none" w:sz="0" w:space="0" w:color="auto"/>
        <w:right w:val="none" w:sz="0" w:space="0" w:color="auto"/>
      </w:divBdr>
    </w:div>
    <w:div w:id="993869873">
      <w:bodyDiv w:val="1"/>
      <w:marLeft w:val="0"/>
      <w:marRight w:val="0"/>
      <w:marTop w:val="0"/>
      <w:marBottom w:val="0"/>
      <w:divBdr>
        <w:top w:val="none" w:sz="0" w:space="0" w:color="auto"/>
        <w:left w:val="none" w:sz="0" w:space="0" w:color="auto"/>
        <w:bottom w:val="none" w:sz="0" w:space="0" w:color="auto"/>
        <w:right w:val="none" w:sz="0" w:space="0" w:color="auto"/>
      </w:divBdr>
    </w:div>
    <w:div w:id="1062022163">
      <w:bodyDiv w:val="1"/>
      <w:marLeft w:val="0"/>
      <w:marRight w:val="0"/>
      <w:marTop w:val="0"/>
      <w:marBottom w:val="0"/>
      <w:divBdr>
        <w:top w:val="none" w:sz="0" w:space="0" w:color="auto"/>
        <w:left w:val="none" w:sz="0" w:space="0" w:color="auto"/>
        <w:bottom w:val="none" w:sz="0" w:space="0" w:color="auto"/>
        <w:right w:val="none" w:sz="0" w:space="0" w:color="auto"/>
      </w:divBdr>
    </w:div>
    <w:div w:id="1173882174">
      <w:bodyDiv w:val="1"/>
      <w:marLeft w:val="0"/>
      <w:marRight w:val="0"/>
      <w:marTop w:val="0"/>
      <w:marBottom w:val="0"/>
      <w:divBdr>
        <w:top w:val="none" w:sz="0" w:space="0" w:color="auto"/>
        <w:left w:val="none" w:sz="0" w:space="0" w:color="auto"/>
        <w:bottom w:val="none" w:sz="0" w:space="0" w:color="auto"/>
        <w:right w:val="none" w:sz="0" w:space="0" w:color="auto"/>
      </w:divBdr>
    </w:div>
    <w:div w:id="1277442777">
      <w:bodyDiv w:val="1"/>
      <w:marLeft w:val="0"/>
      <w:marRight w:val="0"/>
      <w:marTop w:val="0"/>
      <w:marBottom w:val="0"/>
      <w:divBdr>
        <w:top w:val="none" w:sz="0" w:space="0" w:color="auto"/>
        <w:left w:val="none" w:sz="0" w:space="0" w:color="auto"/>
        <w:bottom w:val="none" w:sz="0" w:space="0" w:color="auto"/>
        <w:right w:val="none" w:sz="0" w:space="0" w:color="auto"/>
      </w:divBdr>
    </w:div>
    <w:div w:id="1309167462">
      <w:bodyDiv w:val="1"/>
      <w:marLeft w:val="0"/>
      <w:marRight w:val="0"/>
      <w:marTop w:val="0"/>
      <w:marBottom w:val="0"/>
      <w:divBdr>
        <w:top w:val="none" w:sz="0" w:space="0" w:color="auto"/>
        <w:left w:val="none" w:sz="0" w:space="0" w:color="auto"/>
        <w:bottom w:val="none" w:sz="0" w:space="0" w:color="auto"/>
        <w:right w:val="none" w:sz="0" w:space="0" w:color="auto"/>
      </w:divBdr>
    </w:div>
    <w:div w:id="1379233708">
      <w:bodyDiv w:val="1"/>
      <w:marLeft w:val="0"/>
      <w:marRight w:val="0"/>
      <w:marTop w:val="0"/>
      <w:marBottom w:val="0"/>
      <w:divBdr>
        <w:top w:val="none" w:sz="0" w:space="0" w:color="auto"/>
        <w:left w:val="none" w:sz="0" w:space="0" w:color="auto"/>
        <w:bottom w:val="none" w:sz="0" w:space="0" w:color="auto"/>
        <w:right w:val="none" w:sz="0" w:space="0" w:color="auto"/>
      </w:divBdr>
    </w:div>
    <w:div w:id="1495753654">
      <w:bodyDiv w:val="1"/>
      <w:marLeft w:val="0"/>
      <w:marRight w:val="0"/>
      <w:marTop w:val="0"/>
      <w:marBottom w:val="0"/>
      <w:divBdr>
        <w:top w:val="none" w:sz="0" w:space="0" w:color="auto"/>
        <w:left w:val="none" w:sz="0" w:space="0" w:color="auto"/>
        <w:bottom w:val="none" w:sz="0" w:space="0" w:color="auto"/>
        <w:right w:val="none" w:sz="0" w:space="0" w:color="auto"/>
      </w:divBdr>
    </w:div>
    <w:div w:id="1535194342">
      <w:bodyDiv w:val="1"/>
      <w:marLeft w:val="0"/>
      <w:marRight w:val="0"/>
      <w:marTop w:val="0"/>
      <w:marBottom w:val="0"/>
      <w:divBdr>
        <w:top w:val="none" w:sz="0" w:space="0" w:color="auto"/>
        <w:left w:val="none" w:sz="0" w:space="0" w:color="auto"/>
        <w:bottom w:val="none" w:sz="0" w:space="0" w:color="auto"/>
        <w:right w:val="none" w:sz="0" w:space="0" w:color="auto"/>
      </w:divBdr>
    </w:div>
    <w:div w:id="1556815318">
      <w:bodyDiv w:val="1"/>
      <w:marLeft w:val="0"/>
      <w:marRight w:val="0"/>
      <w:marTop w:val="0"/>
      <w:marBottom w:val="0"/>
      <w:divBdr>
        <w:top w:val="none" w:sz="0" w:space="0" w:color="auto"/>
        <w:left w:val="none" w:sz="0" w:space="0" w:color="auto"/>
        <w:bottom w:val="none" w:sz="0" w:space="0" w:color="auto"/>
        <w:right w:val="none" w:sz="0" w:space="0" w:color="auto"/>
      </w:divBdr>
    </w:div>
    <w:div w:id="1566447384">
      <w:bodyDiv w:val="1"/>
      <w:marLeft w:val="0"/>
      <w:marRight w:val="0"/>
      <w:marTop w:val="0"/>
      <w:marBottom w:val="0"/>
      <w:divBdr>
        <w:top w:val="none" w:sz="0" w:space="0" w:color="auto"/>
        <w:left w:val="none" w:sz="0" w:space="0" w:color="auto"/>
        <w:bottom w:val="none" w:sz="0" w:space="0" w:color="auto"/>
        <w:right w:val="none" w:sz="0" w:space="0" w:color="auto"/>
      </w:divBdr>
    </w:div>
    <w:div w:id="1619338201">
      <w:bodyDiv w:val="1"/>
      <w:marLeft w:val="0"/>
      <w:marRight w:val="0"/>
      <w:marTop w:val="0"/>
      <w:marBottom w:val="0"/>
      <w:divBdr>
        <w:top w:val="none" w:sz="0" w:space="0" w:color="auto"/>
        <w:left w:val="none" w:sz="0" w:space="0" w:color="auto"/>
        <w:bottom w:val="none" w:sz="0" w:space="0" w:color="auto"/>
        <w:right w:val="none" w:sz="0" w:space="0" w:color="auto"/>
      </w:divBdr>
    </w:div>
    <w:div w:id="1640108874">
      <w:bodyDiv w:val="1"/>
      <w:marLeft w:val="0"/>
      <w:marRight w:val="0"/>
      <w:marTop w:val="0"/>
      <w:marBottom w:val="0"/>
      <w:divBdr>
        <w:top w:val="none" w:sz="0" w:space="0" w:color="auto"/>
        <w:left w:val="none" w:sz="0" w:space="0" w:color="auto"/>
        <w:bottom w:val="none" w:sz="0" w:space="0" w:color="auto"/>
        <w:right w:val="none" w:sz="0" w:space="0" w:color="auto"/>
      </w:divBdr>
    </w:div>
    <w:div w:id="1742100759">
      <w:bodyDiv w:val="1"/>
      <w:marLeft w:val="0"/>
      <w:marRight w:val="0"/>
      <w:marTop w:val="0"/>
      <w:marBottom w:val="0"/>
      <w:divBdr>
        <w:top w:val="none" w:sz="0" w:space="0" w:color="auto"/>
        <w:left w:val="none" w:sz="0" w:space="0" w:color="auto"/>
        <w:bottom w:val="none" w:sz="0" w:space="0" w:color="auto"/>
        <w:right w:val="none" w:sz="0" w:space="0" w:color="auto"/>
      </w:divBdr>
    </w:div>
    <w:div w:id="1774939914">
      <w:bodyDiv w:val="1"/>
      <w:marLeft w:val="0"/>
      <w:marRight w:val="0"/>
      <w:marTop w:val="0"/>
      <w:marBottom w:val="0"/>
      <w:divBdr>
        <w:top w:val="none" w:sz="0" w:space="0" w:color="auto"/>
        <w:left w:val="none" w:sz="0" w:space="0" w:color="auto"/>
        <w:bottom w:val="none" w:sz="0" w:space="0" w:color="auto"/>
        <w:right w:val="none" w:sz="0" w:space="0" w:color="auto"/>
      </w:divBdr>
    </w:div>
    <w:div w:id="1852908440">
      <w:bodyDiv w:val="1"/>
      <w:marLeft w:val="0"/>
      <w:marRight w:val="0"/>
      <w:marTop w:val="0"/>
      <w:marBottom w:val="0"/>
      <w:divBdr>
        <w:top w:val="none" w:sz="0" w:space="0" w:color="auto"/>
        <w:left w:val="none" w:sz="0" w:space="0" w:color="auto"/>
        <w:bottom w:val="none" w:sz="0" w:space="0" w:color="auto"/>
        <w:right w:val="none" w:sz="0" w:space="0" w:color="auto"/>
      </w:divBdr>
    </w:div>
    <w:div w:id="1863929569">
      <w:bodyDiv w:val="1"/>
      <w:marLeft w:val="0"/>
      <w:marRight w:val="0"/>
      <w:marTop w:val="0"/>
      <w:marBottom w:val="0"/>
      <w:divBdr>
        <w:top w:val="none" w:sz="0" w:space="0" w:color="auto"/>
        <w:left w:val="none" w:sz="0" w:space="0" w:color="auto"/>
        <w:bottom w:val="none" w:sz="0" w:space="0" w:color="auto"/>
        <w:right w:val="none" w:sz="0" w:space="0" w:color="auto"/>
      </w:divBdr>
    </w:div>
    <w:div w:id="1881084488">
      <w:bodyDiv w:val="1"/>
      <w:marLeft w:val="0"/>
      <w:marRight w:val="0"/>
      <w:marTop w:val="0"/>
      <w:marBottom w:val="0"/>
      <w:divBdr>
        <w:top w:val="none" w:sz="0" w:space="0" w:color="auto"/>
        <w:left w:val="none" w:sz="0" w:space="0" w:color="auto"/>
        <w:bottom w:val="none" w:sz="0" w:space="0" w:color="auto"/>
        <w:right w:val="none" w:sz="0" w:space="0" w:color="auto"/>
      </w:divBdr>
    </w:div>
    <w:div w:id="1907884625">
      <w:bodyDiv w:val="1"/>
      <w:marLeft w:val="0"/>
      <w:marRight w:val="0"/>
      <w:marTop w:val="0"/>
      <w:marBottom w:val="0"/>
      <w:divBdr>
        <w:top w:val="none" w:sz="0" w:space="0" w:color="auto"/>
        <w:left w:val="none" w:sz="0" w:space="0" w:color="auto"/>
        <w:bottom w:val="none" w:sz="0" w:space="0" w:color="auto"/>
        <w:right w:val="none" w:sz="0" w:space="0" w:color="auto"/>
      </w:divBdr>
    </w:div>
    <w:div w:id="1923827650">
      <w:bodyDiv w:val="1"/>
      <w:marLeft w:val="0"/>
      <w:marRight w:val="0"/>
      <w:marTop w:val="0"/>
      <w:marBottom w:val="0"/>
      <w:divBdr>
        <w:top w:val="none" w:sz="0" w:space="0" w:color="auto"/>
        <w:left w:val="none" w:sz="0" w:space="0" w:color="auto"/>
        <w:bottom w:val="none" w:sz="0" w:space="0" w:color="auto"/>
        <w:right w:val="none" w:sz="0" w:space="0" w:color="auto"/>
      </w:divBdr>
    </w:div>
    <w:div w:id="1941720885">
      <w:bodyDiv w:val="1"/>
      <w:marLeft w:val="0"/>
      <w:marRight w:val="0"/>
      <w:marTop w:val="0"/>
      <w:marBottom w:val="0"/>
      <w:divBdr>
        <w:top w:val="none" w:sz="0" w:space="0" w:color="auto"/>
        <w:left w:val="none" w:sz="0" w:space="0" w:color="auto"/>
        <w:bottom w:val="none" w:sz="0" w:space="0" w:color="auto"/>
        <w:right w:val="none" w:sz="0" w:space="0" w:color="auto"/>
      </w:divBdr>
    </w:div>
    <w:div w:id="1956862824">
      <w:bodyDiv w:val="1"/>
      <w:marLeft w:val="0"/>
      <w:marRight w:val="0"/>
      <w:marTop w:val="0"/>
      <w:marBottom w:val="0"/>
      <w:divBdr>
        <w:top w:val="none" w:sz="0" w:space="0" w:color="auto"/>
        <w:left w:val="none" w:sz="0" w:space="0" w:color="auto"/>
        <w:bottom w:val="none" w:sz="0" w:space="0" w:color="auto"/>
        <w:right w:val="none" w:sz="0" w:space="0" w:color="auto"/>
      </w:divBdr>
    </w:div>
    <w:div w:id="1981423199">
      <w:bodyDiv w:val="1"/>
      <w:marLeft w:val="0"/>
      <w:marRight w:val="0"/>
      <w:marTop w:val="0"/>
      <w:marBottom w:val="0"/>
      <w:divBdr>
        <w:top w:val="none" w:sz="0" w:space="0" w:color="auto"/>
        <w:left w:val="none" w:sz="0" w:space="0" w:color="auto"/>
        <w:bottom w:val="none" w:sz="0" w:space="0" w:color="auto"/>
        <w:right w:val="none" w:sz="0" w:space="0" w:color="auto"/>
      </w:divBdr>
    </w:div>
    <w:div w:id="2046054255">
      <w:bodyDiv w:val="1"/>
      <w:marLeft w:val="0"/>
      <w:marRight w:val="0"/>
      <w:marTop w:val="0"/>
      <w:marBottom w:val="0"/>
      <w:divBdr>
        <w:top w:val="none" w:sz="0" w:space="0" w:color="auto"/>
        <w:left w:val="none" w:sz="0" w:space="0" w:color="auto"/>
        <w:bottom w:val="none" w:sz="0" w:space="0" w:color="auto"/>
        <w:right w:val="none" w:sz="0" w:space="0" w:color="auto"/>
      </w:divBdr>
    </w:div>
    <w:div w:id="2049137038">
      <w:bodyDiv w:val="1"/>
      <w:marLeft w:val="0"/>
      <w:marRight w:val="0"/>
      <w:marTop w:val="0"/>
      <w:marBottom w:val="0"/>
      <w:divBdr>
        <w:top w:val="none" w:sz="0" w:space="0" w:color="auto"/>
        <w:left w:val="none" w:sz="0" w:space="0" w:color="auto"/>
        <w:bottom w:val="none" w:sz="0" w:space="0" w:color="auto"/>
        <w:right w:val="none" w:sz="0" w:space="0" w:color="auto"/>
      </w:divBdr>
    </w:div>
    <w:div w:id="2090347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port.ac.uk/ws/portalfiles/portal/42751423/Taiwo_Adedeji_471280_PhD_Thesis_Final.pdf" TargetMode="External"/><Relationship Id="rId13" Type="http://schemas.openxmlformats.org/officeDocument/2006/relationships/hyperlink" Target="https://gov.wales/sites/default/files/statistics-and-research/2019-11/wales-accommodation-occupancy-survey-2018.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theoryofchange.org/wp-content/uploads/toco_library/pdf/ToC-Tech-Papers.pdf" TargetMode="External"/><Relationship Id="rId17" Type="http://schemas.openxmlformats.org/officeDocument/2006/relationships/hyperlink" Target="https://gov.wales/sites/default/files/publications/2021-03/health-and-social-care-in-wales--covid-19-looking-forward_0.pdf" TargetMode="External"/><Relationship Id="rId2" Type="http://schemas.openxmlformats.org/officeDocument/2006/relationships/numbering" Target="numbering.xml"/><Relationship Id="rId16" Type="http://schemas.openxmlformats.org/officeDocument/2006/relationships/hyperlink" Target="https://gov.wales/sites/default/files/publications/2019-03/informed-health-and-care-a-digital-health-and-social-care-strategy-for-wale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2468399135/fulltextPDF/3A844F3A02534DEEPQ/1?accountid=130472"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550866/Wachter_Review_Accessible.pdf" TargetMode="External"/><Relationship Id="rId10" Type="http://schemas.openxmlformats.org/officeDocument/2006/relationships/hyperlink" Target="https://cavuhb.nhs.wales/files/shaping-our-future-wellbeing-strategy/10-uhb-shaping-our-future-wellbeing-strategy-final-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avuhb.nhs.wales/files/shaping-our-future-wellbeing-strategy/10-uhb-shaping-our-future-wellbeing-strategy-final-pdf/" TargetMode="External"/><Relationship Id="rId14" Type="http://schemas.openxmlformats.org/officeDocument/2006/relationships/hyperlink" Target="file:///C:\Users\Jonathan\Downloads\HEE-Topol-Review-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B271C-899A-4EEC-BE12-60E775E76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6693</Words>
  <Characters>38156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Davies</dc:creator>
  <cp:keywords/>
  <dc:description/>
  <cp:lastModifiedBy>Jonathan Davies (Cardiff and Vale UHB - Medical Records)</cp:lastModifiedBy>
  <cp:revision>2</cp:revision>
  <dcterms:created xsi:type="dcterms:W3CDTF">2021-12-06T13:55:00Z</dcterms:created>
  <dcterms:modified xsi:type="dcterms:W3CDTF">2021-12-06T13:55:00Z</dcterms:modified>
</cp:coreProperties>
</file>