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3ABF4" w14:textId="5D4A932F" w:rsidR="006D0637" w:rsidRDefault="006D0637" w:rsidP="00C624CF">
      <w:pPr>
        <w:rPr>
          <w:rFonts w:ascii="Arial" w:hAnsi="Arial" w:cs="Arial"/>
          <w:b/>
          <w:bCs/>
          <w:sz w:val="32"/>
          <w:szCs w:val="32"/>
        </w:rPr>
      </w:pPr>
      <w:r>
        <w:rPr>
          <w:rFonts w:ascii="Arial" w:hAnsi="Arial" w:cs="Arial"/>
          <w:b/>
          <w:bCs/>
          <w:sz w:val="32"/>
          <w:szCs w:val="32"/>
        </w:rPr>
        <w:t>Name: Noreen Akhtar</w:t>
      </w:r>
    </w:p>
    <w:p w14:paraId="61587ACB" w14:textId="05C8CE3D" w:rsidR="006D0637" w:rsidRPr="00105C97" w:rsidRDefault="006D0637" w:rsidP="00C624CF">
      <w:pPr>
        <w:rPr>
          <w:rFonts w:ascii="Arial" w:hAnsi="Arial" w:cs="Arial"/>
          <w:b/>
          <w:bCs/>
          <w:sz w:val="32"/>
          <w:szCs w:val="32"/>
        </w:rPr>
      </w:pPr>
      <w:r>
        <w:rPr>
          <w:rFonts w:ascii="Arial" w:hAnsi="Arial" w:cs="Arial"/>
          <w:b/>
          <w:bCs/>
          <w:sz w:val="32"/>
          <w:szCs w:val="32"/>
        </w:rPr>
        <w:t>Student Number: 2246135</w:t>
      </w:r>
    </w:p>
    <w:p w14:paraId="1A6B9EB5" w14:textId="77777777" w:rsidR="006D0637" w:rsidRPr="00105C97" w:rsidRDefault="006D0637" w:rsidP="00C624CF">
      <w:pPr>
        <w:spacing w:line="278" w:lineRule="auto"/>
        <w:rPr>
          <w:b/>
          <w:bCs/>
          <w:sz w:val="32"/>
          <w:szCs w:val="32"/>
        </w:rPr>
      </w:pPr>
      <w:r w:rsidRPr="00105C97">
        <w:rPr>
          <w:b/>
          <w:bCs/>
          <w:sz w:val="32"/>
          <w:szCs w:val="32"/>
        </w:rPr>
        <w:t>Course: BSc (Hons) Health and Social Care</w:t>
      </w:r>
    </w:p>
    <w:p w14:paraId="2DB43AE1" w14:textId="77777777" w:rsidR="006D0637" w:rsidRDefault="006D0637" w:rsidP="00C624CF">
      <w:pPr>
        <w:spacing w:line="278" w:lineRule="auto"/>
        <w:rPr>
          <w:b/>
          <w:bCs/>
          <w:sz w:val="32"/>
          <w:szCs w:val="32"/>
        </w:rPr>
      </w:pPr>
      <w:r w:rsidRPr="00105C97">
        <w:rPr>
          <w:b/>
          <w:bCs/>
          <w:sz w:val="32"/>
          <w:szCs w:val="32"/>
        </w:rPr>
        <w:t>Module: Independent Project (BMHP6020_BIRM)</w:t>
      </w:r>
    </w:p>
    <w:p w14:paraId="76439B42" w14:textId="77777777" w:rsidR="006D0637" w:rsidRDefault="006D0637" w:rsidP="00C624CF">
      <w:pPr>
        <w:spacing w:line="278" w:lineRule="auto"/>
        <w:rPr>
          <w:b/>
          <w:bCs/>
          <w:sz w:val="32"/>
          <w:szCs w:val="32"/>
        </w:rPr>
      </w:pPr>
      <w:r w:rsidRPr="00AF4477">
        <w:rPr>
          <w:b/>
          <w:bCs/>
          <w:sz w:val="32"/>
          <w:szCs w:val="32"/>
        </w:rPr>
        <w:t>Assignment Title:</w:t>
      </w:r>
      <w:r>
        <w:rPr>
          <w:b/>
          <w:bCs/>
          <w:sz w:val="32"/>
          <w:szCs w:val="32"/>
        </w:rPr>
        <w:t xml:space="preserve"> </w:t>
      </w:r>
      <w:r w:rsidRPr="00AF4477">
        <w:rPr>
          <w:b/>
          <w:bCs/>
          <w:sz w:val="32"/>
          <w:szCs w:val="32"/>
        </w:rPr>
        <w:t>Component 1: Portfolio (including 3 elements)</w:t>
      </w:r>
    </w:p>
    <w:p w14:paraId="1AA824CC" w14:textId="77777777" w:rsidR="006D0637" w:rsidRDefault="006D0637" w:rsidP="006D0637">
      <w:pPr>
        <w:spacing w:line="278" w:lineRule="auto"/>
        <w:jc w:val="center"/>
        <w:rPr>
          <w:b/>
          <w:bCs/>
          <w:sz w:val="32"/>
          <w:szCs w:val="32"/>
        </w:rPr>
      </w:pPr>
    </w:p>
    <w:p w14:paraId="3F98564A" w14:textId="77777777" w:rsidR="006D0637" w:rsidRPr="00AF4477" w:rsidRDefault="006D0637" w:rsidP="006D0637">
      <w:pPr>
        <w:spacing w:line="278" w:lineRule="auto"/>
        <w:jc w:val="center"/>
        <w:rPr>
          <w:b/>
          <w:bCs/>
          <w:sz w:val="32"/>
          <w:szCs w:val="32"/>
        </w:rPr>
      </w:pPr>
    </w:p>
    <w:p w14:paraId="7D100E1A" w14:textId="160DC310" w:rsidR="000D3BEC" w:rsidRPr="006A2775" w:rsidRDefault="006D0637" w:rsidP="006A2775">
      <w:pPr>
        <w:pStyle w:val="Heading1"/>
        <w:jc w:val="center"/>
      </w:pPr>
      <w:r w:rsidRPr="00420362">
        <w:t xml:space="preserve">Project Title: </w:t>
      </w:r>
      <w:r w:rsidRPr="006D0637">
        <w:t>The Differential Impact of Specific Types of Adverse Childhood Experiences (ACEs) (e.g., Physical Abuse vs. Parental Separation) on Mental Health in</w:t>
      </w:r>
      <w:r w:rsidR="002C3D9D">
        <w:t xml:space="preserve"> </w:t>
      </w:r>
      <w:r w:rsidRPr="006D0637">
        <w:t>Young Adults</w:t>
      </w:r>
      <w:r>
        <w:rPr>
          <w:szCs w:val="22"/>
        </w:rPr>
        <w:br w:type="page"/>
      </w:r>
    </w:p>
    <w:p w14:paraId="3E97FB89" w14:textId="77777777" w:rsidR="00C81978" w:rsidRPr="00D6439B" w:rsidRDefault="00C81978" w:rsidP="00023AF1">
      <w:pPr>
        <w:pStyle w:val="Heading1"/>
        <w:rPr>
          <w:rFonts w:eastAsia="Times New Roman"/>
          <w:lang w:eastAsia="en-GB"/>
        </w:rPr>
      </w:pPr>
      <w:r w:rsidRPr="00D6439B">
        <w:rPr>
          <w:rFonts w:eastAsia="Times New Roman"/>
          <w:lang w:eastAsia="en-GB"/>
        </w:rPr>
        <w:t>CHAPTER 1: Introduction</w:t>
      </w:r>
    </w:p>
    <w:p w14:paraId="67999C98" w14:textId="77777777" w:rsidR="00C81978" w:rsidRPr="00D6439B" w:rsidRDefault="00C81978" w:rsidP="00023AF1">
      <w:pPr>
        <w:pStyle w:val="Heading2"/>
        <w:rPr>
          <w:rFonts w:eastAsia="Times New Roman"/>
          <w:lang w:eastAsia="en-GB"/>
        </w:rPr>
      </w:pPr>
      <w:r w:rsidRPr="00D6439B">
        <w:rPr>
          <w:rFonts w:eastAsia="Times New Roman"/>
          <w:lang w:eastAsia="en-GB"/>
        </w:rPr>
        <w:t>1.1 Introduction</w:t>
      </w:r>
    </w:p>
    <w:p w14:paraId="0B196DA8" w14:textId="3F2B817E" w:rsidR="00C81978" w:rsidRPr="00D6439B" w:rsidRDefault="00C81978" w:rsidP="00D6439B">
      <w:pPr>
        <w:pStyle w:val="NormalWeb"/>
        <w:spacing w:line="360" w:lineRule="auto"/>
        <w:jc w:val="both"/>
        <w:rPr>
          <w:rFonts w:asciiTheme="minorBidi" w:hAnsiTheme="minorBidi" w:cstheme="minorBidi"/>
          <w:szCs w:val="22"/>
        </w:rPr>
      </w:pPr>
      <w:r w:rsidRPr="00D6439B">
        <w:rPr>
          <w:rFonts w:asciiTheme="minorBidi" w:hAnsiTheme="minorBidi" w:cstheme="minorBidi"/>
          <w:szCs w:val="22"/>
        </w:rPr>
        <w:t>Adverse Childhood Experiences (ACEs) are linked with poorer mental health across the life course</w:t>
      </w:r>
      <w:r w:rsidR="001511DC" w:rsidRPr="00D6439B">
        <w:rPr>
          <w:rFonts w:asciiTheme="minorBidi" w:hAnsiTheme="minorBidi" w:cstheme="minorBidi"/>
          <w:szCs w:val="22"/>
        </w:rPr>
        <w:t xml:space="preserve"> (Trinh et al., 2025)</w:t>
      </w:r>
      <w:r w:rsidRPr="00D6439B">
        <w:rPr>
          <w:rFonts w:asciiTheme="minorBidi" w:hAnsiTheme="minorBidi" w:cstheme="minorBidi"/>
          <w:szCs w:val="22"/>
        </w:rPr>
        <w:t>. However, screenin</w:t>
      </w:r>
      <w:r w:rsidR="002A198D" w:rsidRPr="00D6439B">
        <w:rPr>
          <w:rFonts w:asciiTheme="minorBidi" w:hAnsiTheme="minorBidi" w:cstheme="minorBidi"/>
          <w:szCs w:val="22"/>
        </w:rPr>
        <w:t>g tools such as ACE Questionnaire (ACE-Q) or Adverse Childhood Experiences International Questionnaire (ACE-IQ)</w:t>
      </w:r>
      <w:r w:rsidRPr="00D6439B">
        <w:rPr>
          <w:rFonts w:asciiTheme="minorBidi" w:hAnsiTheme="minorBidi" w:cstheme="minorBidi"/>
          <w:szCs w:val="22"/>
        </w:rPr>
        <w:t xml:space="preserve"> combine diverse adversities into a single cumulative score. This approach masks important differences between types of adversity and can weaken assessment, prevention, and care</w:t>
      </w:r>
      <w:r w:rsidR="00225138" w:rsidRPr="00D6439B">
        <w:rPr>
          <w:rFonts w:asciiTheme="minorBidi" w:hAnsiTheme="minorBidi" w:cstheme="minorBidi"/>
          <w:szCs w:val="22"/>
        </w:rPr>
        <w:t xml:space="preserve"> (Zarse </w:t>
      </w:r>
      <w:r w:rsidR="00225138" w:rsidRPr="00D6439B">
        <w:rPr>
          <w:rFonts w:asciiTheme="minorBidi" w:hAnsiTheme="minorBidi" w:cstheme="minorBidi"/>
          <w:i/>
          <w:iCs/>
          <w:szCs w:val="22"/>
        </w:rPr>
        <w:t>et al.</w:t>
      </w:r>
      <w:r w:rsidR="00225138" w:rsidRPr="00D6439B">
        <w:rPr>
          <w:rFonts w:asciiTheme="minorBidi" w:hAnsiTheme="minorBidi" w:cstheme="minorBidi"/>
          <w:szCs w:val="22"/>
        </w:rPr>
        <w:t>, 2019)</w:t>
      </w:r>
      <w:r w:rsidRPr="00D6439B">
        <w:rPr>
          <w:rFonts w:asciiTheme="minorBidi" w:hAnsiTheme="minorBidi" w:cstheme="minorBidi"/>
          <w:szCs w:val="22"/>
        </w:rPr>
        <w:t>. This dissertation focuses on two policy-salient ACEs</w:t>
      </w:r>
      <w:r w:rsidR="005348CF" w:rsidRPr="00D6439B">
        <w:rPr>
          <w:rFonts w:asciiTheme="minorBidi" w:hAnsiTheme="minorBidi" w:cstheme="minorBidi"/>
          <w:szCs w:val="22"/>
        </w:rPr>
        <w:t xml:space="preserve"> like </w:t>
      </w:r>
      <w:r w:rsidRPr="00D6439B">
        <w:rPr>
          <w:rFonts w:asciiTheme="minorBidi" w:hAnsiTheme="minorBidi" w:cstheme="minorBidi"/>
          <w:szCs w:val="22"/>
        </w:rPr>
        <w:t>physical abuse and parental separation</w:t>
      </w:r>
      <w:r w:rsidR="00410798" w:rsidRPr="00D6439B">
        <w:rPr>
          <w:rFonts w:asciiTheme="minorBidi" w:hAnsiTheme="minorBidi" w:cstheme="minorBidi"/>
          <w:szCs w:val="22"/>
        </w:rPr>
        <w:t xml:space="preserve"> </w:t>
      </w:r>
      <w:r w:rsidRPr="00D6439B">
        <w:rPr>
          <w:rFonts w:asciiTheme="minorBidi" w:hAnsiTheme="minorBidi" w:cstheme="minorBidi"/>
          <w:szCs w:val="22"/>
        </w:rPr>
        <w:t>and examines how each relates to mental health outcomes in young adults (18–29) in the UK. The focus on young adulthood is deliberate: it is a period of transition (independent living, higher education or employment entry, new relationships) when latent effects of childhood adversity can surface or intensify.</w:t>
      </w:r>
    </w:p>
    <w:p w14:paraId="699071DD" w14:textId="1B7DC3F7"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The study is situated within debates about how adversity should be measured, which mechanisms drive risk, and how services should target support. Physical abuse is plausibly linked to dysregulated stress physiology, fear conditioning, and hypervigilance</w:t>
      </w:r>
      <w:r w:rsidR="00DF36FF" w:rsidRPr="00D6439B">
        <w:rPr>
          <w:rFonts w:eastAsia="Times New Roman"/>
          <w:kern w:val="0"/>
          <w:szCs w:val="22"/>
          <w:lang w:eastAsia="en-GB"/>
          <w14:ligatures w14:val="none"/>
        </w:rPr>
        <w:t xml:space="preserve"> </w:t>
      </w:r>
      <w:r w:rsidR="00DF36FF" w:rsidRPr="00D6439B">
        <w:rPr>
          <w:szCs w:val="22"/>
        </w:rPr>
        <w:t>(Brzozowska and Grabowski, 2025)</w:t>
      </w:r>
      <w:r w:rsidRPr="00D6439B">
        <w:rPr>
          <w:rFonts w:eastAsia="Times New Roman"/>
          <w:kern w:val="0"/>
          <w:szCs w:val="22"/>
          <w:lang w:eastAsia="en-GB"/>
          <w14:ligatures w14:val="none"/>
        </w:rPr>
        <w:t>. Parental separation is more likely to operate through attachment disruption, economic strain, residence changes, and interparental conflict. Collapsing these into one score impedes mechanism-aware practice</w:t>
      </w:r>
      <w:r w:rsidR="00DF36FF" w:rsidRPr="00D6439B">
        <w:rPr>
          <w:rFonts w:eastAsia="Times New Roman"/>
          <w:kern w:val="0"/>
          <w:szCs w:val="22"/>
          <w:lang w:eastAsia="en-GB"/>
          <w14:ligatures w14:val="none"/>
        </w:rPr>
        <w:t xml:space="preserve"> </w:t>
      </w:r>
      <w:r w:rsidR="00DF36FF" w:rsidRPr="00D6439B">
        <w:rPr>
          <w:szCs w:val="22"/>
        </w:rPr>
        <w:t>(Brock and Kochanska, 2016)</w:t>
      </w:r>
      <w:r w:rsidRPr="00D6439B">
        <w:rPr>
          <w:rFonts w:eastAsia="Times New Roman"/>
          <w:kern w:val="0"/>
          <w:szCs w:val="22"/>
          <w:lang w:eastAsia="en-GB"/>
          <w14:ligatures w14:val="none"/>
        </w:rPr>
        <w:t>. By comparing these ACEs, this study seeks to clarify whether different questions should be asked during screening, whether different risks should be monitored, and whether tailored referral pathways should be used. The UK context matters: safeguarding policy, primary care access, and universal services shape how screening and signposting occur.</w:t>
      </w:r>
    </w:p>
    <w:p w14:paraId="423ECDB4" w14:textId="77777777" w:rsidR="00C27AF4" w:rsidRPr="00D6439B" w:rsidRDefault="00C81978" w:rsidP="00D6439B">
      <w:pPr>
        <w:spacing w:before="100" w:beforeAutospacing="1" w:after="100" w:afterAutospacing="1"/>
        <w:jc w:val="both"/>
        <w:rPr>
          <w:rFonts w:eastAsia="Times New Roman"/>
          <w:b/>
          <w:bCs/>
          <w:kern w:val="0"/>
          <w:szCs w:val="22"/>
          <w:lang w:eastAsia="en-GB"/>
          <w14:ligatures w14:val="none"/>
        </w:rPr>
      </w:pPr>
      <w:r w:rsidRPr="00D6439B">
        <w:rPr>
          <w:rFonts w:eastAsia="Times New Roman"/>
          <w:b/>
          <w:bCs/>
          <w:kern w:val="0"/>
          <w:szCs w:val="22"/>
          <w:lang w:eastAsia="en-GB"/>
          <w14:ligatures w14:val="none"/>
        </w:rPr>
        <w:t>Aim of the dissertation</w:t>
      </w:r>
    </w:p>
    <w:p w14:paraId="23E8BD19" w14:textId="62C3BFA0"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To establish whether, and how, physical abuse and parental separation differentially predict mental health outcomes in young adults in the UK, and to draw practice-ready implications for trauma-informed screening and care.</w:t>
      </w:r>
    </w:p>
    <w:p w14:paraId="32AB3675" w14:textId="77777777" w:rsidR="00C81978" w:rsidRPr="00D6439B" w:rsidRDefault="00C81978" w:rsidP="00023AF1">
      <w:pPr>
        <w:pStyle w:val="Heading2"/>
        <w:rPr>
          <w:rFonts w:eastAsia="Times New Roman"/>
          <w:lang w:eastAsia="en-GB"/>
        </w:rPr>
      </w:pPr>
      <w:r w:rsidRPr="00D6439B">
        <w:rPr>
          <w:rFonts w:eastAsia="Times New Roman"/>
          <w:lang w:eastAsia="en-GB"/>
        </w:rPr>
        <w:t>1.2 Definitions and Terminology</w:t>
      </w:r>
    </w:p>
    <w:p w14:paraId="6D550031" w14:textId="77777777"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Key definitions</w:t>
      </w:r>
    </w:p>
    <w:p w14:paraId="70F541E6" w14:textId="18DCF4BB" w:rsidR="00C81978" w:rsidRPr="00D6439B" w:rsidRDefault="00C81978" w:rsidP="00D6439B">
      <w:pPr>
        <w:numPr>
          <w:ilvl w:val="0"/>
          <w:numId w:val="1"/>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Adverse Childhood Experiences (ACEs):</w:t>
      </w:r>
      <w:r w:rsidRPr="00D6439B">
        <w:rPr>
          <w:rFonts w:eastAsia="Times New Roman"/>
          <w:kern w:val="0"/>
          <w:szCs w:val="22"/>
          <w:lang w:eastAsia="en-GB"/>
          <w14:ligatures w14:val="none"/>
        </w:rPr>
        <w:t xml:space="preserve"> Potentially traumatic events before age 18 (abuse, neglect, household dysfunction). This study focuses on </w:t>
      </w:r>
      <w:r w:rsidRPr="00D6439B">
        <w:rPr>
          <w:rFonts w:eastAsia="Times New Roman"/>
          <w:b/>
          <w:bCs/>
          <w:kern w:val="0"/>
          <w:szCs w:val="22"/>
          <w:lang w:eastAsia="en-GB"/>
          <w14:ligatures w14:val="none"/>
        </w:rPr>
        <w:t>physical abuse</w:t>
      </w:r>
      <w:r w:rsidRPr="00D6439B">
        <w:rPr>
          <w:rFonts w:eastAsia="Times New Roman"/>
          <w:kern w:val="0"/>
          <w:szCs w:val="22"/>
          <w:lang w:eastAsia="en-GB"/>
          <w14:ligatures w14:val="none"/>
        </w:rPr>
        <w:t xml:space="preserve"> and </w:t>
      </w:r>
      <w:r w:rsidRPr="00D6439B">
        <w:rPr>
          <w:rFonts w:eastAsia="Times New Roman"/>
          <w:b/>
          <w:bCs/>
          <w:kern w:val="0"/>
          <w:szCs w:val="22"/>
          <w:lang w:eastAsia="en-GB"/>
          <w14:ligatures w14:val="none"/>
        </w:rPr>
        <w:t>parental separation</w:t>
      </w:r>
      <w:r w:rsidR="0088080A" w:rsidRPr="00D6439B">
        <w:rPr>
          <w:rFonts w:eastAsia="Times New Roman"/>
          <w:b/>
          <w:bCs/>
          <w:kern w:val="0"/>
          <w:szCs w:val="22"/>
          <w:lang w:eastAsia="en-GB"/>
          <w14:ligatures w14:val="none"/>
        </w:rPr>
        <w:t xml:space="preserve"> </w:t>
      </w:r>
      <w:r w:rsidR="0088080A" w:rsidRPr="00D6439B">
        <w:rPr>
          <w:szCs w:val="22"/>
        </w:rPr>
        <w:t>(Webster, 2022)</w:t>
      </w:r>
      <w:r w:rsidRPr="00D6439B">
        <w:rPr>
          <w:rFonts w:eastAsia="Times New Roman"/>
          <w:kern w:val="0"/>
          <w:szCs w:val="22"/>
          <w:lang w:eastAsia="en-GB"/>
          <w14:ligatures w14:val="none"/>
        </w:rPr>
        <w:t>.</w:t>
      </w:r>
    </w:p>
    <w:p w14:paraId="0BEDF631" w14:textId="2876755A" w:rsidR="00C81978" w:rsidRPr="00D6439B" w:rsidRDefault="00C81978" w:rsidP="00D6439B">
      <w:pPr>
        <w:numPr>
          <w:ilvl w:val="0"/>
          <w:numId w:val="1"/>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Physical abuse:</w:t>
      </w:r>
      <w:r w:rsidRPr="00D6439B">
        <w:rPr>
          <w:rFonts w:eastAsia="Times New Roman"/>
          <w:kern w:val="0"/>
          <w:szCs w:val="22"/>
          <w:lang w:eastAsia="en-GB"/>
          <w14:ligatures w14:val="none"/>
        </w:rPr>
        <w:t xml:space="preserve"> Intentional physical harm to a child by a caregiver or other adult (e.g., hitting, beating, shaking) that risks injury</w:t>
      </w:r>
      <w:r w:rsidR="00DD3152" w:rsidRPr="00D6439B">
        <w:rPr>
          <w:rFonts w:eastAsia="Times New Roman"/>
          <w:kern w:val="0"/>
          <w:szCs w:val="22"/>
          <w:lang w:eastAsia="en-GB"/>
          <w14:ligatures w14:val="none"/>
        </w:rPr>
        <w:t xml:space="preserve"> </w:t>
      </w:r>
      <w:r w:rsidR="00975979" w:rsidRPr="00D6439B">
        <w:rPr>
          <w:szCs w:val="22"/>
        </w:rPr>
        <w:t>(Centers for Disease Control and Prevention, 2024)</w:t>
      </w:r>
      <w:r w:rsidRPr="00D6439B">
        <w:rPr>
          <w:rFonts w:eastAsia="Times New Roman"/>
          <w:kern w:val="0"/>
          <w:szCs w:val="22"/>
          <w:lang w:eastAsia="en-GB"/>
          <w14:ligatures w14:val="none"/>
        </w:rPr>
        <w:t>.</w:t>
      </w:r>
    </w:p>
    <w:p w14:paraId="430A5CFD" w14:textId="071BFD74" w:rsidR="00C81978" w:rsidRPr="00D6439B" w:rsidRDefault="00C81978" w:rsidP="00D6439B">
      <w:pPr>
        <w:numPr>
          <w:ilvl w:val="0"/>
          <w:numId w:val="1"/>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Parental separation:</w:t>
      </w:r>
      <w:r w:rsidRPr="00D6439B">
        <w:rPr>
          <w:rFonts w:eastAsia="Times New Roman"/>
          <w:kern w:val="0"/>
          <w:szCs w:val="22"/>
          <w:lang w:eastAsia="en-GB"/>
          <w14:ligatures w14:val="none"/>
        </w:rPr>
        <w:t xml:space="preserve"> Permanent separation/divorce of primary caregivers during childhood, including prolonged disruptions that alter residence or caregiving arrangements</w:t>
      </w:r>
      <w:r w:rsidR="00975979" w:rsidRPr="00D6439B">
        <w:rPr>
          <w:rFonts w:eastAsia="Times New Roman"/>
          <w:kern w:val="0"/>
          <w:szCs w:val="22"/>
          <w:lang w:eastAsia="en-GB"/>
          <w14:ligatures w14:val="none"/>
        </w:rPr>
        <w:t xml:space="preserve"> </w:t>
      </w:r>
      <w:r w:rsidR="00975979" w:rsidRPr="00D6439B">
        <w:rPr>
          <w:szCs w:val="22"/>
        </w:rPr>
        <w:t>(D’Onofrio and Emery, 2019)</w:t>
      </w:r>
      <w:r w:rsidRPr="00D6439B">
        <w:rPr>
          <w:rFonts w:eastAsia="Times New Roman"/>
          <w:kern w:val="0"/>
          <w:szCs w:val="22"/>
          <w:lang w:eastAsia="en-GB"/>
          <w14:ligatures w14:val="none"/>
        </w:rPr>
        <w:t>.</w:t>
      </w:r>
    </w:p>
    <w:p w14:paraId="7F9E2FAC" w14:textId="5DD560D3" w:rsidR="00C81978" w:rsidRPr="00D6439B" w:rsidRDefault="00C81978" w:rsidP="00D6439B">
      <w:pPr>
        <w:numPr>
          <w:ilvl w:val="0"/>
          <w:numId w:val="1"/>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Young adults:</w:t>
      </w:r>
      <w:r w:rsidRPr="00D6439B">
        <w:rPr>
          <w:rFonts w:eastAsia="Times New Roman"/>
          <w:kern w:val="0"/>
          <w:szCs w:val="22"/>
          <w:lang w:eastAsia="en-GB"/>
          <w14:ligatures w14:val="none"/>
        </w:rPr>
        <w:t xml:space="preserve"> Individuals </w:t>
      </w:r>
      <w:r w:rsidRPr="00D6439B">
        <w:rPr>
          <w:rFonts w:eastAsia="Times New Roman"/>
          <w:b/>
          <w:bCs/>
          <w:kern w:val="0"/>
          <w:szCs w:val="22"/>
          <w:lang w:eastAsia="en-GB"/>
          <w14:ligatures w14:val="none"/>
        </w:rPr>
        <w:t>aged 18–29</w:t>
      </w:r>
      <w:r w:rsidRPr="00D6439B">
        <w:rPr>
          <w:rFonts w:eastAsia="Times New Roman"/>
          <w:kern w:val="0"/>
          <w:szCs w:val="22"/>
          <w:lang w:eastAsia="en-GB"/>
          <w14:ligatures w14:val="none"/>
        </w:rPr>
        <w:t xml:space="preserve"> at the time outcomes are assessed</w:t>
      </w:r>
      <w:r w:rsidR="00975979" w:rsidRPr="00D6439B">
        <w:rPr>
          <w:rFonts w:eastAsia="Times New Roman"/>
          <w:kern w:val="0"/>
          <w:szCs w:val="22"/>
          <w:lang w:eastAsia="en-GB"/>
          <w14:ligatures w14:val="none"/>
        </w:rPr>
        <w:t xml:space="preserve"> </w:t>
      </w:r>
      <w:r w:rsidR="00975979" w:rsidRPr="00D6439B">
        <w:rPr>
          <w:szCs w:val="22"/>
        </w:rPr>
        <w:t>(Arnett, Žukauskienė and Sugimura, 2014)</w:t>
      </w:r>
      <w:r w:rsidRPr="00D6439B">
        <w:rPr>
          <w:rFonts w:eastAsia="Times New Roman"/>
          <w:kern w:val="0"/>
          <w:szCs w:val="22"/>
          <w:lang w:eastAsia="en-GB"/>
          <w14:ligatures w14:val="none"/>
        </w:rPr>
        <w:t>.</w:t>
      </w:r>
    </w:p>
    <w:p w14:paraId="7297CA8C" w14:textId="43499302" w:rsidR="00C81978" w:rsidRPr="00D6439B" w:rsidRDefault="00C81978" w:rsidP="00D6439B">
      <w:pPr>
        <w:numPr>
          <w:ilvl w:val="0"/>
          <w:numId w:val="1"/>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Mental health outcomes:</w:t>
      </w:r>
      <w:r w:rsidRPr="00D6439B">
        <w:rPr>
          <w:rFonts w:eastAsia="Times New Roman"/>
          <w:kern w:val="0"/>
          <w:szCs w:val="22"/>
          <w:lang w:eastAsia="en-GB"/>
          <w14:ligatures w14:val="none"/>
        </w:rPr>
        <w:t xml:space="preserve"> Depression, anxiety, post-traumatic stress symptoms/disorder (PTSD), self-harm, and substance use</w:t>
      </w:r>
      <w:r w:rsidR="00975979" w:rsidRPr="00D6439B">
        <w:rPr>
          <w:rFonts w:eastAsia="Times New Roman"/>
          <w:kern w:val="0"/>
          <w:szCs w:val="22"/>
          <w:lang w:eastAsia="en-GB"/>
          <w14:ligatures w14:val="none"/>
        </w:rPr>
        <w:t xml:space="preserve"> </w:t>
      </w:r>
      <w:r w:rsidR="00975979" w:rsidRPr="00D6439B">
        <w:rPr>
          <w:szCs w:val="22"/>
        </w:rPr>
        <w:t xml:space="preserve">(Garrison-Desany </w:t>
      </w:r>
      <w:r w:rsidR="00975979" w:rsidRPr="00D6439B">
        <w:rPr>
          <w:i/>
          <w:iCs/>
          <w:szCs w:val="22"/>
        </w:rPr>
        <w:t>et al.</w:t>
      </w:r>
      <w:r w:rsidR="00975979" w:rsidRPr="00D6439B">
        <w:rPr>
          <w:szCs w:val="22"/>
        </w:rPr>
        <w:t>, 2024)</w:t>
      </w:r>
      <w:r w:rsidRPr="00D6439B">
        <w:rPr>
          <w:rFonts w:eastAsia="Times New Roman"/>
          <w:kern w:val="0"/>
          <w:szCs w:val="22"/>
          <w:lang w:eastAsia="en-GB"/>
          <w14:ligatures w14:val="none"/>
        </w:rPr>
        <w:t>.</w:t>
      </w:r>
    </w:p>
    <w:p w14:paraId="4188BA18" w14:textId="50F62CF0" w:rsidR="00C81978" w:rsidRPr="00D6439B" w:rsidRDefault="00C81978" w:rsidP="00D6439B">
      <w:pPr>
        <w:numPr>
          <w:ilvl w:val="0"/>
          <w:numId w:val="1"/>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Trauma-informed care:</w:t>
      </w:r>
      <w:r w:rsidRPr="00D6439B">
        <w:rPr>
          <w:rFonts w:eastAsia="Times New Roman"/>
          <w:kern w:val="0"/>
          <w:szCs w:val="22"/>
          <w:lang w:eastAsia="en-GB"/>
          <w14:ligatures w14:val="none"/>
        </w:rPr>
        <w:t xml:space="preserve"> Approaches that recognise trauma prevalence and impact, avoid re-traumatisation, and tailor responses to needs and safety</w:t>
      </w:r>
      <w:r w:rsidR="007174F9" w:rsidRPr="00D6439B">
        <w:rPr>
          <w:rFonts w:eastAsia="Times New Roman"/>
          <w:kern w:val="0"/>
          <w:szCs w:val="22"/>
          <w:lang w:eastAsia="en-GB"/>
          <w14:ligatures w14:val="none"/>
        </w:rPr>
        <w:t xml:space="preserve"> </w:t>
      </w:r>
      <w:r w:rsidR="007174F9" w:rsidRPr="00D6439B">
        <w:rPr>
          <w:szCs w:val="22"/>
        </w:rPr>
        <w:t xml:space="preserve">(Saunders </w:t>
      </w:r>
      <w:r w:rsidR="007174F9" w:rsidRPr="00D6439B">
        <w:rPr>
          <w:i/>
          <w:iCs/>
          <w:szCs w:val="22"/>
        </w:rPr>
        <w:t>et al.</w:t>
      </w:r>
      <w:r w:rsidR="007174F9" w:rsidRPr="00D6439B">
        <w:rPr>
          <w:szCs w:val="22"/>
        </w:rPr>
        <w:t>, 2023)</w:t>
      </w:r>
      <w:r w:rsidRPr="00D6439B">
        <w:rPr>
          <w:rFonts w:eastAsia="Times New Roman"/>
          <w:kern w:val="0"/>
          <w:szCs w:val="22"/>
          <w:lang w:eastAsia="en-GB"/>
          <w14:ligatures w14:val="none"/>
        </w:rPr>
        <w:t>.</w:t>
      </w:r>
    </w:p>
    <w:p w14:paraId="3557FCD7" w14:textId="77777777"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Acronyms and abbreviations</w:t>
      </w:r>
    </w:p>
    <w:p w14:paraId="0B8BA0F2"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ACEs:</w:t>
      </w:r>
      <w:r w:rsidRPr="00D6439B">
        <w:rPr>
          <w:rFonts w:eastAsia="Times New Roman"/>
          <w:kern w:val="0"/>
          <w:szCs w:val="22"/>
          <w:lang w:eastAsia="en-GB"/>
          <w14:ligatures w14:val="none"/>
        </w:rPr>
        <w:t xml:space="preserve"> Adverse Childhood Experiences</w:t>
      </w:r>
    </w:p>
    <w:p w14:paraId="06AA196B"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PTSD:</w:t>
      </w:r>
      <w:r w:rsidRPr="00D6439B">
        <w:rPr>
          <w:rFonts w:eastAsia="Times New Roman"/>
          <w:kern w:val="0"/>
          <w:szCs w:val="22"/>
          <w:lang w:eastAsia="en-GB"/>
          <w14:ligatures w14:val="none"/>
        </w:rPr>
        <w:t xml:space="preserve"> Post-Traumatic Stress Disorder</w:t>
      </w:r>
    </w:p>
    <w:p w14:paraId="469DC582"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SLR:</w:t>
      </w:r>
      <w:r w:rsidRPr="00D6439B">
        <w:rPr>
          <w:rFonts w:eastAsia="Times New Roman"/>
          <w:kern w:val="0"/>
          <w:szCs w:val="22"/>
          <w:lang w:eastAsia="en-GB"/>
          <w14:ligatures w14:val="none"/>
        </w:rPr>
        <w:t xml:space="preserve"> Systematic Literature Review</w:t>
      </w:r>
    </w:p>
    <w:p w14:paraId="2DAEE970"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CASP:</w:t>
      </w:r>
      <w:r w:rsidRPr="00D6439B">
        <w:rPr>
          <w:rFonts w:eastAsia="Times New Roman"/>
          <w:kern w:val="0"/>
          <w:szCs w:val="22"/>
          <w:lang w:eastAsia="en-GB"/>
          <w14:ligatures w14:val="none"/>
        </w:rPr>
        <w:t xml:space="preserve"> Critical Appraisal Skills Programme</w:t>
      </w:r>
    </w:p>
    <w:p w14:paraId="2A3E4608"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PRISMA:</w:t>
      </w:r>
      <w:r w:rsidRPr="00D6439B">
        <w:rPr>
          <w:rFonts w:eastAsia="Times New Roman"/>
          <w:kern w:val="0"/>
          <w:szCs w:val="22"/>
          <w:lang w:eastAsia="en-GB"/>
          <w14:ligatures w14:val="none"/>
        </w:rPr>
        <w:t xml:space="preserve"> Preferred Reporting Items for Systematic Reviews and Meta-Analyses</w:t>
      </w:r>
    </w:p>
    <w:p w14:paraId="32115A4D"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SES:</w:t>
      </w:r>
      <w:r w:rsidRPr="00D6439B">
        <w:rPr>
          <w:rFonts w:eastAsia="Times New Roman"/>
          <w:kern w:val="0"/>
          <w:szCs w:val="22"/>
          <w:lang w:eastAsia="en-GB"/>
          <w14:ligatures w14:val="none"/>
        </w:rPr>
        <w:t xml:space="preserve"> Socio-Economic Status</w:t>
      </w:r>
    </w:p>
    <w:p w14:paraId="5EC21B0E"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GP:</w:t>
      </w:r>
      <w:r w:rsidRPr="00D6439B">
        <w:rPr>
          <w:rFonts w:eastAsia="Times New Roman"/>
          <w:kern w:val="0"/>
          <w:szCs w:val="22"/>
          <w:lang w:eastAsia="en-GB"/>
          <w14:ligatures w14:val="none"/>
        </w:rPr>
        <w:t xml:space="preserve"> General Practitioner</w:t>
      </w:r>
    </w:p>
    <w:p w14:paraId="5794D52E" w14:textId="77777777" w:rsidR="00C81978" w:rsidRPr="00D6439B" w:rsidRDefault="00C81978" w:rsidP="00D6439B">
      <w:pPr>
        <w:numPr>
          <w:ilvl w:val="0"/>
          <w:numId w:val="2"/>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UK:</w:t>
      </w:r>
      <w:r w:rsidRPr="00D6439B">
        <w:rPr>
          <w:rFonts w:eastAsia="Times New Roman"/>
          <w:kern w:val="0"/>
          <w:szCs w:val="22"/>
          <w:lang w:eastAsia="en-GB"/>
          <w14:ligatures w14:val="none"/>
        </w:rPr>
        <w:t xml:space="preserve"> United Kingdom</w:t>
      </w:r>
    </w:p>
    <w:p w14:paraId="725016DB" w14:textId="2511F6EE"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These definitions standardise terminology, reduce ambiguity, and ensure readers who are unfamiliar with ACEs can follow the analysis and its implications for screening and care.</w:t>
      </w:r>
    </w:p>
    <w:p w14:paraId="0589B158" w14:textId="77777777" w:rsidR="00C81978" w:rsidRPr="00D6439B" w:rsidRDefault="00C81978" w:rsidP="00023AF1">
      <w:pPr>
        <w:pStyle w:val="Heading2"/>
        <w:rPr>
          <w:rFonts w:eastAsia="Times New Roman"/>
          <w:lang w:eastAsia="en-GB"/>
        </w:rPr>
      </w:pPr>
      <w:r w:rsidRPr="00D6439B">
        <w:rPr>
          <w:rFonts w:eastAsia="Times New Roman"/>
          <w:lang w:eastAsia="en-GB"/>
        </w:rPr>
        <w:t>1.3 Rationale for Research</w:t>
      </w:r>
    </w:p>
    <w:p w14:paraId="31CC08D5" w14:textId="77777777" w:rsidR="009C6DAB" w:rsidRPr="00D6439B" w:rsidRDefault="00C81978" w:rsidP="00D6439B">
      <w:pPr>
        <w:spacing w:before="100" w:beforeAutospacing="1" w:after="100" w:afterAutospacing="1"/>
        <w:jc w:val="both"/>
        <w:rPr>
          <w:rFonts w:eastAsia="Times New Roman"/>
          <w:b/>
          <w:bCs/>
          <w:kern w:val="0"/>
          <w:szCs w:val="22"/>
          <w:lang w:eastAsia="en-GB"/>
          <w14:ligatures w14:val="none"/>
        </w:rPr>
      </w:pPr>
      <w:r w:rsidRPr="00D6439B">
        <w:rPr>
          <w:rFonts w:eastAsia="Times New Roman"/>
          <w:b/>
          <w:bCs/>
          <w:kern w:val="0"/>
          <w:szCs w:val="22"/>
          <w:lang w:eastAsia="en-GB"/>
          <w14:ligatures w14:val="none"/>
        </w:rPr>
        <w:t>Problem 1: Cumulative scores obscure differential effects</w:t>
      </w:r>
    </w:p>
    <w:p w14:paraId="0E653219" w14:textId="00547588"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Treating unlike adversities as equivalent produces weak guidance for screening and intervention. If physical abuse and parental separation operate through distinct mechanisms, their associations with outcomes and implications for care are unlikely to be the same. A comparative focus is therefore necessary</w:t>
      </w:r>
      <w:r w:rsidR="00351667" w:rsidRPr="00D6439B">
        <w:rPr>
          <w:rFonts w:eastAsia="Times New Roman"/>
          <w:kern w:val="0"/>
          <w:szCs w:val="22"/>
          <w:lang w:eastAsia="en-GB"/>
          <w14:ligatures w14:val="none"/>
        </w:rPr>
        <w:t xml:space="preserve"> </w:t>
      </w:r>
      <w:r w:rsidR="00351667" w:rsidRPr="00D6439B">
        <w:rPr>
          <w:szCs w:val="22"/>
        </w:rPr>
        <w:t xml:space="preserve">(Tang </w:t>
      </w:r>
      <w:r w:rsidR="00351667" w:rsidRPr="00D6439B">
        <w:rPr>
          <w:i/>
          <w:iCs/>
          <w:szCs w:val="22"/>
        </w:rPr>
        <w:t>et al.</w:t>
      </w:r>
      <w:r w:rsidR="00351667" w:rsidRPr="00D6439B">
        <w:rPr>
          <w:szCs w:val="22"/>
        </w:rPr>
        <w:t>, 2023)</w:t>
      </w:r>
      <w:r w:rsidRPr="00D6439B">
        <w:rPr>
          <w:rFonts w:eastAsia="Times New Roman"/>
          <w:kern w:val="0"/>
          <w:szCs w:val="22"/>
          <w:lang w:eastAsia="en-GB"/>
          <w14:ligatures w14:val="none"/>
        </w:rPr>
        <w:t>.</w:t>
      </w:r>
    </w:p>
    <w:p w14:paraId="3EBB2D1B" w14:textId="77777777" w:rsidR="009C6DAB" w:rsidRPr="00D6439B" w:rsidRDefault="00C81978" w:rsidP="00D6439B">
      <w:pPr>
        <w:spacing w:before="100" w:beforeAutospacing="1" w:after="100" w:afterAutospacing="1"/>
        <w:jc w:val="both"/>
        <w:rPr>
          <w:rFonts w:eastAsia="Times New Roman"/>
          <w:b/>
          <w:bCs/>
          <w:kern w:val="0"/>
          <w:szCs w:val="22"/>
          <w:lang w:eastAsia="en-GB"/>
          <w14:ligatures w14:val="none"/>
        </w:rPr>
      </w:pPr>
      <w:r w:rsidRPr="00D6439B">
        <w:rPr>
          <w:rFonts w:eastAsia="Times New Roman"/>
          <w:b/>
          <w:bCs/>
          <w:kern w:val="0"/>
          <w:szCs w:val="22"/>
          <w:lang w:eastAsia="en-GB"/>
          <w14:ligatures w14:val="none"/>
        </w:rPr>
        <w:t>Problem 2: Young adulthood is under-examined</w:t>
      </w:r>
    </w:p>
    <w:p w14:paraId="5B3F943D" w14:textId="2AA6DF1C"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Much ACE research focuses on adolescents or older adults</w:t>
      </w:r>
      <w:r w:rsidR="00A04CE6" w:rsidRPr="00D6439B">
        <w:rPr>
          <w:rFonts w:eastAsia="Times New Roman"/>
          <w:kern w:val="0"/>
          <w:szCs w:val="22"/>
          <w:lang w:eastAsia="en-GB"/>
          <w14:ligatures w14:val="none"/>
        </w:rPr>
        <w:t xml:space="preserve"> </w:t>
      </w:r>
      <w:r w:rsidR="00A04CE6" w:rsidRPr="00D6439B">
        <w:rPr>
          <w:szCs w:val="22"/>
        </w:rPr>
        <w:t>(D’Onofrio and Emery, 2019; Webster, 2022)</w:t>
      </w:r>
      <w:r w:rsidRPr="00D6439B">
        <w:rPr>
          <w:rFonts w:eastAsia="Times New Roman"/>
          <w:kern w:val="0"/>
          <w:szCs w:val="22"/>
          <w:lang w:eastAsia="en-GB"/>
          <w14:ligatures w14:val="none"/>
        </w:rPr>
        <w:t xml:space="preserve">. Yet ages </w:t>
      </w:r>
      <w:r w:rsidRPr="00D6439B">
        <w:rPr>
          <w:rFonts w:eastAsia="Times New Roman"/>
          <w:b/>
          <w:bCs/>
          <w:kern w:val="0"/>
          <w:szCs w:val="22"/>
          <w:lang w:eastAsia="en-GB"/>
          <w14:ligatures w14:val="none"/>
        </w:rPr>
        <w:t>18–29</w:t>
      </w:r>
      <w:r w:rsidRPr="00D6439B">
        <w:rPr>
          <w:rFonts w:eastAsia="Times New Roman"/>
          <w:kern w:val="0"/>
          <w:szCs w:val="22"/>
          <w:lang w:eastAsia="en-GB"/>
          <w14:ligatures w14:val="none"/>
        </w:rPr>
        <w:t xml:space="preserve"> involve identity formation, work/education transitions, financial and housing instability, and new relationships</w:t>
      </w:r>
      <w:r w:rsidR="003627ED" w:rsidRPr="00D6439B">
        <w:rPr>
          <w:rFonts w:eastAsia="Times New Roman"/>
          <w:kern w:val="0"/>
          <w:szCs w:val="22"/>
          <w:lang w:eastAsia="en-GB"/>
          <w14:ligatures w14:val="none"/>
        </w:rPr>
        <w:t xml:space="preserve"> </w:t>
      </w:r>
      <w:r w:rsidRPr="00D6439B">
        <w:rPr>
          <w:rFonts w:eastAsia="Times New Roman"/>
          <w:kern w:val="0"/>
          <w:szCs w:val="22"/>
          <w:lang w:eastAsia="en-GB"/>
          <w14:ligatures w14:val="none"/>
        </w:rPr>
        <w:t>conditions under which symptoms often emerge or change. Evidence tailored to this age band is needed for effective early intervention and primary care signposting.</w:t>
      </w:r>
    </w:p>
    <w:p w14:paraId="0231013C" w14:textId="77777777" w:rsidR="009C6DAB" w:rsidRPr="00D6439B" w:rsidRDefault="00C81978" w:rsidP="00D6439B">
      <w:pPr>
        <w:spacing w:before="100" w:beforeAutospacing="1" w:after="100" w:afterAutospacing="1"/>
        <w:jc w:val="both"/>
        <w:rPr>
          <w:rFonts w:eastAsia="Times New Roman"/>
          <w:b/>
          <w:bCs/>
          <w:kern w:val="0"/>
          <w:szCs w:val="22"/>
          <w:lang w:eastAsia="en-GB"/>
          <w14:ligatures w14:val="none"/>
        </w:rPr>
      </w:pPr>
      <w:r w:rsidRPr="00D6439B">
        <w:rPr>
          <w:rFonts w:eastAsia="Times New Roman"/>
          <w:b/>
          <w:bCs/>
          <w:kern w:val="0"/>
          <w:szCs w:val="22"/>
          <w:lang w:eastAsia="en-GB"/>
          <w14:ligatures w14:val="none"/>
        </w:rPr>
        <w:t>Problem 3: Fragmented evidence and uneven quality</w:t>
      </w:r>
    </w:p>
    <w:p w14:paraId="3126D9FA" w14:textId="5FE57E74"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 xml:space="preserve">Studies vary in design, measurement, and reporting of effect sizes. Many pool ACEs or report limited moderators, making it hard to draw practice-relevant conclusions. A </w:t>
      </w:r>
      <w:r w:rsidRPr="00D6439B">
        <w:rPr>
          <w:rFonts w:eastAsia="Times New Roman"/>
          <w:b/>
          <w:bCs/>
          <w:kern w:val="0"/>
          <w:szCs w:val="22"/>
          <w:lang w:eastAsia="en-GB"/>
          <w14:ligatures w14:val="none"/>
        </w:rPr>
        <w:t>systematic review</w:t>
      </w:r>
      <w:r w:rsidRPr="00D6439B">
        <w:rPr>
          <w:rFonts w:eastAsia="Times New Roman"/>
          <w:kern w:val="0"/>
          <w:szCs w:val="22"/>
          <w:lang w:eastAsia="en-GB"/>
          <w14:ligatures w14:val="none"/>
        </w:rPr>
        <w:t xml:space="preserve"> with transparent inclusion criteria, followed by </w:t>
      </w:r>
      <w:r w:rsidRPr="00D6439B">
        <w:rPr>
          <w:rFonts w:eastAsia="Times New Roman"/>
          <w:b/>
          <w:bCs/>
          <w:kern w:val="0"/>
          <w:szCs w:val="22"/>
          <w:lang w:eastAsia="en-GB"/>
          <w14:ligatures w14:val="none"/>
        </w:rPr>
        <w:t>thematic analysis</w:t>
      </w:r>
      <w:r w:rsidRPr="00D6439B">
        <w:rPr>
          <w:rFonts w:eastAsia="Times New Roman"/>
          <w:kern w:val="0"/>
          <w:szCs w:val="22"/>
          <w:lang w:eastAsia="en-GB"/>
          <w14:ligatures w14:val="none"/>
        </w:rPr>
        <w:t xml:space="preserve"> focused on mechanisms and context, can improve clarity and reduce over-interpretation.</w:t>
      </w:r>
    </w:p>
    <w:p w14:paraId="282CF839" w14:textId="77777777" w:rsidR="009C6DAB" w:rsidRPr="00D6439B" w:rsidRDefault="00C81978" w:rsidP="00D6439B">
      <w:pPr>
        <w:spacing w:before="100" w:beforeAutospacing="1" w:after="100" w:afterAutospacing="1"/>
        <w:jc w:val="both"/>
        <w:rPr>
          <w:rFonts w:eastAsia="Times New Roman"/>
          <w:b/>
          <w:bCs/>
          <w:kern w:val="0"/>
          <w:szCs w:val="22"/>
          <w:lang w:eastAsia="en-GB"/>
          <w14:ligatures w14:val="none"/>
        </w:rPr>
      </w:pPr>
      <w:r w:rsidRPr="00D6439B">
        <w:rPr>
          <w:rFonts w:eastAsia="Times New Roman"/>
          <w:b/>
          <w:bCs/>
          <w:kern w:val="0"/>
          <w:szCs w:val="22"/>
          <w:lang w:eastAsia="en-GB"/>
          <w14:ligatures w14:val="none"/>
        </w:rPr>
        <w:t>Timeliness and practice relevance</w:t>
      </w:r>
    </w:p>
    <w:p w14:paraId="3A85224A" w14:textId="7BBBAD6B"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 xml:space="preserve">UK services are moving toward </w:t>
      </w:r>
      <w:r w:rsidRPr="00D6439B">
        <w:rPr>
          <w:rFonts w:eastAsia="Times New Roman"/>
          <w:b/>
          <w:bCs/>
          <w:kern w:val="0"/>
          <w:szCs w:val="22"/>
          <w:lang w:eastAsia="en-GB"/>
          <w14:ligatures w14:val="none"/>
        </w:rPr>
        <w:t>trauma-informed</w:t>
      </w:r>
      <w:r w:rsidRPr="00D6439B">
        <w:rPr>
          <w:rFonts w:eastAsia="Times New Roman"/>
          <w:kern w:val="0"/>
          <w:szCs w:val="22"/>
          <w:lang w:eastAsia="en-GB"/>
          <w14:ligatures w14:val="none"/>
        </w:rPr>
        <w:t xml:space="preserve"> approaches and early intervention, but commonly used screening tools rarely distinguish ACE types. If physical abuse is more strongly associated with </w:t>
      </w:r>
      <w:r w:rsidRPr="00D6439B">
        <w:rPr>
          <w:rFonts w:eastAsia="Times New Roman"/>
          <w:b/>
          <w:bCs/>
          <w:kern w:val="0"/>
          <w:szCs w:val="22"/>
          <w:lang w:eastAsia="en-GB"/>
          <w14:ligatures w14:val="none"/>
        </w:rPr>
        <w:t>PTSD and self-harm</w:t>
      </w:r>
      <w:r w:rsidRPr="00D6439B">
        <w:rPr>
          <w:rFonts w:eastAsia="Times New Roman"/>
          <w:kern w:val="0"/>
          <w:szCs w:val="22"/>
          <w:lang w:eastAsia="en-GB"/>
          <w14:ligatures w14:val="none"/>
        </w:rPr>
        <w:t xml:space="preserve"> through hyperarousal and fear learning, while parental separation is more closely linked with </w:t>
      </w:r>
      <w:r w:rsidRPr="00D6439B">
        <w:rPr>
          <w:rFonts w:eastAsia="Times New Roman"/>
          <w:b/>
          <w:bCs/>
          <w:kern w:val="0"/>
          <w:szCs w:val="22"/>
          <w:lang w:eastAsia="en-GB"/>
          <w14:ligatures w14:val="none"/>
        </w:rPr>
        <w:t>depression or substance use</w:t>
      </w:r>
      <w:r w:rsidRPr="00D6439B">
        <w:rPr>
          <w:rFonts w:eastAsia="Times New Roman"/>
          <w:kern w:val="0"/>
          <w:szCs w:val="22"/>
          <w:lang w:eastAsia="en-GB"/>
          <w14:ligatures w14:val="none"/>
        </w:rPr>
        <w:t xml:space="preserve"> via economic stress and attachment disruption, then </w:t>
      </w:r>
      <w:r w:rsidRPr="00D6439B">
        <w:rPr>
          <w:rFonts w:eastAsia="Times New Roman"/>
          <w:b/>
          <w:bCs/>
          <w:kern w:val="0"/>
          <w:szCs w:val="22"/>
          <w:lang w:eastAsia="en-GB"/>
          <w14:ligatures w14:val="none"/>
        </w:rPr>
        <w:t>assessment questions</w:t>
      </w:r>
      <w:r w:rsidRPr="00D6439B">
        <w:rPr>
          <w:rFonts w:eastAsia="Times New Roman"/>
          <w:kern w:val="0"/>
          <w:szCs w:val="22"/>
          <w:lang w:eastAsia="en-GB"/>
          <w14:ligatures w14:val="none"/>
        </w:rPr>
        <w:t xml:space="preserve">, </w:t>
      </w:r>
      <w:r w:rsidRPr="00D6439B">
        <w:rPr>
          <w:rFonts w:eastAsia="Times New Roman"/>
          <w:b/>
          <w:bCs/>
          <w:kern w:val="0"/>
          <w:szCs w:val="22"/>
          <w:lang w:eastAsia="en-GB"/>
          <w14:ligatures w14:val="none"/>
        </w:rPr>
        <w:t>risk monitoring</w:t>
      </w:r>
      <w:r w:rsidRPr="00D6439B">
        <w:rPr>
          <w:rFonts w:eastAsia="Times New Roman"/>
          <w:kern w:val="0"/>
          <w:szCs w:val="22"/>
          <w:lang w:eastAsia="en-GB"/>
          <w14:ligatures w14:val="none"/>
        </w:rPr>
        <w:t xml:space="preserve">, and </w:t>
      </w:r>
      <w:r w:rsidRPr="00D6439B">
        <w:rPr>
          <w:rFonts w:eastAsia="Times New Roman"/>
          <w:b/>
          <w:bCs/>
          <w:kern w:val="0"/>
          <w:szCs w:val="22"/>
          <w:lang w:eastAsia="en-GB"/>
          <w14:ligatures w14:val="none"/>
        </w:rPr>
        <w:t>referral pathways</w:t>
      </w:r>
      <w:r w:rsidRPr="00D6439B">
        <w:rPr>
          <w:rFonts w:eastAsia="Times New Roman"/>
          <w:kern w:val="0"/>
          <w:szCs w:val="22"/>
          <w:lang w:eastAsia="en-GB"/>
          <w14:ligatures w14:val="none"/>
        </w:rPr>
        <w:t xml:space="preserve"> should differ</w:t>
      </w:r>
      <w:r w:rsidR="003B3C3D" w:rsidRPr="00D6439B">
        <w:rPr>
          <w:rFonts w:eastAsia="Times New Roman"/>
          <w:kern w:val="0"/>
          <w:szCs w:val="22"/>
          <w:lang w:eastAsia="en-GB"/>
          <w14:ligatures w14:val="none"/>
        </w:rPr>
        <w:t xml:space="preserve"> </w:t>
      </w:r>
      <w:r w:rsidR="003B3C3D" w:rsidRPr="00D6439B">
        <w:rPr>
          <w:szCs w:val="22"/>
        </w:rPr>
        <w:t xml:space="preserve">(Cruz </w:t>
      </w:r>
      <w:r w:rsidR="003B3C3D" w:rsidRPr="00D6439B">
        <w:rPr>
          <w:i/>
          <w:iCs/>
          <w:szCs w:val="22"/>
        </w:rPr>
        <w:t>et al.</w:t>
      </w:r>
      <w:r w:rsidR="003B3C3D" w:rsidRPr="00D6439B">
        <w:rPr>
          <w:szCs w:val="22"/>
        </w:rPr>
        <w:t>, 2022)</w:t>
      </w:r>
      <w:r w:rsidRPr="00D6439B">
        <w:rPr>
          <w:rFonts w:eastAsia="Times New Roman"/>
          <w:kern w:val="0"/>
          <w:szCs w:val="22"/>
          <w:lang w:eastAsia="en-GB"/>
          <w14:ligatures w14:val="none"/>
        </w:rPr>
        <w:t xml:space="preserve">. Mapping these links can help GPs, mental health practitioners, and commissioners decide </w:t>
      </w:r>
      <w:r w:rsidRPr="00D6439B">
        <w:rPr>
          <w:rFonts w:eastAsia="Times New Roman"/>
          <w:b/>
          <w:bCs/>
          <w:kern w:val="0"/>
          <w:szCs w:val="22"/>
          <w:lang w:eastAsia="en-GB"/>
          <w14:ligatures w14:val="none"/>
        </w:rPr>
        <w:t>what to ask</w:t>
      </w:r>
      <w:r w:rsidRPr="00D6439B">
        <w:rPr>
          <w:rFonts w:eastAsia="Times New Roman"/>
          <w:kern w:val="0"/>
          <w:szCs w:val="22"/>
          <w:lang w:eastAsia="en-GB"/>
          <w14:ligatures w14:val="none"/>
        </w:rPr>
        <w:t xml:space="preserve">, </w:t>
      </w:r>
      <w:r w:rsidRPr="00D6439B">
        <w:rPr>
          <w:rFonts w:eastAsia="Times New Roman"/>
          <w:b/>
          <w:bCs/>
          <w:kern w:val="0"/>
          <w:szCs w:val="22"/>
          <w:lang w:eastAsia="en-GB"/>
          <w14:ligatures w14:val="none"/>
        </w:rPr>
        <w:t>what to prioritise</w:t>
      </w:r>
      <w:r w:rsidRPr="00D6439B">
        <w:rPr>
          <w:rFonts w:eastAsia="Times New Roman"/>
          <w:kern w:val="0"/>
          <w:szCs w:val="22"/>
          <w:lang w:eastAsia="en-GB"/>
          <w14:ligatures w14:val="none"/>
        </w:rPr>
        <w:t xml:space="preserve">, and </w:t>
      </w:r>
      <w:r w:rsidRPr="00D6439B">
        <w:rPr>
          <w:rFonts w:eastAsia="Times New Roman"/>
          <w:b/>
          <w:bCs/>
          <w:kern w:val="0"/>
          <w:szCs w:val="22"/>
          <w:lang w:eastAsia="en-GB"/>
          <w14:ligatures w14:val="none"/>
        </w:rPr>
        <w:t>where to refer</w:t>
      </w:r>
      <w:r w:rsidRPr="00D6439B">
        <w:rPr>
          <w:rFonts w:eastAsia="Times New Roman"/>
          <w:kern w:val="0"/>
          <w:szCs w:val="22"/>
          <w:lang w:eastAsia="en-GB"/>
          <w14:ligatures w14:val="none"/>
        </w:rPr>
        <w:t xml:space="preserve">. The study also addresses </w:t>
      </w:r>
      <w:r w:rsidRPr="00D6439B">
        <w:rPr>
          <w:rFonts w:eastAsia="Times New Roman"/>
          <w:b/>
          <w:bCs/>
          <w:kern w:val="0"/>
          <w:szCs w:val="22"/>
          <w:lang w:eastAsia="en-GB"/>
          <w14:ligatures w14:val="none"/>
        </w:rPr>
        <w:t>equity</w:t>
      </w:r>
      <w:r w:rsidRPr="00D6439B">
        <w:rPr>
          <w:rFonts w:eastAsia="Times New Roman"/>
          <w:kern w:val="0"/>
          <w:szCs w:val="22"/>
          <w:lang w:eastAsia="en-GB"/>
          <w14:ligatures w14:val="none"/>
        </w:rPr>
        <w:t>: understanding moderators (e.g., gender, SES, ethnicity, service access) can highlight where risks concentrate and how support should be targeted.</w:t>
      </w:r>
    </w:p>
    <w:p w14:paraId="18E3467D" w14:textId="03439C28"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Methodological stance.</w:t>
      </w:r>
      <w:r w:rsidRPr="00D6439B">
        <w:rPr>
          <w:rFonts w:eastAsia="Times New Roman"/>
          <w:kern w:val="0"/>
          <w:szCs w:val="22"/>
          <w:lang w:eastAsia="en-GB"/>
          <w14:ligatures w14:val="none"/>
        </w:rPr>
        <w:t xml:space="preserve"> The review will follow </w:t>
      </w:r>
      <w:r w:rsidRPr="00D6439B">
        <w:rPr>
          <w:rFonts w:eastAsia="Times New Roman"/>
          <w:b/>
          <w:bCs/>
          <w:kern w:val="0"/>
          <w:szCs w:val="22"/>
          <w:lang w:eastAsia="en-GB"/>
          <w14:ligatures w14:val="none"/>
        </w:rPr>
        <w:t>PRISMA</w:t>
      </w:r>
      <w:r w:rsidRPr="00D6439B">
        <w:rPr>
          <w:rFonts w:eastAsia="Times New Roman"/>
          <w:kern w:val="0"/>
          <w:szCs w:val="22"/>
          <w:lang w:eastAsia="en-GB"/>
          <w14:ligatures w14:val="none"/>
        </w:rPr>
        <w:t xml:space="preserve"> for transparent screening and reporting, apply </w:t>
      </w:r>
      <w:r w:rsidRPr="00D6439B">
        <w:rPr>
          <w:rFonts w:eastAsia="Times New Roman"/>
          <w:b/>
          <w:bCs/>
          <w:kern w:val="0"/>
          <w:szCs w:val="22"/>
          <w:lang w:eastAsia="en-GB"/>
          <w14:ligatures w14:val="none"/>
        </w:rPr>
        <w:t>CASP</w:t>
      </w:r>
      <w:r w:rsidRPr="00D6439B">
        <w:rPr>
          <w:rFonts w:eastAsia="Times New Roman"/>
          <w:kern w:val="0"/>
          <w:szCs w:val="22"/>
          <w:lang w:eastAsia="en-GB"/>
          <w14:ligatures w14:val="none"/>
        </w:rPr>
        <w:t xml:space="preserve"> for quality appraisal and weight-of-evidence judgments, and use </w:t>
      </w:r>
      <w:r w:rsidRPr="00D6439B">
        <w:rPr>
          <w:rFonts w:eastAsia="Times New Roman"/>
          <w:b/>
          <w:bCs/>
          <w:kern w:val="0"/>
          <w:szCs w:val="22"/>
          <w:lang w:eastAsia="en-GB"/>
          <w14:ligatures w14:val="none"/>
        </w:rPr>
        <w:t>thematic analysis</w:t>
      </w:r>
      <w:r w:rsidRPr="00D6439B">
        <w:rPr>
          <w:rFonts w:eastAsia="Times New Roman"/>
          <w:kern w:val="0"/>
          <w:szCs w:val="22"/>
          <w:lang w:eastAsia="en-GB"/>
          <w14:ligatures w14:val="none"/>
        </w:rPr>
        <w:t xml:space="preserve"> to compare mechanisms, strength of associations, and contextual factors. This design makes the </w:t>
      </w:r>
      <w:r w:rsidRPr="00D6439B">
        <w:rPr>
          <w:rFonts w:eastAsia="Times New Roman"/>
          <w:b/>
          <w:bCs/>
          <w:kern w:val="0"/>
          <w:szCs w:val="22"/>
          <w:lang w:eastAsia="en-GB"/>
          <w14:ligatures w14:val="none"/>
        </w:rPr>
        <w:t>logic of inference</w:t>
      </w:r>
      <w:r w:rsidRPr="00D6439B">
        <w:rPr>
          <w:rFonts w:eastAsia="Times New Roman"/>
          <w:kern w:val="0"/>
          <w:szCs w:val="22"/>
          <w:lang w:eastAsia="en-GB"/>
          <w14:ligatures w14:val="none"/>
        </w:rPr>
        <w:t xml:space="preserve"> explicit and supports cautious interpretation where evidence is weak or inconsistent.</w:t>
      </w:r>
    </w:p>
    <w:p w14:paraId="6213E6C6" w14:textId="77777777" w:rsidR="00C81978" w:rsidRPr="00D6439B" w:rsidRDefault="00C81978" w:rsidP="00023AF1">
      <w:pPr>
        <w:pStyle w:val="Heading2"/>
        <w:rPr>
          <w:rFonts w:eastAsia="Times New Roman"/>
          <w:lang w:eastAsia="en-GB"/>
        </w:rPr>
      </w:pPr>
      <w:r w:rsidRPr="00D6439B">
        <w:rPr>
          <w:rFonts w:eastAsia="Times New Roman"/>
          <w:lang w:eastAsia="en-GB"/>
        </w:rPr>
        <w:t>1.4 Aim and Objectives</w:t>
      </w:r>
    </w:p>
    <w:p w14:paraId="4BE5515C" w14:textId="77777777" w:rsidR="00115F42" w:rsidRPr="00D6439B" w:rsidRDefault="00C81978" w:rsidP="00D6439B">
      <w:pPr>
        <w:spacing w:before="100" w:beforeAutospacing="1" w:after="100" w:afterAutospacing="1"/>
        <w:jc w:val="both"/>
        <w:rPr>
          <w:rFonts w:eastAsia="Times New Roman"/>
          <w:b/>
          <w:bCs/>
          <w:kern w:val="0"/>
          <w:szCs w:val="22"/>
          <w:lang w:eastAsia="en-GB"/>
          <w14:ligatures w14:val="none"/>
        </w:rPr>
      </w:pPr>
      <w:r w:rsidRPr="00D6439B">
        <w:rPr>
          <w:rFonts w:eastAsia="Times New Roman"/>
          <w:b/>
          <w:bCs/>
          <w:kern w:val="0"/>
          <w:szCs w:val="22"/>
          <w:lang w:eastAsia="en-GB"/>
          <w14:ligatures w14:val="none"/>
        </w:rPr>
        <w:t>Research aim</w:t>
      </w:r>
    </w:p>
    <w:p w14:paraId="30893111" w14:textId="376F09F8"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 xml:space="preserve">To examine how distinct Adverse Childhood Experiences—specifically </w:t>
      </w:r>
      <w:r w:rsidRPr="00D6439B">
        <w:rPr>
          <w:rFonts w:eastAsia="Times New Roman"/>
          <w:b/>
          <w:bCs/>
          <w:kern w:val="0"/>
          <w:szCs w:val="22"/>
          <w:lang w:eastAsia="en-GB"/>
          <w14:ligatures w14:val="none"/>
        </w:rPr>
        <w:t>physical abuse</w:t>
      </w:r>
      <w:r w:rsidRPr="00D6439B">
        <w:rPr>
          <w:rFonts w:eastAsia="Times New Roman"/>
          <w:kern w:val="0"/>
          <w:szCs w:val="22"/>
          <w:lang w:eastAsia="en-GB"/>
          <w14:ligatures w14:val="none"/>
        </w:rPr>
        <w:t xml:space="preserve"> versus </w:t>
      </w:r>
      <w:r w:rsidRPr="00D6439B">
        <w:rPr>
          <w:rFonts w:eastAsia="Times New Roman"/>
          <w:b/>
          <w:bCs/>
          <w:kern w:val="0"/>
          <w:szCs w:val="22"/>
          <w:lang w:eastAsia="en-GB"/>
          <w14:ligatures w14:val="none"/>
        </w:rPr>
        <w:t>parental separation</w:t>
      </w:r>
      <w:r w:rsidRPr="00D6439B">
        <w:rPr>
          <w:rFonts w:eastAsia="Times New Roman"/>
          <w:kern w:val="0"/>
          <w:szCs w:val="22"/>
          <w:lang w:eastAsia="en-GB"/>
          <w14:ligatures w14:val="none"/>
        </w:rPr>
        <w:t xml:space="preserve">—differentially affect mental health outcomes in </w:t>
      </w:r>
      <w:r w:rsidRPr="00D6439B">
        <w:rPr>
          <w:rFonts w:eastAsia="Times New Roman"/>
          <w:b/>
          <w:bCs/>
          <w:kern w:val="0"/>
          <w:szCs w:val="22"/>
          <w:lang w:eastAsia="en-GB"/>
          <w14:ligatures w14:val="none"/>
        </w:rPr>
        <w:t>young adults (18–29)</w:t>
      </w:r>
      <w:r w:rsidRPr="00D6439B">
        <w:rPr>
          <w:rFonts w:eastAsia="Times New Roman"/>
          <w:kern w:val="0"/>
          <w:szCs w:val="22"/>
          <w:lang w:eastAsia="en-GB"/>
          <w14:ligatures w14:val="none"/>
        </w:rPr>
        <w:t xml:space="preserve"> in the </w:t>
      </w:r>
      <w:r w:rsidRPr="00D6439B">
        <w:rPr>
          <w:rFonts w:eastAsia="Times New Roman"/>
          <w:b/>
          <w:bCs/>
          <w:kern w:val="0"/>
          <w:szCs w:val="22"/>
          <w:lang w:eastAsia="en-GB"/>
          <w14:ligatures w14:val="none"/>
        </w:rPr>
        <w:t>UK</w:t>
      </w:r>
      <w:r w:rsidRPr="00D6439B">
        <w:rPr>
          <w:rFonts w:eastAsia="Times New Roman"/>
          <w:kern w:val="0"/>
          <w:szCs w:val="22"/>
          <w:lang w:eastAsia="en-GB"/>
          <w14:ligatures w14:val="none"/>
        </w:rPr>
        <w:t xml:space="preserve">, and to identify implications for </w:t>
      </w:r>
      <w:r w:rsidRPr="00D6439B">
        <w:rPr>
          <w:rFonts w:eastAsia="Times New Roman"/>
          <w:b/>
          <w:bCs/>
          <w:kern w:val="0"/>
          <w:szCs w:val="22"/>
          <w:lang w:eastAsia="en-GB"/>
          <w14:ligatures w14:val="none"/>
        </w:rPr>
        <w:t>trauma-informed screening and care</w:t>
      </w:r>
      <w:r w:rsidRPr="00D6439B">
        <w:rPr>
          <w:rFonts w:eastAsia="Times New Roman"/>
          <w:kern w:val="0"/>
          <w:szCs w:val="22"/>
          <w:lang w:eastAsia="en-GB"/>
          <w14:ligatures w14:val="none"/>
        </w:rPr>
        <w:t>.</w:t>
      </w:r>
    </w:p>
    <w:p w14:paraId="1A2C2BAD" w14:textId="77777777"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Research objectives</w:t>
      </w:r>
    </w:p>
    <w:p w14:paraId="2B943ECD" w14:textId="77777777" w:rsidR="00C81978" w:rsidRPr="00D6439B" w:rsidRDefault="00C81978" w:rsidP="00D6439B">
      <w:pPr>
        <w:numPr>
          <w:ilvl w:val="0"/>
          <w:numId w:val="3"/>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Objective 1:</w:t>
      </w:r>
      <w:r w:rsidRPr="00D6439B">
        <w:rPr>
          <w:rFonts w:eastAsia="Times New Roman"/>
          <w:kern w:val="0"/>
          <w:szCs w:val="22"/>
          <w:lang w:eastAsia="en-GB"/>
          <w14:ligatures w14:val="none"/>
        </w:rPr>
        <w:t xml:space="preserve"> To define ACEs and examine the impact of physical abuse vs parental separation on the mental health of young adults.</w:t>
      </w:r>
    </w:p>
    <w:p w14:paraId="713A05BA" w14:textId="77777777" w:rsidR="00C81978" w:rsidRPr="00D6439B" w:rsidRDefault="00C81978" w:rsidP="00D6439B">
      <w:pPr>
        <w:numPr>
          <w:ilvl w:val="0"/>
          <w:numId w:val="3"/>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Objective 2:</w:t>
      </w:r>
      <w:r w:rsidRPr="00D6439B">
        <w:rPr>
          <w:rFonts w:eastAsia="Times New Roman"/>
          <w:kern w:val="0"/>
          <w:szCs w:val="22"/>
          <w:lang w:eastAsia="en-GB"/>
          <w14:ligatures w14:val="none"/>
        </w:rPr>
        <w:t xml:space="preserve"> To analyse how specific ACEs manifest in outcomes such as depression, anxiety, PTSD, self-harm, or substance use, and compare effect sizes where available.</w:t>
      </w:r>
    </w:p>
    <w:p w14:paraId="59FAA6CE" w14:textId="77777777" w:rsidR="00C81978" w:rsidRPr="00D6439B" w:rsidRDefault="00C81978" w:rsidP="00D6439B">
      <w:pPr>
        <w:numPr>
          <w:ilvl w:val="0"/>
          <w:numId w:val="3"/>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Objective 3:</w:t>
      </w:r>
      <w:r w:rsidRPr="00D6439B">
        <w:rPr>
          <w:rFonts w:eastAsia="Times New Roman"/>
          <w:kern w:val="0"/>
          <w:szCs w:val="22"/>
          <w:lang w:eastAsia="en-GB"/>
          <w14:ligatures w14:val="none"/>
        </w:rPr>
        <w:t xml:space="preserve"> To explore moderators and contextual conditions (e.g., gender, SES, ethnicity, service access) that shape the strength or direction of associations.</w:t>
      </w:r>
    </w:p>
    <w:p w14:paraId="7FDE1ECC" w14:textId="77777777" w:rsidR="00C81978" w:rsidRPr="00D6439B" w:rsidRDefault="00C81978" w:rsidP="00D6439B">
      <w:pPr>
        <w:numPr>
          <w:ilvl w:val="0"/>
          <w:numId w:val="3"/>
        </w:num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Objective 4:</w:t>
      </w:r>
      <w:r w:rsidRPr="00D6439B">
        <w:rPr>
          <w:rFonts w:eastAsia="Times New Roman"/>
          <w:kern w:val="0"/>
          <w:szCs w:val="22"/>
          <w:lang w:eastAsia="en-GB"/>
          <w14:ligatures w14:val="none"/>
        </w:rPr>
        <w:t xml:space="preserve"> To provide recommendations for practice, screening, and policy, highlighting age-appropriate, trauma-informed interventions and research priorities.</w:t>
      </w:r>
    </w:p>
    <w:p w14:paraId="0D4E6646" w14:textId="77777777" w:rsidR="00C81978" w:rsidRPr="00D6439B" w:rsidRDefault="00C81978" w:rsidP="00023AF1">
      <w:pPr>
        <w:pStyle w:val="Heading2"/>
        <w:rPr>
          <w:rFonts w:eastAsia="Times New Roman"/>
          <w:lang w:eastAsia="en-GB"/>
        </w:rPr>
      </w:pPr>
      <w:r w:rsidRPr="00D6439B">
        <w:rPr>
          <w:rFonts w:eastAsia="Times New Roman"/>
          <w:lang w:eastAsia="en-GB"/>
        </w:rPr>
        <w:t>1.5 Conclusion</w:t>
      </w:r>
    </w:p>
    <w:p w14:paraId="13B641C1" w14:textId="77777777"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 xml:space="preserve">This chapter has set out why comparing ACE types—rather than relying on cumulative scores—matters for </w:t>
      </w:r>
      <w:r w:rsidRPr="00D6439B">
        <w:rPr>
          <w:rFonts w:eastAsia="Times New Roman"/>
          <w:b/>
          <w:bCs/>
          <w:kern w:val="0"/>
          <w:szCs w:val="22"/>
          <w:lang w:eastAsia="en-GB"/>
          <w14:ligatures w14:val="none"/>
        </w:rPr>
        <w:t>evidence-based, trauma-informed practice</w:t>
      </w:r>
      <w:r w:rsidRPr="00D6439B">
        <w:rPr>
          <w:rFonts w:eastAsia="Times New Roman"/>
          <w:kern w:val="0"/>
          <w:szCs w:val="22"/>
          <w:lang w:eastAsia="en-GB"/>
          <w14:ligatures w14:val="none"/>
        </w:rPr>
        <w:t xml:space="preserve">. It defined key terms and acronyms, justified the focus on young adults in the UK, and established the need for a rigorous review that attends to </w:t>
      </w:r>
      <w:r w:rsidRPr="00D6439B">
        <w:rPr>
          <w:rFonts w:eastAsia="Times New Roman"/>
          <w:b/>
          <w:bCs/>
          <w:kern w:val="0"/>
          <w:szCs w:val="22"/>
          <w:lang w:eastAsia="en-GB"/>
          <w14:ligatures w14:val="none"/>
        </w:rPr>
        <w:t>mechanisms</w:t>
      </w:r>
      <w:r w:rsidRPr="00D6439B">
        <w:rPr>
          <w:rFonts w:eastAsia="Times New Roman"/>
          <w:kern w:val="0"/>
          <w:szCs w:val="22"/>
          <w:lang w:eastAsia="en-GB"/>
          <w14:ligatures w14:val="none"/>
        </w:rPr>
        <w:t xml:space="preserve">, </w:t>
      </w:r>
      <w:r w:rsidRPr="00D6439B">
        <w:rPr>
          <w:rFonts w:eastAsia="Times New Roman"/>
          <w:b/>
          <w:bCs/>
          <w:kern w:val="0"/>
          <w:szCs w:val="22"/>
          <w:lang w:eastAsia="en-GB"/>
          <w14:ligatures w14:val="none"/>
        </w:rPr>
        <w:t>moderators</w:t>
      </w:r>
      <w:r w:rsidRPr="00D6439B">
        <w:rPr>
          <w:rFonts w:eastAsia="Times New Roman"/>
          <w:kern w:val="0"/>
          <w:szCs w:val="22"/>
          <w:lang w:eastAsia="en-GB"/>
          <w14:ligatures w14:val="none"/>
        </w:rPr>
        <w:t xml:space="preserve">, and </w:t>
      </w:r>
      <w:r w:rsidRPr="00D6439B">
        <w:rPr>
          <w:rFonts w:eastAsia="Times New Roman"/>
          <w:b/>
          <w:bCs/>
          <w:kern w:val="0"/>
          <w:szCs w:val="22"/>
          <w:lang w:eastAsia="en-GB"/>
          <w14:ligatures w14:val="none"/>
        </w:rPr>
        <w:t>context</w:t>
      </w:r>
      <w:r w:rsidRPr="00D6439B">
        <w:rPr>
          <w:rFonts w:eastAsia="Times New Roman"/>
          <w:kern w:val="0"/>
          <w:szCs w:val="22"/>
          <w:lang w:eastAsia="en-GB"/>
          <w14:ligatures w14:val="none"/>
        </w:rPr>
        <w:t xml:space="preserve">. The aim and objectives are intentionally practical: to connect differentiated evidence on </w:t>
      </w:r>
      <w:r w:rsidRPr="00D6439B">
        <w:rPr>
          <w:rFonts w:eastAsia="Times New Roman"/>
          <w:b/>
          <w:bCs/>
          <w:kern w:val="0"/>
          <w:szCs w:val="22"/>
          <w:lang w:eastAsia="en-GB"/>
          <w14:ligatures w14:val="none"/>
        </w:rPr>
        <w:t>physical abuse</w:t>
      </w:r>
      <w:r w:rsidRPr="00D6439B">
        <w:rPr>
          <w:rFonts w:eastAsia="Times New Roman"/>
          <w:kern w:val="0"/>
          <w:szCs w:val="22"/>
          <w:lang w:eastAsia="en-GB"/>
          <w14:ligatures w14:val="none"/>
        </w:rPr>
        <w:t xml:space="preserve"> and </w:t>
      </w:r>
      <w:r w:rsidRPr="00D6439B">
        <w:rPr>
          <w:rFonts w:eastAsia="Times New Roman"/>
          <w:b/>
          <w:bCs/>
          <w:kern w:val="0"/>
          <w:szCs w:val="22"/>
          <w:lang w:eastAsia="en-GB"/>
          <w14:ligatures w14:val="none"/>
        </w:rPr>
        <w:t>parental separation</w:t>
      </w:r>
      <w:r w:rsidRPr="00D6439B">
        <w:rPr>
          <w:rFonts w:eastAsia="Times New Roman"/>
          <w:kern w:val="0"/>
          <w:szCs w:val="22"/>
          <w:lang w:eastAsia="en-GB"/>
          <w14:ligatures w14:val="none"/>
        </w:rPr>
        <w:t xml:space="preserve"> with </w:t>
      </w:r>
      <w:r w:rsidRPr="00D6439B">
        <w:rPr>
          <w:rFonts w:eastAsia="Times New Roman"/>
          <w:b/>
          <w:bCs/>
          <w:kern w:val="0"/>
          <w:szCs w:val="22"/>
          <w:lang w:eastAsia="en-GB"/>
          <w14:ligatures w14:val="none"/>
        </w:rPr>
        <w:t>clear implications</w:t>
      </w:r>
      <w:r w:rsidRPr="00D6439B">
        <w:rPr>
          <w:rFonts w:eastAsia="Times New Roman"/>
          <w:kern w:val="0"/>
          <w:szCs w:val="22"/>
          <w:lang w:eastAsia="en-GB"/>
          <w14:ligatures w14:val="none"/>
        </w:rPr>
        <w:t xml:space="preserve"> for screening questions, risk monitoring, and referral pathways.</w:t>
      </w:r>
    </w:p>
    <w:p w14:paraId="5205570A" w14:textId="77777777" w:rsidR="00C81978" w:rsidRPr="00D6439B" w:rsidRDefault="00C81978"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Signposting to Chapter 2.</w:t>
      </w:r>
      <w:r w:rsidRPr="00D6439B">
        <w:rPr>
          <w:rFonts w:eastAsia="Times New Roman"/>
          <w:kern w:val="0"/>
          <w:szCs w:val="22"/>
          <w:lang w:eastAsia="en-GB"/>
          <w14:ligatures w14:val="none"/>
        </w:rPr>
        <w:t xml:space="preserve"> Chapter 2 will present the </w:t>
      </w:r>
      <w:r w:rsidRPr="00D6439B">
        <w:rPr>
          <w:rFonts w:eastAsia="Times New Roman"/>
          <w:b/>
          <w:bCs/>
          <w:kern w:val="0"/>
          <w:szCs w:val="22"/>
          <w:lang w:eastAsia="en-GB"/>
          <w14:ligatures w14:val="none"/>
        </w:rPr>
        <w:t>background and literature review</w:t>
      </w:r>
      <w:r w:rsidRPr="00D6439B">
        <w:rPr>
          <w:rFonts w:eastAsia="Times New Roman"/>
          <w:kern w:val="0"/>
          <w:szCs w:val="22"/>
          <w:lang w:eastAsia="en-GB"/>
          <w14:ligatures w14:val="none"/>
        </w:rPr>
        <w:t xml:space="preserve">, synthesising prevalence, measurement debates, and proposed mechanisms, and comparing existing evidence on physical abuse and parental separation in relation to young-adult mental health. This will provide the conceptual base for </w:t>
      </w:r>
      <w:r w:rsidRPr="00D6439B">
        <w:rPr>
          <w:rFonts w:eastAsia="Times New Roman"/>
          <w:b/>
          <w:bCs/>
          <w:kern w:val="0"/>
          <w:szCs w:val="22"/>
          <w:lang w:eastAsia="en-GB"/>
          <w14:ligatures w14:val="none"/>
        </w:rPr>
        <w:t>Chapter 3 (Methods and Search Strategy)</w:t>
      </w:r>
      <w:r w:rsidRPr="00D6439B">
        <w:rPr>
          <w:rFonts w:eastAsia="Times New Roman"/>
          <w:kern w:val="0"/>
          <w:szCs w:val="22"/>
          <w:lang w:eastAsia="en-GB"/>
          <w14:ligatures w14:val="none"/>
        </w:rPr>
        <w:t xml:space="preserve">, which sets out the databases, inclusion/exclusion criteria, quality appraisal (CASP), and the </w:t>
      </w:r>
      <w:r w:rsidRPr="00D6439B">
        <w:rPr>
          <w:rFonts w:eastAsia="Times New Roman"/>
          <w:b/>
          <w:bCs/>
          <w:kern w:val="0"/>
          <w:szCs w:val="22"/>
          <w:lang w:eastAsia="en-GB"/>
          <w14:ligatures w14:val="none"/>
        </w:rPr>
        <w:t>PRISMA-guided</w:t>
      </w:r>
      <w:r w:rsidRPr="00D6439B">
        <w:rPr>
          <w:rFonts w:eastAsia="Times New Roman"/>
          <w:kern w:val="0"/>
          <w:szCs w:val="22"/>
          <w:lang w:eastAsia="en-GB"/>
          <w14:ligatures w14:val="none"/>
        </w:rPr>
        <w:t xml:space="preserve"> process used to conduct the review and thematic synthesis.</w:t>
      </w:r>
    </w:p>
    <w:p w14:paraId="6E6D65A4" w14:textId="77777777" w:rsidR="000D3BEC" w:rsidRPr="00D6439B" w:rsidRDefault="000D3BEC" w:rsidP="00D6439B">
      <w:pPr>
        <w:jc w:val="both"/>
        <w:rPr>
          <w:szCs w:val="22"/>
        </w:rPr>
      </w:pPr>
    </w:p>
    <w:p w14:paraId="4DAAEA3A" w14:textId="77777777" w:rsidR="00BD6CCB" w:rsidRPr="00D6439B" w:rsidRDefault="00BD6CCB" w:rsidP="00D6439B">
      <w:pPr>
        <w:jc w:val="both"/>
        <w:rPr>
          <w:szCs w:val="22"/>
        </w:rPr>
      </w:pPr>
    </w:p>
    <w:p w14:paraId="6441BA83" w14:textId="653C8157" w:rsidR="00BD6CCB" w:rsidRPr="00D6439B" w:rsidRDefault="00023AF1" w:rsidP="00023AF1">
      <w:pPr>
        <w:pStyle w:val="Heading1"/>
      </w:pPr>
      <w:r>
        <w:t>CHAPTER 2 – Background Information and Analysis</w:t>
      </w:r>
    </w:p>
    <w:p w14:paraId="5080D97F" w14:textId="60A18626" w:rsidR="00BD6CCB" w:rsidRPr="00D6439B" w:rsidRDefault="00BD6CCB" w:rsidP="00177802">
      <w:pPr>
        <w:pStyle w:val="Heading2"/>
        <w:rPr>
          <w:rFonts w:eastAsia="Times New Roman"/>
          <w:lang w:eastAsia="en-GB"/>
        </w:rPr>
      </w:pPr>
      <w:r w:rsidRPr="00D6439B">
        <w:rPr>
          <w:rFonts w:eastAsia="Times New Roman"/>
          <w:lang w:eastAsia="en-GB"/>
        </w:rPr>
        <w:t xml:space="preserve">2.1 Introduction </w:t>
      </w:r>
    </w:p>
    <w:p w14:paraId="7A24C240" w14:textId="56260B89"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This chapter sets the background for examining how two specific Adverse Childhood Experiences (ACEs)</w:t>
      </w:r>
      <w:r w:rsidR="00177802">
        <w:rPr>
          <w:rFonts w:eastAsia="Times New Roman"/>
          <w:kern w:val="0"/>
          <w:szCs w:val="22"/>
          <w:lang w:eastAsia="en-GB"/>
          <w14:ligatures w14:val="none"/>
        </w:rPr>
        <w:t xml:space="preserve">, </w:t>
      </w:r>
      <w:r w:rsidRPr="00D6439B">
        <w:rPr>
          <w:rFonts w:eastAsia="Times New Roman"/>
          <w:kern w:val="0"/>
          <w:szCs w:val="22"/>
          <w:lang w:eastAsia="en-GB"/>
          <w14:ligatures w14:val="none"/>
        </w:rPr>
        <w:t>physical abuse and parental separation</w:t>
      </w:r>
      <w:r w:rsidR="00F5041D">
        <w:rPr>
          <w:rFonts w:eastAsia="Times New Roman"/>
          <w:kern w:val="0"/>
          <w:szCs w:val="22"/>
          <w:lang w:eastAsia="en-GB"/>
          <w14:ligatures w14:val="none"/>
        </w:rPr>
        <w:t xml:space="preserve"> </w:t>
      </w:r>
      <w:r w:rsidRPr="00D6439B">
        <w:rPr>
          <w:rFonts w:eastAsia="Times New Roman"/>
          <w:kern w:val="0"/>
          <w:szCs w:val="22"/>
          <w:lang w:eastAsia="en-GB"/>
          <w14:ligatures w14:val="none"/>
        </w:rPr>
        <w:t>relate to mental health in young adults in the UK. It outlines where the topic comes from, key shifts in ideas and policy, and the theories that guide analysis. It also introduces the international and UK service context within which screening and referral decisions are made.</w:t>
      </w:r>
    </w:p>
    <w:p w14:paraId="12AB79B9" w14:textId="226FF08C"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The purpose is to give a clear foundation before the review and analysis. The chapter traces the historical development of ACEs, explains the theoretical bases for comparing distinct ACEs rather than relying only on cumulative scores, and sets out contextual factors that shape risk and response. It does not include themes or findings; those will appear in Chapter 4. By the end, the logic for focusing on physical abuse versus parental separation will be explicit, and the later methods and inclusion choices will rest on a rationale.</w:t>
      </w:r>
    </w:p>
    <w:p w14:paraId="576959E4" w14:textId="7C05BB81" w:rsidR="00BD6CCB" w:rsidRPr="00D6439B" w:rsidRDefault="00BD6CCB" w:rsidP="00F5041D">
      <w:pPr>
        <w:pStyle w:val="Heading2"/>
        <w:rPr>
          <w:rFonts w:eastAsia="Times New Roman"/>
          <w:lang w:eastAsia="en-GB"/>
        </w:rPr>
      </w:pPr>
      <w:r w:rsidRPr="00D6439B">
        <w:rPr>
          <w:rFonts w:eastAsia="Times New Roman"/>
          <w:lang w:eastAsia="en-GB"/>
        </w:rPr>
        <w:t xml:space="preserve">2.2 Historical Background </w:t>
      </w:r>
    </w:p>
    <w:p w14:paraId="7FAA55B1" w14:textId="79124870"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Early thinking about childhood adversity emerged from child protection efforts in the twentieth century, including recognition of physical abuse as a public health and welfare issue and the rise of statutory safeguarding in the UK</w:t>
      </w:r>
      <w:r w:rsidR="00384187" w:rsidRPr="00D6439B">
        <w:rPr>
          <w:rFonts w:eastAsia="Times New Roman"/>
          <w:kern w:val="0"/>
          <w:szCs w:val="22"/>
          <w:lang w:eastAsia="en-GB"/>
          <w14:ligatures w14:val="none"/>
        </w:rPr>
        <w:t xml:space="preserve"> </w:t>
      </w:r>
      <w:r w:rsidR="00384187" w:rsidRPr="00D6439B">
        <w:rPr>
          <w:szCs w:val="22"/>
        </w:rPr>
        <w:t>(Evans, Garner and Honig, 2014)</w:t>
      </w:r>
      <w:r w:rsidRPr="00D6439B">
        <w:rPr>
          <w:rFonts w:eastAsia="Times New Roman"/>
          <w:kern w:val="0"/>
          <w:szCs w:val="22"/>
          <w:lang w:eastAsia="en-GB"/>
          <w14:ligatures w14:val="none"/>
        </w:rPr>
        <w:t>. Systematic study accelerated in the late 1990s with the large US health plan study that introduced the term Adverse Childhood Experiences (ACEs) and linked cumulative adversities with adult health outcomes. The approach spread quickly into research, policy, and practice because it offered a simple screening logic and a clear message about prevention</w:t>
      </w:r>
      <w:r w:rsidR="00773B01" w:rsidRPr="00D6439B">
        <w:rPr>
          <w:rFonts w:eastAsia="Times New Roman"/>
          <w:kern w:val="0"/>
          <w:szCs w:val="22"/>
          <w:lang w:eastAsia="en-GB"/>
          <w14:ligatures w14:val="none"/>
        </w:rPr>
        <w:t xml:space="preserve"> </w:t>
      </w:r>
      <w:r w:rsidR="00773B01" w:rsidRPr="00D6439B">
        <w:rPr>
          <w:szCs w:val="22"/>
        </w:rPr>
        <w:t>(Webster, 2022)</w:t>
      </w:r>
      <w:r w:rsidRPr="00D6439B">
        <w:rPr>
          <w:rFonts w:eastAsia="Times New Roman"/>
          <w:kern w:val="0"/>
          <w:szCs w:val="22"/>
          <w:lang w:eastAsia="en-GB"/>
          <w14:ligatures w14:val="none"/>
        </w:rPr>
        <w:t>.</w:t>
      </w:r>
    </w:p>
    <w:p w14:paraId="44A66DA6" w14:textId="24385060"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From the 2000s onward, research diversified. Studies examined which adversities mattered most, whether timing and chronicity changed risk, and how family separation and divorce compared with direct forms of harm such as physical abuse</w:t>
      </w:r>
      <w:r w:rsidR="00C4516B" w:rsidRPr="00D6439B">
        <w:rPr>
          <w:rFonts w:eastAsia="Times New Roman"/>
          <w:kern w:val="0"/>
          <w:szCs w:val="22"/>
          <w:lang w:eastAsia="en-GB"/>
          <w14:ligatures w14:val="none"/>
        </w:rPr>
        <w:t xml:space="preserve"> </w:t>
      </w:r>
      <w:r w:rsidR="00C4516B" w:rsidRPr="00D6439B">
        <w:rPr>
          <w:szCs w:val="22"/>
        </w:rPr>
        <w:t>(Hawes and Allen, 2023)</w:t>
      </w:r>
      <w:r w:rsidRPr="00D6439B">
        <w:rPr>
          <w:rFonts w:eastAsia="Times New Roman"/>
          <w:kern w:val="0"/>
          <w:szCs w:val="22"/>
          <w:lang w:eastAsia="en-GB"/>
          <w14:ligatures w14:val="none"/>
        </w:rPr>
        <w:t>. Parallel UK reforms</w:t>
      </w:r>
      <w:r w:rsidR="00F5041D">
        <w:rPr>
          <w:rFonts w:eastAsia="Times New Roman"/>
          <w:kern w:val="0"/>
          <w:szCs w:val="22"/>
          <w:lang w:eastAsia="en-GB"/>
          <w14:ligatures w14:val="none"/>
        </w:rPr>
        <w:t xml:space="preserve"> </w:t>
      </w:r>
      <w:r w:rsidRPr="00D6439B">
        <w:rPr>
          <w:rFonts w:eastAsia="Times New Roman"/>
          <w:kern w:val="0"/>
          <w:szCs w:val="22"/>
          <w:lang w:eastAsia="en-GB"/>
          <w14:ligatures w14:val="none"/>
        </w:rPr>
        <w:t>Every Child Matters, the Children Act 2004, and strengthened safeguarding guidance</w:t>
      </w:r>
      <w:r w:rsidR="00F5041D">
        <w:rPr>
          <w:rFonts w:eastAsia="Times New Roman"/>
          <w:kern w:val="0"/>
          <w:szCs w:val="22"/>
          <w:lang w:eastAsia="en-GB"/>
          <w14:ligatures w14:val="none"/>
        </w:rPr>
        <w:t xml:space="preserve"> </w:t>
      </w:r>
      <w:r w:rsidRPr="00D6439B">
        <w:rPr>
          <w:rFonts w:eastAsia="Times New Roman"/>
          <w:kern w:val="0"/>
          <w:szCs w:val="22"/>
          <w:lang w:eastAsia="en-GB"/>
          <w14:ligatures w14:val="none"/>
        </w:rPr>
        <w:t>embedded multi-agency responsibilities and raised attention to early intervention. Public discourse also shifted as mental health in young people gained prominence in schools, universities, and primary care, bringing ACE ideas into frontline conversations about screening and signposting</w:t>
      </w:r>
      <w:r w:rsidR="007037AD" w:rsidRPr="00D6439B">
        <w:rPr>
          <w:rFonts w:eastAsia="Times New Roman"/>
          <w:kern w:val="0"/>
          <w:szCs w:val="22"/>
          <w:lang w:eastAsia="en-GB"/>
          <w14:ligatures w14:val="none"/>
        </w:rPr>
        <w:t xml:space="preserve"> </w:t>
      </w:r>
      <w:r w:rsidR="007037AD" w:rsidRPr="00D6439B">
        <w:rPr>
          <w:szCs w:val="22"/>
        </w:rPr>
        <w:t>(HM Government, 2023)</w:t>
      </w:r>
      <w:r w:rsidRPr="00D6439B">
        <w:rPr>
          <w:rFonts w:eastAsia="Times New Roman"/>
          <w:kern w:val="0"/>
          <w:szCs w:val="22"/>
          <w:lang w:eastAsia="en-GB"/>
          <w14:ligatures w14:val="none"/>
        </w:rPr>
        <w:t>.</w:t>
      </w:r>
    </w:p>
    <w:p w14:paraId="3FC94701" w14:textId="77777777"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Key milestones include: expansion of longitudinal cohorts that follow children into adulthood; the adoption of trauma-informed principles across health and social care; and debates over measurement. Researchers questioned whether simple counts of ACEs flatten important differences between experiences. In response, newer studies began to test specific pathways, for example linking physical abuse to dysregulated stress systems and hyperarousal, and linking parental separation to attachment disruption, housing and income change, and conflict exposure. Attention also turned to moderators such as gender, socio-economic status, ethnicity, and service access, as well as to co-occurring adversities that complicate attribution.</w:t>
      </w:r>
    </w:p>
    <w:p w14:paraId="27B5D911" w14:textId="38737B40"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Several figures and organisations influenced this trajectory. Public health agencies popularised the ACE framework for prevention messaging. UK charities and professional bodies disseminated training on trauma-informed practice</w:t>
      </w:r>
      <w:r w:rsidR="00600978" w:rsidRPr="00D6439B">
        <w:rPr>
          <w:rFonts w:eastAsia="Times New Roman"/>
          <w:kern w:val="0"/>
          <w:szCs w:val="22"/>
          <w:lang w:eastAsia="en-GB"/>
          <w14:ligatures w14:val="none"/>
        </w:rPr>
        <w:t xml:space="preserve"> </w:t>
      </w:r>
      <w:r w:rsidR="00600978" w:rsidRPr="00D6439B">
        <w:rPr>
          <w:szCs w:val="22"/>
        </w:rPr>
        <w:t xml:space="preserve">(Bellis </w:t>
      </w:r>
      <w:r w:rsidR="00600978" w:rsidRPr="00D6439B">
        <w:rPr>
          <w:i/>
          <w:iCs/>
          <w:szCs w:val="22"/>
        </w:rPr>
        <w:t>et al.</w:t>
      </w:r>
      <w:r w:rsidR="00600978" w:rsidRPr="00D6439B">
        <w:rPr>
          <w:szCs w:val="22"/>
        </w:rPr>
        <w:t>, 2024)</w:t>
      </w:r>
      <w:r w:rsidRPr="00D6439B">
        <w:rPr>
          <w:rFonts w:eastAsia="Times New Roman"/>
          <w:kern w:val="0"/>
          <w:szCs w:val="22"/>
          <w:lang w:eastAsia="en-GB"/>
          <w14:ligatures w14:val="none"/>
        </w:rPr>
        <w:t>. Academic leaders in developmental psychopathology, attachment, and stress biology clarified mechanisms that could explain why different ACEs yield different outcomes. Longitudinal study teams in the UK and elsewhere produced evidence on timing effects and life-course accumulation. At the same time, critics in epidemiology and social policy</w:t>
      </w:r>
      <w:r w:rsidR="00F26528" w:rsidRPr="00D6439B">
        <w:rPr>
          <w:rFonts w:eastAsia="Times New Roman"/>
          <w:kern w:val="0"/>
          <w:szCs w:val="22"/>
          <w:lang w:eastAsia="en-GB"/>
          <w14:ligatures w14:val="none"/>
        </w:rPr>
        <w:t xml:space="preserve"> like </w:t>
      </w:r>
      <w:r w:rsidR="00F26528" w:rsidRPr="00D6439B">
        <w:rPr>
          <w:szCs w:val="22"/>
        </w:rPr>
        <w:t>Riley (2020)</w:t>
      </w:r>
      <w:r w:rsidRPr="00D6439B">
        <w:rPr>
          <w:rFonts w:eastAsia="Times New Roman"/>
          <w:kern w:val="0"/>
          <w:szCs w:val="22"/>
          <w:lang w:eastAsia="en-GB"/>
          <w14:ligatures w14:val="none"/>
        </w:rPr>
        <w:t xml:space="preserve"> warned against deterministic interpretations and called for attention to poverty, structural inequality, and service design.</w:t>
      </w:r>
    </w:p>
    <w:p w14:paraId="7A1AD69F" w14:textId="72928C40" w:rsidR="00883311"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Overall, the field moved from discovery of a broad association between ‘more ACEs’ and worse outcomes to a more nuanced agenda that asks which experiences matter, for whom, and through which mechanisms. This historical shift supports the present study’s comparative focus on physical abuse and parental separation in young adulthood. In the UK, NICE guidance on depression, self-harm and PTSD strengthened early identification duties, while university wellbeing strategies and primary care networks expanded access. Family justice reforms and economic shocks altered patterns of parental separation, increasing policy interest in distinguishing its mechanisms from those of physical abuse.</w:t>
      </w:r>
    </w:p>
    <w:p w14:paraId="717CC920" w14:textId="1322C196" w:rsidR="00BD6CCB" w:rsidRPr="00D6439B" w:rsidRDefault="00BD6CCB" w:rsidP="00F5041D">
      <w:pPr>
        <w:pStyle w:val="Heading2"/>
        <w:rPr>
          <w:rFonts w:eastAsia="Times New Roman"/>
          <w:lang w:eastAsia="en-GB"/>
        </w:rPr>
      </w:pPr>
      <w:r w:rsidRPr="00D6439B">
        <w:rPr>
          <w:rFonts w:eastAsia="Times New Roman"/>
          <w:lang w:eastAsia="en-GB"/>
        </w:rPr>
        <w:t xml:space="preserve">2.3 Theoretical Background </w:t>
      </w:r>
    </w:p>
    <w:p w14:paraId="45219DD6" w14:textId="0C442294"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1) Attachment theory (theory).</w:t>
      </w:r>
      <w:r w:rsidRPr="00D6439B">
        <w:rPr>
          <w:rFonts w:eastAsia="Times New Roman"/>
          <w:kern w:val="0"/>
          <w:szCs w:val="22"/>
          <w:lang w:eastAsia="en-GB"/>
          <w14:ligatures w14:val="none"/>
        </w:rPr>
        <w:t xml:space="preserve"> Attachment theory proposes that early relationships with caregivers shape internal working models of self and others. Secure attachment supports emotion regulation and help-seeking; insecure or disorganised attachment increases risk for anxiety, depression, and interpersonal difficulties</w:t>
      </w:r>
      <w:r w:rsidR="004F1047" w:rsidRPr="00D6439B">
        <w:rPr>
          <w:rFonts w:eastAsia="Times New Roman"/>
          <w:kern w:val="0"/>
          <w:szCs w:val="22"/>
          <w:lang w:eastAsia="en-GB"/>
          <w14:ligatures w14:val="none"/>
        </w:rPr>
        <w:t xml:space="preserve"> </w:t>
      </w:r>
      <w:r w:rsidR="004F1047" w:rsidRPr="00D6439B">
        <w:rPr>
          <w:szCs w:val="22"/>
        </w:rPr>
        <w:t>(Cassidy, Jones and Shaver, 2013)</w:t>
      </w:r>
      <w:r w:rsidRPr="00D6439B">
        <w:rPr>
          <w:rFonts w:eastAsia="Times New Roman"/>
          <w:kern w:val="0"/>
          <w:szCs w:val="22"/>
          <w:lang w:eastAsia="en-GB"/>
          <w14:ligatures w14:val="none"/>
        </w:rPr>
        <w:t>. Applied to this study, parental separation is expected to influence mental health when it disrupts caregiving stability, increases interparental conflict, or reduces caregiver sensitivity</w:t>
      </w:r>
      <w:r w:rsidR="00D6540A" w:rsidRPr="00D6439B">
        <w:rPr>
          <w:rFonts w:eastAsia="Times New Roman"/>
          <w:kern w:val="0"/>
          <w:szCs w:val="22"/>
          <w:lang w:eastAsia="en-GB"/>
          <w14:ligatures w14:val="none"/>
        </w:rPr>
        <w:t xml:space="preserve"> </w:t>
      </w:r>
      <w:r w:rsidR="00D6540A" w:rsidRPr="00D6439B">
        <w:rPr>
          <w:szCs w:val="22"/>
        </w:rPr>
        <w:t xml:space="preserve">(O’Hara </w:t>
      </w:r>
      <w:r w:rsidR="00D6540A" w:rsidRPr="00D6439B">
        <w:rPr>
          <w:i/>
          <w:iCs/>
          <w:szCs w:val="22"/>
        </w:rPr>
        <w:t>et al.</w:t>
      </w:r>
      <w:r w:rsidR="00D6540A" w:rsidRPr="00D6439B">
        <w:rPr>
          <w:szCs w:val="22"/>
        </w:rPr>
        <w:t>, 2019)</w:t>
      </w:r>
      <w:r w:rsidRPr="00D6439B">
        <w:rPr>
          <w:rFonts w:eastAsia="Times New Roman"/>
          <w:kern w:val="0"/>
          <w:szCs w:val="22"/>
          <w:lang w:eastAsia="en-GB"/>
          <w14:ligatures w14:val="none"/>
        </w:rPr>
        <w:t xml:space="preserve">. </w:t>
      </w:r>
      <w:r w:rsidR="003F5C95" w:rsidRPr="00D6439B">
        <w:rPr>
          <w:szCs w:val="22"/>
        </w:rPr>
        <w:t xml:space="preserve">Sun </w:t>
      </w:r>
      <w:r w:rsidR="003F5C95" w:rsidRPr="00D6439B">
        <w:rPr>
          <w:i/>
          <w:iCs/>
          <w:szCs w:val="22"/>
        </w:rPr>
        <w:t>et al.</w:t>
      </w:r>
      <w:r w:rsidR="003F5C95" w:rsidRPr="00D6439B">
        <w:rPr>
          <w:szCs w:val="22"/>
        </w:rPr>
        <w:t xml:space="preserve"> (2025)</w:t>
      </w:r>
      <w:r w:rsidR="003F5C95" w:rsidRPr="00D6439B">
        <w:rPr>
          <w:rFonts w:eastAsia="Times New Roman"/>
          <w:kern w:val="0"/>
          <w:szCs w:val="22"/>
          <w:lang w:eastAsia="en-GB"/>
          <w14:ligatures w14:val="none"/>
        </w:rPr>
        <w:t xml:space="preserve"> </w:t>
      </w:r>
      <w:r w:rsidRPr="00D6439B">
        <w:rPr>
          <w:rFonts w:eastAsia="Times New Roman"/>
          <w:kern w:val="0"/>
          <w:szCs w:val="22"/>
          <w:lang w:eastAsia="en-GB"/>
          <w14:ligatures w14:val="none"/>
        </w:rPr>
        <w:t>has used parent–child relationship measures, conflict indices, and residence change data to test whether separation predicts depressive and anxiety symptoms through attachment-related pathways. In contrast, physical abuse may contribute to disorganised attachment patterns that, in young adulthood, manifest as hypervigilance, relationship instability, and self-harm. UK longitudinal cohorts and clinical samples have operationalised these processes using validated attachment scales and follow-up assessments of mood, PTSD symptoms, and self-injury.</w:t>
      </w:r>
    </w:p>
    <w:p w14:paraId="35B0FCE6" w14:textId="0D015C51"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2) Allostatic load and toxic stress (theory).</w:t>
      </w:r>
      <w:r w:rsidRPr="00D6439B">
        <w:rPr>
          <w:rFonts w:eastAsia="Times New Roman"/>
          <w:kern w:val="0"/>
          <w:szCs w:val="22"/>
          <w:lang w:eastAsia="en-GB"/>
          <w14:ligatures w14:val="none"/>
        </w:rPr>
        <w:t xml:space="preserve"> Allostatic load describes the cumulative physiological ‘wear and tear’ that arises from repeated or chronic stress activation. Toxic stress refers to strong, frequent, or prolonged activation of the stress response in the absence of buffering relationships</w:t>
      </w:r>
      <w:r w:rsidR="009B6E16" w:rsidRPr="00D6439B">
        <w:rPr>
          <w:rFonts w:eastAsia="Times New Roman"/>
          <w:kern w:val="0"/>
          <w:szCs w:val="22"/>
          <w:lang w:eastAsia="en-GB"/>
          <w14:ligatures w14:val="none"/>
        </w:rPr>
        <w:t xml:space="preserve"> </w:t>
      </w:r>
      <w:r w:rsidR="009B6E16" w:rsidRPr="00D6439B">
        <w:rPr>
          <w:szCs w:val="22"/>
        </w:rPr>
        <w:t>(Lucente and Guidi, 2023)</w:t>
      </w:r>
      <w:r w:rsidRPr="00D6439B">
        <w:rPr>
          <w:rFonts w:eastAsia="Times New Roman"/>
          <w:kern w:val="0"/>
          <w:szCs w:val="22"/>
          <w:lang w:eastAsia="en-GB"/>
          <w14:ligatures w14:val="none"/>
        </w:rPr>
        <w:t>. Applied to this study, physical abuse is hypothesised to associate more strongly with PTSD and hyperarousal symptoms through repeated threat exposure and fear conditioning, while parental separation is hypothesised to link to depressive symptoms through sustained uncertainty and material strain</w:t>
      </w:r>
      <w:r w:rsidR="009A3B63" w:rsidRPr="00D6439B">
        <w:rPr>
          <w:rFonts w:eastAsia="Times New Roman"/>
          <w:kern w:val="0"/>
          <w:szCs w:val="22"/>
          <w:lang w:eastAsia="en-GB"/>
          <w14:ligatures w14:val="none"/>
        </w:rPr>
        <w:t xml:space="preserve"> </w:t>
      </w:r>
      <w:r w:rsidR="009A3B63" w:rsidRPr="00D6439B">
        <w:rPr>
          <w:szCs w:val="22"/>
        </w:rPr>
        <w:t>(Charuvastra and Cloitre, 2008)</w:t>
      </w:r>
      <w:r w:rsidRPr="00D6439B">
        <w:rPr>
          <w:rFonts w:eastAsia="Times New Roman"/>
          <w:kern w:val="0"/>
          <w:szCs w:val="22"/>
          <w:lang w:eastAsia="en-GB"/>
          <w14:ligatures w14:val="none"/>
        </w:rPr>
        <w:t xml:space="preserve">. </w:t>
      </w:r>
    </w:p>
    <w:p w14:paraId="61E2DB72" w14:textId="5FB5D5B4"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b/>
          <w:bCs/>
          <w:kern w:val="0"/>
          <w:szCs w:val="22"/>
          <w:lang w:eastAsia="en-GB"/>
          <w14:ligatures w14:val="none"/>
        </w:rPr>
        <w:t>3) Life-course developmental psychopathology (concept).</w:t>
      </w:r>
      <w:r w:rsidRPr="00D6439B">
        <w:rPr>
          <w:rFonts w:eastAsia="Times New Roman"/>
          <w:kern w:val="0"/>
          <w:szCs w:val="22"/>
          <w:lang w:eastAsia="en-GB"/>
          <w14:ligatures w14:val="none"/>
        </w:rPr>
        <w:t xml:space="preserve"> A life-course lens emphasises timing, duration, accumulation, and turning points. It predicts that the impact of parental separation depends on the age at separation, the quality of post-separation arrangements, and subsequent stability, while the impact of physical abuse depends on onset, chronicity, and cessation, as well as on access to safe adults and effective treatment</w:t>
      </w:r>
      <w:r w:rsidR="008E6BB3" w:rsidRPr="00D6439B">
        <w:rPr>
          <w:rFonts w:eastAsia="Times New Roman"/>
          <w:kern w:val="0"/>
          <w:szCs w:val="22"/>
          <w:lang w:eastAsia="en-GB"/>
          <w14:ligatures w14:val="none"/>
        </w:rPr>
        <w:t xml:space="preserve"> </w:t>
      </w:r>
      <w:r w:rsidR="008E6BB3" w:rsidRPr="00D6439B">
        <w:rPr>
          <w:szCs w:val="22"/>
        </w:rPr>
        <w:t>(Palmtag, 2022)</w:t>
      </w:r>
      <w:r w:rsidRPr="00D6439B">
        <w:rPr>
          <w:rFonts w:eastAsia="Times New Roman"/>
          <w:kern w:val="0"/>
          <w:szCs w:val="22"/>
          <w:lang w:eastAsia="en-GB"/>
          <w14:ligatures w14:val="none"/>
        </w:rPr>
        <w:t>. Applications include stratifying analyses by timing, testing dose–response relations, and modelling indirect effects via education, housing, or peer relations. UK cohorts (e.g., ALSPAC, the Millennium Cohort) have enabled such analyses by linking early adversity to outcomes at ages 18–29</w:t>
      </w:r>
      <w:r w:rsidR="00686521" w:rsidRPr="00D6439B">
        <w:rPr>
          <w:rFonts w:eastAsia="Times New Roman"/>
          <w:kern w:val="0"/>
          <w:szCs w:val="22"/>
          <w:lang w:eastAsia="en-GB"/>
          <w14:ligatures w14:val="none"/>
        </w:rPr>
        <w:t xml:space="preserve"> </w:t>
      </w:r>
      <w:r w:rsidR="00686521" w:rsidRPr="00D6439B">
        <w:rPr>
          <w:szCs w:val="22"/>
        </w:rPr>
        <w:t>(Connelly and Platt, 2014)</w:t>
      </w:r>
      <w:r w:rsidRPr="00D6439B">
        <w:rPr>
          <w:rFonts w:eastAsia="Times New Roman"/>
          <w:kern w:val="0"/>
          <w:szCs w:val="22"/>
          <w:lang w:eastAsia="en-GB"/>
          <w14:ligatures w14:val="none"/>
        </w:rPr>
        <w:t>.</w:t>
      </w:r>
    </w:p>
    <w:p w14:paraId="637137CD" w14:textId="77777777" w:rsidR="007B1B85" w:rsidRPr="00D6439B" w:rsidRDefault="00BD6CCB" w:rsidP="00D6439B">
      <w:pPr>
        <w:spacing w:before="100" w:beforeAutospacing="1" w:after="100" w:afterAutospacing="1"/>
        <w:jc w:val="both"/>
        <w:rPr>
          <w:rFonts w:eastAsia="Times New Roman"/>
          <w:b/>
          <w:bCs/>
          <w:kern w:val="0"/>
          <w:szCs w:val="22"/>
          <w:lang w:eastAsia="en-GB"/>
          <w14:ligatures w14:val="none"/>
        </w:rPr>
      </w:pPr>
      <w:r w:rsidRPr="00D6439B">
        <w:rPr>
          <w:rFonts w:eastAsia="Times New Roman"/>
          <w:b/>
          <w:bCs/>
          <w:kern w:val="0"/>
          <w:szCs w:val="22"/>
          <w:lang w:eastAsia="en-GB"/>
          <w14:ligatures w14:val="none"/>
        </w:rPr>
        <w:t>Critical evaluation</w:t>
      </w:r>
    </w:p>
    <w:p w14:paraId="570980BA" w14:textId="7687321B" w:rsidR="00BD6CCB" w:rsidRPr="00D6439B" w:rsidRDefault="00BD6CCB"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These frameworks are complementary but have limits. Attachment theory clarifies relational mechanisms and is clinically actionable, yet risks over-psychologising outcomes and under-weighting poverty, discrimination, and service access. Measures of attachment vary and can be sensitive to method effects</w:t>
      </w:r>
      <w:r w:rsidR="007B1B85" w:rsidRPr="00D6439B">
        <w:rPr>
          <w:rFonts w:eastAsia="Times New Roman"/>
          <w:kern w:val="0"/>
          <w:szCs w:val="22"/>
          <w:lang w:eastAsia="en-GB"/>
          <w14:ligatures w14:val="none"/>
        </w:rPr>
        <w:t xml:space="preserve"> </w:t>
      </w:r>
      <w:r w:rsidR="007B1B85" w:rsidRPr="00D6439B">
        <w:rPr>
          <w:szCs w:val="22"/>
        </w:rPr>
        <w:t>(D’Onofrio and Emery, 2019)</w:t>
      </w:r>
      <w:r w:rsidRPr="00D6439B">
        <w:rPr>
          <w:rFonts w:eastAsia="Times New Roman"/>
          <w:kern w:val="0"/>
          <w:szCs w:val="22"/>
          <w:lang w:eastAsia="en-GB"/>
          <w14:ligatures w14:val="none"/>
        </w:rPr>
        <w:t>. Allostatic load connects adversity to biology and symptom profiles, but biomarker studies are costly, cross-sectional designs are common, and effect sizes vary. Physiological indices are also shaped by sleep, diet, medication, and measurement timing. A life-course lens strengthens causal inference by considering timing and trajectories, but observational designs remain vulnerable to confounding and selection</w:t>
      </w:r>
      <w:r w:rsidR="007B1B85" w:rsidRPr="00D6439B">
        <w:rPr>
          <w:rFonts w:eastAsia="Times New Roman"/>
          <w:kern w:val="0"/>
          <w:szCs w:val="22"/>
          <w:lang w:eastAsia="en-GB"/>
          <w14:ligatures w14:val="none"/>
        </w:rPr>
        <w:t xml:space="preserve"> </w:t>
      </w:r>
      <w:r w:rsidR="007B1B85" w:rsidRPr="00D6439B">
        <w:rPr>
          <w:szCs w:val="22"/>
        </w:rPr>
        <w:t>(Hawes and Allen, 2023; Lucente and Guidi, 2023)</w:t>
      </w:r>
      <w:r w:rsidRPr="00D6439B">
        <w:rPr>
          <w:rFonts w:eastAsia="Times New Roman"/>
          <w:kern w:val="0"/>
          <w:szCs w:val="22"/>
          <w:lang w:eastAsia="en-GB"/>
          <w14:ligatures w14:val="none"/>
        </w:rPr>
        <w:t>.</w:t>
      </w:r>
    </w:p>
    <w:p w14:paraId="0AC757EA" w14:textId="1A746663" w:rsidR="00BD6CCB" w:rsidRPr="00F5041D" w:rsidRDefault="00BD6CCB" w:rsidP="00F5041D">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Debates relevant to this dissertation include: whether cumulative ACE scores should be replaced by dimensional models; how to separate effects of threat (e.g., physical abuse) from family reorganisation (e.g., separation); and how to account for heterogeneity within parental separation. There is also disagreement over the generalisability of biomarker findings and the ethics of screening without guaranteed support. Taken together, the theories justify analysing physical abuse and parental separation separately, testing moderators, and prioritising mechanism-aware, trauma-informed responses in young-adult services.</w:t>
      </w:r>
    </w:p>
    <w:p w14:paraId="43277B2D" w14:textId="4CCC7897" w:rsidR="002B1585" w:rsidRPr="00D6439B" w:rsidRDefault="002B1585" w:rsidP="00F5041D">
      <w:pPr>
        <w:pStyle w:val="Heading2"/>
        <w:rPr>
          <w:rFonts w:eastAsia="Times New Roman"/>
          <w:lang w:eastAsia="en-GB"/>
        </w:rPr>
      </w:pPr>
      <w:r w:rsidRPr="00D6439B">
        <w:rPr>
          <w:rFonts w:eastAsia="Times New Roman"/>
          <w:lang w:eastAsia="en-GB"/>
        </w:rPr>
        <w:t xml:space="preserve">2.4 International Context </w:t>
      </w:r>
    </w:p>
    <w:p w14:paraId="0420CA27" w14:textId="01D816FC" w:rsidR="004C68E5" w:rsidRPr="00D6439B" w:rsidRDefault="002B1585"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Canada approaches ACEs through population health and trauma-informed practice. Provinces encourage routine enquiry in primary care and youth services, but uptake varies with clinic capacity and Indigenous governance. A practical case is British Columbia, where primary care networks pair brief ACE questions with safety planning and rapid referral to counselling, income advice, and housing supports. Evaluations show better engagement among young adults, yet clinicians warn against simplistic scoring and emphasise culturally safe tools co-designed with First Nations partners</w:t>
      </w:r>
      <w:r w:rsidR="009825B6" w:rsidRPr="00D6439B">
        <w:rPr>
          <w:rFonts w:eastAsia="Times New Roman"/>
          <w:kern w:val="0"/>
          <w:szCs w:val="22"/>
          <w:lang w:eastAsia="en-GB"/>
          <w14:ligatures w14:val="none"/>
        </w:rPr>
        <w:t xml:space="preserve"> </w:t>
      </w:r>
      <w:r w:rsidR="009825B6" w:rsidRPr="00D6439B">
        <w:rPr>
          <w:szCs w:val="22"/>
        </w:rPr>
        <w:t xml:space="preserve">(MacCarthy </w:t>
      </w:r>
      <w:r w:rsidR="009825B6" w:rsidRPr="00D6439B">
        <w:rPr>
          <w:i/>
          <w:iCs/>
          <w:szCs w:val="22"/>
        </w:rPr>
        <w:t>et al.</w:t>
      </w:r>
      <w:r w:rsidR="009825B6" w:rsidRPr="00D6439B">
        <w:rPr>
          <w:szCs w:val="22"/>
        </w:rPr>
        <w:t>, 2012)</w:t>
      </w:r>
      <w:r w:rsidRPr="00D6439B">
        <w:rPr>
          <w:rFonts w:eastAsia="Times New Roman"/>
          <w:kern w:val="0"/>
          <w:szCs w:val="22"/>
          <w:lang w:eastAsia="en-GB"/>
          <w14:ligatures w14:val="none"/>
        </w:rPr>
        <w:t>.</w:t>
      </w:r>
    </w:p>
    <w:p w14:paraId="660CA28D" w14:textId="6AAE4EAC" w:rsidR="00D9739B" w:rsidRPr="00D6439B" w:rsidRDefault="002B1585"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In the United States, ACEs are widely recognised across paediatrics, family medicine, and justice settings. Several states reimburse screening in Medicaid, which raised uptake while sparking debate about harms if follow-up resources are thin. California provides a case example: statewide reimbursement and training expanded screening among young adults in safety-net clinics. Benefits include earlier identification of PTSD and substance-use risk; challenges include uneven referral capacity, data quality, and variable fidelity to trauma-informed principles</w:t>
      </w:r>
      <w:r w:rsidR="00D9739B" w:rsidRPr="00D6439B">
        <w:rPr>
          <w:rFonts w:eastAsia="Times New Roman"/>
          <w:kern w:val="0"/>
          <w:szCs w:val="22"/>
          <w:lang w:eastAsia="en-GB"/>
          <w14:ligatures w14:val="none"/>
        </w:rPr>
        <w:t xml:space="preserve"> </w:t>
      </w:r>
      <w:r w:rsidR="00D9739B" w:rsidRPr="00D6439B">
        <w:rPr>
          <w:szCs w:val="22"/>
        </w:rPr>
        <w:t xml:space="preserve">(Barnes </w:t>
      </w:r>
      <w:r w:rsidR="00D9739B" w:rsidRPr="00D6439B">
        <w:rPr>
          <w:i/>
          <w:iCs/>
          <w:szCs w:val="22"/>
        </w:rPr>
        <w:t>et al.</w:t>
      </w:r>
      <w:r w:rsidR="00D9739B" w:rsidRPr="00D6439B">
        <w:rPr>
          <w:szCs w:val="22"/>
        </w:rPr>
        <w:t xml:space="preserve">, 2020; Viglione </w:t>
      </w:r>
      <w:r w:rsidR="00D9739B" w:rsidRPr="00D6439B">
        <w:rPr>
          <w:i/>
          <w:iCs/>
          <w:szCs w:val="22"/>
        </w:rPr>
        <w:t>et al.</w:t>
      </w:r>
      <w:r w:rsidR="00D9739B" w:rsidRPr="00D6439B">
        <w:rPr>
          <w:szCs w:val="22"/>
        </w:rPr>
        <w:t>, 2025)</w:t>
      </w:r>
      <w:r w:rsidRPr="00D6439B">
        <w:rPr>
          <w:rFonts w:eastAsia="Times New Roman"/>
          <w:kern w:val="0"/>
          <w:szCs w:val="22"/>
          <w:lang w:eastAsia="en-GB"/>
          <w14:ligatures w14:val="none"/>
        </w:rPr>
        <w:t>.</w:t>
      </w:r>
    </w:p>
    <w:p w14:paraId="07464F81" w14:textId="49B1DACB" w:rsidR="007F50EF" w:rsidRPr="00D6439B" w:rsidRDefault="002B1585"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Australia frames adversity within “trauma-aware, healing-informed” practice. States have piloted school, university, and community programmes that normalise help-seeking and distinguish threat-based adversities such as physical abuse from family reorganisation such as separation. In Victoria, a campus-based model integrates brief screening, on-site psychological care, and legal support for family violence. Evaluations report reduced symptom severity and stronger academic retention, while staff highlight workload, supervision needs, and the risk of over-screening without clear referral pathways</w:t>
      </w:r>
      <w:r w:rsidR="007F50EF" w:rsidRPr="00D6439B">
        <w:rPr>
          <w:rFonts w:eastAsia="Times New Roman"/>
          <w:kern w:val="0"/>
          <w:szCs w:val="22"/>
          <w:lang w:eastAsia="en-GB"/>
          <w14:ligatures w14:val="none"/>
        </w:rPr>
        <w:t xml:space="preserve"> </w:t>
      </w:r>
      <w:r w:rsidR="007F50EF" w:rsidRPr="00D6439B">
        <w:rPr>
          <w:szCs w:val="22"/>
        </w:rPr>
        <w:t xml:space="preserve">(Fisher </w:t>
      </w:r>
      <w:r w:rsidR="007F50EF" w:rsidRPr="00D6439B">
        <w:rPr>
          <w:i/>
          <w:iCs/>
          <w:szCs w:val="22"/>
        </w:rPr>
        <w:t>et al.</w:t>
      </w:r>
      <w:r w:rsidR="007F50EF" w:rsidRPr="00D6439B">
        <w:rPr>
          <w:szCs w:val="22"/>
        </w:rPr>
        <w:t>, 2020)</w:t>
      </w:r>
      <w:r w:rsidRPr="00D6439B">
        <w:rPr>
          <w:rFonts w:eastAsia="Times New Roman"/>
          <w:kern w:val="0"/>
          <w:szCs w:val="22"/>
          <w:lang w:eastAsia="en-GB"/>
          <w14:ligatures w14:val="none"/>
        </w:rPr>
        <w:t>.</w:t>
      </w:r>
    </w:p>
    <w:p w14:paraId="7E0C940E" w14:textId="7631D4A0" w:rsidR="002B1585" w:rsidRPr="00D6439B" w:rsidRDefault="002B1585" w:rsidP="00F5041D">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Nordic countries, such as Sweden, prioritise universal prevention, early help, and strong social protection. Municipal family counselling and youth health clinics reduce barriers to care after separation and offer targeted trauma treatment after abuse. A Stockholm municipal programme links school nurses, social workers, and primary care to address conflict and housing moves following separation while screening for abuse histories. Successes include high coverage and continuity; persistent issues are waiting times for specialist trauma therapy and coordination across municipal boundaries</w:t>
      </w:r>
      <w:r w:rsidR="00B3634F" w:rsidRPr="00D6439B">
        <w:rPr>
          <w:rFonts w:eastAsia="Times New Roman"/>
          <w:kern w:val="0"/>
          <w:szCs w:val="22"/>
          <w:lang w:eastAsia="en-GB"/>
          <w14:ligatures w14:val="none"/>
        </w:rPr>
        <w:t xml:space="preserve"> </w:t>
      </w:r>
      <w:r w:rsidR="00B3634F" w:rsidRPr="00D6439B">
        <w:rPr>
          <w:szCs w:val="22"/>
        </w:rPr>
        <w:t xml:space="preserve">(Moberg </w:t>
      </w:r>
      <w:r w:rsidR="00B3634F" w:rsidRPr="00D6439B">
        <w:rPr>
          <w:i/>
          <w:iCs/>
          <w:szCs w:val="22"/>
        </w:rPr>
        <w:t>et al.</w:t>
      </w:r>
      <w:r w:rsidR="00B3634F" w:rsidRPr="00D6439B">
        <w:rPr>
          <w:szCs w:val="22"/>
        </w:rPr>
        <w:t>, 2025)</w:t>
      </w:r>
      <w:r w:rsidRPr="00D6439B">
        <w:rPr>
          <w:rFonts w:eastAsia="Times New Roman"/>
          <w:kern w:val="0"/>
          <w:szCs w:val="22"/>
          <w:lang w:eastAsia="en-GB"/>
          <w14:ligatures w14:val="none"/>
        </w:rPr>
        <w:t>.</w:t>
      </w:r>
    </w:p>
    <w:p w14:paraId="4398DA97" w14:textId="73EC6EA7" w:rsidR="002B1585" w:rsidRPr="00D6439B" w:rsidRDefault="002B1585" w:rsidP="00F5041D">
      <w:pPr>
        <w:pStyle w:val="Heading2"/>
        <w:rPr>
          <w:rFonts w:eastAsia="Times New Roman"/>
          <w:lang w:eastAsia="en-GB"/>
        </w:rPr>
      </w:pPr>
      <w:r w:rsidRPr="00D6439B">
        <w:rPr>
          <w:rFonts w:eastAsia="Times New Roman"/>
          <w:lang w:eastAsia="en-GB"/>
        </w:rPr>
        <w:t xml:space="preserve">2.5 National/Local UK Context </w:t>
      </w:r>
    </w:p>
    <w:p w14:paraId="5A06B649" w14:textId="2F1F2813" w:rsidR="002B1585" w:rsidRPr="00D6439B" w:rsidRDefault="002B1585"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The UK views ACEs through safeguarding, prevention, and trauma-informed care, but practice varies by sector and locality. Young-adult mental health is prioritised across primary care, universities, and community services, yet routine enquiry about distinct ACE types is inconsistent</w:t>
      </w:r>
      <w:r w:rsidR="00544ADA" w:rsidRPr="00D6439B">
        <w:rPr>
          <w:rFonts w:eastAsia="Times New Roman"/>
          <w:kern w:val="0"/>
          <w:szCs w:val="22"/>
          <w:lang w:eastAsia="en-GB"/>
          <w14:ligatures w14:val="none"/>
        </w:rPr>
        <w:t xml:space="preserve"> </w:t>
      </w:r>
      <w:r w:rsidR="00544ADA" w:rsidRPr="00D6439B">
        <w:rPr>
          <w:szCs w:val="22"/>
        </w:rPr>
        <w:t>(Smyth and McSherry, 2024)</w:t>
      </w:r>
      <w:r w:rsidRPr="00D6439B">
        <w:rPr>
          <w:rFonts w:eastAsia="Times New Roman"/>
          <w:kern w:val="0"/>
          <w:szCs w:val="22"/>
          <w:lang w:eastAsia="en-GB"/>
          <w14:ligatures w14:val="none"/>
        </w:rPr>
        <w:t>. National discourse recognises that physical abuse and parental separation can act through different mechanisms; however, many frontline tools still rely on cumulative counts, which limits tailoring of risk assessment and referral. Trends include expansion of NHS Talking Therapies for anxiety and depression</w:t>
      </w:r>
      <w:r w:rsidR="000D37A4" w:rsidRPr="00D6439B">
        <w:rPr>
          <w:rFonts w:eastAsia="Times New Roman"/>
          <w:kern w:val="0"/>
          <w:szCs w:val="22"/>
          <w:lang w:eastAsia="en-GB"/>
          <w14:ligatures w14:val="none"/>
        </w:rPr>
        <w:t xml:space="preserve"> </w:t>
      </w:r>
      <w:r w:rsidR="000D37A4" w:rsidRPr="00D6439B">
        <w:rPr>
          <w:szCs w:val="22"/>
        </w:rPr>
        <w:t>(NHS England, 2023)</w:t>
      </w:r>
      <w:r w:rsidRPr="00D6439B">
        <w:rPr>
          <w:rFonts w:eastAsia="Times New Roman"/>
          <w:kern w:val="0"/>
          <w:szCs w:val="22"/>
          <w:lang w:eastAsia="en-GB"/>
          <w14:ligatures w14:val="none"/>
        </w:rPr>
        <w:t>, growth of primary care mental health practitioners in general practice, and greater attention to self-harm and suicide prevention in young people. Universities have widened wellbeing provision and case-management, though capacity and continuity at term breaks remain uneven</w:t>
      </w:r>
      <w:r w:rsidR="000D37A4" w:rsidRPr="00D6439B">
        <w:rPr>
          <w:rFonts w:eastAsia="Times New Roman"/>
          <w:kern w:val="0"/>
          <w:szCs w:val="22"/>
          <w:lang w:eastAsia="en-GB"/>
          <w14:ligatures w14:val="none"/>
        </w:rPr>
        <w:t xml:space="preserve"> </w:t>
      </w:r>
      <w:r w:rsidR="000D37A4" w:rsidRPr="00D6439B">
        <w:rPr>
          <w:szCs w:val="22"/>
        </w:rPr>
        <w:t>(Thomson, 2024)</w:t>
      </w:r>
      <w:r w:rsidRPr="00D6439B">
        <w:rPr>
          <w:rFonts w:eastAsia="Times New Roman"/>
          <w:kern w:val="0"/>
          <w:szCs w:val="22"/>
          <w:lang w:eastAsia="en-GB"/>
          <w14:ligatures w14:val="none"/>
        </w:rPr>
        <w:t>.</w:t>
      </w:r>
    </w:p>
    <w:p w14:paraId="4E8BE9C8" w14:textId="04018214" w:rsidR="002B1585" w:rsidRPr="00D6439B" w:rsidRDefault="002B1585"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Policy frameworks relevant to this topic span health, social care, and justice. NICE guidance on depression, PTSD, self-harm, and domestic abuse encourages trauma-informed assessment and collaborative safety planning</w:t>
      </w:r>
      <w:r w:rsidR="00F925C5" w:rsidRPr="00D6439B">
        <w:rPr>
          <w:rFonts w:eastAsia="Times New Roman"/>
          <w:kern w:val="0"/>
          <w:szCs w:val="22"/>
          <w:lang w:eastAsia="en-GB"/>
          <w14:ligatures w14:val="none"/>
        </w:rPr>
        <w:t xml:space="preserve"> </w:t>
      </w:r>
      <w:r w:rsidR="00F925C5" w:rsidRPr="00D6439B">
        <w:rPr>
          <w:szCs w:val="22"/>
        </w:rPr>
        <w:t>(NICE, 2022)</w:t>
      </w:r>
      <w:r w:rsidRPr="00D6439B">
        <w:rPr>
          <w:rFonts w:eastAsia="Times New Roman"/>
          <w:kern w:val="0"/>
          <w:szCs w:val="22"/>
          <w:lang w:eastAsia="en-GB"/>
          <w14:ligatures w14:val="none"/>
        </w:rPr>
        <w:t>. Safeguarding duties under the Children Act and Working Together to Safeguard Children shape responses to abuse and neglect, while family justice reforms and mediation policy influence patterns of separation and post-separation contact</w:t>
      </w:r>
      <w:r w:rsidR="00322E17" w:rsidRPr="00D6439B">
        <w:rPr>
          <w:rFonts w:eastAsia="Times New Roman"/>
          <w:kern w:val="0"/>
          <w:szCs w:val="22"/>
          <w:lang w:eastAsia="en-GB"/>
          <w14:ligatures w14:val="none"/>
        </w:rPr>
        <w:t xml:space="preserve"> </w:t>
      </w:r>
      <w:r w:rsidR="00322E17" w:rsidRPr="00D6439B">
        <w:rPr>
          <w:szCs w:val="22"/>
        </w:rPr>
        <w:t>(Gov UK, 2025)</w:t>
      </w:r>
      <w:r w:rsidRPr="00D6439B">
        <w:rPr>
          <w:rFonts w:eastAsia="Times New Roman"/>
          <w:kern w:val="0"/>
          <w:szCs w:val="22"/>
          <w:lang w:eastAsia="en-GB"/>
          <w14:ligatures w14:val="none"/>
        </w:rPr>
        <w:t>. Public health strategies emphasise early help and reduction of health inequalities, which is pertinent because socio-economic stress can amplify the impact of separation and complicate access to trauma treatment after abuse. Data protection and information-sharing guidance affect how ACE information is recorded and transferred between services at the transition to adulthood. The combined effect is a complex governance environment in which responsibilities are distributed and coordination failures can delay care.</w:t>
      </w:r>
    </w:p>
    <w:p w14:paraId="2417C508" w14:textId="7127C7B6" w:rsidR="002B1585" w:rsidRPr="00D6439B" w:rsidRDefault="002B1585"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At local level, Integrated Care Systems and authorities commission services that determine whether enquiry about ACE types is embedded in triage and whether referral pathways recognise different mechanisms. Some areas operate multi-agency hubs where primary care, mental health, housing, and domestic abuse services co-locate. Where these exist, young adults disclosing physical abuse can access rapid trauma-focused interventions and legal support, while those experiencing fallout from parental separation receive mediation, financial advice, and counselling</w:t>
      </w:r>
      <w:r w:rsidR="008E1A32" w:rsidRPr="00D6439B">
        <w:rPr>
          <w:rFonts w:eastAsia="Times New Roman"/>
          <w:kern w:val="0"/>
          <w:szCs w:val="22"/>
          <w:lang w:eastAsia="en-GB"/>
          <w14:ligatures w14:val="none"/>
        </w:rPr>
        <w:t xml:space="preserve"> </w:t>
      </w:r>
      <w:r w:rsidR="008E1A32" w:rsidRPr="00D6439B">
        <w:rPr>
          <w:szCs w:val="22"/>
        </w:rPr>
        <w:t>(HM Government, 2023)</w:t>
      </w:r>
      <w:r w:rsidRPr="00D6439B">
        <w:rPr>
          <w:rFonts w:eastAsia="Times New Roman"/>
          <w:kern w:val="0"/>
          <w:szCs w:val="22"/>
          <w:lang w:eastAsia="en-GB"/>
          <w14:ligatures w14:val="none"/>
        </w:rPr>
        <w:t>. Other areas rely on signposting across fragmented providers, which increases drop-out and weakens continuity. Regional variation is also shaped by devolved administrations. Scotland emphasises a public-health approach to adversity, with strong local partnerships and routine enquiry pilots in primary care and justice settings</w:t>
      </w:r>
      <w:r w:rsidR="008E1A32" w:rsidRPr="00D6439B">
        <w:rPr>
          <w:rFonts w:eastAsia="Times New Roman"/>
          <w:kern w:val="0"/>
          <w:szCs w:val="22"/>
          <w:lang w:eastAsia="en-GB"/>
          <w14:ligatures w14:val="none"/>
        </w:rPr>
        <w:t xml:space="preserve"> </w:t>
      </w:r>
      <w:r w:rsidR="008E1A32" w:rsidRPr="00D6439B">
        <w:rPr>
          <w:szCs w:val="22"/>
        </w:rPr>
        <w:t xml:space="preserve">(Stewart </w:t>
      </w:r>
      <w:r w:rsidR="008E1A32" w:rsidRPr="00D6439B">
        <w:rPr>
          <w:i/>
          <w:iCs/>
          <w:szCs w:val="22"/>
        </w:rPr>
        <w:t>et al.</w:t>
      </w:r>
      <w:r w:rsidR="008E1A32" w:rsidRPr="00D6439B">
        <w:rPr>
          <w:szCs w:val="22"/>
        </w:rPr>
        <w:t>, 2022)</w:t>
      </w:r>
      <w:r w:rsidRPr="00D6439B">
        <w:rPr>
          <w:rFonts w:eastAsia="Times New Roman"/>
          <w:kern w:val="0"/>
          <w:szCs w:val="22"/>
          <w:lang w:eastAsia="en-GB"/>
          <w14:ligatures w14:val="none"/>
        </w:rPr>
        <w:t>. Wales has invested in early help services and school-based mental health teams, supporting smoother handovers between child and adult services. Northern Ireland’s services are influenced by legacy trauma and rural access constraints, creating reliance on voluntary sector counselling and outreach</w:t>
      </w:r>
      <w:r w:rsidR="003A0DCD" w:rsidRPr="00D6439B">
        <w:rPr>
          <w:rFonts w:eastAsia="Times New Roman"/>
          <w:kern w:val="0"/>
          <w:szCs w:val="22"/>
          <w:lang w:eastAsia="en-GB"/>
          <w14:ligatures w14:val="none"/>
        </w:rPr>
        <w:t xml:space="preserve"> </w:t>
      </w:r>
      <w:r w:rsidR="003A0DCD" w:rsidRPr="00D6439B">
        <w:rPr>
          <w:szCs w:val="22"/>
        </w:rPr>
        <w:t>(Gov Wales, 2024)</w:t>
      </w:r>
      <w:r w:rsidRPr="00D6439B">
        <w:rPr>
          <w:rFonts w:eastAsia="Times New Roman"/>
          <w:kern w:val="0"/>
          <w:szCs w:val="22"/>
          <w:lang w:eastAsia="en-GB"/>
          <w14:ligatures w14:val="none"/>
        </w:rPr>
        <w:t>.</w:t>
      </w:r>
    </w:p>
    <w:p w14:paraId="3EEE9940" w14:textId="23EACBC6" w:rsidR="002B1585" w:rsidRPr="00D6439B" w:rsidRDefault="002B1585" w:rsidP="00F5041D">
      <w:pPr>
        <w:pStyle w:val="Heading2"/>
        <w:rPr>
          <w:rFonts w:eastAsia="Times New Roman"/>
          <w:lang w:eastAsia="en-GB"/>
        </w:rPr>
      </w:pPr>
      <w:r w:rsidRPr="00D6439B">
        <w:rPr>
          <w:rFonts w:eastAsia="Times New Roman"/>
          <w:lang w:eastAsia="en-GB"/>
        </w:rPr>
        <w:t xml:space="preserve">2.6 Conclusion </w:t>
      </w:r>
    </w:p>
    <w:p w14:paraId="627A01D1" w14:textId="77777777" w:rsidR="002B1585" w:rsidRPr="00D6439B" w:rsidRDefault="002B1585" w:rsidP="00D6439B">
      <w:pPr>
        <w:spacing w:before="100" w:beforeAutospacing="1" w:after="100" w:afterAutospacing="1"/>
        <w:jc w:val="both"/>
        <w:rPr>
          <w:rFonts w:eastAsia="Times New Roman"/>
          <w:kern w:val="0"/>
          <w:szCs w:val="22"/>
          <w:lang w:eastAsia="en-GB"/>
          <w14:ligatures w14:val="none"/>
        </w:rPr>
      </w:pPr>
      <w:r w:rsidRPr="00D6439B">
        <w:rPr>
          <w:rFonts w:eastAsia="Times New Roman"/>
          <w:kern w:val="0"/>
          <w:szCs w:val="22"/>
          <w:lang w:eastAsia="en-GB"/>
          <w14:ligatures w14:val="none"/>
        </w:rPr>
        <w:t>This chapter established why comparing specific ACEs matters and set the context for examining young-adult mental health. Historically, the field moved from cumulative scores toward mechanism-aware approaches. Theoretically, attachment, allostatic load, and life-course thinking explain why physical abuse and parental separation may yield different risks and needs. Internationally, systems are adopting trauma-informed practice with mixed implementation, illustrated by Canadian, American, Australian, Nordic, and South African examples. In the UK, policy frameworks support trauma-informed assessment, yet routine enquiry and referral capacity vary by locality. Strengths include established safeguarding and trauma literacy; weaknesses include workforce pressure, coordination gaps, and uneven access to trauma-focused therapy. These contexts justify a review that distinguishes ACE types and examines moderators relevant to equity and service design. The next chapter outlines methodology: databases, search strategy, inclusion and exclusion criteria, appraisal tools, and analytic approach. This background informs operational choices and supports reproducible methods aligned to the aim.</w:t>
      </w:r>
    </w:p>
    <w:p w14:paraId="1E8C1B7F" w14:textId="77777777" w:rsidR="00BD6CCB" w:rsidRPr="00D6439B" w:rsidRDefault="00BD6CCB" w:rsidP="00D6439B">
      <w:pPr>
        <w:jc w:val="both"/>
        <w:rPr>
          <w:szCs w:val="22"/>
        </w:rPr>
      </w:pPr>
    </w:p>
    <w:p w14:paraId="146E82B9" w14:textId="77777777" w:rsidR="00D53101" w:rsidRPr="00D6439B" w:rsidRDefault="00D53101" w:rsidP="00D6439B">
      <w:pPr>
        <w:jc w:val="both"/>
        <w:rPr>
          <w:szCs w:val="22"/>
        </w:rPr>
      </w:pPr>
    </w:p>
    <w:p w14:paraId="1970E42B" w14:textId="77777777" w:rsidR="00D53101" w:rsidRPr="00D6439B" w:rsidRDefault="00D53101" w:rsidP="00D6439B">
      <w:pPr>
        <w:jc w:val="both"/>
        <w:rPr>
          <w:szCs w:val="22"/>
        </w:rPr>
      </w:pPr>
    </w:p>
    <w:p w14:paraId="393D25F1" w14:textId="77777777" w:rsidR="00D53101" w:rsidRPr="00D6439B" w:rsidRDefault="00D53101" w:rsidP="00D6439B">
      <w:pPr>
        <w:jc w:val="both"/>
        <w:rPr>
          <w:szCs w:val="22"/>
        </w:rPr>
      </w:pPr>
    </w:p>
    <w:p w14:paraId="0D02C27A"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Arnett, J.J., Žukauskienė, R. and Sugimura, K. (2014) ‘The new life stage of emerging adulthood at ages 18–29 years: implications for mental health’, </w:t>
      </w:r>
      <w:r w:rsidRPr="00AC4872">
        <w:rPr>
          <w:rFonts w:eastAsia="Times New Roman"/>
          <w:i/>
          <w:iCs/>
          <w:kern w:val="0"/>
          <w:szCs w:val="22"/>
          <w:lang w:eastAsia="en-GB"/>
          <w14:ligatures w14:val="none"/>
        </w:rPr>
        <w:t>The Lancet Psychiatry</w:t>
      </w:r>
      <w:r w:rsidRPr="00AC4872">
        <w:rPr>
          <w:rFonts w:eastAsia="Times New Roman"/>
          <w:kern w:val="0"/>
          <w:szCs w:val="22"/>
          <w:lang w:eastAsia="en-GB"/>
          <w14:ligatures w14:val="none"/>
        </w:rPr>
        <w:t>, 1(7), pp. 569–576. Available at: https://doi.org/10.1016/s2215-0366(14)00080-7.</w:t>
      </w:r>
    </w:p>
    <w:p w14:paraId="3DEB7054"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Barnes, A.J.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(2020) ‘Identifying adverse childhood experiences in pediatrics to prevent chronic health conditions’, </w:t>
      </w:r>
      <w:r w:rsidRPr="00AC4872">
        <w:rPr>
          <w:rFonts w:eastAsia="Times New Roman"/>
          <w:i/>
          <w:iCs/>
          <w:kern w:val="0"/>
          <w:szCs w:val="22"/>
          <w:lang w:eastAsia="en-GB"/>
          <w14:ligatures w14:val="none"/>
        </w:rPr>
        <w:t>Pediatric Research</w:t>
      </w:r>
      <w:r w:rsidRPr="00AC4872">
        <w:rPr>
          <w:rFonts w:eastAsia="Times New Roman"/>
          <w:kern w:val="0"/>
          <w:szCs w:val="22"/>
          <w:lang w:eastAsia="en-GB"/>
          <w14:ligatures w14:val="none"/>
        </w:rPr>
        <w:t>, 87(2), pp. 362–370. Available at: https://doi.org/10.1038/s41390-019-0613-3.</w:t>
      </w:r>
    </w:p>
    <w:p w14:paraId="0C410E3A"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Bellis, M.A.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(2024) ‘Associations between adverse childhood experiences and trust in health and other information from public services, professionals and wider sources: national cross sectional survey’, </w:t>
      </w:r>
      <w:r w:rsidRPr="00AC4872">
        <w:rPr>
          <w:rFonts w:eastAsia="Times New Roman"/>
          <w:i/>
          <w:iCs/>
          <w:kern w:val="0"/>
          <w:szCs w:val="22"/>
          <w:lang w:eastAsia="en-GB"/>
          <w14:ligatures w14:val="none"/>
        </w:rPr>
        <w:t>BMJ Public Health</w:t>
      </w:r>
      <w:r w:rsidRPr="00AC4872">
        <w:rPr>
          <w:rFonts w:eastAsia="Times New Roman"/>
          <w:kern w:val="0"/>
          <w:szCs w:val="22"/>
          <w:lang w:eastAsia="en-GB"/>
          <w14:ligatures w14:val="none"/>
        </w:rPr>
        <w:t>, 2(1), pp. e000868–e000868. Available at: https://doi.org/10.1136/bmjph-2023-000868.</w:t>
      </w:r>
    </w:p>
    <w:p w14:paraId="36CB7407"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Brock, R.L. and Kochanska, G. (2016) ‘Interparental conflict, children’s security with parents, and long-term risk of internalizing problems: A longitudinal study from ages 2 to 10’, </w:t>
      </w:r>
      <w:r w:rsidRPr="00AC4872">
        <w:rPr>
          <w:rFonts w:eastAsia="Times New Roman"/>
          <w:i/>
          <w:iCs/>
          <w:kern w:val="0"/>
          <w:szCs w:val="22"/>
          <w:lang w:eastAsia="en-GB"/>
          <w14:ligatures w14:val="none"/>
        </w:rPr>
        <w:t>Development and Psychopathology</w:t>
      </w:r>
      <w:r w:rsidRPr="00AC4872">
        <w:rPr>
          <w:rFonts w:eastAsia="Times New Roman"/>
          <w:kern w:val="0"/>
          <w:szCs w:val="22"/>
          <w:lang w:eastAsia="en-GB"/>
          <w14:ligatures w14:val="none"/>
        </w:rPr>
        <w:t>, 28(1), pp. 45–54. Available at: https://doi.org/10.1017/s0954579415000279.</w:t>
      </w:r>
    </w:p>
    <w:p w14:paraId="362F09C9"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Brzozowska, A. and Grabowski, J. (2025) ‘Hyperarousal, Dissociation, Emotion Dysregulation and Re-Experiencing—Towards Understanding Molecular Aspects of PTSD Symptoms’, </w:t>
      </w:r>
      <w:r w:rsidRPr="00AC4872">
        <w:rPr>
          <w:rFonts w:eastAsia="Times New Roman"/>
          <w:i/>
          <w:iCs/>
          <w:kern w:val="0"/>
          <w:szCs w:val="22"/>
          <w:lang w:eastAsia="en-GB"/>
          <w14:ligatures w14:val="none"/>
        </w:rPr>
        <w:t>International Journal of Molecular Sciences</w:t>
      </w:r>
      <w:r w:rsidRPr="00AC4872">
        <w:rPr>
          <w:rFonts w:eastAsia="Times New Roman"/>
          <w:kern w:val="0"/>
          <w:szCs w:val="22"/>
          <w:lang w:eastAsia="en-GB"/>
          <w14:ligatures w14:val="none"/>
        </w:rPr>
        <w:t>, 26(11), p. 5216. Available at: https://doi.org/10.3390/ijms26115216.</w:t>
      </w:r>
    </w:p>
    <w:p w14:paraId="4597244F"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Cassidy, J., Jones, J.D. and Shaver, P.R. (2013) ‘Contributions of Attachment Theory and research: a Framework for Future research, translation, and Policy’, </w:t>
      </w:r>
      <w:r w:rsidRPr="00AC4872">
        <w:rPr>
          <w:rFonts w:eastAsia="Times New Roman"/>
          <w:i/>
          <w:iCs/>
          <w:kern w:val="0"/>
          <w:szCs w:val="22"/>
          <w:lang w:eastAsia="en-GB"/>
          <w14:ligatures w14:val="none"/>
        </w:rPr>
        <w:t>Development and Psychopathology</w:t>
      </w:r>
      <w:r w:rsidRPr="00AC4872">
        <w:rPr>
          <w:rFonts w:eastAsia="Times New Roman"/>
          <w:kern w:val="0"/>
          <w:szCs w:val="22"/>
          <w:lang w:eastAsia="en-GB"/>
          <w14:ligatures w14:val="none"/>
        </w:rPr>
        <w:t>, 25(4pt2), pp. 1415–1434. Available at: https://doi.org/10.1017/s0954579413000692.</w:t>
      </w:r>
    </w:p>
    <w:p w14:paraId="5258BEB1"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Centers for Disease Control and Prevention (2024) </w:t>
      </w:r>
      <w:r w:rsidRPr="00AC4872">
        <w:rPr>
          <w:rFonts w:eastAsia="Times New Roman"/>
          <w:i/>
          <w:iCs/>
          <w:kern w:val="0"/>
          <w:szCs w:val="22"/>
          <w:lang w:eastAsia="en-GB"/>
          <w14:ligatures w14:val="none"/>
        </w:rPr>
        <w:t>About Child Abuse and Neglect</w:t>
      </w:r>
      <w:r w:rsidRPr="00AC4872">
        <w:rPr>
          <w:rFonts w:eastAsia="Times New Roman"/>
          <w:kern w:val="0"/>
          <w:szCs w:val="22"/>
          <w:lang w:eastAsia="en-GB"/>
          <w14:ligatures w14:val="none"/>
        </w:rPr>
        <w:t xml:space="preserve">, </w:t>
      </w:r>
      <w:r w:rsidRPr="00AC4872">
        <w:rPr>
          <w:rFonts w:eastAsia="Times New Roman"/>
          <w:i/>
          <w:iCs/>
          <w:kern w:val="0"/>
          <w:szCs w:val="22"/>
          <w:lang w:eastAsia="en-GB"/>
          <w14:ligatures w14:val="none"/>
        </w:rPr>
        <w:t>Child Abuse and Neglect Prevention</w:t>
      </w:r>
      <w:r w:rsidRPr="00AC4872">
        <w:rPr>
          <w:rFonts w:eastAsia="Times New Roman"/>
          <w:kern w:val="0"/>
          <w:szCs w:val="22"/>
          <w:lang w:eastAsia="en-GB"/>
          <w14:ligatures w14:val="none"/>
        </w:rPr>
        <w:t>. Available at: https://www.cdc.gov/child-abuse-neglect/about/index.html (Accessed: 29 October 2025).</w:t>
      </w:r>
    </w:p>
    <w:p w14:paraId="31987DE5"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Charuvastra, A. and Cloitre, M. (2008) ‘Social Bonds and Posttraumatic Stress Disorder’, </w:t>
      </w:r>
      <w:r w:rsidRPr="00AC4872">
        <w:rPr>
          <w:rFonts w:eastAsia="Times New Roman"/>
          <w:i/>
          <w:iCs/>
          <w:kern w:val="0"/>
          <w:szCs w:val="22"/>
          <w:lang w:eastAsia="en-GB"/>
          <w14:ligatures w14:val="none"/>
        </w:rPr>
        <w:t>Annual Review of Psychology</w:t>
      </w:r>
      <w:r w:rsidRPr="00AC4872">
        <w:rPr>
          <w:rFonts w:eastAsia="Times New Roman"/>
          <w:kern w:val="0"/>
          <w:szCs w:val="22"/>
          <w:lang w:eastAsia="en-GB"/>
          <w14:ligatures w14:val="none"/>
        </w:rPr>
        <w:t>, 59(1), pp. 301–328. Available at: https://doi.org/10.1146/annurev.psych.58.110405.085650.</w:t>
      </w:r>
    </w:p>
    <w:p w14:paraId="42227BC1"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Connelly, R. and Platt, L. (2014) ‘Cohort Profile: UK Millennium Cohort Study (MCS)’, </w:t>
      </w:r>
      <w:r w:rsidRPr="00AC4872">
        <w:rPr>
          <w:rFonts w:eastAsia="Times New Roman"/>
          <w:i/>
          <w:iCs/>
          <w:kern w:val="0"/>
          <w:szCs w:val="22"/>
          <w:lang w:eastAsia="en-GB"/>
          <w14:ligatures w14:val="none"/>
        </w:rPr>
        <w:t>International Journal of Epidemiology</w:t>
      </w:r>
      <w:r w:rsidRPr="00AC4872">
        <w:rPr>
          <w:rFonts w:eastAsia="Times New Roman"/>
          <w:kern w:val="0"/>
          <w:szCs w:val="22"/>
          <w:lang w:eastAsia="en-GB"/>
          <w14:ligatures w14:val="none"/>
        </w:rPr>
        <w:t>, 43(6), pp. 1719–1725. Available at: https://doi.org/10.1093/ije/dyu001.</w:t>
      </w:r>
    </w:p>
    <w:p w14:paraId="3FF2727B"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Cruz, D.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(2022) ‘Developmental trauma: Conceptual framework, associated risks and comorbidities, and evaluation and treatment’, </w:t>
      </w:r>
      <w:r w:rsidRPr="00AC4872">
        <w:rPr>
          <w:rFonts w:eastAsia="Times New Roman"/>
          <w:i/>
          <w:iCs/>
          <w:kern w:val="0"/>
          <w:szCs w:val="22"/>
          <w:lang w:eastAsia="en-GB"/>
          <w14:ligatures w14:val="none"/>
        </w:rPr>
        <w:t>Frontiers in Psychiatry</w:t>
      </w:r>
      <w:r w:rsidRPr="00AC4872">
        <w:rPr>
          <w:rFonts w:eastAsia="Times New Roman"/>
          <w:kern w:val="0"/>
          <w:szCs w:val="22"/>
          <w:lang w:eastAsia="en-GB"/>
          <w14:ligatures w14:val="none"/>
        </w:rPr>
        <w:t>, 13(1), pp. 1–14. Available at: https://doi.org/10.3389/fpsyt.2022.800687.</w:t>
      </w:r>
    </w:p>
    <w:p w14:paraId="531EAA94"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D’Onofrio, B. and Emery, R. (2019) ‘Parental Divorce or Separation and children’s Mental Health’, </w:t>
      </w:r>
      <w:r w:rsidRPr="00AC4872">
        <w:rPr>
          <w:rFonts w:eastAsia="Times New Roman"/>
          <w:i/>
          <w:iCs/>
          <w:kern w:val="0"/>
          <w:szCs w:val="22"/>
          <w:lang w:eastAsia="en-GB"/>
          <w14:ligatures w14:val="none"/>
        </w:rPr>
        <w:t>World Psychiatry</w:t>
      </w:r>
      <w:r w:rsidRPr="00AC4872">
        <w:rPr>
          <w:rFonts w:eastAsia="Times New Roman"/>
          <w:kern w:val="0"/>
          <w:szCs w:val="22"/>
          <w:lang w:eastAsia="en-GB"/>
          <w14:ligatures w14:val="none"/>
        </w:rPr>
        <w:t>, 18(1), pp. 100–101. Available at: https://doi.org/10.1002/wps.20590.</w:t>
      </w:r>
    </w:p>
    <w:p w14:paraId="5A82DE0F"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Evans, R., Garner, P. and Honig, A.S. (2014) ‘Prevention of violence, abuse and neglect in early childhood: a review of the literature on research, policy and practice’, </w:t>
      </w:r>
      <w:r w:rsidRPr="00AC4872">
        <w:rPr>
          <w:rFonts w:eastAsia="Times New Roman"/>
          <w:i/>
          <w:iCs/>
          <w:kern w:val="0"/>
          <w:szCs w:val="22"/>
          <w:lang w:eastAsia="en-GB"/>
          <w14:ligatures w14:val="none"/>
        </w:rPr>
        <w:t>Early Child Development and Care</w:t>
      </w:r>
      <w:r w:rsidRPr="00AC4872">
        <w:rPr>
          <w:rFonts w:eastAsia="Times New Roman"/>
          <w:kern w:val="0"/>
          <w:szCs w:val="22"/>
          <w:lang w:eastAsia="en-GB"/>
          <w14:ligatures w14:val="none"/>
        </w:rPr>
        <w:t>, 184(9-10), pp. 1295–1335. Available at: https://doi.org/10.1080/03004430.2014.910327.</w:t>
      </w:r>
    </w:p>
    <w:p w14:paraId="698DCDAC"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Fisher, C.A.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(2020) ‘Family violence screening and disclosure in a large metropolitan hospital: A health service users’ survey’, </w:t>
      </w:r>
      <w:r w:rsidRPr="00AC4872">
        <w:rPr>
          <w:rFonts w:eastAsia="Times New Roman"/>
          <w:i/>
          <w:iCs/>
          <w:kern w:val="0"/>
          <w:szCs w:val="22"/>
          <w:lang w:eastAsia="en-GB"/>
          <w14:ligatures w14:val="none"/>
        </w:rPr>
        <w:t>Women’s Health</w:t>
      </w:r>
      <w:r w:rsidRPr="00AC4872">
        <w:rPr>
          <w:rFonts w:eastAsia="Times New Roman"/>
          <w:kern w:val="0"/>
          <w:szCs w:val="22"/>
          <w:lang w:eastAsia="en-GB"/>
          <w14:ligatures w14:val="none"/>
        </w:rPr>
        <w:t>, 16, p. 174550652095228. Available at: https://doi.org/10.1177/1745506520952285.</w:t>
      </w:r>
    </w:p>
    <w:p w14:paraId="001832BA"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Garrison-Desany, H.M.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(2024) ‘Post-traumatic stress and future substance use outcomes: leveraging antecedent factors to stratify risk’, </w:t>
      </w:r>
      <w:r w:rsidRPr="00AC4872">
        <w:rPr>
          <w:rFonts w:eastAsia="Times New Roman"/>
          <w:i/>
          <w:iCs/>
          <w:kern w:val="0"/>
          <w:szCs w:val="22"/>
          <w:lang w:eastAsia="en-GB"/>
          <w14:ligatures w14:val="none"/>
        </w:rPr>
        <w:t>Frontiers in Psychiatry</w:t>
      </w:r>
      <w:r w:rsidRPr="00AC4872">
        <w:rPr>
          <w:rFonts w:eastAsia="Times New Roman"/>
          <w:kern w:val="0"/>
          <w:szCs w:val="22"/>
          <w:lang w:eastAsia="en-GB"/>
          <w14:ligatures w14:val="none"/>
        </w:rPr>
        <w:t>, 15. Available at: https://doi.org/10.3389/fpsyt.2024.1249382.</w:t>
      </w:r>
    </w:p>
    <w:p w14:paraId="3B5ECAFC"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Gov UK (2025) </w:t>
      </w:r>
      <w:r w:rsidRPr="00AC4872">
        <w:rPr>
          <w:rFonts w:eastAsia="Times New Roman"/>
          <w:i/>
          <w:iCs/>
          <w:kern w:val="0"/>
          <w:szCs w:val="22"/>
          <w:lang w:eastAsia="en-GB"/>
          <w14:ligatures w14:val="none"/>
        </w:rPr>
        <w:t>Working Together to Safeguard Children</w:t>
      </w:r>
      <w:r w:rsidRPr="00AC4872">
        <w:rPr>
          <w:rFonts w:eastAsia="Times New Roman"/>
          <w:kern w:val="0"/>
          <w:szCs w:val="22"/>
          <w:lang w:eastAsia="en-GB"/>
          <w14:ligatures w14:val="none"/>
        </w:rPr>
        <w:t xml:space="preserve">, </w:t>
      </w:r>
      <w:r w:rsidRPr="00AC4872">
        <w:rPr>
          <w:rFonts w:eastAsia="Times New Roman"/>
          <w:i/>
          <w:iCs/>
          <w:kern w:val="0"/>
          <w:szCs w:val="22"/>
          <w:lang w:eastAsia="en-GB"/>
          <w14:ligatures w14:val="none"/>
        </w:rPr>
        <w:t>GOV.UK</w:t>
      </w:r>
      <w:r w:rsidRPr="00AC4872">
        <w:rPr>
          <w:rFonts w:eastAsia="Times New Roman"/>
          <w:kern w:val="0"/>
          <w:szCs w:val="22"/>
          <w:lang w:eastAsia="en-GB"/>
          <w14:ligatures w14:val="none"/>
        </w:rPr>
        <w:t>. Available at: https://www.gov.uk/government/publications/working-together-to-safeguard-children--2 (Accessed: 29 October 2025).</w:t>
      </w:r>
    </w:p>
    <w:p w14:paraId="3E9DEEFA"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Gov Wales (2024) </w:t>
      </w:r>
      <w:r w:rsidRPr="00AC4872">
        <w:rPr>
          <w:rFonts w:eastAsia="Times New Roman"/>
          <w:i/>
          <w:iCs/>
          <w:kern w:val="0"/>
          <w:szCs w:val="22"/>
          <w:lang w:eastAsia="en-GB"/>
          <w14:ligatures w14:val="none"/>
        </w:rPr>
        <w:t>Impact of counselling services for children and young people | GOV.WALES</w:t>
      </w:r>
      <w:r w:rsidRPr="00AC4872">
        <w:rPr>
          <w:rFonts w:eastAsia="Times New Roman"/>
          <w:kern w:val="0"/>
          <w:szCs w:val="22"/>
          <w:lang w:eastAsia="en-GB"/>
          <w14:ligatures w14:val="none"/>
        </w:rPr>
        <w:t xml:space="preserve">, </w:t>
      </w:r>
      <w:r w:rsidRPr="00AC4872">
        <w:rPr>
          <w:rFonts w:eastAsia="Times New Roman"/>
          <w:i/>
          <w:iCs/>
          <w:kern w:val="0"/>
          <w:szCs w:val="22"/>
          <w:lang w:eastAsia="en-GB"/>
          <w14:ligatures w14:val="none"/>
        </w:rPr>
        <w:t>GOV.WALES</w:t>
      </w:r>
      <w:r w:rsidRPr="00AC4872">
        <w:rPr>
          <w:rFonts w:eastAsia="Times New Roman"/>
          <w:kern w:val="0"/>
          <w:szCs w:val="22"/>
          <w:lang w:eastAsia="en-GB"/>
          <w14:ligatures w14:val="none"/>
        </w:rPr>
        <w:t>. Available at: https://www.gov.wales/impact-counselling-services-children-and-young-people (Accessed: 29 October 2025).</w:t>
      </w:r>
    </w:p>
    <w:p w14:paraId="4BE5D498"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Hawes, D.J. and Allen, J.L. (2023) ‘A Developmental Psychopathology Perspective on Adverse Childhood Experiences (ACEs): Introduction to the Special Issue’, </w:t>
      </w:r>
      <w:r w:rsidRPr="00AC4872">
        <w:rPr>
          <w:rFonts w:eastAsia="Times New Roman"/>
          <w:i/>
          <w:iCs/>
          <w:kern w:val="0"/>
          <w:szCs w:val="22"/>
          <w:lang w:eastAsia="en-GB"/>
          <w14:ligatures w14:val="none"/>
        </w:rPr>
        <w:t>Research on Child and Adolescent Psychopathology</w:t>
      </w:r>
      <w:r w:rsidRPr="00AC4872">
        <w:rPr>
          <w:rFonts w:eastAsia="Times New Roman"/>
          <w:kern w:val="0"/>
          <w:szCs w:val="22"/>
          <w:lang w:eastAsia="en-GB"/>
          <w14:ligatures w14:val="none"/>
        </w:rPr>
        <w:t>, 51(12). Available at: https://doi.org/10.1007/s10802-023-01100-w.</w:t>
      </w:r>
    </w:p>
    <w:p w14:paraId="4B19BB03"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HM Government (2023) </w:t>
      </w:r>
      <w:r w:rsidRPr="00AC4872">
        <w:rPr>
          <w:rFonts w:eastAsia="Times New Roman"/>
          <w:i/>
          <w:iCs/>
          <w:kern w:val="0"/>
          <w:szCs w:val="22"/>
          <w:lang w:eastAsia="en-GB"/>
          <w14:ligatures w14:val="none"/>
        </w:rPr>
        <w:t>Working Together to Safeguard Children 2023</w:t>
      </w:r>
      <w:r w:rsidRPr="00AC4872">
        <w:rPr>
          <w:rFonts w:eastAsia="Times New Roman"/>
          <w:kern w:val="0"/>
          <w:szCs w:val="22"/>
          <w:lang w:eastAsia="en-GB"/>
          <w14:ligatures w14:val="none"/>
        </w:rPr>
        <w:t>. Available at: https://assets.publishing.service.gov.uk/media/6849a7b67cba25f610c7db3f/Working_together_to_safeguard_children_2023_-_statutory_guidance.pdf (Accessed: 29 October 2025).</w:t>
      </w:r>
    </w:p>
    <w:p w14:paraId="35283C3B"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Lucente, M. and Guidi, J. (2023) ‘Allostatic Load in Children and Adolescents: A Systematic Review’, </w:t>
      </w:r>
      <w:r w:rsidRPr="00AC4872">
        <w:rPr>
          <w:rFonts w:eastAsia="Times New Roman"/>
          <w:i/>
          <w:iCs/>
          <w:kern w:val="0"/>
          <w:szCs w:val="22"/>
          <w:lang w:eastAsia="en-GB"/>
          <w14:ligatures w14:val="none"/>
        </w:rPr>
        <w:t>Psychotherapy and Psychosomatics</w:t>
      </w:r>
      <w:r w:rsidRPr="00AC4872">
        <w:rPr>
          <w:rFonts w:eastAsia="Times New Roman"/>
          <w:kern w:val="0"/>
          <w:szCs w:val="22"/>
          <w:lang w:eastAsia="en-GB"/>
          <w14:ligatures w14:val="none"/>
        </w:rPr>
        <w:t>, 92(5), pp. 1–9. Available at: https://doi.org/10.1159/000533424.</w:t>
      </w:r>
    </w:p>
    <w:p w14:paraId="639B6A9D"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MacCarthy, D.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(2012) ‘Improving primary care in British Columbia, Canada: evaluation of a peer-to-peer continuing education program for family physicians’, </w:t>
      </w:r>
      <w:r w:rsidRPr="00AC4872">
        <w:rPr>
          <w:rFonts w:eastAsia="Times New Roman"/>
          <w:i/>
          <w:iCs/>
          <w:kern w:val="0"/>
          <w:szCs w:val="22"/>
          <w:lang w:eastAsia="en-GB"/>
          <w14:ligatures w14:val="none"/>
        </w:rPr>
        <w:t>BMC Medical Education</w:t>
      </w:r>
      <w:r w:rsidRPr="00AC4872">
        <w:rPr>
          <w:rFonts w:eastAsia="Times New Roman"/>
          <w:kern w:val="0"/>
          <w:szCs w:val="22"/>
          <w:lang w:eastAsia="en-GB"/>
          <w14:ligatures w14:val="none"/>
        </w:rPr>
        <w:t>, 12(1). Available at: https://doi.org/10.1186/1472-6920-12-110.</w:t>
      </w:r>
    </w:p>
    <w:p w14:paraId="5C55F84D"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Moberg, M.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(2025) ‘School nurses’ perceptions and experiences of delivering a universal health-promotion program targeting both children and parents in the Swedish primary school context’, </w:t>
      </w:r>
      <w:r w:rsidRPr="00AC4872">
        <w:rPr>
          <w:rFonts w:eastAsia="Times New Roman"/>
          <w:i/>
          <w:iCs/>
          <w:kern w:val="0"/>
          <w:szCs w:val="22"/>
          <w:lang w:eastAsia="en-GB"/>
          <w14:ligatures w14:val="none"/>
        </w:rPr>
        <w:t>BMC Nursing</w:t>
      </w:r>
      <w:r w:rsidRPr="00AC4872">
        <w:rPr>
          <w:rFonts w:eastAsia="Times New Roman"/>
          <w:kern w:val="0"/>
          <w:szCs w:val="22"/>
          <w:lang w:eastAsia="en-GB"/>
          <w14:ligatures w14:val="none"/>
        </w:rPr>
        <w:t>, 24(1). Available at: https://doi.org/10.1186/s12912-025-03806-2.</w:t>
      </w:r>
    </w:p>
    <w:p w14:paraId="6923980F"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NHS England (2023) </w:t>
      </w:r>
      <w:r w:rsidRPr="00AC4872">
        <w:rPr>
          <w:rFonts w:eastAsia="Times New Roman"/>
          <w:i/>
          <w:iCs/>
          <w:kern w:val="0"/>
          <w:szCs w:val="22"/>
          <w:lang w:eastAsia="en-GB"/>
          <w14:ligatures w14:val="none"/>
        </w:rPr>
        <w:t>NHS talking therapies, for anxiety and depression</w:t>
      </w:r>
      <w:r w:rsidRPr="00AC4872">
        <w:rPr>
          <w:rFonts w:eastAsia="Times New Roman"/>
          <w:kern w:val="0"/>
          <w:szCs w:val="22"/>
          <w:lang w:eastAsia="en-GB"/>
          <w14:ligatures w14:val="none"/>
        </w:rPr>
        <w:t xml:space="preserve">, </w:t>
      </w:r>
      <w:r w:rsidRPr="00AC4872">
        <w:rPr>
          <w:rFonts w:eastAsia="Times New Roman"/>
          <w:i/>
          <w:iCs/>
          <w:kern w:val="0"/>
          <w:szCs w:val="22"/>
          <w:lang w:eastAsia="en-GB"/>
          <w14:ligatures w14:val="none"/>
        </w:rPr>
        <w:t>www.england.nhs.uk</w:t>
      </w:r>
      <w:r w:rsidRPr="00AC4872">
        <w:rPr>
          <w:rFonts w:eastAsia="Times New Roman"/>
          <w:kern w:val="0"/>
          <w:szCs w:val="22"/>
          <w:lang w:eastAsia="en-GB"/>
          <w14:ligatures w14:val="none"/>
        </w:rPr>
        <w:t>. Available at: https://www.england.nhs.uk/mental-health/adults/nhs-talking-therapies/ (Accessed: 29 October 2025).</w:t>
      </w:r>
    </w:p>
    <w:p w14:paraId="158D5B7B"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NICE (2022) </w:t>
      </w:r>
      <w:r w:rsidRPr="00AC4872">
        <w:rPr>
          <w:rFonts w:eastAsia="Times New Roman"/>
          <w:i/>
          <w:iCs/>
          <w:kern w:val="0"/>
          <w:szCs w:val="22"/>
          <w:lang w:eastAsia="en-GB"/>
          <w14:ligatures w14:val="none"/>
        </w:rPr>
        <w:t>Overview | Self-harm: Assessment, Management and Preventing Recurrence | Guidance | NICE</w:t>
      </w:r>
      <w:r w:rsidRPr="00AC4872">
        <w:rPr>
          <w:rFonts w:eastAsia="Times New Roman"/>
          <w:kern w:val="0"/>
          <w:szCs w:val="22"/>
          <w:lang w:eastAsia="en-GB"/>
          <w14:ligatures w14:val="none"/>
        </w:rPr>
        <w:t xml:space="preserve">, </w:t>
      </w:r>
      <w:r w:rsidRPr="00AC4872">
        <w:rPr>
          <w:rFonts w:eastAsia="Times New Roman"/>
          <w:i/>
          <w:iCs/>
          <w:kern w:val="0"/>
          <w:szCs w:val="22"/>
          <w:lang w:eastAsia="en-GB"/>
          <w14:ligatures w14:val="none"/>
        </w:rPr>
        <w:t>www.nice.org.uk</w:t>
      </w:r>
      <w:r w:rsidRPr="00AC4872">
        <w:rPr>
          <w:rFonts w:eastAsia="Times New Roman"/>
          <w:kern w:val="0"/>
          <w:szCs w:val="22"/>
          <w:lang w:eastAsia="en-GB"/>
          <w14:ligatures w14:val="none"/>
        </w:rPr>
        <w:t>. National Institute for Health and Care Excellence. Available at: https://www.nice.org.uk/guidance/NG225 (Accessed: 29 October 2025).</w:t>
      </w:r>
    </w:p>
    <w:p w14:paraId="6AFB43F7"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O’Hara, K.L.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(2019) ‘Coping in context: The effects of long-term relations between interparental conflict and coping on the development of child psychopathology following parental divorce’, </w:t>
      </w:r>
      <w:r w:rsidRPr="00AC4872">
        <w:rPr>
          <w:rFonts w:eastAsia="Times New Roman"/>
          <w:i/>
          <w:iCs/>
          <w:kern w:val="0"/>
          <w:szCs w:val="22"/>
          <w:lang w:eastAsia="en-GB"/>
          <w14:ligatures w14:val="none"/>
        </w:rPr>
        <w:t>Development and Psychopathology</w:t>
      </w:r>
      <w:r w:rsidRPr="00AC4872">
        <w:rPr>
          <w:rFonts w:eastAsia="Times New Roman"/>
          <w:kern w:val="0"/>
          <w:szCs w:val="22"/>
          <w:lang w:eastAsia="en-GB"/>
          <w14:ligatures w14:val="none"/>
        </w:rPr>
        <w:t>, 31(5), pp. 1695–1713. Available at: https://doi.org/10.1017/s0954579419000981.</w:t>
      </w:r>
    </w:p>
    <w:p w14:paraId="446B431B"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Palmtag, E.-L. (2022) ‘Like ripples on a pond: The long-term consequences of parental separation and conflicts in childhood on adult children’s self-rated health’, </w:t>
      </w:r>
      <w:r w:rsidRPr="00AC4872">
        <w:rPr>
          <w:rFonts w:eastAsia="Times New Roman"/>
          <w:i/>
          <w:iCs/>
          <w:kern w:val="0"/>
          <w:szCs w:val="22"/>
          <w:lang w:eastAsia="en-GB"/>
          <w14:ligatures w14:val="none"/>
        </w:rPr>
        <w:t>SSM - Population Health</w:t>
      </w:r>
      <w:r w:rsidRPr="00AC4872">
        <w:rPr>
          <w:rFonts w:eastAsia="Times New Roman"/>
          <w:kern w:val="0"/>
          <w:szCs w:val="22"/>
          <w:lang w:eastAsia="en-GB"/>
          <w14:ligatures w14:val="none"/>
        </w:rPr>
        <w:t>, 18, p. 101100. Available at: https://doi.org/10.1016/j.ssmph.2022.101100.</w:t>
      </w:r>
    </w:p>
    <w:p w14:paraId="61FA3DB2"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Riley, A.R. (2020) ‘Advancing the study of health inequality: Fundamental causes as systems of exposure’, </w:t>
      </w:r>
      <w:r w:rsidRPr="00AC4872">
        <w:rPr>
          <w:rFonts w:eastAsia="Times New Roman"/>
          <w:i/>
          <w:iCs/>
          <w:kern w:val="0"/>
          <w:szCs w:val="22"/>
          <w:lang w:eastAsia="en-GB"/>
          <w14:ligatures w14:val="none"/>
        </w:rPr>
        <w:t>SSM - Population Health</w:t>
      </w:r>
      <w:r w:rsidRPr="00AC4872">
        <w:rPr>
          <w:rFonts w:eastAsia="Times New Roman"/>
          <w:kern w:val="0"/>
          <w:szCs w:val="22"/>
          <w:lang w:eastAsia="en-GB"/>
          <w14:ligatures w14:val="none"/>
        </w:rPr>
        <w:t>, 10, p. 100555. Available at: https://doi.org/10.1016/j.ssmph.2020.100555.</w:t>
      </w:r>
    </w:p>
    <w:p w14:paraId="581DBC2A"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Saunders, K.R.K.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(2023) ‘A Scoping Review of Trauma Informed Approaches in acute, crisis, emergency, and Residential Mental Health Care’, </w:t>
      </w:r>
      <w:r w:rsidRPr="00AC4872">
        <w:rPr>
          <w:rFonts w:eastAsia="Times New Roman"/>
          <w:i/>
          <w:iCs/>
          <w:kern w:val="0"/>
          <w:szCs w:val="22"/>
          <w:lang w:eastAsia="en-GB"/>
          <w14:ligatures w14:val="none"/>
        </w:rPr>
        <w:t>BMC Psychiatry</w:t>
      </w:r>
      <w:r w:rsidRPr="00AC4872">
        <w:rPr>
          <w:rFonts w:eastAsia="Times New Roman"/>
          <w:kern w:val="0"/>
          <w:szCs w:val="22"/>
          <w:lang w:eastAsia="en-GB"/>
          <w14:ligatures w14:val="none"/>
        </w:rPr>
        <w:t>, 23(1). Available at: https://doi.org/10.1186/s12888-023-05016-z.</w:t>
      </w:r>
    </w:p>
    <w:p w14:paraId="07C883AF"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Smyth, R. and McSherry, D. (2024) ‘ACE Enquiry in Primary care: A Qualitative Exploration of the Perspective of General Practitioners in Northern Ireland’, </w:t>
      </w:r>
      <w:r w:rsidRPr="00AC4872">
        <w:rPr>
          <w:rFonts w:eastAsia="Times New Roman"/>
          <w:i/>
          <w:iCs/>
          <w:kern w:val="0"/>
          <w:szCs w:val="22"/>
          <w:lang w:eastAsia="en-GB"/>
          <w14:ligatures w14:val="none"/>
        </w:rPr>
        <w:t>Journal of Child &amp; Adolescent Trauma</w:t>
      </w:r>
      <w:r w:rsidRPr="00AC4872">
        <w:rPr>
          <w:rFonts w:eastAsia="Times New Roman"/>
          <w:kern w:val="0"/>
          <w:szCs w:val="22"/>
          <w:lang w:eastAsia="en-GB"/>
          <w14:ligatures w14:val="none"/>
        </w:rPr>
        <w:t>, 18(1), pp. 57–70. Available at: https://doi.org/10.1007/s40653-024-00660-3.</w:t>
      </w:r>
    </w:p>
    <w:p w14:paraId="32707DAF"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Stewart, E.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(2022) ‘Transforming primary care in Scotland: a critical policy analysis’, </w:t>
      </w:r>
      <w:r w:rsidRPr="00AC4872">
        <w:rPr>
          <w:rFonts w:eastAsia="Times New Roman"/>
          <w:i/>
          <w:iCs/>
          <w:kern w:val="0"/>
          <w:szCs w:val="22"/>
          <w:lang w:eastAsia="en-GB"/>
          <w14:ligatures w14:val="none"/>
        </w:rPr>
        <w:t>British Journal of General Practice</w:t>
      </w:r>
      <w:r w:rsidRPr="00AC4872">
        <w:rPr>
          <w:rFonts w:eastAsia="Times New Roman"/>
          <w:kern w:val="0"/>
          <w:szCs w:val="22"/>
          <w:lang w:eastAsia="en-GB"/>
          <w14:ligatures w14:val="none"/>
        </w:rPr>
        <w:t>, 72(719), pp. 292–294. Available at: https://doi.org/10.3399/bjgp22x719765.</w:t>
      </w:r>
    </w:p>
    <w:p w14:paraId="20926364"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Sun, J.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(2025) ‘Assessing the role of parent-child conflict and closeness in children’s depression: insights from a meta-analysis’, </w:t>
      </w:r>
      <w:r w:rsidRPr="00AC4872">
        <w:rPr>
          <w:rFonts w:eastAsia="Times New Roman"/>
          <w:i/>
          <w:iCs/>
          <w:kern w:val="0"/>
          <w:szCs w:val="22"/>
          <w:lang w:eastAsia="en-GB"/>
          <w14:ligatures w14:val="none"/>
        </w:rPr>
        <w:t>Child and Adolescent Psychiatry and Mental Health</w:t>
      </w:r>
      <w:r w:rsidRPr="00AC4872">
        <w:rPr>
          <w:rFonts w:eastAsia="Times New Roman"/>
          <w:kern w:val="0"/>
          <w:szCs w:val="22"/>
          <w:lang w:eastAsia="en-GB"/>
          <w14:ligatures w14:val="none"/>
        </w:rPr>
        <w:t>, 19(1). Available at: https://doi.org/10.1186/s13034-025-00955-9.</w:t>
      </w:r>
    </w:p>
    <w:p w14:paraId="2AFBAB60"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Tang, A.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(2023) ‘Parent-child separation and cardiometabolic outcomes and risk factors in adulthood: A systematic review’, </w:t>
      </w:r>
      <w:r w:rsidRPr="00AC4872">
        <w:rPr>
          <w:rFonts w:eastAsia="Times New Roman"/>
          <w:i/>
          <w:iCs/>
          <w:kern w:val="0"/>
          <w:szCs w:val="22"/>
          <w:lang w:eastAsia="en-GB"/>
          <w14:ligatures w14:val="none"/>
        </w:rPr>
        <w:t>Psychoneuroendocrinology</w:t>
      </w:r>
      <w:r w:rsidRPr="00AC4872">
        <w:rPr>
          <w:rFonts w:eastAsia="Times New Roman"/>
          <w:kern w:val="0"/>
          <w:szCs w:val="22"/>
          <w:lang w:eastAsia="en-GB"/>
          <w14:ligatures w14:val="none"/>
        </w:rPr>
        <w:t>, 152, pp. 106084–106084. Available at: https://doi.org/10.1016/j.psyneuen.2023.106084.</w:t>
      </w:r>
    </w:p>
    <w:p w14:paraId="13EA569F"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Thomson, L. (2024) ‘Barriers and Enablers of Integrated Care in the UK: a Rapid Evidence Review of Review Articles and Grey Literature 2018–2022’, </w:t>
      </w:r>
      <w:r w:rsidRPr="00AC4872">
        <w:rPr>
          <w:rFonts w:eastAsia="Times New Roman"/>
          <w:i/>
          <w:iCs/>
          <w:kern w:val="0"/>
          <w:szCs w:val="22"/>
          <w:lang w:eastAsia="en-GB"/>
          <w14:ligatures w14:val="none"/>
        </w:rPr>
        <w:t>Frontiers in Public Health</w:t>
      </w:r>
      <w:r w:rsidRPr="00AC4872">
        <w:rPr>
          <w:rFonts w:eastAsia="Times New Roman"/>
          <w:kern w:val="0"/>
          <w:szCs w:val="22"/>
          <w:lang w:eastAsia="en-GB"/>
          <w14:ligatures w14:val="none"/>
        </w:rPr>
        <w:t>, 11(1). Available at: https://doi.org/10.3389/fpubh.2023.1286479.</w:t>
      </w:r>
    </w:p>
    <w:p w14:paraId="2009D5F3"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Trinh, H.H.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(2025) ‘Impacts of Adverse Childhood Experiences on Mental Health and Satisfaction With Life in First-Year College Students: Results From a Cross-Sectional Study in Vietnam’, </w:t>
      </w:r>
      <w:r w:rsidRPr="00AC4872">
        <w:rPr>
          <w:rFonts w:eastAsia="Times New Roman"/>
          <w:i/>
          <w:iCs/>
          <w:kern w:val="0"/>
          <w:szCs w:val="22"/>
          <w:lang w:eastAsia="en-GB"/>
          <w14:ligatures w14:val="none"/>
        </w:rPr>
        <w:t>Psychiatry Investigation</w:t>
      </w:r>
      <w:r w:rsidRPr="00AC4872">
        <w:rPr>
          <w:rFonts w:eastAsia="Times New Roman"/>
          <w:kern w:val="0"/>
          <w:szCs w:val="22"/>
          <w:lang w:eastAsia="en-GB"/>
          <w14:ligatures w14:val="none"/>
        </w:rPr>
        <w:t>, 22(8), pp. 939–948. Available at: https://doi.org/10.30773/pi.2025.0068.</w:t>
      </w:r>
    </w:p>
    <w:p w14:paraId="346189FE"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Viglione, C.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(2025) ‘The California adverse childhood experiences screening roll-out: a survey study of ACEs screening implementation in primary care’, </w:t>
      </w:r>
      <w:r w:rsidRPr="00AC4872">
        <w:rPr>
          <w:rFonts w:eastAsia="Times New Roman"/>
          <w:i/>
          <w:iCs/>
          <w:kern w:val="0"/>
          <w:szCs w:val="22"/>
          <w:lang w:eastAsia="en-GB"/>
          <w14:ligatures w14:val="none"/>
        </w:rPr>
        <w:t>Frontiers in Public Health</w:t>
      </w:r>
      <w:r w:rsidRPr="00AC4872">
        <w:rPr>
          <w:rFonts w:eastAsia="Times New Roman"/>
          <w:kern w:val="0"/>
          <w:szCs w:val="22"/>
          <w:lang w:eastAsia="en-GB"/>
          <w14:ligatures w14:val="none"/>
        </w:rPr>
        <w:t>, 13. Available at: https://doi.org/10.3389/fpubh.2025.1446555.</w:t>
      </w:r>
    </w:p>
    <w:p w14:paraId="1CF7B064"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Webster, E. (2022) ‘The Impact of Adverse Childhood Experiences on Health and Development in Young Children’, </w:t>
      </w:r>
      <w:r w:rsidRPr="00AC4872">
        <w:rPr>
          <w:rFonts w:eastAsia="Times New Roman"/>
          <w:i/>
          <w:iCs/>
          <w:kern w:val="0"/>
          <w:szCs w:val="22"/>
          <w:lang w:eastAsia="en-GB"/>
          <w14:ligatures w14:val="none"/>
        </w:rPr>
        <w:t>Global Pediatric Health</w:t>
      </w:r>
      <w:r w:rsidRPr="00AC4872">
        <w:rPr>
          <w:rFonts w:eastAsia="Times New Roman"/>
          <w:kern w:val="0"/>
          <w:szCs w:val="22"/>
          <w:lang w:eastAsia="en-GB"/>
          <w14:ligatures w14:val="none"/>
        </w:rPr>
        <w:t>, 9(9). Available at: https://doi.org/10.1177/2333794X221078708.</w:t>
      </w:r>
    </w:p>
    <w:p w14:paraId="65369B02" w14:textId="77777777" w:rsidR="00AC4872" w:rsidRPr="00AC4872" w:rsidRDefault="00AC4872" w:rsidP="00D6439B">
      <w:pPr>
        <w:spacing w:after="240"/>
        <w:jc w:val="both"/>
        <w:rPr>
          <w:rFonts w:eastAsia="Times New Roman"/>
          <w:kern w:val="0"/>
          <w:szCs w:val="22"/>
          <w:lang w:eastAsia="en-GB"/>
          <w14:ligatures w14:val="none"/>
        </w:rPr>
      </w:pPr>
      <w:r w:rsidRPr="00AC4872">
        <w:rPr>
          <w:rFonts w:eastAsia="Times New Roman"/>
          <w:kern w:val="0"/>
          <w:szCs w:val="22"/>
          <w:lang w:eastAsia="en-GB"/>
          <w14:ligatures w14:val="none"/>
        </w:rPr>
        <w:t xml:space="preserve">Zarse, E.M. </w:t>
      </w:r>
      <w:r w:rsidRPr="00AC4872">
        <w:rPr>
          <w:rFonts w:eastAsia="Times New Roman"/>
          <w:i/>
          <w:iCs/>
          <w:kern w:val="0"/>
          <w:szCs w:val="22"/>
          <w:lang w:eastAsia="en-GB"/>
          <w14:ligatures w14:val="none"/>
        </w:rPr>
        <w:t>et al.</w:t>
      </w:r>
      <w:r w:rsidRPr="00AC4872">
        <w:rPr>
          <w:rFonts w:eastAsia="Times New Roman"/>
          <w:kern w:val="0"/>
          <w:szCs w:val="22"/>
          <w:lang w:eastAsia="en-GB"/>
          <w14:ligatures w14:val="none"/>
        </w:rPr>
        <w:t xml:space="preserve"> (2019) ‘The adverse childhood experiences questionnaire: two decades of research on childhood trauma as a primary cause of adult mental illness, addiction, and medical diseases’, </w:t>
      </w:r>
      <w:r w:rsidRPr="00AC4872">
        <w:rPr>
          <w:rFonts w:eastAsia="Times New Roman"/>
          <w:i/>
          <w:iCs/>
          <w:kern w:val="0"/>
          <w:szCs w:val="22"/>
          <w:lang w:eastAsia="en-GB"/>
          <w14:ligatures w14:val="none"/>
        </w:rPr>
        <w:t>Cogent Medicine</w:t>
      </w:r>
      <w:r w:rsidRPr="00AC4872">
        <w:rPr>
          <w:rFonts w:eastAsia="Times New Roman"/>
          <w:kern w:val="0"/>
          <w:szCs w:val="22"/>
          <w:lang w:eastAsia="en-GB"/>
          <w14:ligatures w14:val="none"/>
        </w:rPr>
        <w:t>. Edited by U. Schumacher, 6(1). Available at: https://doi.org/10.1080/2331205x.2019.1581447.</w:t>
      </w:r>
    </w:p>
    <w:p w14:paraId="6E5EB2F7" w14:textId="77777777" w:rsidR="00D53101" w:rsidRPr="00D6439B" w:rsidRDefault="00D53101" w:rsidP="00D6439B">
      <w:pPr>
        <w:jc w:val="both"/>
        <w:rPr>
          <w:szCs w:val="22"/>
        </w:rPr>
      </w:pPr>
    </w:p>
    <w:sectPr w:rsidR="00D53101" w:rsidRPr="00D643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B7C"/>
    <w:multiLevelType w:val="multilevel"/>
    <w:tmpl w:val="259A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F7AD3"/>
    <w:multiLevelType w:val="multilevel"/>
    <w:tmpl w:val="7290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0E221D"/>
    <w:multiLevelType w:val="multilevel"/>
    <w:tmpl w:val="D99C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CD14DA"/>
    <w:multiLevelType w:val="multilevel"/>
    <w:tmpl w:val="516C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465607">
    <w:abstractNumId w:val="2"/>
  </w:num>
  <w:num w:numId="2" w16cid:durableId="1175609393">
    <w:abstractNumId w:val="3"/>
  </w:num>
  <w:num w:numId="3" w16cid:durableId="2061510129">
    <w:abstractNumId w:val="0"/>
  </w:num>
  <w:num w:numId="4" w16cid:durableId="2007243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4"/>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56B"/>
    <w:rsid w:val="00023AF1"/>
    <w:rsid w:val="00036311"/>
    <w:rsid w:val="000363C5"/>
    <w:rsid w:val="00084CDB"/>
    <w:rsid w:val="000B743B"/>
    <w:rsid w:val="000D37A4"/>
    <w:rsid w:val="000D3BEC"/>
    <w:rsid w:val="00115F42"/>
    <w:rsid w:val="001511DC"/>
    <w:rsid w:val="00177802"/>
    <w:rsid w:val="001D3A7C"/>
    <w:rsid w:val="00225138"/>
    <w:rsid w:val="00273ED2"/>
    <w:rsid w:val="002A198D"/>
    <w:rsid w:val="002A5235"/>
    <w:rsid w:val="002B1585"/>
    <w:rsid w:val="002C3D9D"/>
    <w:rsid w:val="00322E17"/>
    <w:rsid w:val="00340028"/>
    <w:rsid w:val="00340BC0"/>
    <w:rsid w:val="00351667"/>
    <w:rsid w:val="003627ED"/>
    <w:rsid w:val="00384187"/>
    <w:rsid w:val="003A0DCD"/>
    <w:rsid w:val="003B3C3D"/>
    <w:rsid w:val="003F5C95"/>
    <w:rsid w:val="00410798"/>
    <w:rsid w:val="00437888"/>
    <w:rsid w:val="00461624"/>
    <w:rsid w:val="00474D0A"/>
    <w:rsid w:val="004C68E5"/>
    <w:rsid w:val="004F1047"/>
    <w:rsid w:val="005348CF"/>
    <w:rsid w:val="00544ADA"/>
    <w:rsid w:val="00595D4D"/>
    <w:rsid w:val="005C3FFD"/>
    <w:rsid w:val="005E4BF9"/>
    <w:rsid w:val="00600978"/>
    <w:rsid w:val="0062456B"/>
    <w:rsid w:val="00686521"/>
    <w:rsid w:val="006A2775"/>
    <w:rsid w:val="006B1E05"/>
    <w:rsid w:val="006D0637"/>
    <w:rsid w:val="007037AD"/>
    <w:rsid w:val="007174F9"/>
    <w:rsid w:val="00773B01"/>
    <w:rsid w:val="007A0739"/>
    <w:rsid w:val="007B1B85"/>
    <w:rsid w:val="007F50EF"/>
    <w:rsid w:val="00804503"/>
    <w:rsid w:val="008649BB"/>
    <w:rsid w:val="0088080A"/>
    <w:rsid w:val="00883311"/>
    <w:rsid w:val="008E1A32"/>
    <w:rsid w:val="008E6BB3"/>
    <w:rsid w:val="00975979"/>
    <w:rsid w:val="009825B6"/>
    <w:rsid w:val="009A3B63"/>
    <w:rsid w:val="009B14D7"/>
    <w:rsid w:val="009B6E16"/>
    <w:rsid w:val="009C6DAB"/>
    <w:rsid w:val="00A04CE6"/>
    <w:rsid w:val="00A061CD"/>
    <w:rsid w:val="00A452CA"/>
    <w:rsid w:val="00AC3211"/>
    <w:rsid w:val="00AC4872"/>
    <w:rsid w:val="00B3634F"/>
    <w:rsid w:val="00BD6CCB"/>
    <w:rsid w:val="00BE4882"/>
    <w:rsid w:val="00BF1502"/>
    <w:rsid w:val="00C27AF4"/>
    <w:rsid w:val="00C4516B"/>
    <w:rsid w:val="00C624CF"/>
    <w:rsid w:val="00C81978"/>
    <w:rsid w:val="00CF52E9"/>
    <w:rsid w:val="00D53101"/>
    <w:rsid w:val="00D6439B"/>
    <w:rsid w:val="00D6540A"/>
    <w:rsid w:val="00D95A10"/>
    <w:rsid w:val="00D9739B"/>
    <w:rsid w:val="00DA4AE0"/>
    <w:rsid w:val="00DD3152"/>
    <w:rsid w:val="00DE4218"/>
    <w:rsid w:val="00DF36FF"/>
    <w:rsid w:val="00E01E0C"/>
    <w:rsid w:val="00E947F1"/>
    <w:rsid w:val="00EC3D04"/>
    <w:rsid w:val="00F26528"/>
    <w:rsid w:val="00F5041D"/>
    <w:rsid w:val="00F925C5"/>
    <w:rsid w:val="00FB6C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552DE"/>
  <w15:chartTrackingRefBased/>
  <w15:docId w15:val="{D8DE0D65-47B5-444F-9118-55407913D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BC0"/>
    <w:pPr>
      <w:spacing w:line="360" w:lineRule="auto"/>
    </w:pPr>
    <w:rPr>
      <w:rFonts w:asciiTheme="minorBidi" w:hAnsiTheme="minorBidi"/>
      <w:sz w:val="22"/>
    </w:rPr>
  </w:style>
  <w:style w:type="paragraph" w:styleId="Heading1">
    <w:name w:val="heading 1"/>
    <w:basedOn w:val="Normal"/>
    <w:next w:val="Normal"/>
    <w:link w:val="Heading1Char"/>
    <w:uiPriority w:val="9"/>
    <w:qFormat/>
    <w:rsid w:val="00340BC0"/>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340BC0"/>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62456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2456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2456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456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456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456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BC0"/>
    <w:rPr>
      <w:rFonts w:asciiTheme="minorBidi" w:eastAsiaTheme="majorEastAsia" w:hAnsiTheme="minorBidi" w:cstheme="majorBidi"/>
      <w:b/>
      <w:color w:val="0F4761" w:themeColor="accent1" w:themeShade="BF"/>
      <w:sz w:val="32"/>
      <w:szCs w:val="40"/>
    </w:rPr>
  </w:style>
  <w:style w:type="character" w:customStyle="1" w:styleId="Heading2Char">
    <w:name w:val="Heading 2 Char"/>
    <w:basedOn w:val="DefaultParagraphFont"/>
    <w:link w:val="Heading2"/>
    <w:uiPriority w:val="9"/>
    <w:rsid w:val="00340BC0"/>
    <w:rPr>
      <w:rFonts w:asciiTheme="minorBidi" w:eastAsiaTheme="majorEastAsia" w:hAnsiTheme="minorBidi" w:cstheme="majorBidi"/>
      <w:b/>
      <w:color w:val="0F4761" w:themeColor="accent1" w:themeShade="BF"/>
      <w:sz w:val="28"/>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6245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5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56B"/>
    <w:rPr>
      <w:rFonts w:eastAsiaTheme="majorEastAsia" w:cstheme="majorBidi"/>
      <w:color w:val="272727" w:themeColor="text1" w:themeTint="D8"/>
    </w:rPr>
  </w:style>
  <w:style w:type="paragraph" w:styleId="Title">
    <w:name w:val="Title"/>
    <w:basedOn w:val="Normal"/>
    <w:next w:val="Normal"/>
    <w:link w:val="TitleChar"/>
    <w:uiPriority w:val="10"/>
    <w:qFormat/>
    <w:rsid w:val="00624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56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56B"/>
    <w:pPr>
      <w:spacing w:before="160"/>
      <w:jc w:val="center"/>
    </w:pPr>
    <w:rPr>
      <w:i/>
      <w:iCs/>
      <w:color w:val="404040" w:themeColor="text1" w:themeTint="BF"/>
    </w:rPr>
  </w:style>
  <w:style w:type="character" w:customStyle="1" w:styleId="QuoteChar">
    <w:name w:val="Quote Char"/>
    <w:basedOn w:val="DefaultParagraphFont"/>
    <w:link w:val="Quote"/>
    <w:uiPriority w:val="29"/>
    <w:rsid w:val="0062456B"/>
    <w:rPr>
      <w:rFonts w:asciiTheme="majorBidi" w:hAnsiTheme="majorBidi"/>
      <w:i/>
      <w:iCs/>
      <w:color w:val="404040" w:themeColor="text1" w:themeTint="BF"/>
    </w:rPr>
  </w:style>
  <w:style w:type="paragraph" w:styleId="ListParagraph">
    <w:name w:val="List Paragraph"/>
    <w:basedOn w:val="Normal"/>
    <w:uiPriority w:val="34"/>
    <w:qFormat/>
    <w:rsid w:val="0062456B"/>
    <w:pPr>
      <w:ind w:left="720"/>
      <w:contextualSpacing/>
    </w:pPr>
  </w:style>
  <w:style w:type="character" w:styleId="IntenseEmphasis">
    <w:name w:val="Intense Emphasis"/>
    <w:basedOn w:val="DefaultParagraphFont"/>
    <w:uiPriority w:val="21"/>
    <w:qFormat/>
    <w:rsid w:val="0062456B"/>
    <w:rPr>
      <w:i/>
      <w:iCs/>
      <w:color w:val="0F4761" w:themeColor="accent1" w:themeShade="BF"/>
    </w:rPr>
  </w:style>
  <w:style w:type="paragraph" w:styleId="IntenseQuote">
    <w:name w:val="Intense Quote"/>
    <w:basedOn w:val="Normal"/>
    <w:next w:val="Normal"/>
    <w:link w:val="IntenseQuoteChar"/>
    <w:uiPriority w:val="30"/>
    <w:qFormat/>
    <w:rsid w:val="006245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56B"/>
    <w:rPr>
      <w:rFonts w:asciiTheme="majorBidi" w:hAnsiTheme="majorBidi"/>
      <w:i/>
      <w:iCs/>
      <w:color w:val="0F4761" w:themeColor="accent1" w:themeShade="BF"/>
    </w:rPr>
  </w:style>
  <w:style w:type="character" w:styleId="IntenseReference">
    <w:name w:val="Intense Reference"/>
    <w:basedOn w:val="DefaultParagraphFont"/>
    <w:uiPriority w:val="32"/>
    <w:qFormat/>
    <w:rsid w:val="0062456B"/>
    <w:rPr>
      <w:b/>
      <w:bCs/>
      <w:smallCaps/>
      <w:color w:val="0F4761" w:themeColor="accent1" w:themeShade="BF"/>
      <w:spacing w:val="5"/>
    </w:rPr>
  </w:style>
  <w:style w:type="paragraph" w:styleId="NormalWeb">
    <w:name w:val="Normal (Web)"/>
    <w:basedOn w:val="Normal"/>
    <w:uiPriority w:val="99"/>
    <w:unhideWhenUsed/>
    <w:rsid w:val="00C819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819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4880</Words>
  <Characters>27816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Noreen Akhtar</cp:lastModifiedBy>
  <cp:revision>2</cp:revision>
  <dcterms:created xsi:type="dcterms:W3CDTF">2025-12-04T19:40:00Z</dcterms:created>
  <dcterms:modified xsi:type="dcterms:W3CDTF">2025-12-04T19:40:00Z</dcterms:modified>
</cp:coreProperties>
</file>