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4C0BF" w14:textId="1424AD13" w:rsidR="00E61198" w:rsidRDefault="00E61198" w:rsidP="00BF2E56">
      <w:pPr>
        <w:jc w:val="center"/>
        <w:rPr>
          <w:rFonts w:ascii="Arial" w:hAnsi="Arial" w:cs="Arial"/>
          <w:b/>
        </w:rPr>
      </w:pPr>
      <w:r>
        <w:rPr>
          <w:b/>
          <w:noProof/>
        </w:rPr>
        <w:drawing>
          <wp:inline distT="0" distB="0" distL="0" distR="0" wp14:anchorId="15CA62BF" wp14:editId="103AF51C">
            <wp:extent cx="2400300" cy="885825"/>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8" cstate="print"/>
                    <a:stretch>
                      <a:fillRect/>
                    </a:stretch>
                  </pic:blipFill>
                  <pic:spPr bwMode="auto">
                    <a:xfrm>
                      <a:off x="0" y="0"/>
                      <a:ext cx="2400300" cy="885825"/>
                    </a:xfrm>
                    <a:prstGeom prst="rect">
                      <a:avLst/>
                    </a:prstGeom>
                    <a:noFill/>
                    <a:ln w="9525">
                      <a:noFill/>
                      <a:miter lim="800000"/>
                      <a:headEnd/>
                      <a:tailEnd/>
                    </a:ln>
                  </pic:spPr>
                </pic:pic>
              </a:graphicData>
            </a:graphic>
          </wp:inline>
        </w:drawing>
      </w:r>
    </w:p>
    <w:p w14:paraId="5E105F45" w14:textId="3523C673" w:rsidR="00E61198" w:rsidRDefault="00E61198" w:rsidP="00BF2E56">
      <w:pPr>
        <w:jc w:val="center"/>
        <w:rPr>
          <w:rFonts w:ascii="Arial" w:hAnsi="Arial" w:cs="Arial"/>
          <w:b/>
        </w:rPr>
      </w:pPr>
    </w:p>
    <w:p w14:paraId="38810CFC" w14:textId="77777777" w:rsidR="00E61198" w:rsidRDefault="00E61198" w:rsidP="00BF2E56">
      <w:pPr>
        <w:jc w:val="center"/>
        <w:rPr>
          <w:rFonts w:ascii="Arial" w:hAnsi="Arial" w:cs="Arial"/>
          <w:b/>
        </w:rPr>
      </w:pPr>
    </w:p>
    <w:p w14:paraId="1E9F1C37" w14:textId="77777777" w:rsidR="00E61198" w:rsidRDefault="00E61198" w:rsidP="00BF2E56">
      <w:pPr>
        <w:jc w:val="center"/>
        <w:rPr>
          <w:rFonts w:ascii="Arial" w:hAnsi="Arial" w:cs="Arial"/>
          <w:b/>
        </w:rPr>
      </w:pPr>
      <w:r>
        <w:rPr>
          <w:rFonts w:ascii="Arial" w:hAnsi="Arial" w:cs="Arial"/>
          <w:b/>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61198" w:rsidRPr="00E61198" w14:paraId="21B11765" w14:textId="77777777" w:rsidTr="00026829">
        <w:tc>
          <w:tcPr>
            <w:tcW w:w="3438" w:type="dxa"/>
            <w:shd w:val="clear" w:color="auto" w:fill="D9D9D9" w:themeFill="background1" w:themeFillShade="D9"/>
          </w:tcPr>
          <w:p w14:paraId="49D5BDB2"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Assignment Title:</w:t>
            </w:r>
          </w:p>
        </w:tc>
        <w:tc>
          <w:tcPr>
            <w:tcW w:w="6055" w:type="dxa"/>
          </w:tcPr>
          <w:p w14:paraId="27DB4349" w14:textId="7D74D28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 xml:space="preserve">Assignment </w:t>
            </w:r>
            <w:r>
              <w:rPr>
                <w:rFonts w:cs="Times New Roman"/>
                <w:szCs w:val="24"/>
                <w:lang w:val="en-GB"/>
              </w:rPr>
              <w:t xml:space="preserve">1 – Student Journal </w:t>
            </w:r>
          </w:p>
        </w:tc>
      </w:tr>
      <w:tr w:rsidR="00E61198" w:rsidRPr="00E61198" w14:paraId="78E1176D" w14:textId="77777777" w:rsidTr="00026829">
        <w:tc>
          <w:tcPr>
            <w:tcW w:w="3438" w:type="dxa"/>
            <w:shd w:val="clear" w:color="auto" w:fill="D9D9D9" w:themeFill="background1" w:themeFillShade="D9"/>
          </w:tcPr>
          <w:p w14:paraId="21DB494C"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Student Name:</w:t>
            </w:r>
          </w:p>
        </w:tc>
        <w:tc>
          <w:tcPr>
            <w:tcW w:w="6055" w:type="dxa"/>
          </w:tcPr>
          <w:p w14:paraId="7497A6A6"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CRISTINA ILIUTA</w:t>
            </w:r>
          </w:p>
        </w:tc>
      </w:tr>
      <w:tr w:rsidR="00E61198" w:rsidRPr="00E61198" w14:paraId="02877F87" w14:textId="77777777" w:rsidTr="00026829">
        <w:tc>
          <w:tcPr>
            <w:tcW w:w="3438" w:type="dxa"/>
            <w:shd w:val="clear" w:color="auto" w:fill="D9D9D9" w:themeFill="background1" w:themeFillShade="D9"/>
          </w:tcPr>
          <w:p w14:paraId="6E4CAACE"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Student Number:</w:t>
            </w:r>
          </w:p>
        </w:tc>
        <w:tc>
          <w:tcPr>
            <w:tcW w:w="6055" w:type="dxa"/>
          </w:tcPr>
          <w:p w14:paraId="0E418492"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2212526</w:t>
            </w:r>
          </w:p>
        </w:tc>
      </w:tr>
      <w:tr w:rsidR="00E61198" w:rsidRPr="00E61198" w14:paraId="6E8084D9" w14:textId="77777777" w:rsidTr="00026829">
        <w:tc>
          <w:tcPr>
            <w:tcW w:w="3438" w:type="dxa"/>
            <w:shd w:val="clear" w:color="auto" w:fill="D9D9D9" w:themeFill="background1" w:themeFillShade="D9"/>
          </w:tcPr>
          <w:p w14:paraId="23341125"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Module Code:</w:t>
            </w:r>
          </w:p>
        </w:tc>
        <w:tc>
          <w:tcPr>
            <w:tcW w:w="6055" w:type="dxa"/>
          </w:tcPr>
          <w:p w14:paraId="1F828DA4" w14:textId="52CA525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BMIH400</w:t>
            </w:r>
            <w:r>
              <w:rPr>
                <w:rFonts w:cs="Times New Roman"/>
                <w:szCs w:val="24"/>
                <w:lang w:val="en-GB"/>
              </w:rPr>
              <w:t>2</w:t>
            </w:r>
          </w:p>
        </w:tc>
      </w:tr>
      <w:tr w:rsidR="00E61198" w:rsidRPr="00E61198" w14:paraId="695E7897" w14:textId="77777777" w:rsidTr="00026829">
        <w:trPr>
          <w:trHeight w:val="413"/>
        </w:trPr>
        <w:tc>
          <w:tcPr>
            <w:tcW w:w="3438" w:type="dxa"/>
            <w:shd w:val="clear" w:color="auto" w:fill="D9D9D9" w:themeFill="background1" w:themeFillShade="D9"/>
          </w:tcPr>
          <w:p w14:paraId="5375627B"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Module Title:</w:t>
            </w:r>
          </w:p>
        </w:tc>
        <w:tc>
          <w:tcPr>
            <w:tcW w:w="6055" w:type="dxa"/>
          </w:tcPr>
          <w:p w14:paraId="594FE704" w14:textId="65B66434" w:rsidR="00E61198" w:rsidRPr="00E61198" w:rsidRDefault="00E61198" w:rsidP="00E61198">
            <w:pPr>
              <w:spacing w:before="120" w:after="120" w:line="360" w:lineRule="auto"/>
              <w:jc w:val="both"/>
              <w:rPr>
                <w:rFonts w:cs="Times New Roman"/>
                <w:szCs w:val="24"/>
                <w:lang w:val="en-GB"/>
              </w:rPr>
            </w:pPr>
            <w:r>
              <w:rPr>
                <w:rFonts w:cs="Times New Roman"/>
                <w:szCs w:val="24"/>
                <w:lang w:val="en-GB"/>
              </w:rPr>
              <w:t>Hotel Placement – Food and Beverage Operations</w:t>
            </w:r>
          </w:p>
        </w:tc>
      </w:tr>
      <w:tr w:rsidR="00E61198" w:rsidRPr="00E61198" w14:paraId="6022A23C" w14:textId="77777777" w:rsidTr="00026829">
        <w:trPr>
          <w:trHeight w:val="413"/>
        </w:trPr>
        <w:tc>
          <w:tcPr>
            <w:tcW w:w="3438" w:type="dxa"/>
            <w:shd w:val="clear" w:color="auto" w:fill="D9D9D9" w:themeFill="background1" w:themeFillShade="D9"/>
          </w:tcPr>
          <w:p w14:paraId="68452786" w14:textId="760924EE" w:rsidR="00E61198" w:rsidRPr="00E61198" w:rsidRDefault="00E61198" w:rsidP="00E61198">
            <w:pPr>
              <w:spacing w:before="120" w:after="120" w:line="360" w:lineRule="auto"/>
              <w:jc w:val="both"/>
              <w:rPr>
                <w:rFonts w:cs="Times New Roman"/>
                <w:szCs w:val="24"/>
                <w:lang w:val="en-GB"/>
              </w:rPr>
            </w:pPr>
            <w:r>
              <w:rPr>
                <w:rFonts w:cs="Times New Roman"/>
                <w:szCs w:val="24"/>
                <w:lang w:val="en-GB"/>
              </w:rPr>
              <w:t>Module Lead</w:t>
            </w:r>
          </w:p>
        </w:tc>
        <w:tc>
          <w:tcPr>
            <w:tcW w:w="6055" w:type="dxa"/>
          </w:tcPr>
          <w:p w14:paraId="400A2462" w14:textId="1C73A922" w:rsidR="00E61198" w:rsidRPr="00E61198" w:rsidRDefault="00E61198" w:rsidP="00E61198">
            <w:pPr>
              <w:spacing w:before="120" w:after="120" w:line="360" w:lineRule="auto"/>
              <w:jc w:val="both"/>
              <w:rPr>
                <w:rFonts w:cs="Times New Roman"/>
                <w:szCs w:val="24"/>
                <w:lang w:val="en-GB"/>
              </w:rPr>
            </w:pPr>
            <w:r>
              <w:rPr>
                <w:rFonts w:cs="Times New Roman"/>
                <w:szCs w:val="24"/>
                <w:lang w:val="en-GB"/>
              </w:rPr>
              <w:t>TRISTAN HAWKINS</w:t>
            </w:r>
          </w:p>
        </w:tc>
      </w:tr>
      <w:tr w:rsidR="00E61198" w:rsidRPr="00E61198" w14:paraId="2511A3C9" w14:textId="77777777" w:rsidTr="00026829">
        <w:trPr>
          <w:trHeight w:val="413"/>
        </w:trPr>
        <w:tc>
          <w:tcPr>
            <w:tcW w:w="3438" w:type="dxa"/>
            <w:shd w:val="clear" w:color="auto" w:fill="D9D9D9" w:themeFill="background1" w:themeFillShade="D9"/>
          </w:tcPr>
          <w:p w14:paraId="2BB6C173" w14:textId="7777777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Assignment Wordcount:</w:t>
            </w:r>
          </w:p>
        </w:tc>
        <w:tc>
          <w:tcPr>
            <w:tcW w:w="6055" w:type="dxa"/>
          </w:tcPr>
          <w:p w14:paraId="1D28109A" w14:textId="680EF307" w:rsidR="00E61198" w:rsidRPr="00E61198" w:rsidRDefault="00E61198" w:rsidP="00E61198">
            <w:pPr>
              <w:spacing w:before="120" w:after="120" w:line="360" w:lineRule="auto"/>
              <w:jc w:val="both"/>
              <w:rPr>
                <w:rFonts w:cs="Times New Roman"/>
                <w:szCs w:val="24"/>
                <w:lang w:val="en-GB"/>
              </w:rPr>
            </w:pPr>
            <w:r w:rsidRPr="00E61198">
              <w:rPr>
                <w:rFonts w:cs="Times New Roman"/>
                <w:szCs w:val="24"/>
                <w:lang w:val="en-GB"/>
              </w:rPr>
              <w:t>4</w:t>
            </w:r>
          </w:p>
        </w:tc>
      </w:tr>
    </w:tbl>
    <w:p w14:paraId="712C1335" w14:textId="77777777" w:rsidR="00BF2E56" w:rsidRDefault="0026214F">
      <w:pPr>
        <w:rPr>
          <w:rFonts w:ascii="Arial" w:hAnsi="Arial" w:cs="Arial"/>
          <w:b/>
        </w:rPr>
      </w:pPr>
      <w:r>
        <w:rPr>
          <w:rFonts w:ascii="Arial" w:hAnsi="Arial" w:cs="Arial"/>
          <w:b/>
        </w:rPr>
        <w:br w:type="page"/>
      </w:r>
    </w:p>
    <w:sdt>
      <w:sdtPr>
        <w:rPr>
          <w:rFonts w:ascii="Times New Roman" w:eastAsiaTheme="minorHAnsi" w:hAnsi="Times New Roman" w:cstheme="minorBidi"/>
          <w:color w:val="auto"/>
          <w:sz w:val="24"/>
          <w:szCs w:val="22"/>
        </w:rPr>
        <w:id w:val="-744023391"/>
        <w:docPartObj>
          <w:docPartGallery w:val="Table of Contents"/>
          <w:docPartUnique/>
        </w:docPartObj>
      </w:sdtPr>
      <w:sdtEndPr>
        <w:rPr>
          <w:b/>
          <w:bCs/>
          <w:noProof/>
        </w:rPr>
      </w:sdtEndPr>
      <w:sdtContent>
        <w:p w14:paraId="42E9CDD1" w14:textId="77777777" w:rsidR="00BF2E56" w:rsidRPr="00AF76AA" w:rsidRDefault="0026214F" w:rsidP="00AF76AA">
          <w:pPr>
            <w:pStyle w:val="TOCHeading"/>
            <w:spacing w:line="360" w:lineRule="auto"/>
            <w:jc w:val="center"/>
            <w:rPr>
              <w:rFonts w:ascii="Arial" w:hAnsi="Arial"/>
              <w:b/>
              <w:color w:val="auto"/>
              <w:sz w:val="24"/>
              <w:szCs w:val="24"/>
            </w:rPr>
          </w:pPr>
          <w:r w:rsidRPr="00AF76AA">
            <w:rPr>
              <w:rFonts w:ascii="Arial" w:hAnsi="Arial"/>
              <w:b/>
              <w:color w:val="auto"/>
              <w:sz w:val="24"/>
              <w:szCs w:val="24"/>
            </w:rPr>
            <w:t>Table of Contents</w:t>
          </w:r>
        </w:p>
        <w:p w14:paraId="1E89A49E" w14:textId="77777777" w:rsidR="00BF2E56" w:rsidRPr="00AF76AA" w:rsidRDefault="0026214F" w:rsidP="00AF76AA">
          <w:pPr>
            <w:pStyle w:val="TOC1"/>
            <w:tabs>
              <w:tab w:val="left" w:pos="440"/>
              <w:tab w:val="right" w:leader="dot" w:pos="9350"/>
            </w:tabs>
            <w:spacing w:line="360" w:lineRule="auto"/>
            <w:jc w:val="both"/>
            <w:rPr>
              <w:rFonts w:ascii="Arial" w:hAnsi="Arial" w:cs="Arial"/>
              <w:noProof/>
              <w:szCs w:val="24"/>
            </w:rPr>
          </w:pPr>
          <w:r w:rsidRPr="00AF76AA">
            <w:rPr>
              <w:rFonts w:ascii="Arial" w:hAnsi="Arial" w:cs="Arial"/>
              <w:b/>
              <w:bCs/>
              <w:noProof/>
              <w:szCs w:val="24"/>
            </w:rPr>
            <w:fldChar w:fldCharType="begin"/>
          </w:r>
          <w:r w:rsidRPr="00AF76AA">
            <w:rPr>
              <w:rFonts w:ascii="Arial" w:hAnsi="Arial" w:cs="Arial"/>
              <w:b/>
              <w:bCs/>
              <w:noProof/>
              <w:szCs w:val="24"/>
            </w:rPr>
            <w:instrText xml:space="preserve"> TOC \o "1-3" \h \z \u </w:instrText>
          </w:r>
          <w:r w:rsidRPr="00AF76AA">
            <w:rPr>
              <w:rFonts w:ascii="Arial" w:hAnsi="Arial" w:cs="Arial"/>
              <w:b/>
              <w:bCs/>
              <w:noProof/>
              <w:szCs w:val="24"/>
            </w:rPr>
            <w:fldChar w:fldCharType="separate"/>
          </w:r>
          <w:hyperlink w:anchor="_Toc126063451" w:history="1">
            <w:r w:rsidRPr="00AF76AA">
              <w:rPr>
                <w:rStyle w:val="Hyperlink"/>
                <w:rFonts w:ascii="Arial" w:hAnsi="Arial" w:cs="Arial"/>
                <w:noProof/>
                <w:color w:val="auto"/>
                <w:szCs w:val="24"/>
              </w:rPr>
              <w:t>1</w:t>
            </w:r>
            <w:r w:rsidRPr="00AF76AA">
              <w:rPr>
                <w:rFonts w:ascii="Arial" w:hAnsi="Arial" w:cs="Arial"/>
                <w:noProof/>
                <w:szCs w:val="24"/>
              </w:rPr>
              <w:tab/>
            </w:r>
            <w:r w:rsidRPr="00AF76AA">
              <w:rPr>
                <w:rStyle w:val="Hyperlink"/>
                <w:rFonts w:ascii="Arial" w:hAnsi="Arial" w:cs="Arial"/>
                <w:noProof/>
                <w:color w:val="auto"/>
                <w:szCs w:val="24"/>
              </w:rPr>
              <w:t>Introduction</w:t>
            </w:r>
            <w:r w:rsidRPr="00AF76AA">
              <w:rPr>
                <w:rFonts w:ascii="Arial" w:hAnsi="Arial" w:cs="Arial"/>
                <w:noProof/>
                <w:webHidden/>
                <w:szCs w:val="24"/>
              </w:rPr>
              <w:tab/>
            </w:r>
            <w:r w:rsidRPr="00AF76AA">
              <w:rPr>
                <w:rFonts w:ascii="Arial" w:hAnsi="Arial" w:cs="Arial"/>
                <w:noProof/>
                <w:webHidden/>
                <w:szCs w:val="24"/>
              </w:rPr>
              <w:fldChar w:fldCharType="begin"/>
            </w:r>
            <w:r w:rsidRPr="00AF76AA">
              <w:rPr>
                <w:rFonts w:ascii="Arial" w:hAnsi="Arial" w:cs="Arial"/>
                <w:noProof/>
                <w:webHidden/>
                <w:szCs w:val="24"/>
              </w:rPr>
              <w:instrText xml:space="preserve"> PAGEREF _Toc126063451 \h </w:instrText>
            </w:r>
            <w:r w:rsidRPr="00AF76AA">
              <w:rPr>
                <w:rFonts w:ascii="Arial" w:hAnsi="Arial" w:cs="Arial"/>
                <w:noProof/>
                <w:webHidden/>
                <w:szCs w:val="24"/>
              </w:rPr>
            </w:r>
            <w:r w:rsidRPr="00AF76AA">
              <w:rPr>
                <w:rFonts w:ascii="Arial" w:hAnsi="Arial" w:cs="Arial"/>
                <w:noProof/>
                <w:webHidden/>
                <w:szCs w:val="24"/>
              </w:rPr>
              <w:fldChar w:fldCharType="separate"/>
            </w:r>
            <w:r w:rsidR="00AF76AA">
              <w:rPr>
                <w:rFonts w:ascii="Arial" w:hAnsi="Arial" w:cs="Arial"/>
                <w:noProof/>
                <w:webHidden/>
                <w:szCs w:val="24"/>
              </w:rPr>
              <w:t>3</w:t>
            </w:r>
            <w:r w:rsidRPr="00AF76AA">
              <w:rPr>
                <w:rFonts w:ascii="Arial" w:hAnsi="Arial" w:cs="Arial"/>
                <w:noProof/>
                <w:webHidden/>
                <w:szCs w:val="24"/>
              </w:rPr>
              <w:fldChar w:fldCharType="end"/>
            </w:r>
          </w:hyperlink>
        </w:p>
        <w:p w14:paraId="217D0523" w14:textId="77777777" w:rsidR="00BF2E56" w:rsidRPr="00AF76AA" w:rsidRDefault="00000000" w:rsidP="00AF76AA">
          <w:pPr>
            <w:pStyle w:val="TOC1"/>
            <w:tabs>
              <w:tab w:val="left" w:pos="440"/>
              <w:tab w:val="right" w:leader="dot" w:pos="9350"/>
            </w:tabs>
            <w:spacing w:line="360" w:lineRule="auto"/>
            <w:jc w:val="both"/>
            <w:rPr>
              <w:rFonts w:ascii="Arial" w:hAnsi="Arial" w:cs="Arial"/>
              <w:noProof/>
              <w:szCs w:val="24"/>
            </w:rPr>
          </w:pPr>
          <w:hyperlink w:anchor="_Toc126063452" w:history="1">
            <w:r w:rsidR="0026214F" w:rsidRPr="00AF76AA">
              <w:rPr>
                <w:rStyle w:val="Hyperlink"/>
                <w:rFonts w:ascii="Arial" w:hAnsi="Arial" w:cs="Arial"/>
                <w:noProof/>
                <w:color w:val="auto"/>
                <w:szCs w:val="24"/>
              </w:rPr>
              <w:t>2</w:t>
            </w:r>
            <w:r w:rsidR="0026214F" w:rsidRPr="00AF76AA">
              <w:rPr>
                <w:rFonts w:ascii="Arial" w:hAnsi="Arial" w:cs="Arial"/>
                <w:noProof/>
                <w:szCs w:val="24"/>
              </w:rPr>
              <w:tab/>
            </w:r>
            <w:r w:rsidR="0026214F" w:rsidRPr="00AF76AA">
              <w:rPr>
                <w:rStyle w:val="Hyperlink"/>
                <w:rFonts w:ascii="Arial" w:hAnsi="Arial" w:cs="Arial"/>
                <w:noProof/>
                <w:color w:val="auto"/>
                <w:szCs w:val="24"/>
              </w:rPr>
              <w:t>Food and Beverage Businesses based on the type and style of services offered.</w:t>
            </w:r>
            <w:r w:rsidR="0026214F" w:rsidRPr="00AF76AA">
              <w:rPr>
                <w:rFonts w:ascii="Arial" w:hAnsi="Arial" w:cs="Arial"/>
                <w:noProof/>
                <w:webHidden/>
                <w:szCs w:val="24"/>
              </w:rPr>
              <w:tab/>
            </w:r>
            <w:r w:rsidR="0026214F" w:rsidRPr="00AF76AA">
              <w:rPr>
                <w:rFonts w:ascii="Arial" w:hAnsi="Arial" w:cs="Arial"/>
                <w:noProof/>
                <w:webHidden/>
                <w:szCs w:val="24"/>
              </w:rPr>
              <w:fldChar w:fldCharType="begin"/>
            </w:r>
            <w:r w:rsidR="0026214F" w:rsidRPr="00AF76AA">
              <w:rPr>
                <w:rFonts w:ascii="Arial" w:hAnsi="Arial" w:cs="Arial"/>
                <w:noProof/>
                <w:webHidden/>
                <w:szCs w:val="24"/>
              </w:rPr>
              <w:instrText xml:space="preserve"> PAGEREF _Toc126063452 \h </w:instrText>
            </w:r>
            <w:r w:rsidR="0026214F" w:rsidRPr="00AF76AA">
              <w:rPr>
                <w:rFonts w:ascii="Arial" w:hAnsi="Arial" w:cs="Arial"/>
                <w:noProof/>
                <w:webHidden/>
                <w:szCs w:val="24"/>
              </w:rPr>
            </w:r>
            <w:r w:rsidR="0026214F" w:rsidRPr="00AF76AA">
              <w:rPr>
                <w:rFonts w:ascii="Arial" w:hAnsi="Arial" w:cs="Arial"/>
                <w:noProof/>
                <w:webHidden/>
                <w:szCs w:val="24"/>
              </w:rPr>
              <w:fldChar w:fldCharType="separate"/>
            </w:r>
            <w:r w:rsidR="00AF76AA">
              <w:rPr>
                <w:rFonts w:ascii="Arial" w:hAnsi="Arial" w:cs="Arial"/>
                <w:noProof/>
                <w:webHidden/>
                <w:szCs w:val="24"/>
              </w:rPr>
              <w:t>3</w:t>
            </w:r>
            <w:r w:rsidR="0026214F" w:rsidRPr="00AF76AA">
              <w:rPr>
                <w:rFonts w:ascii="Arial" w:hAnsi="Arial" w:cs="Arial"/>
                <w:noProof/>
                <w:webHidden/>
                <w:szCs w:val="24"/>
              </w:rPr>
              <w:fldChar w:fldCharType="end"/>
            </w:r>
          </w:hyperlink>
        </w:p>
        <w:p w14:paraId="543ACAFB" w14:textId="77777777" w:rsidR="00BF2E56" w:rsidRPr="00AF76AA" w:rsidRDefault="00000000" w:rsidP="00AF76AA">
          <w:pPr>
            <w:pStyle w:val="TOC1"/>
            <w:tabs>
              <w:tab w:val="left" w:pos="440"/>
              <w:tab w:val="right" w:leader="dot" w:pos="9350"/>
            </w:tabs>
            <w:spacing w:line="360" w:lineRule="auto"/>
            <w:jc w:val="both"/>
            <w:rPr>
              <w:rFonts w:ascii="Arial" w:hAnsi="Arial" w:cs="Arial"/>
              <w:noProof/>
              <w:szCs w:val="24"/>
            </w:rPr>
          </w:pPr>
          <w:hyperlink w:anchor="_Toc126063453" w:history="1">
            <w:r w:rsidR="0026214F" w:rsidRPr="00AF76AA">
              <w:rPr>
                <w:rStyle w:val="Hyperlink"/>
                <w:rFonts w:ascii="Arial" w:hAnsi="Arial" w:cs="Arial"/>
                <w:noProof/>
                <w:color w:val="auto"/>
                <w:szCs w:val="24"/>
              </w:rPr>
              <w:t>3</w:t>
            </w:r>
            <w:r w:rsidR="0026214F" w:rsidRPr="00AF76AA">
              <w:rPr>
                <w:rFonts w:ascii="Arial" w:hAnsi="Arial" w:cs="Arial"/>
                <w:noProof/>
                <w:szCs w:val="24"/>
              </w:rPr>
              <w:tab/>
            </w:r>
            <w:r w:rsidR="0026214F" w:rsidRPr="00AF76AA">
              <w:rPr>
                <w:rStyle w:val="Hyperlink"/>
                <w:rFonts w:ascii="Arial" w:hAnsi="Arial" w:cs="Arial"/>
                <w:noProof/>
                <w:color w:val="auto"/>
                <w:szCs w:val="24"/>
              </w:rPr>
              <w:t>Personal Reflection</w:t>
            </w:r>
            <w:r w:rsidR="0026214F" w:rsidRPr="00AF76AA">
              <w:rPr>
                <w:rFonts w:ascii="Arial" w:hAnsi="Arial" w:cs="Arial"/>
                <w:noProof/>
                <w:webHidden/>
                <w:szCs w:val="24"/>
              </w:rPr>
              <w:tab/>
            </w:r>
            <w:r w:rsidR="0026214F" w:rsidRPr="00AF76AA">
              <w:rPr>
                <w:rFonts w:ascii="Arial" w:hAnsi="Arial" w:cs="Arial"/>
                <w:noProof/>
                <w:webHidden/>
                <w:szCs w:val="24"/>
              </w:rPr>
              <w:fldChar w:fldCharType="begin"/>
            </w:r>
            <w:r w:rsidR="0026214F" w:rsidRPr="00AF76AA">
              <w:rPr>
                <w:rFonts w:ascii="Arial" w:hAnsi="Arial" w:cs="Arial"/>
                <w:noProof/>
                <w:webHidden/>
                <w:szCs w:val="24"/>
              </w:rPr>
              <w:instrText xml:space="preserve"> PAGEREF _Toc126063453 \h </w:instrText>
            </w:r>
            <w:r w:rsidR="0026214F" w:rsidRPr="00AF76AA">
              <w:rPr>
                <w:rFonts w:ascii="Arial" w:hAnsi="Arial" w:cs="Arial"/>
                <w:noProof/>
                <w:webHidden/>
                <w:szCs w:val="24"/>
              </w:rPr>
            </w:r>
            <w:r w:rsidR="0026214F" w:rsidRPr="00AF76AA">
              <w:rPr>
                <w:rFonts w:ascii="Arial" w:hAnsi="Arial" w:cs="Arial"/>
                <w:noProof/>
                <w:webHidden/>
                <w:szCs w:val="24"/>
              </w:rPr>
              <w:fldChar w:fldCharType="separate"/>
            </w:r>
            <w:r w:rsidR="00AF76AA">
              <w:rPr>
                <w:rFonts w:ascii="Arial" w:hAnsi="Arial" w:cs="Arial"/>
                <w:noProof/>
                <w:webHidden/>
                <w:szCs w:val="24"/>
              </w:rPr>
              <w:t>4</w:t>
            </w:r>
            <w:r w:rsidR="0026214F" w:rsidRPr="00AF76AA">
              <w:rPr>
                <w:rFonts w:ascii="Arial" w:hAnsi="Arial" w:cs="Arial"/>
                <w:noProof/>
                <w:webHidden/>
                <w:szCs w:val="24"/>
              </w:rPr>
              <w:fldChar w:fldCharType="end"/>
            </w:r>
          </w:hyperlink>
        </w:p>
        <w:p w14:paraId="6E89F305" w14:textId="77777777" w:rsidR="00BF2E56" w:rsidRPr="00AF76AA" w:rsidRDefault="00000000" w:rsidP="00AF76AA">
          <w:pPr>
            <w:pStyle w:val="TOC1"/>
            <w:tabs>
              <w:tab w:val="left" w:pos="440"/>
              <w:tab w:val="right" w:leader="dot" w:pos="9350"/>
            </w:tabs>
            <w:spacing w:line="360" w:lineRule="auto"/>
            <w:jc w:val="both"/>
            <w:rPr>
              <w:rFonts w:ascii="Arial" w:hAnsi="Arial" w:cs="Arial"/>
              <w:noProof/>
              <w:szCs w:val="24"/>
            </w:rPr>
          </w:pPr>
          <w:hyperlink w:anchor="_Toc126063454" w:history="1">
            <w:r w:rsidR="0026214F" w:rsidRPr="00AF76AA">
              <w:rPr>
                <w:rStyle w:val="Hyperlink"/>
                <w:rFonts w:ascii="Arial" w:hAnsi="Arial" w:cs="Arial"/>
                <w:noProof/>
                <w:color w:val="auto"/>
                <w:szCs w:val="24"/>
              </w:rPr>
              <w:t>4</w:t>
            </w:r>
            <w:r w:rsidR="0026214F" w:rsidRPr="00AF76AA">
              <w:rPr>
                <w:rFonts w:ascii="Arial" w:hAnsi="Arial" w:cs="Arial"/>
                <w:noProof/>
                <w:szCs w:val="24"/>
              </w:rPr>
              <w:tab/>
            </w:r>
            <w:r w:rsidR="0026214F" w:rsidRPr="00AF76AA">
              <w:rPr>
                <w:rStyle w:val="Hyperlink"/>
                <w:rFonts w:ascii="Arial" w:hAnsi="Arial" w:cs="Arial"/>
                <w:noProof/>
                <w:color w:val="auto"/>
                <w:szCs w:val="24"/>
              </w:rPr>
              <w:t>Conclusion</w:t>
            </w:r>
            <w:r w:rsidR="0026214F" w:rsidRPr="00AF76AA">
              <w:rPr>
                <w:rFonts w:ascii="Arial" w:hAnsi="Arial" w:cs="Arial"/>
                <w:noProof/>
                <w:webHidden/>
                <w:szCs w:val="24"/>
              </w:rPr>
              <w:tab/>
            </w:r>
            <w:r w:rsidR="0026214F" w:rsidRPr="00AF76AA">
              <w:rPr>
                <w:rFonts w:ascii="Arial" w:hAnsi="Arial" w:cs="Arial"/>
                <w:noProof/>
                <w:webHidden/>
                <w:szCs w:val="24"/>
              </w:rPr>
              <w:fldChar w:fldCharType="begin"/>
            </w:r>
            <w:r w:rsidR="0026214F" w:rsidRPr="00AF76AA">
              <w:rPr>
                <w:rFonts w:ascii="Arial" w:hAnsi="Arial" w:cs="Arial"/>
                <w:noProof/>
                <w:webHidden/>
                <w:szCs w:val="24"/>
              </w:rPr>
              <w:instrText xml:space="preserve"> PAGEREF _Toc126063454 \h </w:instrText>
            </w:r>
            <w:r w:rsidR="0026214F" w:rsidRPr="00AF76AA">
              <w:rPr>
                <w:rFonts w:ascii="Arial" w:hAnsi="Arial" w:cs="Arial"/>
                <w:noProof/>
                <w:webHidden/>
                <w:szCs w:val="24"/>
              </w:rPr>
            </w:r>
            <w:r w:rsidR="0026214F" w:rsidRPr="00AF76AA">
              <w:rPr>
                <w:rFonts w:ascii="Arial" w:hAnsi="Arial" w:cs="Arial"/>
                <w:noProof/>
                <w:webHidden/>
                <w:szCs w:val="24"/>
              </w:rPr>
              <w:fldChar w:fldCharType="separate"/>
            </w:r>
            <w:r w:rsidR="00AF76AA">
              <w:rPr>
                <w:rFonts w:ascii="Arial" w:hAnsi="Arial" w:cs="Arial"/>
                <w:noProof/>
                <w:webHidden/>
                <w:szCs w:val="24"/>
              </w:rPr>
              <w:t>4</w:t>
            </w:r>
            <w:r w:rsidR="0026214F" w:rsidRPr="00AF76AA">
              <w:rPr>
                <w:rFonts w:ascii="Arial" w:hAnsi="Arial" w:cs="Arial"/>
                <w:noProof/>
                <w:webHidden/>
                <w:szCs w:val="24"/>
              </w:rPr>
              <w:fldChar w:fldCharType="end"/>
            </w:r>
          </w:hyperlink>
        </w:p>
        <w:p w14:paraId="3D3CFFFA" w14:textId="77777777" w:rsidR="00BF2E56" w:rsidRDefault="0026214F" w:rsidP="00AF76AA">
          <w:pPr>
            <w:spacing w:line="360" w:lineRule="auto"/>
            <w:jc w:val="both"/>
          </w:pPr>
          <w:r w:rsidRPr="00AF76AA">
            <w:rPr>
              <w:rFonts w:ascii="Arial" w:hAnsi="Arial" w:cs="Arial"/>
              <w:b/>
              <w:bCs/>
              <w:noProof/>
              <w:szCs w:val="24"/>
            </w:rPr>
            <w:fldChar w:fldCharType="end"/>
          </w:r>
        </w:p>
      </w:sdtContent>
    </w:sdt>
    <w:p w14:paraId="6834E8B8" w14:textId="77777777" w:rsidR="00BF2E56" w:rsidRPr="00BF2E56" w:rsidRDefault="0026214F" w:rsidP="00BF2E56">
      <w:pPr>
        <w:rPr>
          <w:rFonts w:ascii="Arial" w:hAnsi="Arial" w:cs="Arial"/>
          <w:b/>
        </w:rPr>
      </w:pPr>
      <w:r>
        <w:rPr>
          <w:rFonts w:ascii="Arial" w:hAnsi="Arial" w:cs="Arial"/>
          <w:b/>
        </w:rPr>
        <w:br w:type="page"/>
      </w:r>
    </w:p>
    <w:p w14:paraId="50D0BEF2" w14:textId="77777777" w:rsidR="00077B5E" w:rsidRPr="00BF2E56" w:rsidRDefault="0026214F" w:rsidP="00B52D8E">
      <w:pPr>
        <w:pStyle w:val="Heading1"/>
      </w:pPr>
      <w:bookmarkStart w:id="0" w:name="_Toc126063451"/>
      <w:r w:rsidRPr="00BF2E56">
        <w:lastRenderedPageBreak/>
        <w:t>Introduction</w:t>
      </w:r>
      <w:bookmarkEnd w:id="0"/>
    </w:p>
    <w:p w14:paraId="733A3D87" w14:textId="77777777" w:rsidR="00CD051F" w:rsidRPr="00BF2E56" w:rsidRDefault="0026214F" w:rsidP="00BF2E56">
      <w:pPr>
        <w:spacing w:line="360" w:lineRule="auto"/>
        <w:jc w:val="both"/>
        <w:rPr>
          <w:rFonts w:ascii="Arial" w:hAnsi="Arial" w:cs="Arial"/>
          <w:lang w:val="en-GB"/>
        </w:rPr>
      </w:pPr>
      <w:r w:rsidRPr="00BF2E56">
        <w:rPr>
          <w:rFonts w:ascii="Arial" w:hAnsi="Arial" w:cs="Arial"/>
          <w:lang w:val="en-GB"/>
        </w:rPr>
        <w:t xml:space="preserve">The focus of the learning log is to identify the skill set required by the employees working in Food and Beverage industry and also highlight the style and types of services offered to the customer. Both soft and hard skills required by an employee will be analysed in the log using different business examples. In addition, a personal reflection will also be provided. </w:t>
      </w:r>
    </w:p>
    <w:p w14:paraId="1C57484D" w14:textId="77777777" w:rsidR="00C838CA" w:rsidRPr="00BF2E56" w:rsidRDefault="0026214F" w:rsidP="00B52D8E">
      <w:pPr>
        <w:pStyle w:val="Heading1"/>
      </w:pPr>
      <w:bookmarkStart w:id="1" w:name="_Toc126063452"/>
      <w:r w:rsidRPr="00BF2E56">
        <w:t>Food and Beverage Businesses based on the type and style of services offered.</w:t>
      </w:r>
      <w:bookmarkEnd w:id="1"/>
    </w:p>
    <w:p w14:paraId="5B7D66F2" w14:textId="77777777" w:rsidR="00F478A1" w:rsidRPr="00BF2E56" w:rsidRDefault="0026214F" w:rsidP="00BF2E56">
      <w:pPr>
        <w:spacing w:line="360" w:lineRule="auto"/>
        <w:jc w:val="both"/>
        <w:rPr>
          <w:rFonts w:ascii="Arial" w:hAnsi="Arial" w:cs="Arial"/>
          <w:lang w:val="en-GB"/>
        </w:rPr>
      </w:pPr>
      <w:r w:rsidRPr="00BF2E56">
        <w:rPr>
          <w:rFonts w:ascii="Arial" w:hAnsi="Arial" w:cs="Arial"/>
          <w:lang w:val="en-GB"/>
        </w:rPr>
        <w:t xml:space="preserve">The employee serves as the frontline force within the food and beverage industry. This is because of the customer-centric approach employed in this industry. </w:t>
      </w:r>
      <w:r w:rsidR="00230479" w:rsidRPr="00BF2E56">
        <w:rPr>
          <w:rFonts w:ascii="Arial" w:hAnsi="Arial" w:cs="Arial"/>
          <w:lang w:val="en-GB"/>
        </w:rPr>
        <w:t xml:space="preserve">In the view of </w:t>
      </w:r>
      <w:r w:rsidR="003210AB" w:rsidRPr="00BF2E56">
        <w:rPr>
          <w:rFonts w:ascii="Arial" w:hAnsi="Arial" w:cs="Arial"/>
        </w:rPr>
        <w:t>Akdere and Egan (2020</w:t>
      </w:r>
      <w:r w:rsidR="00230479" w:rsidRPr="00BF2E56">
        <w:rPr>
          <w:rFonts w:ascii="Arial" w:hAnsi="Arial" w:cs="Arial"/>
          <w:lang w:val="en-GB"/>
        </w:rPr>
        <w:t xml:space="preserve">), a successful business’s prime focus is that the worker’s performance, skills and competencies are aligned with the </w:t>
      </w:r>
      <w:r w:rsidR="005D3F0D" w:rsidRPr="00BF2E56">
        <w:rPr>
          <w:rFonts w:ascii="Arial" w:hAnsi="Arial" w:cs="Arial"/>
          <w:lang w:val="en-GB"/>
        </w:rPr>
        <w:t>organisational</w:t>
      </w:r>
      <w:r w:rsidR="00230479" w:rsidRPr="00BF2E56">
        <w:rPr>
          <w:rFonts w:ascii="Arial" w:hAnsi="Arial" w:cs="Arial"/>
          <w:lang w:val="en-GB"/>
        </w:rPr>
        <w:t xml:space="preserve"> goals and objectives and ensure that the workers are able </w:t>
      </w:r>
      <w:r w:rsidR="00886DB8" w:rsidRPr="00BF2E56">
        <w:rPr>
          <w:rFonts w:ascii="Arial" w:hAnsi="Arial" w:cs="Arial"/>
          <w:lang w:val="en-GB"/>
        </w:rPr>
        <w:t>to serve the organisation’s functions better</w:t>
      </w:r>
      <w:r w:rsidR="00230479" w:rsidRPr="00BF2E56">
        <w:rPr>
          <w:rFonts w:ascii="Arial" w:hAnsi="Arial" w:cs="Arial"/>
          <w:lang w:val="en-GB"/>
        </w:rPr>
        <w:t xml:space="preserve">. </w:t>
      </w:r>
      <w:r w:rsidR="00336331" w:rsidRPr="00BF2E56">
        <w:rPr>
          <w:rFonts w:ascii="Arial" w:hAnsi="Arial" w:cs="Arial"/>
          <w:lang w:val="en-GB"/>
        </w:rPr>
        <w:t xml:space="preserve">The food and beverage business looks for both the soft and hard skills </w:t>
      </w:r>
      <w:r w:rsidR="00886DB8" w:rsidRPr="00BF2E56">
        <w:rPr>
          <w:rFonts w:ascii="Arial" w:hAnsi="Arial" w:cs="Arial"/>
          <w:lang w:val="en-GB"/>
        </w:rPr>
        <w:t>of</w:t>
      </w:r>
      <w:r w:rsidR="00336331" w:rsidRPr="00BF2E56">
        <w:rPr>
          <w:rFonts w:ascii="Arial" w:hAnsi="Arial" w:cs="Arial"/>
          <w:lang w:val="en-GB"/>
        </w:rPr>
        <w:t xml:space="preserve"> the employee during their hiring process. This is beneficial to ensure that the workers that are recruited in the </w:t>
      </w:r>
      <w:r w:rsidR="00C0535C" w:rsidRPr="00BF2E56">
        <w:rPr>
          <w:rFonts w:ascii="Arial" w:hAnsi="Arial" w:cs="Arial"/>
          <w:lang w:val="en-GB"/>
        </w:rPr>
        <w:t>organisation</w:t>
      </w:r>
      <w:r w:rsidR="00336331" w:rsidRPr="00BF2E56">
        <w:rPr>
          <w:rFonts w:ascii="Arial" w:hAnsi="Arial" w:cs="Arial"/>
          <w:lang w:val="en-GB"/>
        </w:rPr>
        <w:t xml:space="preserve"> are able to serve with their whole heart and boost business growth and development opportunities</w:t>
      </w:r>
      <w:r w:rsidR="00103C3B" w:rsidRPr="00BF2E56">
        <w:rPr>
          <w:rFonts w:ascii="Arial" w:hAnsi="Arial" w:cs="Arial"/>
          <w:lang w:val="en-GB"/>
        </w:rPr>
        <w:t xml:space="preserve"> (</w:t>
      </w:r>
      <w:r w:rsidR="00886DB8" w:rsidRPr="00BF2E56">
        <w:rPr>
          <w:rFonts w:ascii="Arial" w:hAnsi="Arial" w:cs="Arial"/>
        </w:rPr>
        <w:t>Weiler 2022</w:t>
      </w:r>
      <w:r w:rsidR="00103C3B" w:rsidRPr="00BF2E56">
        <w:rPr>
          <w:rFonts w:ascii="Arial" w:hAnsi="Arial" w:cs="Arial"/>
          <w:lang w:val="en-GB"/>
        </w:rPr>
        <w:t>)</w:t>
      </w:r>
      <w:r w:rsidR="00336331" w:rsidRPr="00BF2E56">
        <w:rPr>
          <w:rFonts w:ascii="Arial" w:hAnsi="Arial" w:cs="Arial"/>
          <w:lang w:val="en-GB"/>
        </w:rPr>
        <w:t xml:space="preserve">. For example, at PepsiCo, the focus of the </w:t>
      </w:r>
      <w:r w:rsidR="005D3F0D" w:rsidRPr="00BF2E56">
        <w:rPr>
          <w:rFonts w:ascii="Arial" w:hAnsi="Arial" w:cs="Arial"/>
          <w:lang w:val="en-GB"/>
        </w:rPr>
        <w:t>organisation</w:t>
      </w:r>
      <w:r w:rsidR="00336331" w:rsidRPr="00BF2E56">
        <w:rPr>
          <w:rFonts w:ascii="Arial" w:hAnsi="Arial" w:cs="Arial"/>
          <w:lang w:val="en-GB"/>
        </w:rPr>
        <w:t xml:space="preserve"> is to develop a highly skilled and </w:t>
      </w:r>
      <w:r w:rsidR="00F954F0" w:rsidRPr="00BF2E56">
        <w:rPr>
          <w:rFonts w:ascii="Arial" w:hAnsi="Arial" w:cs="Arial"/>
          <w:lang w:val="en-GB"/>
        </w:rPr>
        <w:t>talented</w:t>
      </w:r>
      <w:r w:rsidR="00336331" w:rsidRPr="00BF2E56">
        <w:rPr>
          <w:rFonts w:ascii="Arial" w:hAnsi="Arial" w:cs="Arial"/>
          <w:lang w:val="en-GB"/>
        </w:rPr>
        <w:t xml:space="preserve"> workforce. Therefore the business </w:t>
      </w:r>
      <w:r w:rsidR="00C0535C" w:rsidRPr="00BF2E56">
        <w:rPr>
          <w:rFonts w:ascii="Arial" w:hAnsi="Arial" w:cs="Arial"/>
          <w:lang w:val="en-GB"/>
        </w:rPr>
        <w:t>emphasises</w:t>
      </w:r>
      <w:r w:rsidR="00336331" w:rsidRPr="00BF2E56">
        <w:rPr>
          <w:rFonts w:ascii="Arial" w:hAnsi="Arial" w:cs="Arial"/>
          <w:lang w:val="en-GB"/>
        </w:rPr>
        <w:t xml:space="preserve"> cultivating the skills of the employee to elevate productivity, improve retention and drive long-term </w:t>
      </w:r>
      <w:r w:rsidR="005D3F0D" w:rsidRPr="00BF2E56">
        <w:rPr>
          <w:rFonts w:ascii="Arial" w:hAnsi="Arial" w:cs="Arial"/>
          <w:lang w:val="en-GB"/>
        </w:rPr>
        <w:t>organisational</w:t>
      </w:r>
      <w:r w:rsidR="00336331" w:rsidRPr="00BF2E56">
        <w:rPr>
          <w:rFonts w:ascii="Arial" w:hAnsi="Arial" w:cs="Arial"/>
          <w:lang w:val="en-GB"/>
        </w:rPr>
        <w:t xml:space="preserve"> success (PepsiCo</w:t>
      </w:r>
      <w:r w:rsidR="00F23B2D" w:rsidRPr="00BF2E56">
        <w:rPr>
          <w:rFonts w:ascii="Arial" w:hAnsi="Arial" w:cs="Arial"/>
          <w:lang w:val="en-GB"/>
        </w:rPr>
        <w:t>.</w:t>
      </w:r>
      <w:r w:rsidR="00336331" w:rsidRPr="00BF2E56">
        <w:rPr>
          <w:rFonts w:ascii="Arial" w:hAnsi="Arial" w:cs="Arial"/>
          <w:lang w:val="en-GB"/>
        </w:rPr>
        <w:t xml:space="preserve"> 2022). </w:t>
      </w:r>
    </w:p>
    <w:p w14:paraId="74E33BDC" w14:textId="77777777" w:rsidR="00F954F0" w:rsidRPr="00BF2E56" w:rsidRDefault="0026214F" w:rsidP="00BF2E56">
      <w:pPr>
        <w:spacing w:line="360" w:lineRule="auto"/>
        <w:jc w:val="both"/>
        <w:rPr>
          <w:rFonts w:ascii="Arial" w:hAnsi="Arial" w:cs="Arial"/>
          <w:lang w:val="en-GB"/>
        </w:rPr>
      </w:pPr>
      <w:r w:rsidRPr="00BF2E56">
        <w:rPr>
          <w:rFonts w:ascii="Arial" w:hAnsi="Arial" w:cs="Arial"/>
          <w:lang w:val="en-GB"/>
        </w:rPr>
        <w:t xml:space="preserve">In addition to this, </w:t>
      </w:r>
      <w:r w:rsidR="00A56556" w:rsidRPr="00BF2E56">
        <w:rPr>
          <w:rFonts w:ascii="Arial" w:hAnsi="Arial" w:cs="Arial"/>
          <w:lang w:val="en-GB"/>
        </w:rPr>
        <w:t xml:space="preserve">Diageo (2022) also </w:t>
      </w:r>
      <w:r w:rsidR="005D3F0D" w:rsidRPr="00BF2E56">
        <w:rPr>
          <w:rFonts w:ascii="Arial" w:hAnsi="Arial" w:cs="Arial"/>
          <w:lang w:val="en-GB"/>
        </w:rPr>
        <w:t>emphasise</w:t>
      </w:r>
      <w:r w:rsidR="00A56556" w:rsidRPr="00BF2E56">
        <w:rPr>
          <w:rFonts w:ascii="Arial" w:hAnsi="Arial" w:cs="Arial"/>
          <w:lang w:val="en-GB"/>
        </w:rPr>
        <w:t xml:space="preserve"> that employees learning and development are prior to the services being offered to the customer. This is because of the fact that a trained and skilled workforce is able to reach their full potential and flourish the business with their capabilities. The most commonly polished skills at Diageo is the digital and technical skills, communication skills and flexibility. Besides this, the employees at Coca-Cola Company are able to define their capabilities by making use of skills formulas and a positive mindset</w:t>
      </w:r>
      <w:r w:rsidR="00BF2E56">
        <w:rPr>
          <w:rFonts w:ascii="Arial" w:hAnsi="Arial" w:cs="Arial"/>
          <w:lang w:val="en-GB"/>
        </w:rPr>
        <w:t xml:space="preserve"> (Coca-Cola 2021)</w:t>
      </w:r>
      <w:r w:rsidR="00A56556" w:rsidRPr="00BF2E56">
        <w:rPr>
          <w:rFonts w:ascii="Arial" w:hAnsi="Arial" w:cs="Arial"/>
          <w:lang w:val="en-GB"/>
        </w:rPr>
        <w:t xml:space="preserve">. In the view of </w:t>
      </w:r>
      <w:r w:rsidR="00886DB8" w:rsidRPr="00BF2E56">
        <w:rPr>
          <w:rFonts w:ascii="Arial" w:hAnsi="Arial" w:cs="Arial"/>
        </w:rPr>
        <w:t>Espellita and Maravilla (2019</w:t>
      </w:r>
      <w:r w:rsidR="00A56556" w:rsidRPr="00BF2E56">
        <w:rPr>
          <w:rFonts w:ascii="Arial" w:hAnsi="Arial" w:cs="Arial"/>
          <w:lang w:val="en-GB"/>
        </w:rPr>
        <w:t xml:space="preserve">), </w:t>
      </w:r>
      <w:r w:rsidR="006D74E3" w:rsidRPr="00BF2E56">
        <w:rPr>
          <w:rFonts w:ascii="Arial" w:hAnsi="Arial" w:cs="Arial"/>
          <w:lang w:val="en-GB"/>
        </w:rPr>
        <w:t xml:space="preserve">the food and beverage </w:t>
      </w:r>
      <w:r w:rsidR="00AA2DAB" w:rsidRPr="00BF2E56">
        <w:rPr>
          <w:rFonts w:ascii="Arial" w:hAnsi="Arial" w:cs="Arial"/>
          <w:lang w:val="en-GB"/>
        </w:rPr>
        <w:t>industry</w:t>
      </w:r>
      <w:r w:rsidR="006D74E3" w:rsidRPr="00BF2E56">
        <w:rPr>
          <w:rFonts w:ascii="Arial" w:hAnsi="Arial" w:cs="Arial"/>
          <w:lang w:val="en-GB"/>
        </w:rPr>
        <w:t xml:space="preserve"> also requires that workers have a strong command over problem-</w:t>
      </w:r>
      <w:r w:rsidR="005D3F0D" w:rsidRPr="00BF2E56">
        <w:rPr>
          <w:rFonts w:ascii="Arial" w:hAnsi="Arial" w:cs="Arial"/>
          <w:lang w:val="en-GB"/>
        </w:rPr>
        <w:t xml:space="preserve">solving and negotiation skills. This is because the workers should focus on maintaining and limiting the conflicts in an organisation. </w:t>
      </w:r>
      <w:r w:rsidR="00B41BDB" w:rsidRPr="00BF2E56">
        <w:rPr>
          <w:rFonts w:ascii="Arial" w:hAnsi="Arial" w:cs="Arial"/>
        </w:rPr>
        <w:t>Grammatikopoulos</w:t>
      </w:r>
      <w:r w:rsidR="00B41BDB" w:rsidRPr="00BF2E56">
        <w:rPr>
          <w:rFonts w:ascii="Arial" w:hAnsi="Arial" w:cs="Arial"/>
          <w:lang w:val="en-GB"/>
        </w:rPr>
        <w:t xml:space="preserve"> </w:t>
      </w:r>
      <w:r w:rsidR="005D3F0D" w:rsidRPr="00BF2E56">
        <w:rPr>
          <w:rFonts w:ascii="Arial" w:hAnsi="Arial" w:cs="Arial"/>
          <w:lang w:val="en-GB"/>
        </w:rPr>
        <w:lastRenderedPageBreak/>
        <w:t>(</w:t>
      </w:r>
      <w:r w:rsidR="00B41BDB" w:rsidRPr="00BF2E56">
        <w:rPr>
          <w:rFonts w:ascii="Arial" w:hAnsi="Arial" w:cs="Arial"/>
          <w:lang w:val="en-GB"/>
        </w:rPr>
        <w:t>2022</w:t>
      </w:r>
      <w:r w:rsidR="005D3F0D" w:rsidRPr="00BF2E56">
        <w:rPr>
          <w:rFonts w:ascii="Arial" w:hAnsi="Arial" w:cs="Arial"/>
          <w:lang w:val="en-GB"/>
        </w:rPr>
        <w:t xml:space="preserve">) provided that conflicts </w:t>
      </w:r>
      <w:r w:rsidR="0068295B" w:rsidRPr="00BF2E56">
        <w:rPr>
          <w:rFonts w:ascii="Arial" w:hAnsi="Arial" w:cs="Arial"/>
          <w:lang w:val="en-GB"/>
        </w:rPr>
        <w:t>lower</w:t>
      </w:r>
      <w:r w:rsidR="005D3F0D" w:rsidRPr="00BF2E56">
        <w:rPr>
          <w:rFonts w:ascii="Arial" w:hAnsi="Arial" w:cs="Arial"/>
          <w:lang w:val="en-GB"/>
        </w:rPr>
        <w:t xml:space="preserve"> the productivity of an </w:t>
      </w:r>
      <w:r w:rsidR="0068295B" w:rsidRPr="00BF2E56">
        <w:rPr>
          <w:rFonts w:ascii="Arial" w:hAnsi="Arial" w:cs="Arial"/>
          <w:lang w:val="en-GB"/>
        </w:rPr>
        <w:t>organisation</w:t>
      </w:r>
      <w:r w:rsidR="005D3F0D" w:rsidRPr="00BF2E56">
        <w:rPr>
          <w:rFonts w:ascii="Arial" w:hAnsi="Arial" w:cs="Arial"/>
          <w:lang w:val="en-GB"/>
        </w:rPr>
        <w:t xml:space="preserve">, </w:t>
      </w:r>
      <w:r w:rsidR="0068295B" w:rsidRPr="00BF2E56">
        <w:rPr>
          <w:rFonts w:ascii="Arial" w:hAnsi="Arial" w:cs="Arial"/>
          <w:lang w:val="en-GB"/>
        </w:rPr>
        <w:t>lead</w:t>
      </w:r>
      <w:r w:rsidR="005D3F0D" w:rsidRPr="00BF2E56">
        <w:rPr>
          <w:rFonts w:ascii="Arial" w:hAnsi="Arial" w:cs="Arial"/>
          <w:lang w:val="en-GB"/>
        </w:rPr>
        <w:t xml:space="preserve"> to poor decision-making and also </w:t>
      </w:r>
      <w:r w:rsidR="0068295B" w:rsidRPr="00BF2E56">
        <w:rPr>
          <w:rFonts w:ascii="Arial" w:hAnsi="Arial" w:cs="Arial"/>
          <w:lang w:val="en-GB"/>
        </w:rPr>
        <w:t xml:space="preserve">lower the teamwork spirit. Additionally, workers must also focus on maintaining a positive work attitude that helps them deliver exceptional services. Attention to detail is also a key priority for the workers that helps them stay </w:t>
      </w:r>
      <w:r w:rsidR="00E01162" w:rsidRPr="00BF2E56">
        <w:rPr>
          <w:rFonts w:ascii="Arial" w:hAnsi="Arial" w:cs="Arial"/>
          <w:lang w:val="en-GB"/>
        </w:rPr>
        <w:t>organised</w:t>
      </w:r>
      <w:r w:rsidR="0068295B" w:rsidRPr="00BF2E56">
        <w:rPr>
          <w:rFonts w:ascii="Arial" w:hAnsi="Arial" w:cs="Arial"/>
          <w:lang w:val="en-GB"/>
        </w:rPr>
        <w:t xml:space="preserve"> and prevent any hazardous or inappropriate situation. </w:t>
      </w:r>
    </w:p>
    <w:p w14:paraId="4C7C60FB" w14:textId="77777777" w:rsidR="007C6521" w:rsidRPr="00BF2E56" w:rsidRDefault="0026214F" w:rsidP="00BF2E56">
      <w:pPr>
        <w:spacing w:line="360" w:lineRule="auto"/>
        <w:jc w:val="both"/>
        <w:rPr>
          <w:rFonts w:ascii="Arial" w:hAnsi="Arial" w:cs="Arial"/>
          <w:lang w:val="en-GB"/>
        </w:rPr>
      </w:pPr>
      <w:r w:rsidRPr="00BF2E56">
        <w:rPr>
          <w:rFonts w:ascii="Arial" w:hAnsi="Arial" w:cs="Arial"/>
          <w:lang w:val="en-GB"/>
        </w:rPr>
        <w:t>Besides this, Unilever is aware of the rapidly changing business environment and the needs of the consumer</w:t>
      </w:r>
      <w:r w:rsidR="002A6687" w:rsidRPr="00BF2E56">
        <w:rPr>
          <w:rFonts w:ascii="Arial" w:hAnsi="Arial" w:cs="Arial"/>
          <w:lang w:val="en-GB"/>
        </w:rPr>
        <w:t>; therefore</w:t>
      </w:r>
      <w:r w:rsidRPr="00BF2E56">
        <w:rPr>
          <w:rFonts w:ascii="Arial" w:hAnsi="Arial" w:cs="Arial"/>
          <w:lang w:val="en-GB"/>
        </w:rPr>
        <w:t xml:space="preserve">, the </w:t>
      </w:r>
      <w:r w:rsidR="002A6687" w:rsidRPr="00BF2E56">
        <w:rPr>
          <w:rFonts w:ascii="Arial" w:hAnsi="Arial" w:cs="Arial"/>
          <w:lang w:val="en-GB"/>
        </w:rPr>
        <w:t>organisation</w:t>
      </w:r>
      <w:r w:rsidRPr="00BF2E56">
        <w:rPr>
          <w:rFonts w:ascii="Arial" w:hAnsi="Arial" w:cs="Arial"/>
          <w:lang w:val="en-GB"/>
        </w:rPr>
        <w:t xml:space="preserve"> </w:t>
      </w:r>
      <w:r w:rsidR="002A6687" w:rsidRPr="00BF2E56">
        <w:rPr>
          <w:rFonts w:ascii="Arial" w:hAnsi="Arial" w:cs="Arial"/>
          <w:lang w:val="en-GB"/>
        </w:rPr>
        <w:t>emphasises</w:t>
      </w:r>
      <w:r w:rsidRPr="00BF2E56">
        <w:rPr>
          <w:rFonts w:ascii="Arial" w:hAnsi="Arial" w:cs="Arial"/>
          <w:lang w:val="en-GB"/>
        </w:rPr>
        <w:t xml:space="preserve"> preparing its people. The </w:t>
      </w:r>
      <w:r w:rsidR="00E01162" w:rsidRPr="00BF2E56">
        <w:rPr>
          <w:rFonts w:ascii="Arial" w:hAnsi="Arial" w:cs="Arial"/>
          <w:lang w:val="en-GB"/>
        </w:rPr>
        <w:t>organisation</w:t>
      </w:r>
      <w:r w:rsidRPr="00BF2E56">
        <w:rPr>
          <w:rFonts w:ascii="Arial" w:hAnsi="Arial" w:cs="Arial"/>
          <w:lang w:val="en-GB"/>
        </w:rPr>
        <w:t xml:space="preserve"> believes that skill </w:t>
      </w:r>
      <w:r w:rsidR="002A6687" w:rsidRPr="00BF2E56">
        <w:rPr>
          <w:rFonts w:ascii="Arial" w:hAnsi="Arial" w:cs="Arial"/>
          <w:lang w:val="en-GB"/>
        </w:rPr>
        <w:t>sets</w:t>
      </w:r>
      <w:r w:rsidRPr="00BF2E56">
        <w:rPr>
          <w:rFonts w:ascii="Arial" w:hAnsi="Arial" w:cs="Arial"/>
          <w:lang w:val="en-GB"/>
        </w:rPr>
        <w:t xml:space="preserve"> are a weapon that must be effectively used to thrive and adapt to the changing times</w:t>
      </w:r>
      <w:r w:rsidR="00E01162" w:rsidRPr="00BF2E56">
        <w:rPr>
          <w:rFonts w:ascii="Arial" w:hAnsi="Arial" w:cs="Arial"/>
          <w:lang w:val="en-GB"/>
        </w:rPr>
        <w:t xml:space="preserve">. Therefore, at Unilever, reskilling and upskilling the employees is focused on making them a perfect </w:t>
      </w:r>
      <w:r w:rsidR="004D45C7" w:rsidRPr="00BF2E56">
        <w:rPr>
          <w:rFonts w:ascii="Arial" w:hAnsi="Arial" w:cs="Arial"/>
          <w:lang w:val="en-GB"/>
        </w:rPr>
        <w:t>future fit</w:t>
      </w:r>
      <w:r w:rsidR="00E01162" w:rsidRPr="00BF2E56">
        <w:rPr>
          <w:rFonts w:ascii="Arial" w:hAnsi="Arial" w:cs="Arial"/>
          <w:lang w:val="en-GB"/>
        </w:rPr>
        <w:t xml:space="preserve"> (Unilever 2021).  </w:t>
      </w:r>
    </w:p>
    <w:p w14:paraId="5AA152FA" w14:textId="77777777" w:rsidR="00CC62C3" w:rsidRPr="00BF2E56" w:rsidRDefault="0026214F" w:rsidP="00B52D8E">
      <w:pPr>
        <w:pStyle w:val="Heading1"/>
      </w:pPr>
      <w:bookmarkStart w:id="2" w:name="_Toc126063453"/>
      <w:r w:rsidRPr="00BF2E56">
        <w:t>Personal Reflection</w:t>
      </w:r>
      <w:bookmarkEnd w:id="2"/>
    </w:p>
    <w:p w14:paraId="79F919D5" w14:textId="77777777" w:rsidR="009D051E" w:rsidRPr="00BF2E56" w:rsidRDefault="0026214F" w:rsidP="00BF2E56">
      <w:pPr>
        <w:spacing w:line="360" w:lineRule="auto"/>
        <w:rPr>
          <w:rFonts w:ascii="Arial" w:hAnsi="Arial" w:cs="Arial"/>
          <w:lang w:val="en-GB"/>
        </w:rPr>
      </w:pPr>
      <w:r w:rsidRPr="00BF2E56">
        <w:rPr>
          <w:rFonts w:ascii="Arial" w:hAnsi="Arial" w:cs="Arial"/>
          <w:lang w:val="en-GB"/>
        </w:rPr>
        <w:t xml:space="preserve">From the above-described food and beverage business example, it can be said that large UK organisations such as PepsiCo, Unilever and Diageo emphasise skill development areas. </w:t>
      </w:r>
      <w:r w:rsidR="00274DE7" w:rsidRPr="00BF2E56">
        <w:rPr>
          <w:rFonts w:ascii="Arial" w:hAnsi="Arial" w:cs="Arial"/>
          <w:lang w:val="en-GB"/>
        </w:rPr>
        <w:t xml:space="preserve">However, based on my knowledge and the industry discussion, I believe that adequate focus is required to be given to soft skills to thrive in the food and beverage areas. </w:t>
      </w:r>
      <w:r w:rsidR="00F46ACE" w:rsidRPr="00BF2E56">
        <w:rPr>
          <w:rFonts w:ascii="Arial" w:hAnsi="Arial" w:cs="Arial"/>
          <w:lang w:val="en-GB"/>
        </w:rPr>
        <w:t xml:space="preserve">In addition, I also recognised that these organisations also provide adequate training to ensure that their employees are well-equipped and possess the capability to survive in the challenging and ever-changing work environment. </w:t>
      </w:r>
    </w:p>
    <w:p w14:paraId="6460F87D" w14:textId="77777777" w:rsidR="00B41BDB" w:rsidRPr="00BF2E56" w:rsidRDefault="0026214F" w:rsidP="00BF2E56">
      <w:pPr>
        <w:spacing w:line="360" w:lineRule="auto"/>
        <w:rPr>
          <w:rFonts w:ascii="Arial" w:hAnsi="Arial" w:cs="Arial"/>
          <w:lang w:val="en-GB"/>
        </w:rPr>
      </w:pPr>
      <w:r w:rsidRPr="00BF2E56">
        <w:rPr>
          <w:rFonts w:ascii="Arial" w:hAnsi="Arial" w:cs="Arial"/>
          <w:lang w:val="en-GB"/>
        </w:rPr>
        <w:t xml:space="preserve">Nevertheless, based on the identified skills, I believe that I possess a significant gap in my ability to thrive in the industry. I will take advantage of my learning and development areas and will improve in future. I lack the ability to communicate effectively and find it difficult to resolve conflicts. Therefore, I will apply the learning and will ensure that I fill my gaps and equips myself with the right employee competencies. In addition, I will also indulge myself in training courses and certifications to boost my prospect of getting a valuable position in the future. </w:t>
      </w:r>
    </w:p>
    <w:p w14:paraId="7729B3D7" w14:textId="77777777" w:rsidR="00CC62C3" w:rsidRPr="00BF2E56" w:rsidRDefault="0026214F" w:rsidP="00B52D8E">
      <w:pPr>
        <w:pStyle w:val="Heading1"/>
      </w:pPr>
      <w:bookmarkStart w:id="3" w:name="_Toc126063454"/>
      <w:r w:rsidRPr="00BF2E56">
        <w:t>Conclusion</w:t>
      </w:r>
      <w:bookmarkEnd w:id="3"/>
    </w:p>
    <w:p w14:paraId="15E5368B" w14:textId="77777777" w:rsidR="003C35BD" w:rsidRDefault="0026214F" w:rsidP="00BF2E56">
      <w:pPr>
        <w:spacing w:line="360" w:lineRule="auto"/>
        <w:rPr>
          <w:rFonts w:ascii="Arial" w:hAnsi="Arial" w:cs="Arial"/>
          <w:lang w:val="en-GB"/>
        </w:rPr>
      </w:pPr>
      <w:r w:rsidRPr="00BF2E56">
        <w:rPr>
          <w:rFonts w:ascii="Arial" w:hAnsi="Arial" w:cs="Arial"/>
          <w:lang w:val="en-GB"/>
        </w:rPr>
        <w:t xml:space="preserve">From the overall discussion, it can be said that the employee’s skills are a basic priority for the success of the food and beverage industry. With the aid of these skills, the </w:t>
      </w:r>
      <w:r w:rsidRPr="00BF2E56">
        <w:rPr>
          <w:rFonts w:ascii="Arial" w:hAnsi="Arial" w:cs="Arial"/>
          <w:lang w:val="en-GB"/>
        </w:rPr>
        <w:lastRenderedPageBreak/>
        <w:t xml:space="preserve">employees are able to serve better. The basic skills that have been identified from the overall discussion include communication, negotiation, problem-solving and attention to detail skills. </w:t>
      </w:r>
    </w:p>
    <w:p w14:paraId="156A3AA8" w14:textId="77777777" w:rsidR="00C814A8" w:rsidRDefault="0026214F">
      <w:pPr>
        <w:rPr>
          <w:rFonts w:ascii="Arial" w:eastAsiaTheme="majorEastAsia" w:hAnsi="Arial" w:cs="Arial"/>
          <w:b/>
          <w:szCs w:val="32"/>
          <w:lang w:val="en-GB"/>
        </w:rPr>
      </w:pPr>
      <w:r>
        <w:br w:type="page"/>
      </w:r>
    </w:p>
    <w:p w14:paraId="2758EF70" w14:textId="77777777" w:rsidR="00B52D8E" w:rsidRPr="00B52D8E" w:rsidRDefault="0026214F" w:rsidP="00B52D8E">
      <w:pPr>
        <w:pStyle w:val="Heading1"/>
      </w:pPr>
      <w:r w:rsidRPr="00B52D8E">
        <w:lastRenderedPageBreak/>
        <w:t>References</w:t>
      </w:r>
    </w:p>
    <w:p w14:paraId="19E65C34"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 xml:space="preserve">Akdere, M. and Egan, T., 2020. Transformational leadership and human resource development: Linking employee learning, job satisfaction, and organisational performance. </w:t>
      </w:r>
      <w:r w:rsidRPr="00020B6A">
        <w:rPr>
          <w:rFonts w:ascii="Arial" w:hAnsi="Arial" w:cs="Arial"/>
          <w:i/>
          <w:iCs/>
        </w:rPr>
        <w:t>Human Resource Development Quarterly</w:t>
      </w:r>
      <w:r w:rsidRPr="00020B6A">
        <w:rPr>
          <w:rFonts w:ascii="Arial" w:hAnsi="Arial" w:cs="Arial"/>
        </w:rPr>
        <w:t>, </w:t>
      </w:r>
      <w:r w:rsidRPr="00020B6A">
        <w:rPr>
          <w:rFonts w:ascii="Arial" w:hAnsi="Arial" w:cs="Arial"/>
          <w:i/>
          <w:iCs/>
        </w:rPr>
        <w:t>31</w:t>
      </w:r>
      <w:r w:rsidRPr="00020B6A">
        <w:rPr>
          <w:rFonts w:ascii="Arial" w:hAnsi="Arial" w:cs="Arial"/>
        </w:rPr>
        <w:t>(4), pp.393-421.</w:t>
      </w:r>
    </w:p>
    <w:p w14:paraId="356BF96E"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 xml:space="preserve">Coca-Cola 2021. Career Development. [Online] Available at </w:t>
      </w:r>
      <w:hyperlink r:id="rId9" w:history="1">
        <w:r w:rsidRPr="00020B6A">
          <w:rPr>
            <w:rStyle w:val="Hyperlink"/>
            <w:rFonts w:ascii="Arial" w:hAnsi="Arial" w:cs="Arial"/>
          </w:rPr>
          <w:t>https://www.coca-colacompany.com/careers/who-we-are/career-development</w:t>
        </w:r>
      </w:hyperlink>
      <w:r w:rsidRPr="00020B6A">
        <w:rPr>
          <w:rFonts w:ascii="Arial" w:hAnsi="Arial" w:cs="Arial"/>
        </w:rPr>
        <w:t xml:space="preserve"> [Accessed on 31 January 2023].</w:t>
      </w:r>
    </w:p>
    <w:p w14:paraId="0A4CAFD4"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 xml:space="preserve">Diageo 2022. Learning and development at Diageo. [Online] Available at </w:t>
      </w:r>
      <w:hyperlink r:id="rId10" w:history="1">
        <w:r w:rsidRPr="00020B6A">
          <w:rPr>
            <w:rStyle w:val="Hyperlink"/>
            <w:rFonts w:ascii="Arial" w:hAnsi="Arial" w:cs="Arial"/>
          </w:rPr>
          <w:t>https://www.diageo.com/en/careers/why-diageo/learning-and-development</w:t>
        </w:r>
      </w:hyperlink>
      <w:r w:rsidRPr="00020B6A">
        <w:rPr>
          <w:rFonts w:ascii="Arial" w:hAnsi="Arial" w:cs="Arial"/>
        </w:rPr>
        <w:t xml:space="preserve"> [Accessed on 31 January 2023].</w:t>
      </w:r>
    </w:p>
    <w:p w14:paraId="3B021AB4"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Espellita, S. and Maravilla Jr, V.S., 2019. Employable Skills for Hospitality Graduates as Perceived Among Hotel Supervisors in Cebu City. </w:t>
      </w:r>
      <w:r w:rsidRPr="00020B6A">
        <w:rPr>
          <w:rFonts w:ascii="Arial" w:hAnsi="Arial" w:cs="Arial"/>
          <w:i/>
          <w:iCs/>
        </w:rPr>
        <w:t>Journal of Economics and Business</w:t>
      </w:r>
      <w:r w:rsidRPr="00020B6A">
        <w:rPr>
          <w:rFonts w:ascii="Arial" w:hAnsi="Arial" w:cs="Arial"/>
        </w:rPr>
        <w:t>, </w:t>
      </w:r>
      <w:r w:rsidRPr="00020B6A">
        <w:rPr>
          <w:rFonts w:ascii="Arial" w:hAnsi="Arial" w:cs="Arial"/>
          <w:i/>
          <w:iCs/>
        </w:rPr>
        <w:t>2</w:t>
      </w:r>
      <w:r w:rsidRPr="00020B6A">
        <w:rPr>
          <w:rFonts w:ascii="Arial" w:hAnsi="Arial" w:cs="Arial"/>
        </w:rPr>
        <w:t>(2).</w:t>
      </w:r>
    </w:p>
    <w:p w14:paraId="5AC73831"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 xml:space="preserve">Grammatikopoulos, C., 2022. Causes and implications of organisational school conflicts: A theoretical approach. </w:t>
      </w:r>
      <w:r w:rsidRPr="00020B6A">
        <w:rPr>
          <w:rFonts w:ascii="Arial" w:hAnsi="Arial" w:cs="Arial"/>
          <w:i/>
          <w:iCs/>
        </w:rPr>
        <w:t>International Journal of Education and Research</w:t>
      </w:r>
      <w:r w:rsidRPr="00020B6A">
        <w:rPr>
          <w:rFonts w:ascii="Arial" w:hAnsi="Arial" w:cs="Arial"/>
        </w:rPr>
        <w:t>, </w:t>
      </w:r>
      <w:r w:rsidRPr="00020B6A">
        <w:rPr>
          <w:rFonts w:ascii="Arial" w:hAnsi="Arial" w:cs="Arial"/>
          <w:i/>
          <w:iCs/>
        </w:rPr>
        <w:t>10</w:t>
      </w:r>
      <w:r w:rsidRPr="00020B6A">
        <w:rPr>
          <w:rFonts w:ascii="Arial" w:hAnsi="Arial" w:cs="Arial"/>
        </w:rPr>
        <w:t>(2), pp.77-88.</w:t>
      </w:r>
    </w:p>
    <w:p w14:paraId="27C3909C"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 xml:space="preserve">PepsiCo. 2022. Employee Learning and Development. [Online] Available at </w:t>
      </w:r>
      <w:hyperlink r:id="rId11" w:history="1">
        <w:r w:rsidRPr="00020B6A">
          <w:rPr>
            <w:rStyle w:val="Hyperlink"/>
            <w:rFonts w:ascii="Arial" w:hAnsi="Arial" w:cs="Arial"/>
          </w:rPr>
          <w:t>https://www.pepsico.com/our-impact/esg-topics-a-z/employee-learning-and-development</w:t>
        </w:r>
      </w:hyperlink>
      <w:r w:rsidRPr="00020B6A">
        <w:rPr>
          <w:rFonts w:ascii="Arial" w:hAnsi="Arial" w:cs="Arial"/>
        </w:rPr>
        <w:t xml:space="preserve"> [Accessed on 31 January 2023].</w:t>
      </w:r>
    </w:p>
    <w:p w14:paraId="148F7E3A"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 xml:space="preserve">Unilever 2021. Preparing people to adapt and thrive in changing times. [Online] Available at </w:t>
      </w:r>
      <w:hyperlink r:id="rId12" w:history="1">
        <w:r w:rsidRPr="00020B6A">
          <w:rPr>
            <w:rStyle w:val="Hyperlink"/>
            <w:rFonts w:ascii="Arial" w:hAnsi="Arial" w:cs="Arial"/>
          </w:rPr>
          <w:t>https://www.unilever.com/news/news-search/2021/preparing-people-to-adapt-and-thrive-in-changing-times/</w:t>
        </w:r>
      </w:hyperlink>
      <w:r w:rsidRPr="00020B6A">
        <w:rPr>
          <w:rFonts w:ascii="Arial" w:hAnsi="Arial" w:cs="Arial"/>
        </w:rPr>
        <w:t xml:space="preserve"> [Accessed on 31 January 2023].</w:t>
      </w:r>
    </w:p>
    <w:p w14:paraId="5FEA2A78" w14:textId="77777777" w:rsidR="00B52D8E" w:rsidRPr="00020B6A" w:rsidRDefault="0026214F" w:rsidP="00B52D8E">
      <w:pPr>
        <w:spacing w:line="360" w:lineRule="auto"/>
        <w:ind w:left="720" w:hanging="720"/>
        <w:jc w:val="both"/>
        <w:rPr>
          <w:rFonts w:ascii="Arial" w:hAnsi="Arial" w:cs="Arial"/>
        </w:rPr>
      </w:pPr>
      <w:r w:rsidRPr="00020B6A">
        <w:rPr>
          <w:rFonts w:ascii="Arial" w:hAnsi="Arial" w:cs="Arial"/>
        </w:rPr>
        <w:t>Weiler, A.M., 2022. Seeing the workers for the trees: exalted and devalued manual labour in the Pacific Northwest craft cider industry. </w:t>
      </w:r>
      <w:r w:rsidRPr="00020B6A">
        <w:rPr>
          <w:rFonts w:ascii="Arial" w:hAnsi="Arial" w:cs="Arial"/>
          <w:i/>
          <w:iCs/>
        </w:rPr>
        <w:t>Agriculture and Human Values</w:t>
      </w:r>
      <w:r w:rsidRPr="00020B6A">
        <w:rPr>
          <w:rFonts w:ascii="Arial" w:hAnsi="Arial" w:cs="Arial"/>
        </w:rPr>
        <w:t>, pp.1-14.</w:t>
      </w:r>
    </w:p>
    <w:p w14:paraId="356C2EA9" w14:textId="77777777" w:rsidR="00B52D8E" w:rsidRPr="00BF2E56" w:rsidRDefault="00B52D8E" w:rsidP="00BF2E56">
      <w:pPr>
        <w:spacing w:line="360" w:lineRule="auto"/>
        <w:rPr>
          <w:rFonts w:ascii="Arial" w:hAnsi="Arial" w:cs="Arial"/>
          <w:lang w:val="en-GB"/>
        </w:rPr>
      </w:pPr>
    </w:p>
    <w:p w14:paraId="1246E6E8" w14:textId="77777777" w:rsidR="004D45C7" w:rsidRPr="004D45C7" w:rsidRDefault="004D45C7" w:rsidP="004D45C7">
      <w:pPr>
        <w:rPr>
          <w:lang w:val="en-GB"/>
        </w:rPr>
      </w:pPr>
    </w:p>
    <w:sectPr w:rsidR="004D45C7" w:rsidRPr="004D45C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47626" w14:textId="77777777" w:rsidR="00F331BB" w:rsidRDefault="00F331BB" w:rsidP="00E61198">
      <w:pPr>
        <w:spacing w:after="0" w:line="240" w:lineRule="auto"/>
      </w:pPr>
      <w:r>
        <w:separator/>
      </w:r>
    </w:p>
  </w:endnote>
  <w:endnote w:type="continuationSeparator" w:id="0">
    <w:p w14:paraId="035CBAF7" w14:textId="77777777" w:rsidR="00F331BB" w:rsidRDefault="00F331BB" w:rsidP="00E61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11E2A" w14:textId="77777777" w:rsidR="00F331BB" w:rsidRDefault="00F331BB" w:rsidP="00E61198">
      <w:pPr>
        <w:spacing w:after="0" w:line="240" w:lineRule="auto"/>
      </w:pPr>
      <w:r>
        <w:separator/>
      </w:r>
    </w:p>
  </w:footnote>
  <w:footnote w:type="continuationSeparator" w:id="0">
    <w:p w14:paraId="5C183BB9" w14:textId="77777777" w:rsidR="00F331BB" w:rsidRDefault="00F331BB" w:rsidP="00E61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344C8"/>
    <w:multiLevelType w:val="multilevel"/>
    <w:tmpl w:val="0C98608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25551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8CA"/>
    <w:rsid w:val="00020B6A"/>
    <w:rsid w:val="00077B5E"/>
    <w:rsid w:val="00103C3B"/>
    <w:rsid w:val="00207BEC"/>
    <w:rsid w:val="00230479"/>
    <w:rsid w:val="0026214F"/>
    <w:rsid w:val="00274DE7"/>
    <w:rsid w:val="002A6687"/>
    <w:rsid w:val="003210AB"/>
    <w:rsid w:val="00336331"/>
    <w:rsid w:val="003C35BD"/>
    <w:rsid w:val="00427A92"/>
    <w:rsid w:val="004D45C7"/>
    <w:rsid w:val="005D3F0D"/>
    <w:rsid w:val="0068295B"/>
    <w:rsid w:val="006C53C2"/>
    <w:rsid w:val="006D74E3"/>
    <w:rsid w:val="00705E2E"/>
    <w:rsid w:val="007C6521"/>
    <w:rsid w:val="00886DB8"/>
    <w:rsid w:val="009D051E"/>
    <w:rsid w:val="00A56556"/>
    <w:rsid w:val="00AA2DAB"/>
    <w:rsid w:val="00AF76AA"/>
    <w:rsid w:val="00B41BDB"/>
    <w:rsid w:val="00B52D8E"/>
    <w:rsid w:val="00BC0DDE"/>
    <w:rsid w:val="00BF2E56"/>
    <w:rsid w:val="00C0535C"/>
    <w:rsid w:val="00C814A8"/>
    <w:rsid w:val="00C838CA"/>
    <w:rsid w:val="00C963F1"/>
    <w:rsid w:val="00CC62C3"/>
    <w:rsid w:val="00CD051F"/>
    <w:rsid w:val="00CF33C2"/>
    <w:rsid w:val="00D940D1"/>
    <w:rsid w:val="00E01162"/>
    <w:rsid w:val="00E61198"/>
    <w:rsid w:val="00F23B2D"/>
    <w:rsid w:val="00F331BB"/>
    <w:rsid w:val="00F46ACE"/>
    <w:rsid w:val="00F478A1"/>
    <w:rsid w:val="00F73EF9"/>
    <w:rsid w:val="00F954F0"/>
    <w:rsid w:val="00FD1C31"/>
    <w:rsid w:val="00FD7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E87A0"/>
  <w15:chartTrackingRefBased/>
  <w15:docId w15:val="{FC1D21D2-73BE-4856-9ADC-BB7929905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52D8E"/>
    <w:pPr>
      <w:keepNext/>
      <w:keepLines/>
      <w:numPr>
        <w:numId w:val="1"/>
      </w:numPr>
      <w:spacing w:before="360" w:after="120" w:line="360" w:lineRule="auto"/>
      <w:jc w:val="both"/>
      <w:outlineLvl w:val="0"/>
    </w:pPr>
    <w:rPr>
      <w:rFonts w:ascii="Arial" w:eastAsiaTheme="majorEastAsia" w:hAnsi="Arial" w:cs="Arial"/>
      <w:b/>
      <w:szCs w:val="32"/>
      <w:lang w:val="en-GB"/>
    </w:rPr>
  </w:style>
  <w:style w:type="paragraph" w:styleId="Heading2">
    <w:name w:val="heading 2"/>
    <w:basedOn w:val="Normal"/>
    <w:next w:val="Normal"/>
    <w:link w:val="Heading2Char"/>
    <w:autoRedefine/>
    <w:uiPriority w:val="9"/>
    <w:semiHidden/>
    <w:unhideWhenUsed/>
    <w:qFormat/>
    <w:rsid w:val="00C963F1"/>
    <w:pPr>
      <w:keepNext/>
      <w:keepLines/>
      <w:numPr>
        <w:ilvl w:val="1"/>
        <w:numId w:val="1"/>
      </w:numPr>
      <w:spacing w:before="40" w:after="0"/>
      <w:jc w:val="both"/>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207BEC"/>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07BE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7BE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07BE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07BE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07BE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07BE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D8E"/>
    <w:rPr>
      <w:rFonts w:ascii="Arial" w:eastAsiaTheme="majorEastAsia" w:hAnsi="Arial" w:cs="Arial"/>
      <w:b/>
      <w:szCs w:val="32"/>
      <w:lang w:val="en-GB"/>
    </w:rPr>
  </w:style>
  <w:style w:type="character" w:customStyle="1" w:styleId="Heading2Char">
    <w:name w:val="Heading 2 Char"/>
    <w:basedOn w:val="DefaultParagraphFont"/>
    <w:link w:val="Heading2"/>
    <w:uiPriority w:val="9"/>
    <w:semiHidden/>
    <w:rsid w:val="00C963F1"/>
    <w:rPr>
      <w:rFonts w:eastAsiaTheme="majorEastAsia" w:cstheme="majorBidi"/>
      <w:szCs w:val="26"/>
    </w:rPr>
  </w:style>
  <w:style w:type="character" w:customStyle="1" w:styleId="Heading3Char">
    <w:name w:val="Heading 3 Char"/>
    <w:basedOn w:val="DefaultParagraphFont"/>
    <w:link w:val="Heading3"/>
    <w:uiPriority w:val="9"/>
    <w:semiHidden/>
    <w:rsid w:val="00207BEC"/>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207BE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07BE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07BE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07BE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07BE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07BE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F2E56"/>
    <w:pPr>
      <w:numPr>
        <w:numId w:val="0"/>
      </w:num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F2E56"/>
    <w:pPr>
      <w:spacing w:after="100"/>
    </w:pPr>
  </w:style>
  <w:style w:type="character" w:styleId="Hyperlink">
    <w:name w:val="Hyperlink"/>
    <w:basedOn w:val="DefaultParagraphFont"/>
    <w:uiPriority w:val="99"/>
    <w:unhideWhenUsed/>
    <w:rsid w:val="00BF2E56"/>
    <w:rPr>
      <w:color w:val="0563C1" w:themeColor="hyperlink"/>
      <w:u w:val="single"/>
    </w:rPr>
  </w:style>
  <w:style w:type="paragraph" w:styleId="Header">
    <w:name w:val="header"/>
    <w:basedOn w:val="Normal"/>
    <w:link w:val="HeaderChar"/>
    <w:uiPriority w:val="99"/>
    <w:unhideWhenUsed/>
    <w:rsid w:val="00E61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198"/>
  </w:style>
  <w:style w:type="paragraph" w:styleId="Footer">
    <w:name w:val="footer"/>
    <w:basedOn w:val="Normal"/>
    <w:link w:val="FooterChar"/>
    <w:uiPriority w:val="99"/>
    <w:unhideWhenUsed/>
    <w:rsid w:val="00E61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lever.com/news/news-search/2021/preparing-people-to-adapt-and-thrive-in-changing-tim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psico.com/our-impact/esg-topics-a-z/employee-learning-and-development" TargetMode="External"/><Relationship Id="rId5" Type="http://schemas.openxmlformats.org/officeDocument/2006/relationships/webSettings" Target="webSettings.xml"/><Relationship Id="rId10" Type="http://schemas.openxmlformats.org/officeDocument/2006/relationships/hyperlink" Target="https://www.diageo.com/en/careers/why-diageo/learning-and-development" TargetMode="External"/><Relationship Id="rId4" Type="http://schemas.openxmlformats.org/officeDocument/2006/relationships/settings" Target="settings.xml"/><Relationship Id="rId9" Type="http://schemas.openxmlformats.org/officeDocument/2006/relationships/hyperlink" Target="https://www.coca-colacompany.com/careers/who-we-are/career-develop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691CD-19D6-4D70-B46C-A72A24E45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1098</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Cristina Iliuta (2212526)</cp:lastModifiedBy>
  <cp:revision>3</cp:revision>
  <dcterms:created xsi:type="dcterms:W3CDTF">2023-02-03T13:03:00Z</dcterms:created>
  <dcterms:modified xsi:type="dcterms:W3CDTF">2023-02-03T14:41:00Z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1b63bddf-809a-4831-8c52-92fde7bca538</vt:lpwstr>
  </property>
</Properties>
</file>