
<file path=[Content_Types].xml><?xml version="1.0" encoding="utf-8"?>
<Types xmlns="http://schemas.openxmlformats.org/package/2006/content-types">
  <Default Extension="xml" ContentType="application/xml"/>
  <Default Extension="xlsx" ContentType="application/vnd.openxmlformats-officedocument.spreadsheetml.sheet"/>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olors1.xml" ContentType="application/vnd.ms-office.chartcolorstyle+xml"/>
  <Override PartName="/word/charts/colors2.xml" ContentType="application/vnd.ms-office.chartcolorstyle+xml"/>
  <Override PartName="/word/charts/colors3.xml" ContentType="application/vnd.ms-office.chartcolorstyle+xml"/>
  <Override PartName="/word/charts/style1.xml" ContentType="application/vnd.ms-office.chartstyle+xml"/>
  <Override PartName="/word/charts/style2.xml" ContentType="application/vnd.ms-office.chartstyle+xml"/>
  <Override PartName="/word/charts/style3.xml" ContentType="application/vnd.ms-office.chart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ind w:firstLine="0"/>
        <w:jc w:val="center"/>
        <w:rPr>
          <w:rFonts w:ascii="Arial" w:hAnsi="Arial" w:cs="Arial"/>
          <w:b/>
          <w:bCs/>
        </w:rPr>
      </w:pPr>
    </w:p>
    <w:p>
      <w:pPr>
        <w:spacing w:after="0"/>
        <w:ind w:firstLine="0"/>
        <w:jc w:val="right"/>
        <w:rPr>
          <w:rFonts w:eastAsia="Times New Roman"/>
          <w:b/>
          <w:kern w:val="0"/>
          <w:sz w:val="44"/>
          <w:szCs w:val="44"/>
          <w:lang w:eastAsia="en-GB"/>
          <w14:ligatures w14:val="none"/>
        </w:rPr>
      </w:pPr>
    </w:p>
    <w:p>
      <w:pPr>
        <w:spacing w:after="0" w:line="360" w:lineRule="auto"/>
        <w:ind w:firstLine="0"/>
        <w:jc w:val="right"/>
        <w:rPr>
          <w:rFonts w:eastAsia="Times New Roman"/>
          <w:b/>
          <w:kern w:val="0"/>
          <w:sz w:val="44"/>
          <w:szCs w:val="44"/>
          <w:lang w:eastAsia="en-GB"/>
          <w14:ligatures w14:val="none"/>
        </w:rPr>
      </w:pPr>
    </w:p>
    <w:p>
      <w:pPr>
        <w:spacing w:line="360" w:lineRule="auto"/>
        <w:ind w:firstLine="0"/>
        <w:jc w:val="right"/>
        <w:rPr>
          <w:rFonts w:eastAsia="Times New Roman"/>
          <w:b/>
          <w:i/>
          <w:iCs/>
          <w:kern w:val="0"/>
          <w:sz w:val="56"/>
          <w:szCs w:val="48"/>
          <w:lang w:eastAsia="en-GB"/>
          <w14:ligatures w14:val="none"/>
        </w:rPr>
      </w:pPr>
      <w:r>
        <w:rPr>
          <w:rFonts w:eastAsia="Times New Roman"/>
          <w:b/>
          <w:i/>
          <w:iCs/>
          <w:kern w:val="0"/>
          <w:sz w:val="56"/>
          <w:szCs w:val="48"/>
          <w:lang w:eastAsia="en-GB"/>
          <w14:ligatures w14:val="none"/>
        </w:rPr>
        <w:t>Assessing The Impact of Practical Teaching M</w:t>
      </w:r>
      <w:r>
        <w:rPr>
          <w:rFonts w:eastAsia="Times New Roman"/>
          <w:b/>
          <w:i/>
          <w:iCs/>
          <w:kern w:val="0"/>
          <w:sz w:val="56"/>
          <w:szCs w:val="48"/>
          <w:lang w:val="en-US" w:eastAsia="en-GB"/>
          <w14:ligatures w14:val="none"/>
        </w:rPr>
        <w:t xml:space="preserve">ethods </w:t>
      </w:r>
      <w:r>
        <w:rPr>
          <w:rFonts w:eastAsia="Times New Roman"/>
          <w:b/>
          <w:i/>
          <w:iCs/>
          <w:kern w:val="0"/>
          <w:sz w:val="56"/>
          <w:szCs w:val="48"/>
          <w:lang w:eastAsia="en-GB"/>
          <w14:ligatures w14:val="none"/>
        </w:rPr>
        <w:t>in One Private Junior Vocational College in China</w:t>
      </w:r>
    </w:p>
    <w:p>
      <w:pPr>
        <w:spacing w:after="0" w:line="240" w:lineRule="auto"/>
        <w:ind w:firstLine="0"/>
        <w:jc w:val="right"/>
        <w:rPr>
          <w:rFonts w:eastAsia="Times New Roman"/>
          <w:b/>
          <w:kern w:val="0"/>
          <w:sz w:val="56"/>
          <w:szCs w:val="48"/>
          <w:lang w:eastAsia="en-GB"/>
          <w14:ligatures w14:val="none"/>
        </w:rPr>
      </w:pPr>
    </w:p>
    <w:p>
      <w:pPr>
        <w:spacing w:after="0"/>
        <w:ind w:firstLine="0"/>
        <w:jc w:val="both"/>
        <w:rPr>
          <w:rFonts w:eastAsia="Times New Roman"/>
          <w:i/>
          <w:kern w:val="0"/>
          <w:lang w:eastAsia="en-GB"/>
          <w14:ligatures w14:val="none"/>
        </w:rPr>
      </w:pPr>
    </w:p>
    <w:p>
      <w:pPr>
        <w:spacing w:after="0"/>
        <w:ind w:firstLine="0"/>
        <w:jc w:val="right"/>
        <w:rPr>
          <w:rFonts w:eastAsia="Times New Roman"/>
          <w:i/>
          <w:kern w:val="0"/>
          <w:lang w:eastAsia="en-GB"/>
          <w14:ligatures w14:val="none"/>
        </w:rPr>
      </w:pPr>
    </w:p>
    <w:p>
      <w:pPr>
        <w:wordWrap w:val="0"/>
        <w:spacing w:after="0"/>
        <w:ind w:firstLine="0"/>
        <w:jc w:val="right"/>
        <w:rPr>
          <w:rFonts w:eastAsia="宋体"/>
          <w:i/>
          <w:kern w:val="0"/>
          <w:sz w:val="52"/>
          <w:szCs w:val="52"/>
          <w:lang w:val="en-US" w:eastAsia="zh-CN"/>
          <w14:ligatures w14:val="none"/>
        </w:rPr>
      </w:pPr>
      <w:r>
        <w:rPr>
          <w:rFonts w:hint="eastAsia" w:eastAsia="宋体"/>
          <w:i/>
          <w:kern w:val="0"/>
          <w:sz w:val="52"/>
          <w:szCs w:val="52"/>
          <w:lang w:val="en-US" w:eastAsia="zh-CN"/>
          <w14:ligatures w14:val="none"/>
        </w:rPr>
        <w:t>Bo Fu</w:t>
      </w:r>
    </w:p>
    <w:p>
      <w:pPr>
        <w:spacing w:after="0"/>
        <w:ind w:firstLine="0"/>
        <w:jc w:val="right"/>
        <w:rPr>
          <w:rFonts w:eastAsia="宋体"/>
          <w:i/>
          <w:kern w:val="0"/>
          <w:sz w:val="52"/>
          <w:szCs w:val="52"/>
          <w:lang w:val="en-US" w:eastAsia="zh-CN"/>
          <w14:ligatures w14:val="none"/>
        </w:rPr>
      </w:pPr>
      <w:r>
        <w:rPr>
          <w:rFonts w:hint="eastAsia" w:eastAsia="宋体"/>
          <w:i/>
          <w:kern w:val="0"/>
          <w:sz w:val="52"/>
          <w:szCs w:val="52"/>
          <w:lang w:val="en-US" w:eastAsia="zh-CN"/>
          <w14:ligatures w14:val="none"/>
        </w:rPr>
        <w:t>2230328</w:t>
      </w:r>
    </w:p>
    <w:p>
      <w:pPr>
        <w:spacing w:after="0"/>
        <w:ind w:firstLine="0"/>
        <w:jc w:val="right"/>
        <w:rPr>
          <w:rFonts w:eastAsia="Times New Roman"/>
          <w:i/>
          <w:kern w:val="0"/>
          <w:lang w:eastAsia="en-GB"/>
          <w14:ligatures w14:val="none"/>
        </w:rPr>
      </w:pPr>
    </w:p>
    <w:p>
      <w:pPr>
        <w:spacing w:after="0"/>
        <w:ind w:firstLine="0"/>
        <w:jc w:val="right"/>
        <w:rPr>
          <w:rFonts w:eastAsia="Times New Roman"/>
          <w:b/>
          <w:i/>
          <w:kern w:val="0"/>
          <w:sz w:val="48"/>
          <w:szCs w:val="48"/>
          <w:lang w:eastAsia="en-GB"/>
          <w14:ligatures w14:val="none"/>
        </w:rPr>
      </w:pPr>
      <w:r>
        <w:rPr>
          <w:rFonts w:eastAsia="Times New Roman"/>
          <w:b/>
          <w:i/>
          <w:kern w:val="0"/>
          <w:sz w:val="48"/>
          <w:szCs w:val="48"/>
          <w:lang w:eastAsia="en-GB"/>
          <w14:ligatures w14:val="none"/>
        </w:rPr>
        <w:t>ECEG7002Q</w:t>
      </w:r>
    </w:p>
    <w:p>
      <w:pPr>
        <w:spacing w:after="0" w:line="360" w:lineRule="auto"/>
        <w:ind w:firstLine="0"/>
        <w:jc w:val="right"/>
        <w:rPr>
          <w:rFonts w:eastAsia="Times New Roman"/>
          <w:i/>
          <w:kern w:val="0"/>
          <w:lang w:eastAsia="en-GB"/>
          <w14:ligatures w14:val="none"/>
        </w:rPr>
      </w:pPr>
    </w:p>
    <w:p>
      <w:pPr>
        <w:spacing w:after="0" w:line="360" w:lineRule="auto"/>
        <w:ind w:firstLine="0"/>
        <w:jc w:val="right"/>
        <w:rPr>
          <w:rFonts w:eastAsia="宋体"/>
          <w:i/>
          <w:kern w:val="0"/>
          <w:sz w:val="40"/>
          <w:szCs w:val="40"/>
          <w:lang w:eastAsia="zh-CN"/>
          <w14:ligatures w14:val="none"/>
        </w:rPr>
      </w:pPr>
      <w:bookmarkStart w:id="0" w:name="OLE_LINK11"/>
      <w:r>
        <w:rPr>
          <w:rFonts w:hint="eastAsia" w:eastAsia="宋体"/>
          <w:i/>
          <w:kern w:val="0"/>
          <w:sz w:val="40"/>
          <w:szCs w:val="40"/>
          <w:lang w:val="en-US" w:eastAsia="zh-CN"/>
          <w14:ligatures w14:val="none"/>
        </w:rPr>
        <w:t>6</w:t>
      </w:r>
      <w:r>
        <w:rPr>
          <w:rFonts w:eastAsia="Times New Roman"/>
          <w:i/>
          <w:kern w:val="0"/>
          <w:sz w:val="40"/>
          <w:szCs w:val="40"/>
          <w:lang w:eastAsia="en-GB"/>
          <w14:ligatures w14:val="none"/>
        </w:rPr>
        <w:t xml:space="preserve">th </w:t>
      </w:r>
      <w:r>
        <w:rPr>
          <w:rFonts w:hint="eastAsia" w:eastAsia="Times New Roman"/>
          <w:i/>
          <w:kern w:val="0"/>
          <w:sz w:val="40"/>
          <w:szCs w:val="40"/>
          <w:lang w:eastAsia="en-GB"/>
          <w14:ligatures w14:val="none"/>
        </w:rPr>
        <w:t>February</w:t>
      </w:r>
      <w:r>
        <w:rPr>
          <w:rFonts w:eastAsia="Times New Roman"/>
          <w:i/>
          <w:kern w:val="0"/>
          <w:sz w:val="40"/>
          <w:szCs w:val="40"/>
          <w:lang w:eastAsia="en-GB"/>
          <w14:ligatures w14:val="none"/>
        </w:rPr>
        <w:t xml:space="preserve"> 202</w:t>
      </w:r>
      <w:r>
        <w:rPr>
          <w:rFonts w:hint="eastAsia" w:eastAsia="宋体"/>
          <w:i/>
          <w:kern w:val="0"/>
          <w:sz w:val="40"/>
          <w:szCs w:val="40"/>
          <w:lang w:val="en-US" w:eastAsia="zh-CN"/>
          <w14:ligatures w14:val="none"/>
        </w:rPr>
        <w:t>4</w:t>
      </w:r>
    </w:p>
    <w:bookmarkEnd w:id="0"/>
    <w:p>
      <w:pPr>
        <w:spacing w:after="0" w:line="360" w:lineRule="auto"/>
        <w:ind w:firstLine="0"/>
        <w:jc w:val="right"/>
        <w:rPr>
          <w:rFonts w:eastAsia="Times New Roman"/>
          <w:i/>
          <w:kern w:val="0"/>
          <w:sz w:val="40"/>
          <w:szCs w:val="40"/>
          <w:lang w:eastAsia="en-GB"/>
          <w14:ligatures w14:val="none"/>
        </w:rPr>
      </w:pPr>
      <w:r>
        <w:rPr>
          <w:rFonts w:eastAsia="Times New Roman"/>
          <w:i/>
          <w:kern w:val="0"/>
          <w:sz w:val="40"/>
          <w:szCs w:val="40"/>
          <w:lang w:eastAsia="en-GB"/>
          <w14:ligatures w14:val="none"/>
        </w:rPr>
        <w:t xml:space="preserve">Yr Athrofa: Education and Humanities </w:t>
      </w:r>
    </w:p>
    <w:p>
      <w:pPr>
        <w:spacing w:after="0" w:line="360" w:lineRule="auto"/>
        <w:ind w:firstLine="0"/>
        <w:jc w:val="right"/>
        <w:rPr>
          <w:rFonts w:eastAsia="Times New Roman"/>
          <w:i/>
          <w:kern w:val="0"/>
          <w:sz w:val="40"/>
          <w:szCs w:val="40"/>
          <w:lang w:eastAsia="en-GB"/>
          <w14:ligatures w14:val="none"/>
        </w:rPr>
      </w:pPr>
      <w:r>
        <w:rPr>
          <w:rFonts w:eastAsia="Times New Roman"/>
          <w:i/>
          <w:kern w:val="0"/>
          <w:sz w:val="40"/>
          <w:szCs w:val="40"/>
          <w:lang w:eastAsia="en-GB"/>
          <w14:ligatures w14:val="none"/>
        </w:rPr>
        <w:t xml:space="preserve"> </w:t>
      </w:r>
    </w:p>
    <w:p>
      <w:pPr>
        <w:spacing w:after="0" w:line="360" w:lineRule="auto"/>
        <w:ind w:firstLine="0"/>
        <w:outlineLvl w:val="0"/>
        <w:rPr>
          <w:rFonts w:eastAsia="Times New Roman"/>
          <w:kern w:val="0"/>
          <w:sz w:val="40"/>
          <w:szCs w:val="40"/>
          <w:lang w:eastAsia="en-GB"/>
          <w14:ligatures w14:val="none"/>
        </w:rPr>
        <w:sectPr>
          <w:footerReference r:id="rId5" w:type="default"/>
          <w:footerReference r:id="rId6" w:type="even"/>
          <w:pgSz w:w="11906" w:h="16838"/>
          <w:pgMar w:top="1440" w:right="1134" w:bottom="1440" w:left="1701" w:header="709" w:footer="709" w:gutter="0"/>
          <w:cols w:space="708" w:num="1"/>
          <w:docGrid w:linePitch="360" w:charSpace="0"/>
        </w:sectPr>
      </w:pPr>
    </w:p>
    <w:p>
      <w:pPr>
        <w:spacing w:after="0"/>
        <w:ind w:firstLine="0"/>
        <w:outlineLvl w:val="0"/>
        <w:rPr>
          <w:rFonts w:eastAsia="Times New Roman"/>
          <w:b/>
          <w:kern w:val="0"/>
          <w:lang w:eastAsia="en-GB"/>
          <w14:ligatures w14:val="none"/>
        </w:rPr>
      </w:pPr>
      <w:bookmarkStart w:id="1" w:name="_Toc45110249"/>
      <w:bookmarkStart w:id="2" w:name="_Toc158819486"/>
      <w:r>
        <w:rPr>
          <w:rFonts w:eastAsia="Times New Roman"/>
          <w:b/>
          <w:kern w:val="0"/>
          <w:lang w:eastAsia="en-GB"/>
          <w14:ligatures w14:val="none"/>
        </w:rPr>
        <w:t>DECLARATION FORM</w:t>
      </w:r>
      <w:bookmarkEnd w:id="1"/>
      <w:bookmarkEnd w:id="2"/>
    </w:p>
    <w:p>
      <w:pPr>
        <w:spacing w:after="0" w:line="240" w:lineRule="auto"/>
        <w:ind w:left="3600"/>
        <w:rPr>
          <w:rFonts w:eastAsia="Times New Roman"/>
          <w:b/>
          <w:bCs/>
          <w:kern w:val="0"/>
          <w:sz w:val="28"/>
          <w:szCs w:val="28"/>
          <w:u w:val="single"/>
          <w:lang w:eastAsia="en-GB"/>
          <w14:ligatures w14:val="none"/>
        </w:rPr>
      </w:pPr>
    </w:p>
    <w:p>
      <w:pPr>
        <w:spacing w:after="0" w:line="240" w:lineRule="auto"/>
        <w:ind w:firstLine="0"/>
        <w:rPr>
          <w:rFonts w:eastAsia="Times New Roman"/>
          <w:kern w:val="0"/>
          <w:lang w:eastAsia="en-GB"/>
          <w14:ligatures w14:val="none"/>
        </w:rPr>
      </w:pPr>
      <w:r>
        <w:rPr>
          <w:rFonts w:eastAsia="Times New Roman"/>
          <w:kern w:val="0"/>
          <w:lang w:eastAsia="en-GB"/>
          <w14:ligatures w14:val="none"/>
        </w:rPr>
        <w:drawing>
          <wp:inline distT="0" distB="0" distL="0" distR="0">
            <wp:extent cx="2857500" cy="1181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2857500" cy="1181100"/>
                    </a:xfrm>
                    <a:prstGeom prst="rect">
                      <a:avLst/>
                    </a:prstGeom>
                    <a:noFill/>
                    <a:ln>
                      <a:noFill/>
                    </a:ln>
                  </pic:spPr>
                </pic:pic>
              </a:graphicData>
            </a:graphic>
          </wp:inline>
        </w:drawing>
      </w:r>
    </w:p>
    <w:p>
      <w:pPr>
        <w:spacing w:after="0" w:line="240" w:lineRule="auto"/>
        <w:ind w:firstLine="0"/>
        <w:rPr>
          <w:rFonts w:eastAsia="Times New Roman"/>
          <w:b/>
          <w:bCs/>
          <w:kern w:val="0"/>
          <w:lang w:eastAsia="en-GB"/>
          <w14:ligatures w14:val="none"/>
        </w:rPr>
      </w:pPr>
    </w:p>
    <w:p>
      <w:pPr>
        <w:spacing w:after="0" w:line="240" w:lineRule="auto"/>
        <w:ind w:firstLine="0"/>
        <w:rPr>
          <w:rFonts w:hint="eastAsia" w:eastAsia="宋体"/>
          <w:b/>
          <w:bCs/>
          <w:kern w:val="0"/>
          <w:lang w:val="en-US" w:eastAsia="zh-CN"/>
          <w14:ligatures w14:val="none"/>
        </w:rPr>
      </w:pPr>
      <w:bookmarkStart w:id="3" w:name="OLE_LINK12"/>
      <w:r>
        <w:rPr>
          <w:rFonts w:eastAsia="Times New Roman"/>
          <w:b/>
          <w:bCs/>
          <w:kern w:val="0"/>
          <w:lang w:eastAsia="en-GB"/>
          <w14:ligatures w14:val="none"/>
        </w:rPr>
        <w:t>Name of the Programme of Study:</w:t>
      </w:r>
      <w:bookmarkEnd w:id="3"/>
      <w:bookmarkStart w:id="4" w:name="OLE_LINK13"/>
      <w:r>
        <w:rPr>
          <w:rFonts w:hint="eastAsia" w:eastAsia="宋体"/>
          <w:b/>
          <w:bCs/>
          <w:kern w:val="0"/>
          <w:lang w:val="en-US" w:eastAsia="zh-CN"/>
          <w14:ligatures w14:val="none"/>
        </w:rPr>
        <w:t xml:space="preserve">MA Education studies </w:t>
      </w:r>
      <w:bookmarkEnd w:id="4"/>
    </w:p>
    <w:p>
      <w:pPr>
        <w:spacing w:after="0" w:line="240" w:lineRule="auto"/>
        <w:ind w:firstLine="0"/>
        <w:rPr>
          <w:rFonts w:eastAsia="宋体"/>
          <w:b/>
          <w:bCs/>
          <w:kern w:val="0"/>
          <w:lang w:val="en-US" w:eastAsia="zh-CN"/>
          <w14:ligatures w14:val="none"/>
        </w:rPr>
      </w:pPr>
      <w:r>
        <w:rPr>
          <w:rFonts w:eastAsia="Times New Roman"/>
          <w:b/>
          <w:bCs/>
          <w:kern w:val="0"/>
          <w:lang w:eastAsia="en-GB"/>
          <w14:ligatures w14:val="none"/>
        </w:rPr>
        <w:t>Name of Student (Capital Letters):</w:t>
      </w:r>
      <w:r>
        <w:rPr>
          <w:rFonts w:hint="eastAsia" w:eastAsia="宋体"/>
          <w:b/>
          <w:bCs/>
          <w:kern w:val="0"/>
          <w:lang w:val="en-US" w:eastAsia="zh-CN"/>
          <w14:ligatures w14:val="none"/>
        </w:rPr>
        <w:t xml:space="preserve"> BO FU</w:t>
      </w:r>
    </w:p>
    <w:p>
      <w:pPr>
        <w:spacing w:after="0" w:line="240" w:lineRule="auto"/>
        <w:ind w:firstLine="0"/>
        <w:rPr>
          <w:rFonts w:eastAsia="Times New Roman"/>
          <w:b/>
          <w:bCs/>
          <w:kern w:val="0"/>
          <w:lang w:eastAsia="en-GB"/>
          <w14:ligatures w14:val="none"/>
        </w:rPr>
      </w:pPr>
    </w:p>
    <w:p>
      <w:pPr>
        <w:spacing w:after="0" w:line="240" w:lineRule="auto"/>
        <w:ind w:firstLine="0"/>
        <w:rPr>
          <w:rFonts w:eastAsia="Times New Roman"/>
          <w:b/>
          <w:bCs/>
          <w:kern w:val="0"/>
          <w:lang w:eastAsia="en-GB"/>
          <w14:ligatures w14:val="none"/>
        </w:rPr>
      </w:pPr>
    </w:p>
    <w:p>
      <w:pPr>
        <w:spacing w:after="0" w:line="240" w:lineRule="auto"/>
        <w:ind w:firstLine="0"/>
        <w:rPr>
          <w:rFonts w:eastAsia="Times New Roman"/>
          <w:b/>
          <w:bCs/>
          <w:kern w:val="0"/>
          <w:lang w:eastAsia="en-GB"/>
          <w14:ligatures w14:val="none"/>
        </w:rPr>
      </w:pPr>
    </w:p>
    <w:p>
      <w:pPr>
        <w:spacing w:after="0" w:line="240" w:lineRule="auto"/>
        <w:ind w:firstLine="0"/>
        <w:rPr>
          <w:rFonts w:eastAsia="Times New Roman"/>
          <w:b/>
          <w:bCs/>
          <w:kern w:val="0"/>
          <w:lang w:eastAsia="en-GB"/>
          <w14:ligatures w14:val="none"/>
        </w:rPr>
      </w:pPr>
      <w:r>
        <w:rPr>
          <w:rFonts w:eastAsia="Times New Roman"/>
          <w:b/>
          <w:bCs/>
          <w:kern w:val="0"/>
          <w:lang w:eastAsia="en-GB"/>
          <w14:ligatures w14:val="none"/>
        </w:rPr>
        <w:t>DECLARATION</w:t>
      </w:r>
    </w:p>
    <w:p>
      <w:pPr>
        <w:spacing w:after="0" w:line="240" w:lineRule="auto"/>
        <w:ind w:firstLine="0"/>
        <w:rPr>
          <w:rFonts w:eastAsia="Times New Roman"/>
          <w:b/>
          <w:bCs/>
          <w:kern w:val="0"/>
          <w:lang w:eastAsia="en-GB"/>
          <w14:ligatures w14:val="none"/>
        </w:rPr>
      </w:pPr>
    </w:p>
    <w:p>
      <w:pPr>
        <w:spacing w:after="0" w:line="240" w:lineRule="auto"/>
        <w:ind w:firstLine="0"/>
        <w:rPr>
          <w:rFonts w:eastAsia="Times New Roman"/>
          <w:b/>
          <w:bCs/>
          <w:kern w:val="0"/>
          <w:lang w:eastAsia="en-GB"/>
          <w14:ligatures w14:val="none"/>
        </w:rPr>
      </w:pPr>
      <w:r>
        <w:rPr>
          <w:rFonts w:eastAsia="Times New Roman"/>
          <w:b/>
          <w:bCs/>
          <w:kern w:val="0"/>
          <w:lang w:eastAsia="en-GB"/>
          <w14:ligatures w14:val="none"/>
        </w:rPr>
        <w:t>I certify that the whole of this work is the result of my individual effort, and that all sources have been acknowledged.</w:t>
      </w:r>
    </w:p>
    <w:p>
      <w:pPr>
        <w:spacing w:after="0" w:line="240" w:lineRule="auto"/>
        <w:ind w:firstLine="0"/>
        <w:rPr>
          <w:rFonts w:eastAsia="Times New Roman"/>
          <w:b/>
          <w:bCs/>
          <w:kern w:val="0"/>
          <w:lang w:eastAsia="en-GB"/>
          <w14:ligatures w14:val="none"/>
        </w:rPr>
      </w:pPr>
    </w:p>
    <w:p>
      <w:pPr>
        <w:spacing w:after="0" w:line="240" w:lineRule="auto"/>
        <w:ind w:firstLine="0"/>
        <w:rPr>
          <w:rFonts w:eastAsia="Times New Roman"/>
          <w:b/>
          <w:bCs/>
          <w:kern w:val="0"/>
          <w:lang w:eastAsia="en-GB"/>
          <w14:ligatures w14:val="none"/>
        </w:rPr>
      </w:pPr>
      <w:r>
        <w:rPr>
          <w:rFonts w:eastAsia="Times New Roman"/>
          <w:b/>
          <w:bCs/>
          <w:kern w:val="0"/>
          <w:lang w:eastAsia="en-GB"/>
          <w14:ligatures w14:val="none"/>
        </w:rPr>
        <w:t xml:space="preserve">Signed </w:t>
      </w:r>
      <w:r>
        <w:rPr>
          <w:rFonts w:hint="eastAsia" w:eastAsia="宋体"/>
          <w:b/>
          <w:bCs/>
          <w:kern w:val="0"/>
          <w:lang w:val="en-US" w:eastAsia="zh-CN"/>
          <w14:ligatures w14:val="none"/>
        </w:rPr>
        <w:t>: Bo Fu</w:t>
      </w:r>
      <w:r>
        <w:rPr>
          <w:rFonts w:eastAsia="Times New Roman"/>
          <w:b/>
          <w:bCs/>
          <w:kern w:val="0"/>
          <w:lang w:eastAsia="en-GB"/>
          <w14:ligatures w14:val="none"/>
        </w:rPr>
        <w:t xml:space="preserve"> (Student)</w:t>
      </w:r>
    </w:p>
    <w:p>
      <w:pPr>
        <w:spacing w:after="0" w:line="240" w:lineRule="auto"/>
        <w:ind w:firstLine="0"/>
        <w:rPr>
          <w:rFonts w:eastAsia="Times New Roman"/>
          <w:b/>
          <w:bCs/>
          <w:kern w:val="0"/>
          <w:lang w:eastAsia="en-GB"/>
          <w14:ligatures w14:val="none"/>
        </w:rPr>
      </w:pPr>
    </w:p>
    <w:p>
      <w:pPr>
        <w:spacing w:after="0" w:line="360" w:lineRule="auto"/>
        <w:ind w:firstLine="0"/>
        <w:rPr>
          <w:rFonts w:eastAsia="Times New Roman"/>
          <w:b/>
          <w:bCs/>
          <w:kern w:val="0"/>
          <w:lang w:eastAsia="en-GB"/>
          <w14:ligatures w14:val="none"/>
        </w:rPr>
      </w:pPr>
      <w:r>
        <w:rPr>
          <w:rFonts w:eastAsia="Times New Roman"/>
          <w:b/>
          <w:bCs/>
          <w:kern w:val="0"/>
          <w:lang w:eastAsia="en-GB"/>
          <w14:ligatures w14:val="none"/>
        </w:rPr>
        <w:t xml:space="preserve">Date </w:t>
      </w:r>
      <w:r>
        <w:rPr>
          <w:rFonts w:hint="eastAsia" w:eastAsia="宋体"/>
          <w:b/>
          <w:bCs/>
          <w:kern w:val="0"/>
          <w:lang w:val="en-US" w:eastAsia="zh-CN"/>
          <w14:ligatures w14:val="none"/>
        </w:rPr>
        <w:t>:</w:t>
      </w:r>
      <w:r>
        <w:rPr>
          <w:rFonts w:eastAsia="Times New Roman"/>
          <w:b/>
          <w:bCs/>
          <w:kern w:val="0"/>
          <w:lang w:eastAsia="en-GB"/>
          <w14:ligatures w14:val="none"/>
        </w:rPr>
        <w:t xml:space="preserve">  </w:t>
      </w:r>
      <w:r>
        <w:rPr>
          <w:rFonts w:hint="eastAsia" w:eastAsia="Times New Roman"/>
          <w:b/>
          <w:bCs/>
          <w:kern w:val="0"/>
          <w:lang w:val="en-US" w:eastAsia="zh-CN"/>
          <w14:ligatures w14:val="none"/>
        </w:rPr>
        <w:t>6</w:t>
      </w:r>
      <w:r>
        <w:rPr>
          <w:rFonts w:eastAsia="Times New Roman"/>
          <w:b/>
          <w:bCs/>
          <w:kern w:val="0"/>
          <w:lang w:eastAsia="en-GB"/>
          <w14:ligatures w14:val="none"/>
        </w:rPr>
        <w:t xml:space="preserve">th </w:t>
      </w:r>
      <w:r>
        <w:rPr>
          <w:rFonts w:hint="eastAsia" w:eastAsia="Times New Roman"/>
          <w:b/>
          <w:bCs/>
          <w:kern w:val="0"/>
          <w:lang w:eastAsia="en-GB"/>
          <w14:ligatures w14:val="none"/>
        </w:rPr>
        <w:t>February</w:t>
      </w:r>
      <w:r>
        <w:rPr>
          <w:rFonts w:eastAsia="Times New Roman"/>
          <w:b/>
          <w:bCs/>
          <w:kern w:val="0"/>
          <w:lang w:eastAsia="en-GB"/>
          <w14:ligatures w14:val="none"/>
        </w:rPr>
        <w:t xml:space="preserve"> 202</w:t>
      </w:r>
      <w:r>
        <w:rPr>
          <w:rFonts w:hint="eastAsia" w:eastAsia="Times New Roman"/>
          <w:b/>
          <w:bCs/>
          <w:kern w:val="0"/>
          <w:lang w:val="en-US" w:eastAsia="zh-CN"/>
          <w14:ligatures w14:val="none"/>
        </w:rPr>
        <w:t>4</w:t>
      </w:r>
    </w:p>
    <w:p>
      <w:pPr>
        <w:spacing w:after="0" w:line="240" w:lineRule="auto"/>
        <w:ind w:firstLine="0"/>
        <w:rPr>
          <w:rFonts w:eastAsia="Times New Roman"/>
          <w:b/>
          <w:bCs/>
          <w:kern w:val="0"/>
          <w:lang w:eastAsia="en-GB"/>
          <w14:ligatures w14:val="none"/>
        </w:rPr>
      </w:pPr>
    </w:p>
    <w:p>
      <w:pPr>
        <w:spacing w:after="0" w:line="240" w:lineRule="auto"/>
        <w:ind w:firstLine="0"/>
        <w:rPr>
          <w:rFonts w:eastAsia="Times New Roman"/>
          <w:b/>
          <w:bCs/>
          <w:kern w:val="0"/>
          <w:lang w:eastAsia="en-GB"/>
          <w14:ligatures w14:val="none"/>
        </w:rPr>
      </w:pPr>
    </w:p>
    <w:p>
      <w:pPr>
        <w:spacing w:after="0" w:line="240" w:lineRule="auto"/>
        <w:ind w:firstLine="0"/>
        <w:rPr>
          <w:rFonts w:eastAsia="Times New Roman"/>
          <w:b/>
          <w:bCs/>
          <w:kern w:val="0"/>
          <w:lang w:eastAsia="en-GB"/>
          <w14:ligatures w14:val="none"/>
        </w:rPr>
      </w:pPr>
    </w:p>
    <w:p>
      <w:pPr>
        <w:spacing w:after="0" w:line="240" w:lineRule="auto"/>
        <w:ind w:firstLine="0"/>
        <w:rPr>
          <w:rFonts w:eastAsia="Times New Roman"/>
          <w:b/>
          <w:bCs/>
          <w:kern w:val="0"/>
          <w:lang w:eastAsia="en-GB"/>
          <w14:ligatures w14:val="none"/>
        </w:rPr>
      </w:pPr>
    </w:p>
    <w:p>
      <w:pPr>
        <w:spacing w:after="0" w:line="240" w:lineRule="auto"/>
        <w:ind w:firstLine="0"/>
        <w:rPr>
          <w:rFonts w:eastAsia="Times New Roman"/>
          <w:b/>
          <w:bCs/>
          <w:kern w:val="0"/>
          <w:lang w:eastAsia="en-GB"/>
          <w14:ligatures w14:val="none"/>
        </w:rPr>
      </w:pPr>
      <w:r>
        <w:rPr>
          <w:rFonts w:eastAsia="Times New Roman"/>
          <w:b/>
          <w:bCs/>
          <w:kern w:val="0"/>
          <w:lang w:eastAsia="en-GB"/>
          <w14:ligatures w14:val="none"/>
        </w:rPr>
        <w:t>DECLARATION</w:t>
      </w:r>
    </w:p>
    <w:p>
      <w:pPr>
        <w:spacing w:after="0" w:line="240" w:lineRule="auto"/>
        <w:ind w:firstLine="0"/>
        <w:rPr>
          <w:rFonts w:eastAsia="Times New Roman"/>
          <w:b/>
          <w:bCs/>
          <w:kern w:val="0"/>
          <w:lang w:eastAsia="en-GB"/>
          <w14:ligatures w14:val="none"/>
        </w:rPr>
      </w:pPr>
    </w:p>
    <w:p>
      <w:pPr>
        <w:spacing w:after="0" w:line="240" w:lineRule="auto"/>
        <w:ind w:firstLine="0"/>
        <w:rPr>
          <w:rFonts w:eastAsia="Times New Roman"/>
          <w:b/>
          <w:bCs/>
          <w:kern w:val="0"/>
          <w:lang w:eastAsia="en-GB"/>
          <w14:ligatures w14:val="none"/>
        </w:rPr>
      </w:pPr>
      <w:r>
        <w:rPr>
          <w:rFonts w:eastAsia="Times New Roman"/>
          <w:b/>
          <w:bCs/>
          <w:kern w:val="0"/>
          <w:lang w:eastAsia="en-GB"/>
          <w14:ligatures w14:val="none"/>
        </w:rPr>
        <w:t>I am satisfied that this work is the result of the Student’s effort.</w:t>
      </w:r>
    </w:p>
    <w:p>
      <w:pPr>
        <w:spacing w:after="0" w:line="240" w:lineRule="auto"/>
        <w:ind w:firstLine="0"/>
        <w:rPr>
          <w:rFonts w:eastAsia="Times New Roman"/>
          <w:b/>
          <w:bCs/>
          <w:kern w:val="0"/>
          <w:lang w:eastAsia="en-GB"/>
          <w14:ligatures w14:val="none"/>
        </w:rPr>
      </w:pPr>
    </w:p>
    <w:p>
      <w:pPr>
        <w:spacing w:after="0" w:line="240" w:lineRule="auto"/>
        <w:ind w:firstLine="0"/>
        <w:rPr>
          <w:rFonts w:eastAsia="Times New Roman"/>
          <w:b/>
          <w:bCs/>
          <w:kern w:val="0"/>
          <w:lang w:eastAsia="en-GB"/>
          <w14:ligatures w14:val="none"/>
        </w:rPr>
      </w:pPr>
      <w:r>
        <w:rPr>
          <w:rFonts w:eastAsia="Times New Roman"/>
          <w:b/>
          <w:bCs/>
          <w:kern w:val="0"/>
          <w:lang w:eastAsia="en-GB"/>
          <w14:ligatures w14:val="none"/>
        </w:rPr>
        <w:t xml:space="preserve">Signed:  </w:t>
      </w:r>
      <w:r>
        <w:rPr>
          <w:rFonts w:eastAsia="Times New Roman" w:asciiTheme="minorHAnsi" w:hAnsiTheme="minorHAnsi" w:cstheme="minorHAnsi"/>
          <w:b/>
          <w:bCs/>
          <w:kern w:val="0"/>
          <w:lang w:eastAsia="en-GB"/>
          <w14:ligatures w14:val="none"/>
        </w:rPr>
        <w:t>Lynda T. Maddock</w:t>
      </w:r>
      <w:r>
        <w:rPr>
          <w:rFonts w:eastAsia="Times New Roman"/>
          <w:b/>
          <w:bCs/>
          <w:kern w:val="0"/>
          <w:lang w:eastAsia="en-GB"/>
          <w14:ligatures w14:val="none"/>
        </w:rPr>
        <w:t xml:space="preserve">  (Lecturer)</w:t>
      </w:r>
    </w:p>
    <w:p>
      <w:pPr>
        <w:spacing w:after="0" w:line="240" w:lineRule="auto"/>
        <w:ind w:firstLine="0"/>
        <w:rPr>
          <w:rFonts w:eastAsia="Times New Roman"/>
          <w:b/>
          <w:bCs/>
          <w:kern w:val="0"/>
          <w:lang w:eastAsia="en-GB"/>
          <w14:ligatures w14:val="none"/>
        </w:rPr>
      </w:pPr>
    </w:p>
    <w:p>
      <w:pPr>
        <w:spacing w:after="0" w:line="240" w:lineRule="auto"/>
        <w:ind w:firstLine="0"/>
        <w:rPr>
          <w:rFonts w:eastAsia="Times New Roman"/>
          <w:b/>
          <w:bCs/>
          <w:kern w:val="0"/>
          <w:lang w:eastAsia="en-GB"/>
          <w14:ligatures w14:val="none"/>
        </w:rPr>
      </w:pPr>
      <w:r>
        <w:rPr>
          <w:rFonts w:eastAsia="Times New Roman"/>
          <w:b/>
          <w:bCs/>
          <w:kern w:val="0"/>
          <w:lang w:eastAsia="en-GB"/>
          <w14:ligatures w14:val="none"/>
        </w:rPr>
        <w:t>Date: 10/02/2024</w:t>
      </w:r>
    </w:p>
    <w:p>
      <w:pPr>
        <w:spacing w:line="360" w:lineRule="auto"/>
        <w:ind w:firstLine="0"/>
        <w:jc w:val="center"/>
        <w:rPr>
          <w:rFonts w:ascii="Arial" w:hAnsi="Arial" w:cs="Arial"/>
          <w:lang w:val="en-U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sdt>
      <w:sdtPr>
        <w:rPr>
          <w:rFonts w:ascii="Arial" w:hAnsi="Arial" w:cs="Arial" w:eastAsiaTheme="minorHAnsi"/>
          <w:caps w:val="0"/>
          <w:color w:val="auto"/>
          <w:kern w:val="2"/>
          <w:szCs w:val="24"/>
          <w:lang w:val="en-GB"/>
          <w14:ligatures w14:val="standardContextual"/>
        </w:rPr>
        <w:id w:val="253177092"/>
        <w:docPartObj>
          <w:docPartGallery w:val="Table of Contents"/>
          <w:docPartUnique/>
        </w:docPartObj>
      </w:sdtPr>
      <w:sdtEndPr>
        <w:rPr>
          <w:rFonts w:ascii="Arial" w:hAnsi="Arial" w:cs="Arial" w:eastAsiaTheme="minorHAnsi"/>
          <w:caps w:val="0"/>
          <w:color w:val="auto"/>
          <w:kern w:val="2"/>
          <w:szCs w:val="24"/>
          <w:lang w:val="en-GB"/>
          <w14:ligatures w14:val="standardContextual"/>
        </w:rPr>
      </w:sdtEndPr>
      <w:sdtContent>
        <w:p>
          <w:pPr>
            <w:pStyle w:val="32"/>
            <w:numPr>
              <w:ilvl w:val="0"/>
              <w:numId w:val="0"/>
            </w:numPr>
            <w:spacing w:line="360" w:lineRule="auto"/>
            <w:ind w:left="432"/>
            <w:rPr>
              <w:rFonts w:ascii="Arial" w:hAnsi="Arial" w:cs="Arial"/>
              <w:szCs w:val="24"/>
            </w:rPr>
          </w:pPr>
          <w:r>
            <w:rPr>
              <w:rFonts w:ascii="Arial" w:hAnsi="Arial" w:cs="Arial"/>
              <w:szCs w:val="24"/>
            </w:rPr>
            <w:t>Table of Contents</w:t>
          </w:r>
        </w:p>
        <w:p>
          <w:pPr>
            <w:pStyle w:val="16"/>
            <w:tabs>
              <w:tab w:val="right" w:leader="dot" w:pos="9016"/>
            </w:tabs>
            <w:spacing w:line="360" w:lineRule="auto"/>
            <w:rPr>
              <w:rFonts w:ascii="Arial" w:hAnsi="Arial" w:cs="Arial" w:eastAsiaTheme="minorEastAsia"/>
              <w:lang w:val="zh-CN" w:eastAsia="zh-CN"/>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r>
            <w:fldChar w:fldCharType="begin"/>
          </w:r>
          <w:r>
            <w:instrText xml:space="preserve"> HYPERLINK \l "_Toc158819486" </w:instrText>
          </w:r>
          <w:r>
            <w:fldChar w:fldCharType="separate"/>
          </w:r>
          <w:r>
            <w:rPr>
              <w:rStyle w:val="25"/>
              <w:rFonts w:ascii="Arial" w:hAnsi="Arial" w:eastAsia="Times New Roman" w:cs="Arial"/>
              <w:kern w:val="0"/>
              <w:lang w:eastAsia="en-GB"/>
              <w14:ligatures w14:val="none"/>
            </w:rPr>
            <w:t>DECLARATION FORM</w:t>
          </w:r>
          <w:r>
            <w:rPr>
              <w:rFonts w:ascii="Arial" w:hAnsi="Arial" w:cs="Arial"/>
            </w:rPr>
            <w:tab/>
          </w:r>
          <w:r>
            <w:rPr>
              <w:rFonts w:ascii="Arial" w:hAnsi="Arial" w:cs="Arial"/>
            </w:rPr>
            <w:fldChar w:fldCharType="begin"/>
          </w:r>
          <w:r>
            <w:rPr>
              <w:rFonts w:ascii="Arial" w:hAnsi="Arial" w:cs="Arial"/>
            </w:rPr>
            <w:instrText xml:space="preserve"> PAGEREF _Toc158819486 \h </w:instrText>
          </w:r>
          <w:r>
            <w:rPr>
              <w:rFonts w:ascii="Arial" w:hAnsi="Arial" w:cs="Arial"/>
            </w:rPr>
            <w:fldChar w:fldCharType="separate"/>
          </w:r>
          <w:r>
            <w:rPr>
              <w:rFonts w:ascii="Arial" w:hAnsi="Arial" w:cs="Arial"/>
            </w:rPr>
            <w:t>2</w:t>
          </w:r>
          <w:r>
            <w:rPr>
              <w:rFonts w:ascii="Arial" w:hAnsi="Arial" w:cs="Arial"/>
            </w:rPr>
            <w:fldChar w:fldCharType="end"/>
          </w:r>
          <w:r>
            <w:rPr>
              <w:rFonts w:ascii="Arial" w:hAnsi="Arial" w:cs="Arial"/>
            </w:rPr>
            <w:fldChar w:fldCharType="end"/>
          </w:r>
        </w:p>
        <w:p>
          <w:pPr>
            <w:pStyle w:val="16"/>
            <w:tabs>
              <w:tab w:val="right" w:leader="dot" w:pos="9016"/>
            </w:tabs>
            <w:spacing w:line="360" w:lineRule="auto"/>
            <w:rPr>
              <w:rFonts w:ascii="Arial" w:hAnsi="Arial" w:cs="Arial" w:eastAsiaTheme="minorEastAsia"/>
              <w:lang w:val="zh-CN" w:eastAsia="zh-CN"/>
            </w:rPr>
          </w:pPr>
          <w:r>
            <w:fldChar w:fldCharType="begin"/>
          </w:r>
          <w:r>
            <w:instrText xml:space="preserve"> HYPERLINK \l "_Toc158819487" </w:instrText>
          </w:r>
          <w:r>
            <w:fldChar w:fldCharType="separate"/>
          </w:r>
          <w:r>
            <w:rPr>
              <w:rStyle w:val="25"/>
              <w:rFonts w:ascii="Arial" w:hAnsi="Arial" w:cs="Arial"/>
            </w:rPr>
            <w:t>Acknowledgment</w:t>
          </w:r>
          <w:r>
            <w:rPr>
              <w:rFonts w:ascii="Arial" w:hAnsi="Arial" w:cs="Arial"/>
            </w:rPr>
            <w:tab/>
          </w:r>
          <w:r>
            <w:rPr>
              <w:rFonts w:ascii="Arial" w:hAnsi="Arial" w:cs="Arial"/>
            </w:rPr>
            <w:fldChar w:fldCharType="begin"/>
          </w:r>
          <w:r>
            <w:rPr>
              <w:rFonts w:ascii="Arial" w:hAnsi="Arial" w:cs="Arial"/>
            </w:rPr>
            <w:instrText xml:space="preserve"> PAGEREF _Toc158819487 \h </w:instrText>
          </w:r>
          <w:r>
            <w:rPr>
              <w:rFonts w:ascii="Arial" w:hAnsi="Arial" w:cs="Arial"/>
            </w:rPr>
            <w:fldChar w:fldCharType="separate"/>
          </w:r>
          <w:r>
            <w:rPr>
              <w:rFonts w:ascii="Arial" w:hAnsi="Arial" w:cs="Arial"/>
            </w:rPr>
            <w:t>7</w:t>
          </w:r>
          <w:r>
            <w:rPr>
              <w:rFonts w:ascii="Arial" w:hAnsi="Arial" w:cs="Arial"/>
            </w:rPr>
            <w:fldChar w:fldCharType="end"/>
          </w:r>
          <w:r>
            <w:rPr>
              <w:rFonts w:ascii="Arial" w:hAnsi="Arial" w:cs="Arial"/>
            </w:rPr>
            <w:fldChar w:fldCharType="end"/>
          </w:r>
        </w:p>
        <w:p>
          <w:pPr>
            <w:pStyle w:val="16"/>
            <w:tabs>
              <w:tab w:val="right" w:leader="dot" w:pos="9016"/>
            </w:tabs>
            <w:spacing w:line="360" w:lineRule="auto"/>
            <w:rPr>
              <w:rFonts w:ascii="Arial" w:hAnsi="Arial" w:cs="Arial" w:eastAsiaTheme="minorEastAsia"/>
              <w:lang w:val="zh-CN" w:eastAsia="zh-CN"/>
            </w:rPr>
          </w:pPr>
          <w:r>
            <w:fldChar w:fldCharType="begin"/>
          </w:r>
          <w:r>
            <w:instrText xml:space="preserve"> HYPERLINK \l "_Toc158819488" </w:instrText>
          </w:r>
          <w:r>
            <w:fldChar w:fldCharType="separate"/>
          </w:r>
          <w:r>
            <w:rPr>
              <w:rStyle w:val="25"/>
              <w:rFonts w:ascii="Arial" w:hAnsi="Arial" w:cs="Arial"/>
            </w:rPr>
            <w:t>Abstract</w:t>
          </w:r>
          <w:r>
            <w:rPr>
              <w:rFonts w:ascii="Arial" w:hAnsi="Arial" w:cs="Arial"/>
            </w:rPr>
            <w:tab/>
          </w:r>
          <w:r>
            <w:rPr>
              <w:rFonts w:ascii="Arial" w:hAnsi="Arial" w:cs="Arial"/>
            </w:rPr>
            <w:fldChar w:fldCharType="begin"/>
          </w:r>
          <w:r>
            <w:rPr>
              <w:rFonts w:ascii="Arial" w:hAnsi="Arial" w:cs="Arial"/>
            </w:rPr>
            <w:instrText xml:space="preserve"> PAGEREF _Toc158819488 \h </w:instrText>
          </w:r>
          <w:r>
            <w:rPr>
              <w:rFonts w:ascii="Arial" w:hAnsi="Arial" w:cs="Arial"/>
            </w:rPr>
            <w:fldChar w:fldCharType="separate"/>
          </w:r>
          <w:r>
            <w:rPr>
              <w:rFonts w:ascii="Arial" w:hAnsi="Arial" w:cs="Arial"/>
            </w:rPr>
            <w:t>8</w:t>
          </w:r>
          <w:r>
            <w:rPr>
              <w:rFonts w:ascii="Arial" w:hAnsi="Arial" w:cs="Arial"/>
            </w:rPr>
            <w:fldChar w:fldCharType="end"/>
          </w:r>
          <w:r>
            <w:rPr>
              <w:rFonts w:ascii="Arial" w:hAnsi="Arial" w:cs="Arial"/>
            </w:rPr>
            <w:fldChar w:fldCharType="end"/>
          </w:r>
        </w:p>
        <w:p>
          <w:pPr>
            <w:pStyle w:val="16"/>
            <w:tabs>
              <w:tab w:val="left" w:pos="1100"/>
              <w:tab w:val="right" w:leader="dot" w:pos="9016"/>
            </w:tabs>
            <w:spacing w:line="360" w:lineRule="auto"/>
            <w:rPr>
              <w:rFonts w:ascii="Arial" w:hAnsi="Arial" w:cs="Arial" w:eastAsiaTheme="minorEastAsia"/>
              <w:lang w:val="zh-CN" w:eastAsia="zh-CN"/>
            </w:rPr>
          </w:pPr>
          <w:r>
            <w:fldChar w:fldCharType="begin"/>
          </w:r>
          <w:r>
            <w:instrText xml:space="preserve"> HYPERLINK \l "_Toc158819489" </w:instrText>
          </w:r>
          <w:r>
            <w:fldChar w:fldCharType="separate"/>
          </w:r>
          <w:r>
            <w:rPr>
              <w:rStyle w:val="25"/>
              <w:rFonts w:ascii="Arial" w:hAnsi="Arial" w:cs="Arial"/>
            </w:rPr>
            <w:t>1</w:t>
          </w:r>
          <w:r>
            <w:rPr>
              <w:rFonts w:ascii="Arial" w:hAnsi="Arial" w:cs="Arial" w:eastAsiaTheme="minorEastAsia"/>
              <w:lang w:val="zh-CN" w:eastAsia="zh-CN"/>
            </w:rPr>
            <w:tab/>
          </w:r>
          <w:r>
            <w:rPr>
              <w:rStyle w:val="25"/>
              <w:rFonts w:ascii="Arial" w:hAnsi="Arial" w:cs="Arial"/>
            </w:rPr>
            <w:t>Introduction</w:t>
          </w:r>
          <w:r>
            <w:rPr>
              <w:rFonts w:ascii="Arial" w:hAnsi="Arial" w:cs="Arial"/>
            </w:rPr>
            <w:tab/>
          </w:r>
          <w:r>
            <w:rPr>
              <w:rFonts w:ascii="Arial" w:hAnsi="Arial" w:cs="Arial"/>
            </w:rPr>
            <w:fldChar w:fldCharType="begin"/>
          </w:r>
          <w:r>
            <w:rPr>
              <w:rFonts w:ascii="Arial" w:hAnsi="Arial" w:cs="Arial"/>
            </w:rPr>
            <w:instrText xml:space="preserve"> PAGEREF _Toc158819489 \h </w:instrText>
          </w:r>
          <w:r>
            <w:rPr>
              <w:rFonts w:ascii="Arial" w:hAnsi="Arial" w:cs="Arial"/>
            </w:rPr>
            <w:fldChar w:fldCharType="separate"/>
          </w:r>
          <w:r>
            <w:rPr>
              <w:rFonts w:ascii="Arial" w:hAnsi="Arial" w:cs="Arial"/>
            </w:rPr>
            <w:t>9</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"_Toc158819490" </w:instrText>
          </w:r>
          <w:r>
            <w:fldChar w:fldCharType="separate"/>
          </w:r>
          <w:r>
            <w:rPr>
              <w:rStyle w:val="25"/>
              <w:rFonts w:ascii="Arial" w:hAnsi="Arial" w:cs="Arial"/>
            </w:rPr>
            <w:t>1.1</w:t>
          </w:r>
          <w:r>
            <w:rPr>
              <w:rFonts w:ascii="Arial" w:hAnsi="Arial" w:cs="Arial" w:eastAsiaTheme="minorEastAsia"/>
              <w:lang w:val="zh-CN" w:eastAsia="zh-CN"/>
            </w:rPr>
            <w:tab/>
          </w:r>
          <w:r>
            <w:rPr>
              <w:rStyle w:val="25"/>
              <w:rFonts w:ascii="Arial" w:hAnsi="Arial" w:cs="Arial"/>
            </w:rPr>
            <w:t>Proposed Research Question</w:t>
          </w:r>
          <w:r>
            <w:rPr>
              <w:rFonts w:ascii="Arial" w:hAnsi="Arial" w:cs="Arial"/>
            </w:rPr>
            <w:tab/>
          </w:r>
          <w:r>
            <w:rPr>
              <w:rFonts w:ascii="Arial" w:hAnsi="Arial" w:cs="Arial"/>
            </w:rPr>
            <w:fldChar w:fldCharType="begin"/>
          </w:r>
          <w:r>
            <w:rPr>
              <w:rFonts w:ascii="Arial" w:hAnsi="Arial" w:cs="Arial"/>
            </w:rPr>
            <w:instrText xml:space="preserve"> PAGEREF _Toc158819490 \h </w:instrText>
          </w:r>
          <w:r>
            <w:rPr>
              <w:rFonts w:ascii="Arial" w:hAnsi="Arial" w:cs="Arial"/>
            </w:rPr>
            <w:fldChar w:fldCharType="separate"/>
          </w:r>
          <w:r>
            <w:rPr>
              <w:rFonts w:ascii="Arial" w:hAnsi="Arial" w:cs="Arial"/>
            </w:rPr>
            <w:t>9</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"_Toc158819491" </w:instrText>
          </w:r>
          <w:r>
            <w:fldChar w:fldCharType="separate"/>
          </w:r>
          <w:r>
            <w:rPr>
              <w:rStyle w:val="25"/>
              <w:rFonts w:ascii="Arial" w:hAnsi="Arial" w:cs="Arial"/>
            </w:rPr>
            <w:t>1.2</w:t>
          </w:r>
          <w:r>
            <w:rPr>
              <w:rFonts w:ascii="Arial" w:hAnsi="Arial" w:cs="Arial" w:eastAsiaTheme="minorEastAsia"/>
              <w:lang w:val="zh-CN" w:eastAsia="zh-CN"/>
            </w:rPr>
            <w:tab/>
          </w:r>
          <w:r>
            <w:rPr>
              <w:rStyle w:val="25"/>
              <w:rFonts w:ascii="Arial" w:hAnsi="Arial" w:cs="Arial"/>
            </w:rPr>
            <w:t>Aims of the Research Activity</w:t>
          </w:r>
          <w:r>
            <w:rPr>
              <w:rFonts w:ascii="Arial" w:hAnsi="Arial" w:cs="Arial"/>
            </w:rPr>
            <w:tab/>
          </w:r>
          <w:r>
            <w:rPr>
              <w:rFonts w:ascii="Arial" w:hAnsi="Arial" w:cs="Arial"/>
            </w:rPr>
            <w:fldChar w:fldCharType="begin"/>
          </w:r>
          <w:r>
            <w:rPr>
              <w:rFonts w:ascii="Arial" w:hAnsi="Arial" w:cs="Arial"/>
            </w:rPr>
            <w:instrText xml:space="preserve"> PAGEREF _Toc158819491 \h </w:instrText>
          </w:r>
          <w:r>
            <w:rPr>
              <w:rFonts w:ascii="Arial" w:hAnsi="Arial" w:cs="Arial"/>
            </w:rPr>
            <w:fldChar w:fldCharType="separate"/>
          </w:r>
          <w:r>
            <w:rPr>
              <w:rFonts w:ascii="Arial" w:hAnsi="Arial" w:cs="Arial"/>
            </w:rPr>
            <w:t>9</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"_Toc158819492" </w:instrText>
          </w:r>
          <w:r>
            <w:fldChar w:fldCharType="separate"/>
          </w:r>
          <w:r>
            <w:rPr>
              <w:rStyle w:val="25"/>
              <w:rFonts w:ascii="Arial" w:hAnsi="Arial" w:cs="Arial"/>
            </w:rPr>
            <w:t>1.3</w:t>
          </w:r>
          <w:r>
            <w:rPr>
              <w:rFonts w:ascii="Arial" w:hAnsi="Arial" w:cs="Arial" w:eastAsiaTheme="minorEastAsia"/>
              <w:lang w:val="zh-CN" w:eastAsia="zh-CN"/>
            </w:rPr>
            <w:tab/>
          </w:r>
          <w:r>
            <w:rPr>
              <w:rStyle w:val="25"/>
              <w:rFonts w:ascii="Arial" w:hAnsi="Arial" w:cs="Arial"/>
            </w:rPr>
            <w:t>Objectives of Research Activity</w:t>
          </w:r>
          <w:r>
            <w:rPr>
              <w:rFonts w:ascii="Arial" w:hAnsi="Arial" w:cs="Arial"/>
            </w:rPr>
            <w:tab/>
          </w:r>
          <w:r>
            <w:rPr>
              <w:rFonts w:ascii="Arial" w:hAnsi="Arial" w:cs="Arial"/>
            </w:rPr>
            <w:fldChar w:fldCharType="begin"/>
          </w:r>
          <w:r>
            <w:rPr>
              <w:rFonts w:ascii="Arial" w:hAnsi="Arial" w:cs="Arial"/>
            </w:rPr>
            <w:instrText xml:space="preserve"> PAGEREF _Toc158819492 \h </w:instrText>
          </w:r>
          <w:r>
            <w:rPr>
              <w:rFonts w:ascii="Arial" w:hAnsi="Arial" w:cs="Arial"/>
            </w:rPr>
            <w:fldChar w:fldCharType="separate"/>
          </w:r>
          <w:r>
            <w:rPr>
              <w:rFonts w:ascii="Arial" w:hAnsi="Arial" w:cs="Arial"/>
            </w:rPr>
            <w:t>10</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"_Toc158819493" </w:instrText>
          </w:r>
          <w:r>
            <w:fldChar w:fldCharType="separate"/>
          </w:r>
          <w:r>
            <w:rPr>
              <w:rStyle w:val="25"/>
              <w:rFonts w:ascii="Arial" w:hAnsi="Arial" w:cs="Arial"/>
              <w:lang w:val="en-US"/>
            </w:rPr>
            <w:t>1.4</w:t>
          </w:r>
          <w:r>
            <w:rPr>
              <w:rFonts w:ascii="Arial" w:hAnsi="Arial" w:cs="Arial" w:eastAsiaTheme="minorEastAsia"/>
              <w:lang w:val="zh-CN" w:eastAsia="zh-CN"/>
            </w:rPr>
            <w:tab/>
          </w:r>
          <w:r>
            <w:rPr>
              <w:rStyle w:val="25"/>
              <w:rFonts w:ascii="Arial" w:hAnsi="Arial" w:cs="Arial"/>
            </w:rPr>
            <w:t xml:space="preserve">Research </w:t>
          </w:r>
          <w:r>
            <w:rPr>
              <w:rStyle w:val="25"/>
              <w:rFonts w:ascii="Arial" w:hAnsi="Arial" w:cs="Arial"/>
              <w:lang w:val="en-US"/>
            </w:rPr>
            <w:t>Relevance</w:t>
          </w:r>
          <w:r>
            <w:rPr>
              <w:rFonts w:ascii="Arial" w:hAnsi="Arial" w:cs="Arial"/>
            </w:rPr>
            <w:tab/>
          </w:r>
          <w:r>
            <w:rPr>
              <w:rFonts w:ascii="Arial" w:hAnsi="Arial" w:cs="Arial"/>
            </w:rPr>
            <w:fldChar w:fldCharType="begin"/>
          </w:r>
          <w:r>
            <w:rPr>
              <w:rFonts w:ascii="Arial" w:hAnsi="Arial" w:cs="Arial"/>
            </w:rPr>
            <w:instrText xml:space="preserve"> PAGEREF _Toc158819493 \h </w:instrText>
          </w:r>
          <w:r>
            <w:rPr>
              <w:rFonts w:ascii="Arial" w:hAnsi="Arial" w:cs="Arial"/>
            </w:rPr>
            <w:fldChar w:fldCharType="separate"/>
          </w:r>
          <w:r>
            <w:rPr>
              <w:rFonts w:ascii="Arial" w:hAnsi="Arial" w:cs="Arial"/>
            </w:rPr>
            <w:t>10</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"_Toc158819494" </w:instrText>
          </w:r>
          <w:r>
            <w:fldChar w:fldCharType="separate"/>
          </w:r>
          <w:r>
            <w:rPr>
              <w:rStyle w:val="25"/>
              <w:rFonts w:ascii="Arial" w:hAnsi="Arial" w:cs="Arial"/>
            </w:rPr>
            <w:t>1.5</w:t>
          </w:r>
          <w:r>
            <w:rPr>
              <w:rFonts w:ascii="Arial" w:hAnsi="Arial" w:cs="Arial" w:eastAsiaTheme="minorEastAsia"/>
              <w:lang w:val="zh-CN" w:eastAsia="zh-CN"/>
            </w:rPr>
            <w:tab/>
          </w:r>
          <w:r>
            <w:rPr>
              <w:rStyle w:val="25"/>
              <w:rFonts w:ascii="Arial" w:hAnsi="Arial" w:cs="Arial"/>
            </w:rPr>
            <w:t>Contribution</w:t>
          </w:r>
          <w:r>
            <w:rPr>
              <w:rStyle w:val="25"/>
              <w:rFonts w:ascii="Arial" w:hAnsi="Arial" w:cs="Arial"/>
              <w:lang w:val="en-US"/>
            </w:rPr>
            <w:t xml:space="preserve"> to Existing Literature</w:t>
          </w:r>
          <w:r>
            <w:rPr>
              <w:rFonts w:ascii="Arial" w:hAnsi="Arial" w:cs="Arial"/>
            </w:rPr>
            <w:tab/>
          </w:r>
          <w:r>
            <w:rPr>
              <w:rFonts w:ascii="Arial" w:hAnsi="Arial" w:cs="Arial"/>
            </w:rPr>
            <w:fldChar w:fldCharType="begin"/>
          </w:r>
          <w:r>
            <w:rPr>
              <w:rFonts w:ascii="Arial" w:hAnsi="Arial" w:cs="Arial"/>
            </w:rPr>
            <w:instrText xml:space="preserve"> PAGEREF _Toc158819494 \h </w:instrText>
          </w:r>
          <w:r>
            <w:rPr>
              <w:rFonts w:ascii="Arial" w:hAnsi="Arial" w:cs="Arial"/>
            </w:rPr>
            <w:fldChar w:fldCharType="separate"/>
          </w:r>
          <w:r>
            <w:rPr>
              <w:rFonts w:ascii="Arial" w:hAnsi="Arial" w:cs="Arial"/>
            </w:rPr>
            <w:t>12</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"_Toc158819495" </w:instrText>
          </w:r>
          <w:r>
            <w:fldChar w:fldCharType="separate"/>
          </w:r>
          <w:r>
            <w:rPr>
              <w:rStyle w:val="25"/>
              <w:rFonts w:ascii="Arial" w:hAnsi="Arial" w:cs="Arial"/>
            </w:rPr>
            <w:t>1.6</w:t>
          </w:r>
          <w:r>
            <w:rPr>
              <w:rFonts w:ascii="Arial" w:hAnsi="Arial" w:cs="Arial" w:eastAsiaTheme="minorEastAsia"/>
              <w:lang w:val="zh-CN" w:eastAsia="zh-CN"/>
            </w:rPr>
            <w:tab/>
          </w:r>
          <w:r>
            <w:rPr>
              <w:rStyle w:val="25"/>
              <w:rFonts w:ascii="Arial" w:hAnsi="Arial" w:cs="Arial"/>
            </w:rPr>
            <w:t>The Area of Importance That it Addresses</w:t>
          </w:r>
          <w:r>
            <w:rPr>
              <w:rFonts w:ascii="Arial" w:hAnsi="Arial" w:cs="Arial"/>
            </w:rPr>
            <w:tab/>
          </w:r>
          <w:r>
            <w:rPr>
              <w:rFonts w:ascii="Arial" w:hAnsi="Arial" w:cs="Arial"/>
            </w:rPr>
            <w:fldChar w:fldCharType="begin"/>
          </w:r>
          <w:r>
            <w:rPr>
              <w:rFonts w:ascii="Arial" w:hAnsi="Arial" w:cs="Arial"/>
            </w:rPr>
            <w:instrText xml:space="preserve"> PAGEREF _Toc158819495 \h </w:instrText>
          </w:r>
          <w:r>
            <w:rPr>
              <w:rFonts w:ascii="Arial" w:hAnsi="Arial" w:cs="Arial"/>
            </w:rPr>
            <w:fldChar w:fldCharType="separate"/>
          </w:r>
          <w:r>
            <w:rPr>
              <w:rFonts w:ascii="Arial" w:hAnsi="Arial" w:cs="Arial"/>
            </w:rPr>
            <w:t>14</w:t>
          </w:r>
          <w:r>
            <w:rPr>
              <w:rFonts w:ascii="Arial" w:hAnsi="Arial" w:cs="Arial"/>
            </w:rPr>
            <w:fldChar w:fldCharType="end"/>
          </w:r>
          <w:r>
            <w:rPr>
              <w:rFonts w:ascii="Arial" w:hAnsi="Arial" w:cs="Arial"/>
            </w:rPr>
            <w:fldChar w:fldCharType="end"/>
          </w:r>
        </w:p>
        <w:p>
          <w:pPr>
            <w:pStyle w:val="16"/>
            <w:tabs>
              <w:tab w:val="left" w:pos="1100"/>
              <w:tab w:val="right" w:leader="dot" w:pos="9016"/>
            </w:tabs>
            <w:spacing w:line="360" w:lineRule="auto"/>
            <w:rPr>
              <w:rFonts w:ascii="Arial" w:hAnsi="Arial" w:cs="Arial" w:eastAsiaTheme="minorEastAsia"/>
              <w:lang w:val="zh-CN" w:eastAsia="zh-CN"/>
            </w:rPr>
          </w:pPr>
          <w:r>
            <w:fldChar w:fldCharType="begin"/>
          </w:r>
          <w:r>
            <w:instrText xml:space="preserve"> HYPERLINK \l "_Toc158819496" </w:instrText>
          </w:r>
          <w:r>
            <w:fldChar w:fldCharType="separate"/>
          </w:r>
          <w:r>
            <w:rPr>
              <w:rStyle w:val="25"/>
              <w:rFonts w:ascii="Arial" w:hAnsi="Arial" w:cs="Arial"/>
              <w:lang w:val="en-US"/>
            </w:rPr>
            <w:t>2</w:t>
          </w:r>
          <w:r>
            <w:rPr>
              <w:rFonts w:ascii="Arial" w:hAnsi="Arial" w:cs="Arial" w:eastAsiaTheme="minorEastAsia"/>
              <w:lang w:val="zh-CN" w:eastAsia="zh-CN"/>
            </w:rPr>
            <w:tab/>
          </w:r>
          <w:r>
            <w:rPr>
              <w:rStyle w:val="25"/>
              <w:rFonts w:ascii="Arial" w:hAnsi="Arial" w:cs="Arial"/>
              <w:lang w:val="en-US"/>
            </w:rPr>
            <w:t>Literature Review</w:t>
          </w:r>
          <w:r>
            <w:rPr>
              <w:rFonts w:ascii="Arial" w:hAnsi="Arial" w:cs="Arial"/>
            </w:rPr>
            <w:tab/>
          </w:r>
          <w:r>
            <w:rPr>
              <w:rFonts w:ascii="Arial" w:hAnsi="Arial" w:cs="Arial"/>
            </w:rPr>
            <w:fldChar w:fldCharType="begin"/>
          </w:r>
          <w:r>
            <w:rPr>
              <w:rFonts w:ascii="Arial" w:hAnsi="Arial" w:cs="Arial"/>
            </w:rPr>
            <w:instrText xml:space="preserve"> PAGEREF _Toc158819496 \h </w:instrText>
          </w:r>
          <w:r>
            <w:rPr>
              <w:rFonts w:ascii="Arial" w:hAnsi="Arial" w:cs="Arial"/>
            </w:rPr>
            <w:fldChar w:fldCharType="separate"/>
          </w:r>
          <w:r>
            <w:rPr>
              <w:rFonts w:ascii="Arial" w:hAnsi="Arial" w:cs="Arial"/>
            </w:rPr>
            <w:t>15</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"_Toc158819497" </w:instrText>
          </w:r>
          <w:r>
            <w:fldChar w:fldCharType="separate"/>
          </w:r>
          <w:r>
            <w:rPr>
              <w:rStyle w:val="25"/>
              <w:rFonts w:ascii="Arial" w:hAnsi="Arial" w:cs="Arial"/>
              <w:lang w:val="en-US"/>
            </w:rPr>
            <w:t>2.1</w:t>
          </w:r>
          <w:r>
            <w:rPr>
              <w:rFonts w:ascii="Arial" w:hAnsi="Arial" w:cs="Arial" w:eastAsiaTheme="minorEastAsia"/>
              <w:lang w:val="zh-CN" w:eastAsia="zh-CN"/>
            </w:rPr>
            <w:tab/>
          </w:r>
          <w:r>
            <w:rPr>
              <w:rStyle w:val="25"/>
              <w:rFonts w:ascii="Arial" w:hAnsi="Arial" w:cs="Arial"/>
            </w:rPr>
            <w:t>Vocational Education and Practical Teaching Methods</w:t>
          </w:r>
          <w:r>
            <w:rPr>
              <w:rFonts w:ascii="Arial" w:hAnsi="Arial" w:cs="Arial"/>
            </w:rPr>
            <w:tab/>
          </w:r>
          <w:r>
            <w:rPr>
              <w:rFonts w:ascii="Arial" w:hAnsi="Arial" w:cs="Arial"/>
            </w:rPr>
            <w:fldChar w:fldCharType="begin"/>
          </w:r>
          <w:r>
            <w:rPr>
              <w:rFonts w:ascii="Arial" w:hAnsi="Arial" w:cs="Arial"/>
            </w:rPr>
            <w:instrText xml:space="preserve"> PAGEREF _Toc158819497 \h </w:instrText>
          </w:r>
          <w:r>
            <w:rPr>
              <w:rFonts w:ascii="Arial" w:hAnsi="Arial" w:cs="Arial"/>
            </w:rPr>
            <w:fldChar w:fldCharType="separate"/>
          </w:r>
          <w:r>
            <w:rPr>
              <w:rFonts w:ascii="Arial" w:hAnsi="Arial" w:cs="Arial"/>
            </w:rPr>
            <w:t>15</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"_Toc158819498" </w:instrText>
          </w:r>
          <w:r>
            <w:fldChar w:fldCharType="separate"/>
          </w:r>
          <w:r>
            <w:rPr>
              <w:rStyle w:val="25"/>
              <w:rFonts w:ascii="Arial" w:hAnsi="Arial" w:cs="Arial"/>
            </w:rPr>
            <w:t>2.2</w:t>
          </w:r>
          <w:r>
            <w:rPr>
              <w:rFonts w:ascii="Arial" w:hAnsi="Arial" w:cs="Arial" w:eastAsiaTheme="minorEastAsia"/>
              <w:lang w:val="zh-CN" w:eastAsia="zh-CN"/>
            </w:rPr>
            <w:tab/>
          </w:r>
          <w:r>
            <w:rPr>
              <w:rStyle w:val="25"/>
              <w:rFonts w:ascii="Arial" w:hAnsi="Arial" w:cs="Arial"/>
            </w:rPr>
            <w:t>Practical Teaching Methods</w:t>
          </w:r>
          <w:r>
            <w:rPr>
              <w:rFonts w:ascii="Arial" w:hAnsi="Arial" w:cs="Arial"/>
            </w:rPr>
            <w:tab/>
          </w:r>
          <w:r>
            <w:rPr>
              <w:rFonts w:ascii="Arial" w:hAnsi="Arial" w:cs="Arial"/>
            </w:rPr>
            <w:fldChar w:fldCharType="begin"/>
          </w:r>
          <w:r>
            <w:rPr>
              <w:rFonts w:ascii="Arial" w:hAnsi="Arial" w:cs="Arial"/>
            </w:rPr>
            <w:instrText xml:space="preserve"> PAGEREF _Toc158819498 \h </w:instrText>
          </w:r>
          <w:r>
            <w:rPr>
              <w:rFonts w:ascii="Arial" w:hAnsi="Arial" w:cs="Arial"/>
            </w:rPr>
            <w:fldChar w:fldCharType="separate"/>
          </w:r>
          <w:r>
            <w:rPr>
              <w:rFonts w:ascii="Arial" w:hAnsi="Arial" w:cs="Arial"/>
            </w:rPr>
            <w:t>18</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"_Toc158819499" </w:instrText>
          </w:r>
          <w:r>
            <w:fldChar w:fldCharType="separate"/>
          </w:r>
          <w:r>
            <w:rPr>
              <w:rStyle w:val="25"/>
              <w:rFonts w:ascii="Arial" w:hAnsi="Arial" w:cs="Arial"/>
            </w:rPr>
            <w:t>2.3</w:t>
          </w:r>
          <w:r>
            <w:rPr>
              <w:rFonts w:ascii="Arial" w:hAnsi="Arial" w:cs="Arial" w:eastAsiaTheme="minorEastAsia"/>
              <w:lang w:val="zh-CN" w:eastAsia="zh-CN"/>
            </w:rPr>
            <w:tab/>
          </w:r>
          <w:r>
            <w:rPr>
              <w:rStyle w:val="25"/>
              <w:rFonts w:ascii="Arial" w:hAnsi="Arial" w:cs="Arial"/>
            </w:rPr>
            <w:t>Vocational Education, Career Planning, and Employment Outcomes</w:t>
          </w:r>
          <w:r>
            <w:rPr>
              <w:rFonts w:ascii="Arial" w:hAnsi="Arial" w:cs="Arial"/>
            </w:rPr>
            <w:tab/>
          </w:r>
          <w:r>
            <w:rPr>
              <w:rFonts w:ascii="Arial" w:hAnsi="Arial" w:cs="Arial"/>
            </w:rPr>
            <w:fldChar w:fldCharType="begin"/>
          </w:r>
          <w:r>
            <w:rPr>
              <w:rFonts w:ascii="Arial" w:hAnsi="Arial" w:cs="Arial"/>
            </w:rPr>
            <w:instrText xml:space="preserve"> PAGEREF _Toc158819499 \h </w:instrText>
          </w:r>
          <w:r>
            <w:rPr>
              <w:rFonts w:ascii="Arial" w:hAnsi="Arial" w:cs="Arial"/>
            </w:rPr>
            <w:fldChar w:fldCharType="separate"/>
          </w:r>
          <w:r>
            <w:rPr>
              <w:rFonts w:ascii="Arial" w:hAnsi="Arial" w:cs="Arial"/>
            </w:rPr>
            <w:t>19</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"_Toc158819500" </w:instrText>
          </w:r>
          <w:r>
            <w:fldChar w:fldCharType="separate"/>
          </w:r>
          <w:r>
            <w:rPr>
              <w:rStyle w:val="25"/>
              <w:rFonts w:ascii="Arial" w:hAnsi="Arial" w:cs="Arial"/>
            </w:rPr>
            <w:t>2.4</w:t>
          </w:r>
          <w:r>
            <w:rPr>
              <w:rFonts w:ascii="Arial" w:hAnsi="Arial" w:cs="Arial" w:eastAsiaTheme="minorEastAsia"/>
              <w:lang w:val="zh-CN" w:eastAsia="zh-CN"/>
            </w:rPr>
            <w:tab/>
          </w:r>
          <w:r>
            <w:rPr>
              <w:rStyle w:val="25"/>
              <w:rFonts w:ascii="Arial" w:hAnsi="Arial" w:cs="Arial"/>
            </w:rPr>
            <w:t>Educational Impact in Chinese Junior Vocational Colleges</w:t>
          </w:r>
          <w:r>
            <w:rPr>
              <w:rFonts w:ascii="Arial" w:hAnsi="Arial" w:cs="Arial"/>
            </w:rPr>
            <w:tab/>
          </w:r>
          <w:r>
            <w:rPr>
              <w:rFonts w:ascii="Arial" w:hAnsi="Arial" w:cs="Arial"/>
            </w:rPr>
            <w:fldChar w:fldCharType="begin"/>
          </w:r>
          <w:r>
            <w:rPr>
              <w:rFonts w:ascii="Arial" w:hAnsi="Arial" w:cs="Arial"/>
            </w:rPr>
            <w:instrText xml:space="preserve"> PAGEREF _Toc158819500 \h </w:instrText>
          </w:r>
          <w:r>
            <w:rPr>
              <w:rFonts w:ascii="Arial" w:hAnsi="Arial" w:cs="Arial"/>
            </w:rPr>
            <w:fldChar w:fldCharType="separate"/>
          </w:r>
          <w:r>
            <w:rPr>
              <w:rFonts w:ascii="Arial" w:hAnsi="Arial" w:cs="Arial"/>
            </w:rPr>
            <w:t>21</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"_Toc158819501" </w:instrText>
          </w:r>
          <w:r>
            <w:fldChar w:fldCharType="separate"/>
          </w:r>
          <w:r>
            <w:rPr>
              <w:rStyle w:val="25"/>
              <w:rFonts w:ascii="Arial" w:hAnsi="Arial" w:cs="Arial"/>
            </w:rPr>
            <w:t>2.5</w:t>
          </w:r>
          <w:r>
            <w:rPr>
              <w:rFonts w:ascii="Arial" w:hAnsi="Arial" w:cs="Arial" w:eastAsiaTheme="minorEastAsia"/>
              <w:lang w:val="zh-CN" w:eastAsia="zh-CN"/>
            </w:rPr>
            <w:tab/>
          </w:r>
          <w:r>
            <w:rPr>
              <w:rStyle w:val="25"/>
              <w:rFonts w:ascii="Arial" w:hAnsi="Arial" w:cs="Arial"/>
            </w:rPr>
            <w:t>Integration of Industry and Education in Vocational Colleges</w:t>
          </w:r>
          <w:r>
            <w:rPr>
              <w:rFonts w:ascii="Arial" w:hAnsi="Arial" w:cs="Arial"/>
            </w:rPr>
            <w:tab/>
          </w:r>
          <w:r>
            <w:rPr>
              <w:rFonts w:ascii="Arial" w:hAnsi="Arial" w:cs="Arial"/>
            </w:rPr>
            <w:fldChar w:fldCharType="begin"/>
          </w:r>
          <w:r>
            <w:rPr>
              <w:rFonts w:ascii="Arial" w:hAnsi="Arial" w:cs="Arial"/>
            </w:rPr>
            <w:instrText xml:space="preserve"> PAGEREF _Toc158819501 \h </w:instrText>
          </w:r>
          <w:r>
            <w:rPr>
              <w:rFonts w:ascii="Arial" w:hAnsi="Arial" w:cs="Arial"/>
            </w:rPr>
            <w:fldChar w:fldCharType="separate"/>
          </w:r>
          <w:r>
            <w:rPr>
              <w:rFonts w:ascii="Arial" w:hAnsi="Arial" w:cs="Arial"/>
            </w:rPr>
            <w:t>23</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"_Toc158819502" </w:instrText>
          </w:r>
          <w:r>
            <w:fldChar w:fldCharType="separate"/>
          </w:r>
          <w:r>
            <w:rPr>
              <w:rStyle w:val="25"/>
              <w:rFonts w:ascii="Arial" w:hAnsi="Arial" w:cs="Arial"/>
            </w:rPr>
            <w:t>2.6</w:t>
          </w:r>
          <w:r>
            <w:rPr>
              <w:rFonts w:ascii="Arial" w:hAnsi="Arial" w:cs="Arial" w:eastAsiaTheme="minorEastAsia"/>
              <w:lang w:val="zh-CN" w:eastAsia="zh-CN"/>
            </w:rPr>
            <w:tab/>
          </w:r>
          <w:r>
            <w:rPr>
              <w:rStyle w:val="25"/>
              <w:rFonts w:ascii="Arial" w:hAnsi="Arial" w:cs="Arial"/>
            </w:rPr>
            <w:t>Recruitment Practices and Preferences of Businesses</w:t>
          </w:r>
          <w:r>
            <w:rPr>
              <w:rFonts w:ascii="Arial" w:hAnsi="Arial" w:cs="Arial"/>
            </w:rPr>
            <w:tab/>
          </w:r>
          <w:r>
            <w:rPr>
              <w:rFonts w:ascii="Arial" w:hAnsi="Arial" w:cs="Arial"/>
            </w:rPr>
            <w:fldChar w:fldCharType="begin"/>
          </w:r>
          <w:r>
            <w:rPr>
              <w:rFonts w:ascii="Arial" w:hAnsi="Arial" w:cs="Arial"/>
            </w:rPr>
            <w:instrText xml:space="preserve"> PAGEREF _Toc158819502 \h </w:instrText>
          </w:r>
          <w:r>
            <w:rPr>
              <w:rFonts w:ascii="Arial" w:hAnsi="Arial" w:cs="Arial"/>
            </w:rPr>
            <w:fldChar w:fldCharType="separate"/>
          </w:r>
          <w:r>
            <w:rPr>
              <w:rFonts w:ascii="Arial" w:hAnsi="Arial" w:cs="Arial"/>
            </w:rPr>
            <w:t>24</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"_Toc158819503" </w:instrText>
          </w:r>
          <w:r>
            <w:fldChar w:fldCharType="separate"/>
          </w:r>
          <w:r>
            <w:rPr>
              <w:rStyle w:val="25"/>
              <w:rFonts w:ascii="Arial" w:hAnsi="Arial" w:cs="Arial"/>
            </w:rPr>
            <w:t>2.7</w:t>
          </w:r>
          <w:r>
            <w:rPr>
              <w:rFonts w:ascii="Arial" w:hAnsi="Arial" w:cs="Arial" w:eastAsiaTheme="minorEastAsia"/>
              <w:lang w:val="zh-CN" w:eastAsia="zh-CN"/>
            </w:rPr>
            <w:tab/>
          </w:r>
          <w:r>
            <w:rPr>
              <w:rStyle w:val="25"/>
              <w:rFonts w:ascii="Arial" w:hAnsi="Arial" w:cs="Arial"/>
            </w:rPr>
            <w:t>Long-Term Impact on Students' Goals and Job Preferences</w:t>
          </w:r>
          <w:r>
            <w:rPr>
              <w:rFonts w:ascii="Arial" w:hAnsi="Arial" w:cs="Arial"/>
            </w:rPr>
            <w:tab/>
          </w:r>
          <w:r>
            <w:rPr>
              <w:rFonts w:ascii="Arial" w:hAnsi="Arial" w:cs="Arial"/>
            </w:rPr>
            <w:fldChar w:fldCharType="begin"/>
          </w:r>
          <w:r>
            <w:rPr>
              <w:rFonts w:ascii="Arial" w:hAnsi="Arial" w:cs="Arial"/>
            </w:rPr>
            <w:instrText xml:space="preserve"> PAGEREF _Toc158819503 \h </w:instrText>
          </w:r>
          <w:r>
            <w:rPr>
              <w:rFonts w:ascii="Arial" w:hAnsi="Arial" w:cs="Arial"/>
            </w:rPr>
            <w:fldChar w:fldCharType="separate"/>
          </w:r>
          <w:r>
            <w:rPr>
              <w:rFonts w:ascii="Arial" w:hAnsi="Arial" w:cs="Arial"/>
            </w:rPr>
            <w:t>26</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"_Toc158819504" </w:instrText>
          </w:r>
          <w:r>
            <w:fldChar w:fldCharType="separate"/>
          </w:r>
          <w:r>
            <w:rPr>
              <w:rStyle w:val="25"/>
              <w:rFonts w:ascii="Arial" w:hAnsi="Arial" w:cs="Arial"/>
            </w:rPr>
            <w:t>2.8</w:t>
          </w:r>
          <w:r>
            <w:rPr>
              <w:rFonts w:ascii="Arial" w:hAnsi="Arial" w:cs="Arial" w:eastAsiaTheme="minorEastAsia"/>
              <w:lang w:val="zh-CN" w:eastAsia="zh-CN"/>
            </w:rPr>
            <w:tab/>
          </w:r>
          <w:r>
            <w:rPr>
              <w:rStyle w:val="25"/>
              <w:rFonts w:ascii="Arial" w:hAnsi="Arial" w:cs="Arial"/>
            </w:rPr>
            <w:t>Challenges and Opportunities in School-Enterprise Cooperation</w:t>
          </w:r>
          <w:r>
            <w:rPr>
              <w:rFonts w:ascii="Arial" w:hAnsi="Arial" w:cs="Arial"/>
            </w:rPr>
            <w:tab/>
          </w:r>
          <w:r>
            <w:rPr>
              <w:rFonts w:ascii="Arial" w:hAnsi="Arial" w:cs="Arial"/>
            </w:rPr>
            <w:fldChar w:fldCharType="begin"/>
          </w:r>
          <w:r>
            <w:rPr>
              <w:rFonts w:ascii="Arial" w:hAnsi="Arial" w:cs="Arial"/>
            </w:rPr>
            <w:instrText xml:space="preserve"> PAGEREF _Toc158819504 \h </w:instrText>
          </w:r>
          <w:r>
            <w:rPr>
              <w:rFonts w:ascii="Arial" w:hAnsi="Arial" w:cs="Arial"/>
            </w:rPr>
            <w:fldChar w:fldCharType="separate"/>
          </w:r>
          <w:r>
            <w:rPr>
              <w:rFonts w:ascii="Arial" w:hAnsi="Arial" w:cs="Arial"/>
            </w:rPr>
            <w:t>28</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"_Toc158819505" </w:instrText>
          </w:r>
          <w:r>
            <w:fldChar w:fldCharType="separate"/>
          </w:r>
          <w:r>
            <w:rPr>
              <w:rStyle w:val="25"/>
              <w:rFonts w:ascii="Arial" w:hAnsi="Arial" w:cs="Arial"/>
            </w:rPr>
            <w:t>2.9</w:t>
          </w:r>
          <w:r>
            <w:rPr>
              <w:rFonts w:ascii="Arial" w:hAnsi="Arial" w:cs="Arial" w:eastAsiaTheme="minorEastAsia"/>
              <w:lang w:val="zh-CN" w:eastAsia="zh-CN"/>
            </w:rPr>
            <w:tab/>
          </w:r>
          <w:r>
            <w:rPr>
              <w:rStyle w:val="25"/>
              <w:rFonts w:ascii="Arial" w:hAnsi="Arial" w:cs="Arial"/>
            </w:rPr>
            <w:t>Comparative Analysis</w:t>
          </w:r>
          <w:r>
            <w:rPr>
              <w:rFonts w:ascii="Arial" w:hAnsi="Arial" w:cs="Arial"/>
            </w:rPr>
            <w:tab/>
          </w:r>
          <w:r>
            <w:rPr>
              <w:rFonts w:ascii="Arial" w:hAnsi="Arial" w:cs="Arial"/>
            </w:rPr>
            <w:fldChar w:fldCharType="begin"/>
          </w:r>
          <w:r>
            <w:rPr>
              <w:rFonts w:ascii="Arial" w:hAnsi="Arial" w:cs="Arial"/>
            </w:rPr>
            <w:instrText xml:space="preserve"> PAGEREF _Toc158819505 \h </w:instrText>
          </w:r>
          <w:r>
            <w:rPr>
              <w:rFonts w:ascii="Arial" w:hAnsi="Arial" w:cs="Arial"/>
            </w:rPr>
            <w:fldChar w:fldCharType="separate"/>
          </w:r>
          <w:r>
            <w:rPr>
              <w:rFonts w:ascii="Arial" w:hAnsi="Arial" w:cs="Arial"/>
            </w:rPr>
            <w:t>30</w:t>
          </w:r>
          <w:r>
            <w:rPr>
              <w:rFonts w:ascii="Arial" w:hAnsi="Arial" w:cs="Arial"/>
            </w:rPr>
            <w:fldChar w:fldCharType="end"/>
          </w:r>
          <w:r>
            <w:rPr>
              <w:rFonts w:ascii="Arial" w:hAnsi="Arial" w:cs="Arial"/>
            </w:rPr>
            <w:fldChar w:fldCharType="end"/>
          </w:r>
        </w:p>
        <w:p>
          <w:pPr>
            <w:pStyle w:val="16"/>
            <w:tabs>
              <w:tab w:val="left" w:pos="1100"/>
              <w:tab w:val="right" w:leader="dot" w:pos="9016"/>
            </w:tabs>
            <w:spacing w:line="360" w:lineRule="auto"/>
            <w:rPr>
              <w:rFonts w:ascii="Arial" w:hAnsi="Arial" w:cs="Arial" w:eastAsiaTheme="minorEastAsia"/>
              <w:lang w:val="zh-CN" w:eastAsia="zh-CN"/>
            </w:rPr>
          </w:pPr>
          <w:r>
            <w:fldChar w:fldCharType="begin"/>
          </w:r>
          <w:r>
            <w:instrText xml:space="preserve"> HYPERLINK \l "_Toc158819506" </w:instrText>
          </w:r>
          <w:r>
            <w:fldChar w:fldCharType="separate"/>
          </w:r>
          <w:r>
            <w:rPr>
              <w:rStyle w:val="25"/>
              <w:rFonts w:ascii="Arial" w:hAnsi="Arial" w:cs="Arial"/>
            </w:rPr>
            <w:t>3</w:t>
          </w:r>
          <w:r>
            <w:rPr>
              <w:rFonts w:ascii="Arial" w:hAnsi="Arial" w:cs="Arial" w:eastAsiaTheme="minorEastAsia"/>
              <w:lang w:val="zh-CN" w:eastAsia="zh-CN"/>
            </w:rPr>
            <w:tab/>
          </w:r>
          <w:r>
            <w:rPr>
              <w:rStyle w:val="25"/>
              <w:rFonts w:ascii="Arial" w:hAnsi="Arial" w:cs="Arial"/>
            </w:rPr>
            <w:t>Methodology</w:t>
          </w:r>
          <w:r>
            <w:rPr>
              <w:rFonts w:ascii="Arial" w:hAnsi="Arial" w:cs="Arial"/>
            </w:rPr>
            <w:tab/>
          </w:r>
          <w:r>
            <w:rPr>
              <w:rFonts w:ascii="Arial" w:hAnsi="Arial" w:cs="Arial"/>
            </w:rPr>
            <w:fldChar w:fldCharType="begin"/>
          </w:r>
          <w:r>
            <w:rPr>
              <w:rFonts w:ascii="Arial" w:hAnsi="Arial" w:cs="Arial"/>
            </w:rPr>
            <w:instrText xml:space="preserve"> PAGEREF _Toc158819506 \h </w:instrText>
          </w:r>
          <w:r>
            <w:rPr>
              <w:rFonts w:ascii="Arial" w:hAnsi="Arial" w:cs="Arial"/>
            </w:rPr>
            <w:fldChar w:fldCharType="separate"/>
          </w:r>
          <w:r>
            <w:rPr>
              <w:rFonts w:ascii="Arial" w:hAnsi="Arial" w:cs="Arial"/>
            </w:rPr>
            <w:t>31</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"_Toc158819507" </w:instrText>
          </w:r>
          <w:r>
            <w:fldChar w:fldCharType="separate"/>
          </w:r>
          <w:r>
            <w:rPr>
              <w:rStyle w:val="25"/>
              <w:rFonts w:ascii="Arial" w:hAnsi="Arial" w:cs="Arial"/>
            </w:rPr>
            <w:t>3.1</w:t>
          </w:r>
          <w:r>
            <w:rPr>
              <w:rFonts w:ascii="Arial" w:hAnsi="Arial" w:cs="Arial" w:eastAsiaTheme="minorEastAsia"/>
              <w:lang w:val="zh-CN" w:eastAsia="zh-CN"/>
            </w:rPr>
            <w:tab/>
          </w:r>
          <w:r>
            <w:rPr>
              <w:rStyle w:val="25"/>
              <w:rFonts w:ascii="Arial" w:hAnsi="Arial" w:cs="Arial"/>
            </w:rPr>
            <w:t>Research Design</w:t>
          </w:r>
          <w:r>
            <w:rPr>
              <w:rFonts w:ascii="Arial" w:hAnsi="Arial" w:cs="Arial"/>
            </w:rPr>
            <w:tab/>
          </w:r>
          <w:r>
            <w:rPr>
              <w:rFonts w:ascii="Arial" w:hAnsi="Arial" w:cs="Arial"/>
            </w:rPr>
            <w:fldChar w:fldCharType="begin"/>
          </w:r>
          <w:r>
            <w:rPr>
              <w:rFonts w:ascii="Arial" w:hAnsi="Arial" w:cs="Arial"/>
            </w:rPr>
            <w:instrText xml:space="preserve"> PAGEREF _Toc158819507 \h </w:instrText>
          </w:r>
          <w:r>
            <w:rPr>
              <w:rFonts w:ascii="Arial" w:hAnsi="Arial" w:cs="Arial"/>
            </w:rPr>
            <w:fldChar w:fldCharType="separate"/>
          </w:r>
          <w:r>
            <w:rPr>
              <w:rFonts w:ascii="Arial" w:hAnsi="Arial" w:cs="Arial"/>
            </w:rPr>
            <w:t>31</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"_Toc158819508" </w:instrText>
          </w:r>
          <w:r>
            <w:fldChar w:fldCharType="separate"/>
          </w:r>
          <w:r>
            <w:rPr>
              <w:rStyle w:val="25"/>
              <w:rFonts w:ascii="Arial" w:hAnsi="Arial" w:cs="Arial"/>
            </w:rPr>
            <w:t>3.2</w:t>
          </w:r>
          <w:r>
            <w:rPr>
              <w:rFonts w:ascii="Arial" w:hAnsi="Arial" w:cs="Arial" w:eastAsiaTheme="minorEastAsia"/>
              <w:lang w:val="zh-CN" w:eastAsia="zh-CN"/>
            </w:rPr>
            <w:tab/>
          </w:r>
          <w:r>
            <w:rPr>
              <w:rStyle w:val="25"/>
              <w:rFonts w:ascii="Arial" w:hAnsi="Arial" w:cs="Arial"/>
            </w:rPr>
            <w:t>Data Collection</w:t>
          </w:r>
          <w:r>
            <w:rPr>
              <w:rFonts w:ascii="Arial" w:hAnsi="Arial" w:cs="Arial"/>
            </w:rPr>
            <w:tab/>
          </w:r>
          <w:r>
            <w:rPr>
              <w:rFonts w:ascii="Arial" w:hAnsi="Arial" w:cs="Arial"/>
            </w:rPr>
            <w:fldChar w:fldCharType="begin"/>
          </w:r>
          <w:r>
            <w:rPr>
              <w:rFonts w:ascii="Arial" w:hAnsi="Arial" w:cs="Arial"/>
            </w:rPr>
            <w:instrText xml:space="preserve"> PAGEREF _Toc158819508 \h </w:instrText>
          </w:r>
          <w:r>
            <w:rPr>
              <w:rFonts w:ascii="Arial" w:hAnsi="Arial" w:cs="Arial"/>
            </w:rPr>
            <w:fldChar w:fldCharType="separate"/>
          </w:r>
          <w:r>
            <w:rPr>
              <w:rFonts w:ascii="Arial" w:hAnsi="Arial" w:cs="Arial"/>
            </w:rPr>
            <w:t>33</w:t>
          </w:r>
          <w:r>
            <w:rPr>
              <w:rFonts w:ascii="Arial" w:hAnsi="Arial" w:cs="Arial"/>
            </w:rPr>
            <w:fldChar w:fldCharType="end"/>
          </w:r>
          <w:r>
            <w:rPr>
              <w:rFonts w:ascii="Arial" w:hAnsi="Arial" w:cs="Arial"/>
            </w:rPr>
            <w:fldChar w:fldCharType="end"/>
          </w:r>
        </w:p>
        <w:p>
          <w:pPr>
            <w:pStyle w:val="13"/>
            <w:tabs>
              <w:tab w:val="left" w:pos="1900"/>
              <w:tab w:val="right" w:leader="dot" w:pos="9016"/>
            </w:tabs>
            <w:spacing w:line="360" w:lineRule="auto"/>
            <w:rPr>
              <w:rFonts w:ascii="Arial" w:hAnsi="Arial" w:cs="Arial" w:eastAsiaTheme="minorEastAsia"/>
              <w:lang w:val="zh-CN" w:eastAsia="zh-CN"/>
            </w:rPr>
          </w:pPr>
          <w:r>
            <w:fldChar w:fldCharType="begin"/>
          </w:r>
          <w:r>
            <w:instrText xml:space="preserve"> HYPERLINK \l "_Toc158819509" </w:instrText>
          </w:r>
          <w:r>
            <w:fldChar w:fldCharType="separate"/>
          </w:r>
          <w:r>
            <w:rPr>
              <w:rStyle w:val="25"/>
              <w:rFonts w:ascii="Arial" w:hAnsi="Arial" w:cs="Arial"/>
            </w:rPr>
            <w:t>3.2.1</w:t>
          </w:r>
          <w:r>
            <w:rPr>
              <w:rFonts w:ascii="Arial" w:hAnsi="Arial" w:cs="Arial" w:eastAsiaTheme="minorEastAsia"/>
              <w:lang w:val="zh-CN" w:eastAsia="zh-CN"/>
            </w:rPr>
            <w:tab/>
          </w:r>
          <w:r>
            <w:rPr>
              <w:rStyle w:val="25"/>
              <w:rFonts w:ascii="Arial" w:hAnsi="Arial" w:cs="Arial"/>
            </w:rPr>
            <w:t>Questionnaire Development</w:t>
          </w:r>
          <w:r>
            <w:rPr>
              <w:rFonts w:ascii="Arial" w:hAnsi="Arial" w:cs="Arial"/>
            </w:rPr>
            <w:tab/>
          </w:r>
          <w:r>
            <w:rPr>
              <w:rFonts w:ascii="Arial" w:hAnsi="Arial" w:cs="Arial"/>
            </w:rPr>
            <w:fldChar w:fldCharType="begin"/>
          </w:r>
          <w:r>
            <w:rPr>
              <w:rFonts w:ascii="Arial" w:hAnsi="Arial" w:cs="Arial"/>
            </w:rPr>
            <w:instrText xml:space="preserve"> PAGEREF _Toc158819509 \h </w:instrText>
          </w:r>
          <w:r>
            <w:rPr>
              <w:rFonts w:ascii="Arial" w:hAnsi="Arial" w:cs="Arial"/>
            </w:rPr>
            <w:fldChar w:fldCharType="separate"/>
          </w:r>
          <w:r>
            <w:rPr>
              <w:rFonts w:ascii="Arial" w:hAnsi="Arial" w:cs="Arial"/>
            </w:rPr>
            <w:t>33</w:t>
          </w:r>
          <w:r>
            <w:rPr>
              <w:rFonts w:ascii="Arial" w:hAnsi="Arial" w:cs="Arial"/>
            </w:rPr>
            <w:fldChar w:fldCharType="end"/>
          </w:r>
          <w:r>
            <w:rPr>
              <w:rFonts w:ascii="Arial" w:hAnsi="Arial" w:cs="Arial"/>
            </w:rPr>
            <w:fldChar w:fldCharType="end"/>
          </w:r>
        </w:p>
        <w:p>
          <w:pPr>
            <w:pStyle w:val="13"/>
            <w:tabs>
              <w:tab w:val="left" w:pos="1900"/>
              <w:tab w:val="right" w:leader="dot" w:pos="9016"/>
            </w:tabs>
            <w:spacing w:line="360" w:lineRule="auto"/>
            <w:rPr>
              <w:rFonts w:ascii="Arial" w:hAnsi="Arial" w:cs="Arial" w:eastAsiaTheme="minorEastAsia"/>
              <w:lang w:val="zh-CN" w:eastAsia="zh-CN"/>
            </w:rPr>
          </w:pPr>
          <w:r>
            <w:fldChar w:fldCharType="begin"/>
          </w:r>
          <w:r>
            <w:instrText xml:space="preserve"> HYPERLINK \l "_Toc158819510" </w:instrText>
          </w:r>
          <w:r>
            <w:fldChar w:fldCharType="separate"/>
          </w:r>
          <w:r>
            <w:rPr>
              <w:rStyle w:val="25"/>
              <w:rFonts w:ascii="Arial" w:hAnsi="Arial" w:cs="Arial"/>
            </w:rPr>
            <w:t>3.2.2</w:t>
          </w:r>
          <w:r>
            <w:rPr>
              <w:rFonts w:ascii="Arial" w:hAnsi="Arial" w:cs="Arial" w:eastAsiaTheme="minorEastAsia"/>
              <w:lang w:val="zh-CN" w:eastAsia="zh-CN"/>
            </w:rPr>
            <w:tab/>
          </w:r>
          <w:r>
            <w:rPr>
              <w:rStyle w:val="25"/>
              <w:rFonts w:ascii="Arial" w:hAnsi="Arial" w:cs="Arial"/>
            </w:rPr>
            <w:t>Interview Protocols</w:t>
          </w:r>
          <w:r>
            <w:rPr>
              <w:rFonts w:ascii="Arial" w:hAnsi="Arial" w:cs="Arial"/>
            </w:rPr>
            <w:tab/>
          </w:r>
          <w:r>
            <w:rPr>
              <w:rFonts w:ascii="Arial" w:hAnsi="Arial" w:cs="Arial"/>
            </w:rPr>
            <w:fldChar w:fldCharType="begin"/>
          </w:r>
          <w:r>
            <w:rPr>
              <w:rFonts w:ascii="Arial" w:hAnsi="Arial" w:cs="Arial"/>
            </w:rPr>
            <w:instrText xml:space="preserve"> PAGEREF _Toc158819510 \h </w:instrText>
          </w:r>
          <w:r>
            <w:rPr>
              <w:rFonts w:ascii="Arial" w:hAnsi="Arial" w:cs="Arial"/>
            </w:rPr>
            <w:fldChar w:fldCharType="separate"/>
          </w:r>
          <w:r>
            <w:rPr>
              <w:rFonts w:ascii="Arial" w:hAnsi="Arial" w:cs="Arial"/>
            </w:rPr>
            <w:t>33</w:t>
          </w:r>
          <w:r>
            <w:rPr>
              <w:rFonts w:ascii="Arial" w:hAnsi="Arial" w:cs="Arial"/>
            </w:rPr>
            <w:fldChar w:fldCharType="end"/>
          </w:r>
          <w:r>
            <w:rPr>
              <w:rFonts w:ascii="Arial" w:hAnsi="Arial" w:cs="Arial"/>
            </w:rPr>
            <w:fldChar w:fldCharType="end"/>
          </w:r>
        </w:p>
        <w:p>
          <w:pPr>
            <w:pStyle w:val="13"/>
            <w:tabs>
              <w:tab w:val="left" w:pos="1900"/>
              <w:tab w:val="right" w:leader="dot" w:pos="9016"/>
            </w:tabs>
            <w:spacing w:line="360" w:lineRule="auto"/>
            <w:rPr>
              <w:rFonts w:ascii="Arial" w:hAnsi="Arial" w:cs="Arial" w:eastAsiaTheme="minorEastAsia"/>
              <w:lang w:val="zh-CN" w:eastAsia="zh-CN"/>
            </w:rPr>
          </w:pPr>
          <w:r>
            <w:fldChar w:fldCharType="begin"/>
          </w:r>
          <w:r>
            <w:instrText xml:space="preserve"> HYPERLINK \l "_Toc158819511" </w:instrText>
          </w:r>
          <w:r>
            <w:fldChar w:fldCharType="separate"/>
          </w:r>
          <w:r>
            <w:rPr>
              <w:rStyle w:val="25"/>
              <w:rFonts w:ascii="Arial" w:hAnsi="Arial" w:cs="Arial"/>
            </w:rPr>
            <w:t>3.2.3</w:t>
          </w:r>
          <w:r>
            <w:rPr>
              <w:rFonts w:ascii="Arial" w:hAnsi="Arial" w:cs="Arial" w:eastAsiaTheme="minorEastAsia"/>
              <w:lang w:val="zh-CN" w:eastAsia="zh-CN"/>
            </w:rPr>
            <w:tab/>
          </w:r>
          <w:r>
            <w:rPr>
              <w:rStyle w:val="25"/>
              <w:rFonts w:ascii="Arial" w:hAnsi="Arial" w:cs="Arial"/>
            </w:rPr>
            <w:t>Pilot Testing</w:t>
          </w:r>
          <w:r>
            <w:rPr>
              <w:rFonts w:ascii="Arial" w:hAnsi="Arial" w:cs="Arial"/>
            </w:rPr>
            <w:tab/>
          </w:r>
          <w:r>
            <w:rPr>
              <w:rFonts w:ascii="Arial" w:hAnsi="Arial" w:cs="Arial"/>
            </w:rPr>
            <w:fldChar w:fldCharType="begin"/>
          </w:r>
          <w:r>
            <w:rPr>
              <w:rFonts w:ascii="Arial" w:hAnsi="Arial" w:cs="Arial"/>
            </w:rPr>
            <w:instrText xml:space="preserve"> PAGEREF _Toc158819511 \h </w:instrText>
          </w:r>
          <w:r>
            <w:rPr>
              <w:rFonts w:ascii="Arial" w:hAnsi="Arial" w:cs="Arial"/>
            </w:rPr>
            <w:fldChar w:fldCharType="separate"/>
          </w:r>
          <w:r>
            <w:rPr>
              <w:rFonts w:ascii="Arial" w:hAnsi="Arial" w:cs="Arial"/>
            </w:rPr>
            <w:t>34</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"_Toc158819512" </w:instrText>
          </w:r>
          <w:r>
            <w:fldChar w:fldCharType="separate"/>
          </w:r>
          <w:r>
            <w:rPr>
              <w:rStyle w:val="25"/>
              <w:rFonts w:ascii="Arial" w:hAnsi="Arial" w:cs="Arial"/>
            </w:rPr>
            <w:t>3.3</w:t>
          </w:r>
          <w:r>
            <w:rPr>
              <w:rFonts w:ascii="Arial" w:hAnsi="Arial" w:cs="Arial" w:eastAsiaTheme="minorEastAsia"/>
              <w:lang w:val="zh-CN" w:eastAsia="zh-CN"/>
            </w:rPr>
            <w:tab/>
          </w:r>
          <w:r>
            <w:rPr>
              <w:rStyle w:val="25"/>
              <w:rFonts w:ascii="Arial" w:hAnsi="Arial" w:cs="Arial"/>
            </w:rPr>
            <w:t>Participants</w:t>
          </w:r>
          <w:r>
            <w:rPr>
              <w:rFonts w:ascii="Arial" w:hAnsi="Arial" w:cs="Arial"/>
            </w:rPr>
            <w:tab/>
          </w:r>
          <w:r>
            <w:rPr>
              <w:rFonts w:ascii="Arial" w:hAnsi="Arial" w:cs="Arial"/>
            </w:rPr>
            <w:fldChar w:fldCharType="begin"/>
          </w:r>
          <w:r>
            <w:rPr>
              <w:rFonts w:ascii="Arial" w:hAnsi="Arial" w:cs="Arial"/>
            </w:rPr>
            <w:instrText xml:space="preserve"> PAGEREF _Toc158819512 \h </w:instrText>
          </w:r>
          <w:r>
            <w:rPr>
              <w:rFonts w:ascii="Arial" w:hAnsi="Arial" w:cs="Arial"/>
            </w:rPr>
            <w:fldChar w:fldCharType="separate"/>
          </w:r>
          <w:r>
            <w:rPr>
              <w:rFonts w:ascii="Arial" w:hAnsi="Arial" w:cs="Arial"/>
            </w:rPr>
            <w:t>34</w:t>
          </w:r>
          <w:r>
            <w:rPr>
              <w:rFonts w:ascii="Arial" w:hAnsi="Arial" w:cs="Arial"/>
            </w:rPr>
            <w:fldChar w:fldCharType="end"/>
          </w:r>
          <w:r>
            <w:rPr>
              <w:rFonts w:ascii="Arial" w:hAnsi="Arial" w:cs="Arial"/>
            </w:rPr>
            <w:fldChar w:fldCharType="end"/>
          </w:r>
        </w:p>
        <w:p>
          <w:pPr>
            <w:pStyle w:val="13"/>
            <w:tabs>
              <w:tab w:val="left" w:pos="1900"/>
              <w:tab w:val="right" w:leader="dot" w:pos="9016"/>
            </w:tabs>
            <w:spacing w:line="360" w:lineRule="auto"/>
            <w:rPr>
              <w:rFonts w:ascii="Arial" w:hAnsi="Arial" w:cs="Arial" w:eastAsiaTheme="minorEastAsia"/>
              <w:lang w:val="zh-CN" w:eastAsia="zh-CN"/>
            </w:rPr>
          </w:pPr>
          <w:r>
            <w:fldChar w:fldCharType="begin"/>
          </w:r>
          <w:r>
            <w:instrText xml:space="preserve"> HYPERLINK \l "_Toc158819513" </w:instrText>
          </w:r>
          <w:r>
            <w:fldChar w:fldCharType="separate"/>
          </w:r>
          <w:r>
            <w:rPr>
              <w:rStyle w:val="25"/>
              <w:rFonts w:ascii="Arial" w:hAnsi="Arial" w:cs="Arial"/>
            </w:rPr>
            <w:t>3.3.1</w:t>
          </w:r>
          <w:r>
            <w:rPr>
              <w:rFonts w:ascii="Arial" w:hAnsi="Arial" w:cs="Arial" w:eastAsiaTheme="minorEastAsia"/>
              <w:lang w:val="zh-CN" w:eastAsia="zh-CN"/>
            </w:rPr>
            <w:tab/>
          </w:r>
          <w:r>
            <w:rPr>
              <w:rStyle w:val="25"/>
              <w:rFonts w:ascii="Arial" w:hAnsi="Arial" w:cs="Arial"/>
            </w:rPr>
            <w:t>Student Participants</w:t>
          </w:r>
          <w:r>
            <w:rPr>
              <w:rFonts w:ascii="Arial" w:hAnsi="Arial" w:cs="Arial"/>
            </w:rPr>
            <w:tab/>
          </w:r>
          <w:r>
            <w:rPr>
              <w:rFonts w:ascii="Arial" w:hAnsi="Arial" w:cs="Arial"/>
            </w:rPr>
            <w:fldChar w:fldCharType="begin"/>
          </w:r>
          <w:r>
            <w:rPr>
              <w:rFonts w:ascii="Arial" w:hAnsi="Arial" w:cs="Arial"/>
            </w:rPr>
            <w:instrText xml:space="preserve"> PAGEREF _Toc158819513 \h </w:instrText>
          </w:r>
          <w:r>
            <w:rPr>
              <w:rFonts w:ascii="Arial" w:hAnsi="Arial" w:cs="Arial"/>
            </w:rPr>
            <w:fldChar w:fldCharType="separate"/>
          </w:r>
          <w:r>
            <w:rPr>
              <w:rFonts w:ascii="Arial" w:hAnsi="Arial" w:cs="Arial"/>
            </w:rPr>
            <w:t>34</w:t>
          </w:r>
          <w:r>
            <w:rPr>
              <w:rFonts w:ascii="Arial" w:hAnsi="Arial" w:cs="Arial"/>
            </w:rPr>
            <w:fldChar w:fldCharType="end"/>
          </w:r>
          <w:r>
            <w:rPr>
              <w:rFonts w:ascii="Arial" w:hAnsi="Arial" w:cs="Arial"/>
            </w:rPr>
            <w:fldChar w:fldCharType="end"/>
          </w:r>
        </w:p>
        <w:p>
          <w:pPr>
            <w:pStyle w:val="13"/>
            <w:tabs>
              <w:tab w:val="left" w:pos="1900"/>
              <w:tab w:val="right" w:leader="dot" w:pos="9016"/>
            </w:tabs>
            <w:spacing w:line="360" w:lineRule="auto"/>
            <w:rPr>
              <w:rFonts w:ascii="Arial" w:hAnsi="Arial" w:cs="Arial" w:eastAsiaTheme="minorEastAsia"/>
              <w:lang w:val="zh-CN" w:eastAsia="zh-CN"/>
            </w:rPr>
          </w:pPr>
          <w:r>
            <w:fldChar w:fldCharType="begin"/>
          </w:r>
          <w:r>
            <w:instrText xml:space="preserve"> HYPERLINK \l "_Toc158819514" </w:instrText>
          </w:r>
          <w:r>
            <w:fldChar w:fldCharType="separate"/>
          </w:r>
          <w:r>
            <w:rPr>
              <w:rStyle w:val="25"/>
              <w:rFonts w:ascii="Arial" w:hAnsi="Arial" w:cs="Arial"/>
            </w:rPr>
            <w:t>3.3.2</w:t>
          </w:r>
          <w:r>
            <w:rPr>
              <w:rFonts w:ascii="Arial" w:hAnsi="Arial" w:cs="Arial" w:eastAsiaTheme="minorEastAsia"/>
              <w:lang w:val="zh-CN" w:eastAsia="zh-CN"/>
            </w:rPr>
            <w:tab/>
          </w:r>
          <w:r>
            <w:rPr>
              <w:rStyle w:val="25"/>
              <w:rFonts w:ascii="Arial" w:hAnsi="Arial" w:cs="Arial"/>
            </w:rPr>
            <w:t>Teacher Participants</w:t>
          </w:r>
          <w:r>
            <w:rPr>
              <w:rFonts w:ascii="Arial" w:hAnsi="Arial" w:cs="Arial"/>
            </w:rPr>
            <w:tab/>
          </w:r>
          <w:r>
            <w:rPr>
              <w:rFonts w:ascii="Arial" w:hAnsi="Arial" w:cs="Arial"/>
            </w:rPr>
            <w:fldChar w:fldCharType="begin"/>
          </w:r>
          <w:r>
            <w:rPr>
              <w:rFonts w:ascii="Arial" w:hAnsi="Arial" w:cs="Arial"/>
            </w:rPr>
            <w:instrText xml:space="preserve"> PAGEREF _Toc158819514 \h </w:instrText>
          </w:r>
          <w:r>
            <w:rPr>
              <w:rFonts w:ascii="Arial" w:hAnsi="Arial" w:cs="Arial"/>
            </w:rPr>
            <w:fldChar w:fldCharType="separate"/>
          </w:r>
          <w:r>
            <w:rPr>
              <w:rFonts w:ascii="Arial" w:hAnsi="Arial" w:cs="Arial"/>
            </w:rPr>
            <w:t>35</w:t>
          </w:r>
          <w:r>
            <w:rPr>
              <w:rFonts w:ascii="Arial" w:hAnsi="Arial" w:cs="Arial"/>
            </w:rPr>
            <w:fldChar w:fldCharType="end"/>
          </w:r>
          <w:r>
            <w:rPr>
              <w:rFonts w:ascii="Arial" w:hAnsi="Arial" w:cs="Arial"/>
            </w:rPr>
            <w:fldChar w:fldCharType="end"/>
          </w:r>
        </w:p>
        <w:p>
          <w:pPr>
            <w:pStyle w:val="13"/>
            <w:tabs>
              <w:tab w:val="left" w:pos="1900"/>
              <w:tab w:val="right" w:leader="dot" w:pos="9016"/>
            </w:tabs>
            <w:spacing w:line="360" w:lineRule="auto"/>
            <w:rPr>
              <w:rFonts w:ascii="Arial" w:hAnsi="Arial" w:cs="Arial" w:eastAsiaTheme="minorEastAsia"/>
              <w:lang w:val="zh-CN" w:eastAsia="zh-CN"/>
            </w:rPr>
          </w:pPr>
          <w:r>
            <w:fldChar w:fldCharType="begin"/>
          </w:r>
          <w:r>
            <w:instrText xml:space="preserve"> HYPERLINK \l "_Toc158819515" </w:instrText>
          </w:r>
          <w:r>
            <w:fldChar w:fldCharType="separate"/>
          </w:r>
          <w:r>
            <w:rPr>
              <w:rStyle w:val="25"/>
              <w:rFonts w:ascii="Arial" w:hAnsi="Arial" w:cs="Arial"/>
            </w:rPr>
            <w:t>3.3.3</w:t>
          </w:r>
          <w:r>
            <w:rPr>
              <w:rFonts w:ascii="Arial" w:hAnsi="Arial" w:cs="Arial" w:eastAsiaTheme="minorEastAsia"/>
              <w:lang w:val="zh-CN" w:eastAsia="zh-CN"/>
            </w:rPr>
            <w:tab/>
          </w:r>
          <w:r>
            <w:rPr>
              <w:rStyle w:val="25"/>
              <w:rFonts w:ascii="Arial" w:hAnsi="Arial" w:cs="Arial"/>
            </w:rPr>
            <w:t>Enterprise staff</w:t>
          </w:r>
          <w:r>
            <w:rPr>
              <w:rFonts w:ascii="Arial" w:hAnsi="Arial" w:cs="Arial"/>
            </w:rPr>
            <w:tab/>
          </w:r>
          <w:r>
            <w:rPr>
              <w:rFonts w:ascii="Arial" w:hAnsi="Arial" w:cs="Arial"/>
            </w:rPr>
            <w:fldChar w:fldCharType="begin"/>
          </w:r>
          <w:r>
            <w:rPr>
              <w:rFonts w:ascii="Arial" w:hAnsi="Arial" w:cs="Arial"/>
            </w:rPr>
            <w:instrText xml:space="preserve"> PAGEREF _Toc158819515 \h </w:instrText>
          </w:r>
          <w:r>
            <w:rPr>
              <w:rFonts w:ascii="Arial" w:hAnsi="Arial" w:cs="Arial"/>
            </w:rPr>
            <w:fldChar w:fldCharType="separate"/>
          </w:r>
          <w:r>
            <w:rPr>
              <w:rFonts w:ascii="Arial" w:hAnsi="Arial" w:cs="Arial"/>
            </w:rPr>
            <w:t>35</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"_Toc158819516" </w:instrText>
          </w:r>
          <w:r>
            <w:fldChar w:fldCharType="separate"/>
          </w:r>
          <w:r>
            <w:rPr>
              <w:rStyle w:val="25"/>
              <w:rFonts w:ascii="Arial" w:hAnsi="Arial" w:cs="Arial"/>
            </w:rPr>
            <w:t>3.4</w:t>
          </w:r>
          <w:r>
            <w:rPr>
              <w:rFonts w:ascii="Arial" w:hAnsi="Arial" w:cs="Arial" w:eastAsiaTheme="minorEastAsia"/>
              <w:lang w:val="zh-CN" w:eastAsia="zh-CN"/>
            </w:rPr>
            <w:tab/>
          </w:r>
          <w:r>
            <w:rPr>
              <w:rStyle w:val="25"/>
              <w:rFonts w:ascii="Arial" w:hAnsi="Arial" w:cs="Arial"/>
            </w:rPr>
            <w:t>Ethical Considerations</w:t>
          </w:r>
          <w:r>
            <w:rPr>
              <w:rFonts w:ascii="Arial" w:hAnsi="Arial" w:cs="Arial"/>
            </w:rPr>
            <w:tab/>
          </w:r>
          <w:r>
            <w:rPr>
              <w:rFonts w:ascii="Arial" w:hAnsi="Arial" w:cs="Arial"/>
            </w:rPr>
            <w:fldChar w:fldCharType="begin"/>
          </w:r>
          <w:r>
            <w:rPr>
              <w:rFonts w:ascii="Arial" w:hAnsi="Arial" w:cs="Arial"/>
            </w:rPr>
            <w:instrText xml:space="preserve"> PAGEREF _Toc158819516 \h </w:instrText>
          </w:r>
          <w:r>
            <w:rPr>
              <w:rFonts w:ascii="Arial" w:hAnsi="Arial" w:cs="Arial"/>
            </w:rPr>
            <w:fldChar w:fldCharType="separate"/>
          </w:r>
          <w:r>
            <w:rPr>
              <w:rFonts w:ascii="Arial" w:hAnsi="Arial" w:cs="Arial"/>
            </w:rPr>
            <w:t>35</w:t>
          </w:r>
          <w:r>
            <w:rPr>
              <w:rFonts w:ascii="Arial" w:hAnsi="Arial" w:cs="Arial"/>
            </w:rPr>
            <w:fldChar w:fldCharType="end"/>
          </w:r>
          <w:r>
            <w:rPr>
              <w:rFonts w:ascii="Arial" w:hAnsi="Arial" w:cs="Arial"/>
            </w:rPr>
            <w:fldChar w:fldCharType="end"/>
          </w:r>
        </w:p>
        <w:p>
          <w:pPr>
            <w:pStyle w:val="13"/>
            <w:tabs>
              <w:tab w:val="left" w:pos="1900"/>
              <w:tab w:val="right" w:leader="dot" w:pos="9016"/>
            </w:tabs>
            <w:spacing w:line="360" w:lineRule="auto"/>
            <w:rPr>
              <w:rFonts w:ascii="Arial" w:hAnsi="Arial" w:cs="Arial" w:eastAsiaTheme="minorEastAsia"/>
              <w:lang w:val="zh-CN" w:eastAsia="zh-CN"/>
            </w:rPr>
          </w:pPr>
          <w:r>
            <w:fldChar w:fldCharType="begin"/>
          </w:r>
          <w:r>
            <w:instrText xml:space="preserve"> HYPERLINK \l "_Toc158819517" </w:instrText>
          </w:r>
          <w:r>
            <w:fldChar w:fldCharType="separate"/>
          </w:r>
          <w:r>
            <w:rPr>
              <w:rStyle w:val="25"/>
              <w:rFonts w:ascii="Arial" w:hAnsi="Arial" w:cs="Arial"/>
            </w:rPr>
            <w:t>3.4.1</w:t>
          </w:r>
          <w:r>
            <w:rPr>
              <w:rFonts w:ascii="Arial" w:hAnsi="Arial" w:cs="Arial" w:eastAsiaTheme="minorEastAsia"/>
              <w:lang w:val="zh-CN" w:eastAsia="zh-CN"/>
            </w:rPr>
            <w:tab/>
          </w:r>
          <w:r>
            <w:rPr>
              <w:rStyle w:val="25"/>
              <w:rFonts w:ascii="Arial" w:hAnsi="Arial" w:cs="Arial"/>
            </w:rPr>
            <w:t>Informed Consent</w:t>
          </w:r>
          <w:r>
            <w:rPr>
              <w:rFonts w:ascii="Arial" w:hAnsi="Arial" w:cs="Arial"/>
            </w:rPr>
            <w:tab/>
          </w:r>
          <w:r>
            <w:rPr>
              <w:rFonts w:ascii="Arial" w:hAnsi="Arial" w:cs="Arial"/>
            </w:rPr>
            <w:fldChar w:fldCharType="begin"/>
          </w:r>
          <w:r>
            <w:rPr>
              <w:rFonts w:ascii="Arial" w:hAnsi="Arial" w:cs="Arial"/>
            </w:rPr>
            <w:instrText xml:space="preserve"> PAGEREF _Toc158819517 \h </w:instrText>
          </w:r>
          <w:r>
            <w:rPr>
              <w:rFonts w:ascii="Arial" w:hAnsi="Arial" w:cs="Arial"/>
            </w:rPr>
            <w:fldChar w:fldCharType="separate"/>
          </w:r>
          <w:r>
            <w:rPr>
              <w:rFonts w:ascii="Arial" w:hAnsi="Arial" w:cs="Arial"/>
            </w:rPr>
            <w:t>35</w:t>
          </w:r>
          <w:r>
            <w:rPr>
              <w:rFonts w:ascii="Arial" w:hAnsi="Arial" w:cs="Arial"/>
            </w:rPr>
            <w:fldChar w:fldCharType="end"/>
          </w:r>
          <w:r>
            <w:rPr>
              <w:rFonts w:ascii="Arial" w:hAnsi="Arial" w:cs="Arial"/>
            </w:rPr>
            <w:fldChar w:fldCharType="end"/>
          </w:r>
        </w:p>
        <w:p>
          <w:pPr>
            <w:pStyle w:val="13"/>
            <w:tabs>
              <w:tab w:val="left" w:pos="1900"/>
              <w:tab w:val="right" w:leader="dot" w:pos="9016"/>
            </w:tabs>
            <w:spacing w:line="360" w:lineRule="auto"/>
            <w:rPr>
              <w:rFonts w:ascii="Arial" w:hAnsi="Arial" w:cs="Arial" w:eastAsiaTheme="minorEastAsia"/>
              <w:lang w:val="zh-CN" w:eastAsia="zh-CN"/>
            </w:rPr>
          </w:pPr>
          <w:r>
            <w:fldChar w:fldCharType="begin"/>
          </w:r>
          <w:r>
            <w:instrText xml:space="preserve"> HYPERLINK \l "_Toc158819518" </w:instrText>
          </w:r>
          <w:r>
            <w:fldChar w:fldCharType="separate"/>
          </w:r>
          <w:r>
            <w:rPr>
              <w:rStyle w:val="25"/>
              <w:rFonts w:ascii="Arial" w:hAnsi="Arial" w:cs="Arial"/>
            </w:rPr>
            <w:t>3.4.2</w:t>
          </w:r>
          <w:r>
            <w:rPr>
              <w:rFonts w:ascii="Arial" w:hAnsi="Arial" w:cs="Arial" w:eastAsiaTheme="minorEastAsia"/>
              <w:lang w:val="zh-CN" w:eastAsia="zh-CN"/>
            </w:rPr>
            <w:tab/>
          </w:r>
          <w:r>
            <w:rPr>
              <w:rStyle w:val="25"/>
              <w:rFonts w:ascii="Arial" w:hAnsi="Arial" w:cs="Arial"/>
            </w:rPr>
            <w:t>Confidentiality</w:t>
          </w:r>
          <w:r>
            <w:rPr>
              <w:rFonts w:ascii="Arial" w:hAnsi="Arial" w:cs="Arial"/>
            </w:rPr>
            <w:tab/>
          </w:r>
          <w:r>
            <w:rPr>
              <w:rFonts w:ascii="Arial" w:hAnsi="Arial" w:cs="Arial"/>
            </w:rPr>
            <w:fldChar w:fldCharType="begin"/>
          </w:r>
          <w:r>
            <w:rPr>
              <w:rFonts w:ascii="Arial" w:hAnsi="Arial" w:cs="Arial"/>
            </w:rPr>
            <w:instrText xml:space="preserve"> PAGEREF _Toc158819518 \h </w:instrText>
          </w:r>
          <w:r>
            <w:rPr>
              <w:rFonts w:ascii="Arial" w:hAnsi="Arial" w:cs="Arial"/>
            </w:rPr>
            <w:fldChar w:fldCharType="separate"/>
          </w:r>
          <w:r>
            <w:rPr>
              <w:rFonts w:ascii="Arial" w:hAnsi="Arial" w:cs="Arial"/>
            </w:rPr>
            <w:t>36</w:t>
          </w:r>
          <w:r>
            <w:rPr>
              <w:rFonts w:ascii="Arial" w:hAnsi="Arial" w:cs="Arial"/>
            </w:rPr>
            <w:fldChar w:fldCharType="end"/>
          </w:r>
          <w:r>
            <w:rPr>
              <w:rFonts w:ascii="Arial" w:hAnsi="Arial" w:cs="Arial"/>
            </w:rPr>
            <w:fldChar w:fldCharType="end"/>
          </w:r>
        </w:p>
        <w:p>
          <w:pPr>
            <w:pStyle w:val="13"/>
            <w:tabs>
              <w:tab w:val="left" w:pos="1900"/>
              <w:tab w:val="right" w:leader="dot" w:pos="9016"/>
            </w:tabs>
            <w:spacing w:line="360" w:lineRule="auto"/>
            <w:rPr>
              <w:rFonts w:ascii="Arial" w:hAnsi="Arial" w:cs="Arial" w:eastAsiaTheme="minorEastAsia"/>
              <w:lang w:val="zh-CN" w:eastAsia="zh-CN"/>
            </w:rPr>
          </w:pPr>
          <w:r>
            <w:fldChar w:fldCharType="begin"/>
          </w:r>
          <w:r>
            <w:instrText xml:space="preserve"> HYPERLINK \l "_Toc158819519" </w:instrText>
          </w:r>
          <w:r>
            <w:fldChar w:fldCharType="separate"/>
          </w:r>
          <w:r>
            <w:rPr>
              <w:rStyle w:val="25"/>
              <w:rFonts w:ascii="Arial" w:hAnsi="Arial" w:cs="Arial"/>
            </w:rPr>
            <w:t>3.4.3</w:t>
          </w:r>
          <w:r>
            <w:rPr>
              <w:rFonts w:ascii="Arial" w:hAnsi="Arial" w:cs="Arial" w:eastAsiaTheme="minorEastAsia"/>
              <w:lang w:val="zh-CN" w:eastAsia="zh-CN"/>
            </w:rPr>
            <w:tab/>
          </w:r>
          <w:r>
            <w:rPr>
              <w:rStyle w:val="25"/>
              <w:rFonts w:ascii="Arial" w:hAnsi="Arial" w:cs="Arial"/>
            </w:rPr>
            <w:t>Data Protection</w:t>
          </w:r>
          <w:r>
            <w:rPr>
              <w:rFonts w:ascii="Arial" w:hAnsi="Arial" w:cs="Arial"/>
            </w:rPr>
            <w:tab/>
          </w:r>
          <w:r>
            <w:rPr>
              <w:rFonts w:ascii="Arial" w:hAnsi="Arial" w:cs="Arial"/>
            </w:rPr>
            <w:fldChar w:fldCharType="begin"/>
          </w:r>
          <w:r>
            <w:rPr>
              <w:rFonts w:ascii="Arial" w:hAnsi="Arial" w:cs="Arial"/>
            </w:rPr>
            <w:instrText xml:space="preserve"> PAGEREF _Toc158819519 \h </w:instrText>
          </w:r>
          <w:r>
            <w:rPr>
              <w:rFonts w:ascii="Arial" w:hAnsi="Arial" w:cs="Arial"/>
            </w:rPr>
            <w:fldChar w:fldCharType="separate"/>
          </w:r>
          <w:r>
            <w:rPr>
              <w:rFonts w:ascii="Arial" w:hAnsi="Arial" w:cs="Arial"/>
            </w:rPr>
            <w:t>36</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"_Toc158819520" </w:instrText>
          </w:r>
          <w:r>
            <w:fldChar w:fldCharType="separate"/>
          </w:r>
          <w:r>
            <w:rPr>
              <w:rStyle w:val="25"/>
              <w:rFonts w:ascii="Arial" w:hAnsi="Arial" w:cs="Arial"/>
            </w:rPr>
            <w:t>3.5</w:t>
          </w:r>
          <w:r>
            <w:rPr>
              <w:rFonts w:ascii="Arial" w:hAnsi="Arial" w:cs="Arial" w:eastAsiaTheme="minorEastAsia"/>
              <w:lang w:val="zh-CN" w:eastAsia="zh-CN"/>
            </w:rPr>
            <w:tab/>
          </w:r>
          <w:r>
            <w:rPr>
              <w:rStyle w:val="25"/>
              <w:rFonts w:ascii="Arial" w:hAnsi="Arial" w:cs="Arial"/>
            </w:rPr>
            <w:t>Data Analysis</w:t>
          </w:r>
          <w:r>
            <w:rPr>
              <w:rFonts w:ascii="Arial" w:hAnsi="Arial" w:cs="Arial"/>
            </w:rPr>
            <w:tab/>
          </w:r>
          <w:r>
            <w:rPr>
              <w:rFonts w:ascii="Arial" w:hAnsi="Arial" w:cs="Arial"/>
            </w:rPr>
            <w:fldChar w:fldCharType="begin"/>
          </w:r>
          <w:r>
            <w:rPr>
              <w:rFonts w:ascii="Arial" w:hAnsi="Arial" w:cs="Arial"/>
            </w:rPr>
            <w:instrText xml:space="preserve"> PAGEREF _Toc158819520 \h </w:instrText>
          </w:r>
          <w:r>
            <w:rPr>
              <w:rFonts w:ascii="Arial" w:hAnsi="Arial" w:cs="Arial"/>
            </w:rPr>
            <w:fldChar w:fldCharType="separate"/>
          </w:r>
          <w:r>
            <w:rPr>
              <w:rFonts w:ascii="Arial" w:hAnsi="Arial" w:cs="Arial"/>
            </w:rPr>
            <w:t>36</w:t>
          </w:r>
          <w:r>
            <w:rPr>
              <w:rFonts w:ascii="Arial" w:hAnsi="Arial" w:cs="Arial"/>
            </w:rPr>
            <w:fldChar w:fldCharType="end"/>
          </w:r>
          <w:r>
            <w:rPr>
              <w:rFonts w:ascii="Arial" w:hAnsi="Arial" w:cs="Arial"/>
            </w:rPr>
            <w:fldChar w:fldCharType="end"/>
          </w:r>
        </w:p>
        <w:p>
          <w:pPr>
            <w:pStyle w:val="13"/>
            <w:tabs>
              <w:tab w:val="left" w:pos="1900"/>
              <w:tab w:val="right" w:leader="dot" w:pos="9016"/>
            </w:tabs>
            <w:spacing w:line="360" w:lineRule="auto"/>
            <w:rPr>
              <w:rFonts w:ascii="Arial" w:hAnsi="Arial" w:cs="Arial" w:eastAsiaTheme="minorEastAsia"/>
              <w:lang w:val="zh-CN" w:eastAsia="zh-CN"/>
            </w:rPr>
          </w:pPr>
          <w:r>
            <w:fldChar w:fldCharType="begin"/>
          </w:r>
          <w:r>
            <w:instrText xml:space="preserve"> HYPERLINK \l "_Toc158819521" </w:instrText>
          </w:r>
          <w:r>
            <w:fldChar w:fldCharType="separate"/>
          </w:r>
          <w:r>
            <w:rPr>
              <w:rStyle w:val="25"/>
              <w:rFonts w:ascii="Arial" w:hAnsi="Arial" w:cs="Arial"/>
            </w:rPr>
            <w:t>3.5.1</w:t>
          </w:r>
          <w:r>
            <w:rPr>
              <w:rFonts w:ascii="Arial" w:hAnsi="Arial" w:cs="Arial" w:eastAsiaTheme="minorEastAsia"/>
              <w:lang w:val="zh-CN" w:eastAsia="zh-CN"/>
            </w:rPr>
            <w:tab/>
          </w:r>
          <w:r>
            <w:rPr>
              <w:rStyle w:val="25"/>
              <w:rFonts w:ascii="Arial" w:hAnsi="Arial" w:cs="Arial"/>
            </w:rPr>
            <w:t>Thematic Analysis</w:t>
          </w:r>
          <w:r>
            <w:rPr>
              <w:rFonts w:ascii="Arial" w:hAnsi="Arial" w:cs="Arial"/>
            </w:rPr>
            <w:tab/>
          </w:r>
          <w:r>
            <w:rPr>
              <w:rFonts w:ascii="Arial" w:hAnsi="Arial" w:cs="Arial"/>
            </w:rPr>
            <w:fldChar w:fldCharType="begin"/>
          </w:r>
          <w:r>
            <w:rPr>
              <w:rFonts w:ascii="Arial" w:hAnsi="Arial" w:cs="Arial"/>
            </w:rPr>
            <w:instrText xml:space="preserve"> PAGEREF _Toc158819521 \h </w:instrText>
          </w:r>
          <w:r>
            <w:rPr>
              <w:rFonts w:ascii="Arial" w:hAnsi="Arial" w:cs="Arial"/>
            </w:rPr>
            <w:fldChar w:fldCharType="separate"/>
          </w:r>
          <w:r>
            <w:rPr>
              <w:rFonts w:ascii="Arial" w:hAnsi="Arial" w:cs="Arial"/>
            </w:rPr>
            <w:t>37</w:t>
          </w:r>
          <w:r>
            <w:rPr>
              <w:rFonts w:ascii="Arial" w:hAnsi="Arial" w:cs="Arial"/>
            </w:rPr>
            <w:fldChar w:fldCharType="end"/>
          </w:r>
          <w:r>
            <w:rPr>
              <w:rFonts w:ascii="Arial" w:hAnsi="Arial" w:cs="Arial"/>
            </w:rPr>
            <w:fldChar w:fldCharType="end"/>
          </w:r>
        </w:p>
        <w:p>
          <w:pPr>
            <w:pStyle w:val="13"/>
            <w:tabs>
              <w:tab w:val="left" w:pos="1900"/>
              <w:tab w:val="right" w:leader="dot" w:pos="9016"/>
            </w:tabs>
            <w:spacing w:line="360" w:lineRule="auto"/>
            <w:rPr>
              <w:rFonts w:ascii="Arial" w:hAnsi="Arial" w:cs="Arial" w:eastAsiaTheme="minorEastAsia"/>
              <w:lang w:val="zh-CN" w:eastAsia="zh-CN"/>
            </w:rPr>
          </w:pPr>
          <w:r>
            <w:fldChar w:fldCharType="begin"/>
          </w:r>
          <w:r>
            <w:instrText xml:space="preserve"> HYPERLINK \l "_Toc158819522" </w:instrText>
          </w:r>
          <w:r>
            <w:fldChar w:fldCharType="separate"/>
          </w:r>
          <w:r>
            <w:rPr>
              <w:rStyle w:val="25"/>
              <w:rFonts w:ascii="Arial" w:hAnsi="Arial" w:cs="Arial"/>
            </w:rPr>
            <w:t>3.5.2</w:t>
          </w:r>
          <w:r>
            <w:rPr>
              <w:rFonts w:ascii="Arial" w:hAnsi="Arial" w:cs="Arial" w:eastAsiaTheme="minorEastAsia"/>
              <w:lang w:val="zh-CN" w:eastAsia="zh-CN"/>
            </w:rPr>
            <w:tab/>
          </w:r>
          <w:r>
            <w:rPr>
              <w:rStyle w:val="25"/>
              <w:rFonts w:ascii="Arial" w:hAnsi="Arial" w:cs="Arial"/>
            </w:rPr>
            <w:t>Integration of Quantitative Data</w:t>
          </w:r>
          <w:r>
            <w:rPr>
              <w:rFonts w:ascii="Arial" w:hAnsi="Arial" w:cs="Arial"/>
            </w:rPr>
            <w:tab/>
          </w:r>
          <w:r>
            <w:rPr>
              <w:rFonts w:ascii="Arial" w:hAnsi="Arial" w:cs="Arial"/>
            </w:rPr>
            <w:fldChar w:fldCharType="begin"/>
          </w:r>
          <w:r>
            <w:rPr>
              <w:rFonts w:ascii="Arial" w:hAnsi="Arial" w:cs="Arial"/>
            </w:rPr>
            <w:instrText xml:space="preserve"> PAGEREF _Toc158819522 \h </w:instrText>
          </w:r>
          <w:r>
            <w:rPr>
              <w:rFonts w:ascii="Arial" w:hAnsi="Arial" w:cs="Arial"/>
            </w:rPr>
            <w:fldChar w:fldCharType="separate"/>
          </w:r>
          <w:r>
            <w:rPr>
              <w:rFonts w:ascii="Arial" w:hAnsi="Arial" w:cs="Arial"/>
            </w:rPr>
            <w:t>37</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"_Toc158819523" </w:instrText>
          </w:r>
          <w:r>
            <w:fldChar w:fldCharType="separate"/>
          </w:r>
          <w:r>
            <w:rPr>
              <w:rStyle w:val="25"/>
              <w:rFonts w:ascii="Arial" w:hAnsi="Arial" w:cs="Arial"/>
            </w:rPr>
            <w:t>3.6</w:t>
          </w:r>
          <w:r>
            <w:rPr>
              <w:rFonts w:ascii="Arial" w:hAnsi="Arial" w:cs="Arial" w:eastAsiaTheme="minorEastAsia"/>
              <w:lang w:val="zh-CN" w:eastAsia="zh-CN"/>
            </w:rPr>
            <w:tab/>
          </w:r>
          <w:r>
            <w:rPr>
              <w:rStyle w:val="25"/>
              <w:rFonts w:ascii="Arial" w:hAnsi="Arial" w:cs="Arial"/>
            </w:rPr>
            <w:t>Validity and Reliability</w:t>
          </w:r>
          <w:r>
            <w:rPr>
              <w:rFonts w:ascii="Arial" w:hAnsi="Arial" w:cs="Arial"/>
            </w:rPr>
            <w:tab/>
          </w:r>
          <w:r>
            <w:rPr>
              <w:rFonts w:ascii="Arial" w:hAnsi="Arial" w:cs="Arial"/>
            </w:rPr>
            <w:fldChar w:fldCharType="begin"/>
          </w:r>
          <w:r>
            <w:rPr>
              <w:rFonts w:ascii="Arial" w:hAnsi="Arial" w:cs="Arial"/>
            </w:rPr>
            <w:instrText xml:space="preserve"> PAGEREF _Toc158819523 \h </w:instrText>
          </w:r>
          <w:r>
            <w:rPr>
              <w:rFonts w:ascii="Arial" w:hAnsi="Arial" w:cs="Arial"/>
            </w:rPr>
            <w:fldChar w:fldCharType="separate"/>
          </w:r>
          <w:r>
            <w:rPr>
              <w:rFonts w:ascii="Arial" w:hAnsi="Arial" w:cs="Arial"/>
            </w:rPr>
            <w:t>38</w:t>
          </w:r>
          <w:r>
            <w:rPr>
              <w:rFonts w:ascii="Arial" w:hAnsi="Arial" w:cs="Arial"/>
            </w:rPr>
            <w:fldChar w:fldCharType="end"/>
          </w:r>
          <w:r>
            <w:rPr>
              <w:rFonts w:ascii="Arial" w:hAnsi="Arial" w:cs="Arial"/>
            </w:rPr>
            <w:fldChar w:fldCharType="end"/>
          </w:r>
        </w:p>
        <w:p>
          <w:pPr>
            <w:pStyle w:val="13"/>
            <w:tabs>
              <w:tab w:val="left" w:pos="1900"/>
              <w:tab w:val="right" w:leader="dot" w:pos="9016"/>
            </w:tabs>
            <w:spacing w:line="360" w:lineRule="auto"/>
            <w:rPr>
              <w:rFonts w:ascii="Arial" w:hAnsi="Arial" w:cs="Arial" w:eastAsiaTheme="minorEastAsia"/>
              <w:lang w:val="zh-CN" w:eastAsia="zh-CN"/>
            </w:rPr>
          </w:pPr>
          <w:r>
            <w:fldChar w:fldCharType="begin"/>
          </w:r>
          <w:r>
            <w:instrText xml:space="preserve"> HYPERLINK \l "_Toc158819524" </w:instrText>
          </w:r>
          <w:r>
            <w:fldChar w:fldCharType="separate"/>
          </w:r>
          <w:r>
            <w:rPr>
              <w:rStyle w:val="25"/>
              <w:rFonts w:ascii="Arial" w:hAnsi="Arial" w:cs="Arial"/>
            </w:rPr>
            <w:t>3.6.1</w:t>
          </w:r>
          <w:r>
            <w:rPr>
              <w:rFonts w:ascii="Arial" w:hAnsi="Arial" w:cs="Arial" w:eastAsiaTheme="minorEastAsia"/>
              <w:lang w:val="zh-CN" w:eastAsia="zh-CN"/>
            </w:rPr>
            <w:tab/>
          </w:r>
          <w:r>
            <w:rPr>
              <w:rStyle w:val="25"/>
              <w:rFonts w:ascii="Arial" w:hAnsi="Arial" w:cs="Arial"/>
            </w:rPr>
            <w:t>Credibility</w:t>
          </w:r>
          <w:r>
            <w:rPr>
              <w:rFonts w:ascii="Arial" w:hAnsi="Arial" w:cs="Arial"/>
            </w:rPr>
            <w:tab/>
          </w:r>
          <w:r>
            <w:rPr>
              <w:rFonts w:ascii="Arial" w:hAnsi="Arial" w:cs="Arial"/>
            </w:rPr>
            <w:fldChar w:fldCharType="begin"/>
          </w:r>
          <w:r>
            <w:rPr>
              <w:rFonts w:ascii="Arial" w:hAnsi="Arial" w:cs="Arial"/>
            </w:rPr>
            <w:instrText xml:space="preserve"> PAGEREF _Toc158819524 \h </w:instrText>
          </w:r>
          <w:r>
            <w:rPr>
              <w:rFonts w:ascii="Arial" w:hAnsi="Arial" w:cs="Arial"/>
            </w:rPr>
            <w:fldChar w:fldCharType="separate"/>
          </w:r>
          <w:r>
            <w:rPr>
              <w:rFonts w:ascii="Arial" w:hAnsi="Arial" w:cs="Arial"/>
            </w:rPr>
            <w:t>38</w:t>
          </w:r>
          <w:r>
            <w:rPr>
              <w:rFonts w:ascii="Arial" w:hAnsi="Arial" w:cs="Arial"/>
            </w:rPr>
            <w:fldChar w:fldCharType="end"/>
          </w:r>
          <w:r>
            <w:rPr>
              <w:rFonts w:ascii="Arial" w:hAnsi="Arial" w:cs="Arial"/>
            </w:rPr>
            <w:fldChar w:fldCharType="end"/>
          </w:r>
        </w:p>
        <w:p>
          <w:pPr>
            <w:pStyle w:val="13"/>
            <w:tabs>
              <w:tab w:val="left" w:pos="1900"/>
              <w:tab w:val="right" w:leader="dot" w:pos="9016"/>
            </w:tabs>
            <w:spacing w:line="360" w:lineRule="auto"/>
            <w:rPr>
              <w:rFonts w:ascii="Arial" w:hAnsi="Arial" w:cs="Arial" w:eastAsiaTheme="minorEastAsia"/>
              <w:lang w:val="zh-CN" w:eastAsia="zh-CN"/>
            </w:rPr>
          </w:pPr>
          <w:r>
            <w:fldChar w:fldCharType="begin"/>
          </w:r>
          <w:r>
            <w:instrText xml:space="preserve"> HYPERLINK \l "_Toc158819525" </w:instrText>
          </w:r>
          <w:r>
            <w:fldChar w:fldCharType="separate"/>
          </w:r>
          <w:r>
            <w:rPr>
              <w:rStyle w:val="25"/>
              <w:rFonts w:ascii="Arial" w:hAnsi="Arial" w:cs="Arial"/>
            </w:rPr>
            <w:t>3.6.2</w:t>
          </w:r>
          <w:r>
            <w:rPr>
              <w:rFonts w:ascii="Arial" w:hAnsi="Arial" w:cs="Arial" w:eastAsiaTheme="minorEastAsia"/>
              <w:lang w:val="zh-CN" w:eastAsia="zh-CN"/>
            </w:rPr>
            <w:tab/>
          </w:r>
          <w:r>
            <w:rPr>
              <w:rStyle w:val="25"/>
              <w:rFonts w:ascii="Arial" w:hAnsi="Arial" w:cs="Arial"/>
            </w:rPr>
            <w:t>Credibility</w:t>
          </w:r>
          <w:r>
            <w:rPr>
              <w:rFonts w:ascii="Arial" w:hAnsi="Arial" w:cs="Arial"/>
            </w:rPr>
            <w:tab/>
          </w:r>
          <w:r>
            <w:rPr>
              <w:rFonts w:ascii="Arial" w:hAnsi="Arial" w:cs="Arial"/>
            </w:rPr>
            <w:fldChar w:fldCharType="begin"/>
          </w:r>
          <w:r>
            <w:rPr>
              <w:rFonts w:ascii="Arial" w:hAnsi="Arial" w:cs="Arial"/>
            </w:rPr>
            <w:instrText xml:space="preserve"> PAGEREF _Toc158819525 \h </w:instrText>
          </w:r>
          <w:r>
            <w:rPr>
              <w:rFonts w:ascii="Arial" w:hAnsi="Arial" w:cs="Arial"/>
            </w:rPr>
            <w:fldChar w:fldCharType="separate"/>
          </w:r>
          <w:r>
            <w:rPr>
              <w:rFonts w:ascii="Arial" w:hAnsi="Arial" w:cs="Arial"/>
            </w:rPr>
            <w:t>38</w:t>
          </w:r>
          <w:r>
            <w:rPr>
              <w:rFonts w:ascii="Arial" w:hAnsi="Arial" w:cs="Arial"/>
            </w:rPr>
            <w:fldChar w:fldCharType="end"/>
          </w:r>
          <w:r>
            <w:rPr>
              <w:rFonts w:ascii="Arial" w:hAnsi="Arial" w:cs="Arial"/>
            </w:rPr>
            <w:fldChar w:fldCharType="end"/>
          </w:r>
        </w:p>
        <w:p>
          <w:pPr>
            <w:pStyle w:val="13"/>
            <w:tabs>
              <w:tab w:val="left" w:pos="1900"/>
              <w:tab w:val="right" w:leader="dot" w:pos="9016"/>
            </w:tabs>
            <w:spacing w:line="360" w:lineRule="auto"/>
            <w:rPr>
              <w:rFonts w:ascii="Arial" w:hAnsi="Arial" w:cs="Arial" w:eastAsiaTheme="minorEastAsia"/>
              <w:lang w:val="zh-CN" w:eastAsia="zh-CN"/>
            </w:rPr>
          </w:pPr>
          <w:r>
            <w:fldChar w:fldCharType="begin"/>
          </w:r>
          <w:r>
            <w:instrText xml:space="preserve"> HYPERLINK \l "_Toc158819526" </w:instrText>
          </w:r>
          <w:r>
            <w:fldChar w:fldCharType="separate"/>
          </w:r>
          <w:r>
            <w:rPr>
              <w:rStyle w:val="25"/>
              <w:rFonts w:ascii="Arial" w:hAnsi="Arial" w:cs="Arial"/>
            </w:rPr>
            <w:t>3.6.3</w:t>
          </w:r>
          <w:r>
            <w:rPr>
              <w:rFonts w:ascii="Arial" w:hAnsi="Arial" w:cs="Arial" w:eastAsiaTheme="minorEastAsia"/>
              <w:lang w:val="zh-CN" w:eastAsia="zh-CN"/>
            </w:rPr>
            <w:tab/>
          </w:r>
          <w:r>
            <w:rPr>
              <w:rStyle w:val="25"/>
              <w:rFonts w:ascii="Arial" w:hAnsi="Arial" w:cs="Arial"/>
            </w:rPr>
            <w:t>Transferability</w:t>
          </w:r>
          <w:r>
            <w:rPr>
              <w:rFonts w:ascii="Arial" w:hAnsi="Arial" w:cs="Arial"/>
            </w:rPr>
            <w:tab/>
          </w:r>
          <w:r>
            <w:rPr>
              <w:rFonts w:ascii="Arial" w:hAnsi="Arial" w:cs="Arial"/>
            </w:rPr>
            <w:fldChar w:fldCharType="begin"/>
          </w:r>
          <w:r>
            <w:rPr>
              <w:rFonts w:ascii="Arial" w:hAnsi="Arial" w:cs="Arial"/>
            </w:rPr>
            <w:instrText xml:space="preserve"> PAGEREF _Toc158819526 \h </w:instrText>
          </w:r>
          <w:r>
            <w:rPr>
              <w:rFonts w:ascii="Arial" w:hAnsi="Arial" w:cs="Arial"/>
            </w:rPr>
            <w:fldChar w:fldCharType="separate"/>
          </w:r>
          <w:r>
            <w:rPr>
              <w:rFonts w:ascii="Arial" w:hAnsi="Arial" w:cs="Arial"/>
            </w:rPr>
            <w:t>38</w:t>
          </w:r>
          <w:r>
            <w:rPr>
              <w:rFonts w:ascii="Arial" w:hAnsi="Arial" w:cs="Arial"/>
            </w:rPr>
            <w:fldChar w:fldCharType="end"/>
          </w:r>
          <w:r>
            <w:rPr>
              <w:rFonts w:ascii="Arial" w:hAnsi="Arial" w:cs="Arial"/>
            </w:rPr>
            <w:fldChar w:fldCharType="end"/>
          </w:r>
        </w:p>
        <w:p>
          <w:pPr>
            <w:pStyle w:val="13"/>
            <w:tabs>
              <w:tab w:val="left" w:pos="1900"/>
              <w:tab w:val="right" w:leader="dot" w:pos="9016"/>
            </w:tabs>
            <w:spacing w:line="360" w:lineRule="auto"/>
            <w:rPr>
              <w:rFonts w:ascii="Arial" w:hAnsi="Arial" w:cs="Arial" w:eastAsiaTheme="minorEastAsia"/>
              <w:lang w:val="zh-CN" w:eastAsia="zh-CN"/>
            </w:rPr>
          </w:pPr>
          <w:r>
            <w:fldChar w:fldCharType="begin"/>
          </w:r>
          <w:r>
            <w:instrText xml:space="preserve"> HYPERLINK \l "_Toc158819527" </w:instrText>
          </w:r>
          <w:r>
            <w:fldChar w:fldCharType="separate"/>
          </w:r>
          <w:r>
            <w:rPr>
              <w:rStyle w:val="25"/>
              <w:rFonts w:ascii="Arial" w:hAnsi="Arial" w:cs="Arial"/>
            </w:rPr>
            <w:t>3.6.4</w:t>
          </w:r>
          <w:r>
            <w:rPr>
              <w:rFonts w:ascii="Arial" w:hAnsi="Arial" w:cs="Arial" w:eastAsiaTheme="minorEastAsia"/>
              <w:lang w:val="zh-CN" w:eastAsia="zh-CN"/>
            </w:rPr>
            <w:tab/>
          </w:r>
          <w:r>
            <w:rPr>
              <w:rStyle w:val="25"/>
              <w:rFonts w:ascii="Arial" w:hAnsi="Arial" w:cs="Arial"/>
            </w:rPr>
            <w:t>Transferability</w:t>
          </w:r>
          <w:r>
            <w:rPr>
              <w:rFonts w:ascii="Arial" w:hAnsi="Arial" w:cs="Arial"/>
            </w:rPr>
            <w:tab/>
          </w:r>
          <w:r>
            <w:rPr>
              <w:rFonts w:ascii="Arial" w:hAnsi="Arial" w:cs="Arial"/>
            </w:rPr>
            <w:fldChar w:fldCharType="begin"/>
          </w:r>
          <w:r>
            <w:rPr>
              <w:rFonts w:ascii="Arial" w:hAnsi="Arial" w:cs="Arial"/>
            </w:rPr>
            <w:instrText xml:space="preserve"> PAGEREF _Toc158819527 \h </w:instrText>
          </w:r>
          <w:r>
            <w:rPr>
              <w:rFonts w:ascii="Arial" w:hAnsi="Arial" w:cs="Arial"/>
            </w:rPr>
            <w:fldChar w:fldCharType="separate"/>
          </w:r>
          <w:r>
            <w:rPr>
              <w:rFonts w:ascii="Arial" w:hAnsi="Arial" w:cs="Arial"/>
            </w:rPr>
            <w:t>39</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"_Toc158819528" </w:instrText>
          </w:r>
          <w:r>
            <w:fldChar w:fldCharType="separate"/>
          </w:r>
          <w:r>
            <w:rPr>
              <w:rStyle w:val="25"/>
              <w:rFonts w:ascii="Arial" w:hAnsi="Arial" w:cs="Arial"/>
            </w:rPr>
            <w:t>3.7</w:t>
          </w:r>
          <w:r>
            <w:rPr>
              <w:rFonts w:ascii="Arial" w:hAnsi="Arial" w:cs="Arial" w:eastAsiaTheme="minorEastAsia"/>
              <w:lang w:val="zh-CN" w:eastAsia="zh-CN"/>
            </w:rPr>
            <w:tab/>
          </w:r>
          <w:r>
            <w:rPr>
              <w:rStyle w:val="25"/>
              <w:rFonts w:ascii="Arial" w:hAnsi="Arial" w:cs="Arial"/>
            </w:rPr>
            <w:t>Limitations</w:t>
          </w:r>
          <w:r>
            <w:rPr>
              <w:rFonts w:ascii="Arial" w:hAnsi="Arial" w:cs="Arial"/>
            </w:rPr>
            <w:tab/>
          </w:r>
          <w:r>
            <w:rPr>
              <w:rFonts w:ascii="Arial" w:hAnsi="Arial" w:cs="Arial"/>
            </w:rPr>
            <w:fldChar w:fldCharType="begin"/>
          </w:r>
          <w:r>
            <w:rPr>
              <w:rFonts w:ascii="Arial" w:hAnsi="Arial" w:cs="Arial"/>
            </w:rPr>
            <w:instrText xml:space="preserve"> PAGEREF _Toc158819528 \h </w:instrText>
          </w:r>
          <w:r>
            <w:rPr>
              <w:rFonts w:ascii="Arial" w:hAnsi="Arial" w:cs="Arial"/>
            </w:rPr>
            <w:fldChar w:fldCharType="separate"/>
          </w:r>
          <w:r>
            <w:rPr>
              <w:rFonts w:ascii="Arial" w:hAnsi="Arial" w:cs="Arial"/>
            </w:rPr>
            <w:t>39</w:t>
          </w:r>
          <w:r>
            <w:rPr>
              <w:rFonts w:ascii="Arial" w:hAnsi="Arial" w:cs="Arial"/>
            </w:rPr>
            <w:fldChar w:fldCharType="end"/>
          </w:r>
          <w:r>
            <w:rPr>
              <w:rFonts w:ascii="Arial" w:hAnsi="Arial" w:cs="Arial"/>
            </w:rPr>
            <w:fldChar w:fldCharType="end"/>
          </w:r>
        </w:p>
        <w:p>
          <w:pPr>
            <w:pStyle w:val="16"/>
            <w:tabs>
              <w:tab w:val="left" w:pos="1100"/>
              <w:tab w:val="right" w:leader="dot" w:pos="9016"/>
            </w:tabs>
            <w:spacing w:line="360" w:lineRule="auto"/>
            <w:rPr>
              <w:rFonts w:ascii="Arial" w:hAnsi="Arial" w:cs="Arial" w:eastAsiaTheme="minorEastAsia"/>
              <w:lang w:val="zh-CN" w:eastAsia="zh-CN"/>
            </w:rPr>
          </w:pPr>
          <w:r>
            <w:fldChar w:fldCharType="begin"/>
          </w:r>
          <w:r>
            <w:instrText xml:space="preserve"> HYPERLINK \l "_Toc158819529" </w:instrText>
          </w:r>
          <w:r>
            <w:fldChar w:fldCharType="separate"/>
          </w:r>
          <w:r>
            <w:rPr>
              <w:rStyle w:val="25"/>
              <w:rFonts w:ascii="Arial" w:hAnsi="Arial" w:cs="Arial"/>
            </w:rPr>
            <w:t>4</w:t>
          </w:r>
          <w:r>
            <w:rPr>
              <w:rFonts w:ascii="Arial" w:hAnsi="Arial" w:cs="Arial" w:eastAsiaTheme="minorEastAsia"/>
              <w:lang w:val="zh-CN" w:eastAsia="zh-CN"/>
            </w:rPr>
            <w:tab/>
          </w:r>
          <w:r>
            <w:rPr>
              <w:rStyle w:val="25"/>
              <w:rFonts w:ascii="Arial" w:hAnsi="Arial" w:cs="Arial"/>
            </w:rPr>
            <w:t>Results</w:t>
          </w:r>
          <w:r>
            <w:rPr>
              <w:rFonts w:ascii="Arial" w:hAnsi="Arial" w:cs="Arial"/>
            </w:rPr>
            <w:tab/>
          </w:r>
          <w:r>
            <w:rPr>
              <w:rFonts w:ascii="Arial" w:hAnsi="Arial" w:cs="Arial"/>
            </w:rPr>
            <w:fldChar w:fldCharType="begin"/>
          </w:r>
          <w:r>
            <w:rPr>
              <w:rFonts w:ascii="Arial" w:hAnsi="Arial" w:cs="Arial"/>
            </w:rPr>
            <w:instrText xml:space="preserve"> PAGEREF _Toc158819529 \h </w:instrText>
          </w:r>
          <w:r>
            <w:rPr>
              <w:rFonts w:ascii="Arial" w:hAnsi="Arial" w:cs="Arial"/>
            </w:rPr>
            <w:fldChar w:fldCharType="separate"/>
          </w:r>
          <w:r>
            <w:rPr>
              <w:rFonts w:ascii="Arial" w:hAnsi="Arial" w:cs="Arial"/>
            </w:rPr>
            <w:t>40</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"_Toc158819530" </w:instrText>
          </w:r>
          <w:r>
            <w:fldChar w:fldCharType="separate"/>
          </w:r>
          <w:r>
            <w:rPr>
              <w:rStyle w:val="25"/>
              <w:rFonts w:ascii="Arial" w:hAnsi="Arial" w:cs="Arial"/>
            </w:rPr>
            <w:t>4.1</w:t>
          </w:r>
          <w:r>
            <w:rPr>
              <w:rFonts w:ascii="Arial" w:hAnsi="Arial" w:cs="Arial" w:eastAsiaTheme="minorEastAsia"/>
              <w:lang w:val="zh-CN" w:eastAsia="zh-CN"/>
            </w:rPr>
            <w:tab/>
          </w:r>
          <w:r>
            <w:rPr>
              <w:rStyle w:val="25"/>
              <w:rFonts w:ascii="Arial" w:hAnsi="Arial" w:cs="Arial"/>
            </w:rPr>
            <w:t>Introduction</w:t>
          </w:r>
          <w:r>
            <w:rPr>
              <w:rFonts w:ascii="Arial" w:hAnsi="Arial" w:cs="Arial"/>
            </w:rPr>
            <w:tab/>
          </w:r>
          <w:r>
            <w:rPr>
              <w:rFonts w:ascii="Arial" w:hAnsi="Arial" w:cs="Arial"/>
            </w:rPr>
            <w:fldChar w:fldCharType="begin"/>
          </w:r>
          <w:r>
            <w:rPr>
              <w:rFonts w:ascii="Arial" w:hAnsi="Arial" w:cs="Arial"/>
            </w:rPr>
            <w:instrText xml:space="preserve"> PAGEREF _Toc158819530 \h </w:instrText>
          </w:r>
          <w:r>
            <w:rPr>
              <w:rFonts w:ascii="Arial" w:hAnsi="Arial" w:cs="Arial"/>
            </w:rPr>
            <w:fldChar w:fldCharType="separate"/>
          </w:r>
          <w:r>
            <w:rPr>
              <w:rFonts w:ascii="Arial" w:hAnsi="Arial" w:cs="Arial"/>
            </w:rPr>
            <w:t>40</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"_Toc158819531" </w:instrText>
          </w:r>
          <w:r>
            <w:fldChar w:fldCharType="separate"/>
          </w:r>
          <w:r>
            <w:rPr>
              <w:rStyle w:val="25"/>
              <w:rFonts w:ascii="Arial" w:hAnsi="Arial" w:cs="Arial"/>
            </w:rPr>
            <w:t>4.2</w:t>
          </w:r>
          <w:r>
            <w:rPr>
              <w:rFonts w:ascii="Arial" w:hAnsi="Arial" w:cs="Arial" w:eastAsiaTheme="minorEastAsia"/>
              <w:lang w:val="zh-CN" w:eastAsia="zh-CN"/>
            </w:rPr>
            <w:tab/>
          </w:r>
          <w:r>
            <w:rPr>
              <w:rStyle w:val="25"/>
              <w:rFonts w:ascii="Arial" w:hAnsi="Arial" w:cs="Arial"/>
            </w:rPr>
            <w:t>Student Perspectives on Educational Impact</w:t>
          </w:r>
          <w:r>
            <w:rPr>
              <w:rFonts w:ascii="Arial" w:hAnsi="Arial" w:cs="Arial"/>
            </w:rPr>
            <w:tab/>
          </w:r>
          <w:r>
            <w:rPr>
              <w:rFonts w:ascii="Arial" w:hAnsi="Arial" w:cs="Arial"/>
            </w:rPr>
            <w:fldChar w:fldCharType="begin"/>
          </w:r>
          <w:r>
            <w:rPr>
              <w:rFonts w:ascii="Arial" w:hAnsi="Arial" w:cs="Arial"/>
            </w:rPr>
            <w:instrText xml:space="preserve"> PAGEREF _Toc158819531 \h </w:instrText>
          </w:r>
          <w:r>
            <w:rPr>
              <w:rFonts w:ascii="Arial" w:hAnsi="Arial" w:cs="Arial"/>
            </w:rPr>
            <w:fldChar w:fldCharType="separate"/>
          </w:r>
          <w:r>
            <w:rPr>
              <w:rFonts w:ascii="Arial" w:hAnsi="Arial" w:cs="Arial"/>
            </w:rPr>
            <w:t>41</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"_Toc158819532" </w:instrText>
          </w:r>
          <w:r>
            <w:fldChar w:fldCharType="separate"/>
          </w:r>
          <w:r>
            <w:rPr>
              <w:rStyle w:val="25"/>
              <w:rFonts w:ascii="Arial" w:hAnsi="Arial" w:cs="Arial"/>
            </w:rPr>
            <w:t>4.3</w:t>
          </w:r>
          <w:r>
            <w:rPr>
              <w:rFonts w:ascii="Arial" w:hAnsi="Arial" w:cs="Arial" w:eastAsiaTheme="minorEastAsia"/>
              <w:lang w:val="zh-CN" w:eastAsia="zh-CN"/>
            </w:rPr>
            <w:tab/>
          </w:r>
          <w:r>
            <w:rPr>
              <w:rStyle w:val="25"/>
              <w:rFonts w:ascii="Arial" w:hAnsi="Arial" w:cs="Arial"/>
            </w:rPr>
            <w:t>Career and Employment Outcomes</w:t>
          </w:r>
          <w:r>
            <w:rPr>
              <w:rFonts w:ascii="Arial" w:hAnsi="Arial" w:cs="Arial"/>
            </w:rPr>
            <w:tab/>
          </w:r>
          <w:r>
            <w:rPr>
              <w:rFonts w:ascii="Arial" w:hAnsi="Arial" w:cs="Arial"/>
            </w:rPr>
            <w:fldChar w:fldCharType="begin"/>
          </w:r>
          <w:r>
            <w:rPr>
              <w:rFonts w:ascii="Arial" w:hAnsi="Arial" w:cs="Arial"/>
            </w:rPr>
            <w:instrText xml:space="preserve"> PAGEREF _Toc158819532 \h </w:instrText>
          </w:r>
          <w:r>
            <w:rPr>
              <w:rFonts w:ascii="Arial" w:hAnsi="Arial" w:cs="Arial"/>
            </w:rPr>
            <w:fldChar w:fldCharType="separate"/>
          </w:r>
          <w:r>
            <w:rPr>
              <w:rFonts w:ascii="Arial" w:hAnsi="Arial" w:cs="Arial"/>
            </w:rPr>
            <w:t>43</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"_Toc158819533" </w:instrText>
          </w:r>
          <w:r>
            <w:fldChar w:fldCharType="separate"/>
          </w:r>
          <w:r>
            <w:rPr>
              <w:rStyle w:val="25"/>
              <w:rFonts w:ascii="Arial" w:hAnsi="Arial" w:cs="Arial"/>
            </w:rPr>
            <w:t>4.4</w:t>
          </w:r>
          <w:r>
            <w:rPr>
              <w:rFonts w:ascii="Arial" w:hAnsi="Arial" w:cs="Arial" w:eastAsiaTheme="minorEastAsia"/>
              <w:lang w:val="zh-CN" w:eastAsia="zh-CN"/>
            </w:rPr>
            <w:tab/>
          </w:r>
          <w:r>
            <w:rPr>
              <w:rStyle w:val="25"/>
              <w:rFonts w:ascii="Arial" w:hAnsi="Arial" w:cs="Arial"/>
            </w:rPr>
            <w:t>School and Enterprise Perspectives on Recruitment Practices</w:t>
          </w:r>
          <w:r>
            <w:rPr>
              <w:rFonts w:ascii="Arial" w:hAnsi="Arial" w:cs="Arial"/>
            </w:rPr>
            <w:tab/>
          </w:r>
          <w:r>
            <w:rPr>
              <w:rFonts w:ascii="Arial" w:hAnsi="Arial" w:cs="Arial"/>
            </w:rPr>
            <w:fldChar w:fldCharType="begin"/>
          </w:r>
          <w:r>
            <w:rPr>
              <w:rFonts w:ascii="Arial" w:hAnsi="Arial" w:cs="Arial"/>
            </w:rPr>
            <w:instrText xml:space="preserve"> PAGEREF _Toc158819533 \h </w:instrText>
          </w:r>
          <w:r>
            <w:rPr>
              <w:rFonts w:ascii="Arial" w:hAnsi="Arial" w:cs="Arial"/>
            </w:rPr>
            <w:fldChar w:fldCharType="separate"/>
          </w:r>
          <w:r>
            <w:rPr>
              <w:rFonts w:ascii="Arial" w:hAnsi="Arial" w:cs="Arial"/>
            </w:rPr>
            <w:t>45</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"_Toc158819534" </w:instrText>
          </w:r>
          <w:r>
            <w:fldChar w:fldCharType="separate"/>
          </w:r>
          <w:r>
            <w:rPr>
              <w:rStyle w:val="25"/>
              <w:rFonts w:ascii="Arial" w:hAnsi="Arial" w:cs="Arial"/>
            </w:rPr>
            <w:t>4.5</w:t>
          </w:r>
          <w:r>
            <w:rPr>
              <w:rFonts w:ascii="Arial" w:hAnsi="Arial" w:cs="Arial" w:eastAsiaTheme="minorEastAsia"/>
              <w:lang w:val="zh-CN" w:eastAsia="zh-CN"/>
            </w:rPr>
            <w:tab/>
          </w:r>
          <w:r>
            <w:rPr>
              <w:rStyle w:val="25"/>
              <w:rFonts w:ascii="Arial" w:hAnsi="Arial" w:cs="Arial"/>
            </w:rPr>
            <w:t>Teacher and Enterprise Perspectives on Practical Teaching Impact</w:t>
          </w:r>
          <w:r>
            <w:rPr>
              <w:rFonts w:ascii="Arial" w:hAnsi="Arial" w:cs="Arial"/>
            </w:rPr>
            <w:tab/>
          </w:r>
          <w:r>
            <w:rPr>
              <w:rFonts w:ascii="Arial" w:hAnsi="Arial" w:cs="Arial"/>
            </w:rPr>
            <w:fldChar w:fldCharType="begin"/>
          </w:r>
          <w:r>
            <w:rPr>
              <w:rFonts w:ascii="Arial" w:hAnsi="Arial" w:cs="Arial"/>
            </w:rPr>
            <w:instrText xml:space="preserve"> PAGEREF _Toc158819534 \h </w:instrText>
          </w:r>
          <w:r>
            <w:rPr>
              <w:rFonts w:ascii="Arial" w:hAnsi="Arial" w:cs="Arial"/>
            </w:rPr>
            <w:fldChar w:fldCharType="separate"/>
          </w:r>
          <w:r>
            <w:rPr>
              <w:rFonts w:ascii="Arial" w:hAnsi="Arial" w:cs="Arial"/>
            </w:rPr>
            <w:t>46</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"_Toc158819535" </w:instrText>
          </w:r>
          <w:r>
            <w:fldChar w:fldCharType="separate"/>
          </w:r>
          <w:r>
            <w:rPr>
              <w:rStyle w:val="25"/>
              <w:rFonts w:ascii="Arial" w:hAnsi="Arial" w:cs="Arial"/>
            </w:rPr>
            <w:t>4.6</w:t>
          </w:r>
          <w:r>
            <w:rPr>
              <w:rFonts w:ascii="Arial" w:hAnsi="Arial" w:cs="Arial" w:eastAsiaTheme="minorEastAsia"/>
              <w:lang w:val="zh-CN" w:eastAsia="zh-CN"/>
            </w:rPr>
            <w:tab/>
          </w:r>
          <w:r>
            <w:rPr>
              <w:rStyle w:val="25"/>
              <w:rFonts w:ascii="Arial" w:hAnsi="Arial" w:cs="Arial"/>
            </w:rPr>
            <w:t>Student Experiences and Career Goals</w:t>
          </w:r>
          <w:r>
            <w:rPr>
              <w:rFonts w:ascii="Arial" w:hAnsi="Arial" w:cs="Arial"/>
            </w:rPr>
            <w:tab/>
          </w:r>
          <w:r>
            <w:rPr>
              <w:rFonts w:ascii="Arial" w:hAnsi="Arial" w:cs="Arial"/>
            </w:rPr>
            <w:fldChar w:fldCharType="begin"/>
          </w:r>
          <w:r>
            <w:rPr>
              <w:rFonts w:ascii="Arial" w:hAnsi="Arial" w:cs="Arial"/>
            </w:rPr>
            <w:instrText xml:space="preserve"> PAGEREF _Toc158819535 \h </w:instrText>
          </w:r>
          <w:r>
            <w:rPr>
              <w:rFonts w:ascii="Arial" w:hAnsi="Arial" w:cs="Arial"/>
            </w:rPr>
            <w:fldChar w:fldCharType="separate"/>
          </w:r>
          <w:r>
            <w:rPr>
              <w:rFonts w:ascii="Arial" w:hAnsi="Arial" w:cs="Arial"/>
            </w:rPr>
            <w:t>47</w:t>
          </w:r>
          <w:r>
            <w:rPr>
              <w:rFonts w:ascii="Arial" w:hAnsi="Arial" w:cs="Arial"/>
            </w:rPr>
            <w:fldChar w:fldCharType="end"/>
          </w:r>
          <w:r>
            <w:rPr>
              <w:rFonts w:ascii="Arial" w:hAnsi="Arial" w:cs="Arial"/>
            </w:rPr>
            <w:fldChar w:fldCharType="end"/>
          </w:r>
        </w:p>
        <w:p>
          <w:pPr>
            <w:pStyle w:val="16"/>
            <w:tabs>
              <w:tab w:val="left" w:pos="1100"/>
              <w:tab w:val="right" w:leader="dot" w:pos="9016"/>
            </w:tabs>
            <w:spacing w:line="360" w:lineRule="auto"/>
            <w:rPr>
              <w:rFonts w:ascii="Arial" w:hAnsi="Arial" w:cs="Arial" w:eastAsiaTheme="minorEastAsia"/>
              <w:lang w:val="zh-CN" w:eastAsia="zh-CN"/>
            </w:rPr>
          </w:pPr>
          <w:r>
            <w:fldChar w:fldCharType="begin"/>
          </w:r>
          <w:r>
            <w:instrText xml:space="preserve"> HYPERLINK \l "_Toc158819536" </w:instrText>
          </w:r>
          <w:r>
            <w:fldChar w:fldCharType="separate"/>
          </w:r>
          <w:r>
            <w:rPr>
              <w:rStyle w:val="25"/>
              <w:rFonts w:ascii="Arial" w:hAnsi="Arial" w:cs="Arial"/>
            </w:rPr>
            <w:t>5</w:t>
          </w:r>
          <w:r>
            <w:rPr>
              <w:rFonts w:ascii="Arial" w:hAnsi="Arial" w:cs="Arial" w:eastAsiaTheme="minorEastAsia"/>
              <w:lang w:val="zh-CN" w:eastAsia="zh-CN"/>
            </w:rPr>
            <w:tab/>
          </w:r>
          <w:r>
            <w:rPr>
              <w:rStyle w:val="25"/>
              <w:rFonts w:ascii="Arial" w:hAnsi="Arial" w:cs="Arial"/>
            </w:rPr>
            <w:t>Analysis</w:t>
          </w:r>
          <w:r>
            <w:rPr>
              <w:rFonts w:ascii="Arial" w:hAnsi="Arial" w:cs="Arial"/>
            </w:rPr>
            <w:tab/>
          </w:r>
          <w:r>
            <w:rPr>
              <w:rFonts w:ascii="Arial" w:hAnsi="Arial" w:cs="Arial"/>
            </w:rPr>
            <w:fldChar w:fldCharType="begin"/>
          </w:r>
          <w:r>
            <w:rPr>
              <w:rFonts w:ascii="Arial" w:hAnsi="Arial" w:cs="Arial"/>
            </w:rPr>
            <w:instrText xml:space="preserve"> PAGEREF _Toc158819536 \h </w:instrText>
          </w:r>
          <w:r>
            <w:rPr>
              <w:rFonts w:ascii="Arial" w:hAnsi="Arial" w:cs="Arial"/>
            </w:rPr>
            <w:fldChar w:fldCharType="separate"/>
          </w:r>
          <w:r>
            <w:rPr>
              <w:rFonts w:ascii="Arial" w:hAnsi="Arial" w:cs="Arial"/>
            </w:rPr>
            <w:t>50</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"_Toc158819537" </w:instrText>
          </w:r>
          <w:r>
            <w:fldChar w:fldCharType="separate"/>
          </w:r>
          <w:r>
            <w:rPr>
              <w:rStyle w:val="25"/>
              <w:rFonts w:ascii="Arial" w:hAnsi="Arial" w:cs="Arial"/>
            </w:rPr>
            <w:t>5.1</w:t>
          </w:r>
          <w:r>
            <w:rPr>
              <w:rFonts w:ascii="Arial" w:hAnsi="Arial" w:cs="Arial" w:eastAsiaTheme="minorEastAsia"/>
              <w:lang w:val="zh-CN" w:eastAsia="zh-CN"/>
            </w:rPr>
            <w:tab/>
          </w:r>
          <w:r>
            <w:rPr>
              <w:rStyle w:val="25"/>
              <w:rFonts w:ascii="Arial" w:hAnsi="Arial" w:cs="Arial"/>
            </w:rPr>
            <w:t>Positive Impact on Hands-on Abilities</w:t>
          </w:r>
          <w:r>
            <w:rPr>
              <w:rFonts w:ascii="Arial" w:hAnsi="Arial" w:cs="Arial"/>
            </w:rPr>
            <w:tab/>
          </w:r>
          <w:r>
            <w:rPr>
              <w:rFonts w:ascii="Arial" w:hAnsi="Arial" w:cs="Arial"/>
            </w:rPr>
            <w:fldChar w:fldCharType="begin"/>
          </w:r>
          <w:r>
            <w:rPr>
              <w:rFonts w:ascii="Arial" w:hAnsi="Arial" w:cs="Arial"/>
            </w:rPr>
            <w:instrText xml:space="preserve"> PAGEREF _Toc158819537 \h </w:instrText>
          </w:r>
          <w:r>
            <w:rPr>
              <w:rFonts w:ascii="Arial" w:hAnsi="Arial" w:cs="Arial"/>
            </w:rPr>
            <w:fldChar w:fldCharType="separate"/>
          </w:r>
          <w:r>
            <w:rPr>
              <w:rFonts w:ascii="Arial" w:hAnsi="Arial" w:cs="Arial"/>
            </w:rPr>
            <w:t>50</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"_Toc158819538" </w:instrText>
          </w:r>
          <w:r>
            <w:fldChar w:fldCharType="separate"/>
          </w:r>
          <w:r>
            <w:rPr>
              <w:rStyle w:val="25"/>
              <w:rFonts w:ascii="Arial" w:hAnsi="Arial" w:cs="Arial"/>
            </w:rPr>
            <w:t>5.2</w:t>
          </w:r>
          <w:r>
            <w:rPr>
              <w:rFonts w:ascii="Arial" w:hAnsi="Arial" w:cs="Arial" w:eastAsiaTheme="minorEastAsia"/>
              <w:lang w:val="zh-CN" w:eastAsia="zh-CN"/>
            </w:rPr>
            <w:tab/>
          </w:r>
          <w:r>
            <w:rPr>
              <w:rStyle w:val="25"/>
              <w:rFonts w:ascii="Arial" w:hAnsi="Arial" w:cs="Arial"/>
            </w:rPr>
            <w:t>Dynamic Nature of Challenges and Support Mechanisms</w:t>
          </w:r>
          <w:r>
            <w:rPr>
              <w:rFonts w:ascii="Arial" w:hAnsi="Arial" w:cs="Arial"/>
            </w:rPr>
            <w:tab/>
          </w:r>
          <w:r>
            <w:rPr>
              <w:rFonts w:ascii="Arial" w:hAnsi="Arial" w:cs="Arial"/>
            </w:rPr>
            <w:fldChar w:fldCharType="begin"/>
          </w:r>
          <w:r>
            <w:rPr>
              <w:rFonts w:ascii="Arial" w:hAnsi="Arial" w:cs="Arial"/>
            </w:rPr>
            <w:instrText xml:space="preserve"> PAGEREF _Toc158819538 \h </w:instrText>
          </w:r>
          <w:r>
            <w:rPr>
              <w:rFonts w:ascii="Arial" w:hAnsi="Arial" w:cs="Arial"/>
            </w:rPr>
            <w:fldChar w:fldCharType="separate"/>
          </w:r>
          <w:r>
            <w:rPr>
              <w:rFonts w:ascii="Arial" w:hAnsi="Arial" w:cs="Arial"/>
            </w:rPr>
            <w:t>51</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"_Toc158819539" </w:instrText>
          </w:r>
          <w:r>
            <w:fldChar w:fldCharType="separate"/>
          </w:r>
          <w:r>
            <w:rPr>
              <w:rStyle w:val="25"/>
              <w:rFonts w:ascii="Arial" w:hAnsi="Arial" w:cs="Arial"/>
            </w:rPr>
            <w:t>5.3</w:t>
          </w:r>
          <w:r>
            <w:rPr>
              <w:rFonts w:ascii="Arial" w:hAnsi="Arial" w:cs="Arial" w:eastAsiaTheme="minorEastAsia"/>
              <w:lang w:val="zh-CN" w:eastAsia="zh-CN"/>
            </w:rPr>
            <w:tab/>
          </w:r>
          <w:r>
            <w:rPr>
              <w:rStyle w:val="25"/>
              <w:rFonts w:ascii="Arial" w:hAnsi="Arial" w:cs="Arial"/>
            </w:rPr>
            <w:t>Symbiotic Relationship Between Academia and Industry</w:t>
          </w:r>
          <w:r>
            <w:rPr>
              <w:rFonts w:ascii="Arial" w:hAnsi="Arial" w:cs="Arial"/>
            </w:rPr>
            <w:tab/>
          </w:r>
          <w:r>
            <w:rPr>
              <w:rFonts w:ascii="Arial" w:hAnsi="Arial" w:cs="Arial"/>
            </w:rPr>
            <w:fldChar w:fldCharType="begin"/>
          </w:r>
          <w:r>
            <w:rPr>
              <w:rFonts w:ascii="Arial" w:hAnsi="Arial" w:cs="Arial"/>
            </w:rPr>
            <w:instrText xml:space="preserve"> PAGEREF _Toc158819539 \h </w:instrText>
          </w:r>
          <w:r>
            <w:rPr>
              <w:rFonts w:ascii="Arial" w:hAnsi="Arial" w:cs="Arial"/>
            </w:rPr>
            <w:fldChar w:fldCharType="separate"/>
          </w:r>
          <w:r>
            <w:rPr>
              <w:rFonts w:ascii="Arial" w:hAnsi="Arial" w:cs="Arial"/>
            </w:rPr>
            <w:t>52</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"_Toc158819540" </w:instrText>
          </w:r>
          <w:r>
            <w:fldChar w:fldCharType="separate"/>
          </w:r>
          <w:r>
            <w:rPr>
              <w:rStyle w:val="25"/>
              <w:rFonts w:ascii="Arial" w:hAnsi="Arial" w:cs="Arial"/>
            </w:rPr>
            <w:t>5.4</w:t>
          </w:r>
          <w:r>
            <w:rPr>
              <w:rFonts w:ascii="Arial" w:hAnsi="Arial" w:cs="Arial" w:eastAsiaTheme="minorEastAsia"/>
              <w:lang w:val="zh-CN" w:eastAsia="zh-CN"/>
            </w:rPr>
            <w:tab/>
          </w:r>
          <w:r>
            <w:rPr>
              <w:rStyle w:val="25"/>
              <w:rFonts w:ascii="Arial" w:hAnsi="Arial" w:cs="Arial"/>
            </w:rPr>
            <w:t>Integration of Real-World Projects and Industry-Aligned Courses</w:t>
          </w:r>
          <w:r>
            <w:rPr>
              <w:rFonts w:ascii="Arial" w:hAnsi="Arial" w:cs="Arial"/>
            </w:rPr>
            <w:tab/>
          </w:r>
          <w:r>
            <w:rPr>
              <w:rFonts w:ascii="Arial" w:hAnsi="Arial" w:cs="Arial"/>
            </w:rPr>
            <w:fldChar w:fldCharType="begin"/>
          </w:r>
          <w:r>
            <w:rPr>
              <w:rFonts w:ascii="Arial" w:hAnsi="Arial" w:cs="Arial"/>
            </w:rPr>
            <w:instrText xml:space="preserve"> PAGEREF _Toc158819540 \h </w:instrText>
          </w:r>
          <w:r>
            <w:rPr>
              <w:rFonts w:ascii="Arial" w:hAnsi="Arial" w:cs="Arial"/>
            </w:rPr>
            <w:fldChar w:fldCharType="separate"/>
          </w:r>
          <w:r>
            <w:rPr>
              <w:rFonts w:ascii="Arial" w:hAnsi="Arial" w:cs="Arial"/>
            </w:rPr>
            <w:t>53</w:t>
          </w:r>
          <w:r>
            <w:rPr>
              <w:rFonts w:ascii="Arial" w:hAnsi="Arial" w:cs="Arial"/>
            </w:rPr>
            <w:fldChar w:fldCharType="end"/>
          </w:r>
          <w:r>
            <w:rPr>
              <w:rFonts w:ascii="Arial" w:hAnsi="Arial" w:cs="Arial"/>
            </w:rPr>
            <w:fldChar w:fldCharType="end"/>
          </w:r>
        </w:p>
        <w:p>
          <w:pPr>
            <w:pStyle w:val="16"/>
            <w:tabs>
              <w:tab w:val="left" w:pos="1100"/>
              <w:tab w:val="right" w:leader="dot" w:pos="9016"/>
            </w:tabs>
            <w:spacing w:line="360" w:lineRule="auto"/>
            <w:rPr>
              <w:rFonts w:ascii="Arial" w:hAnsi="Arial" w:cs="Arial" w:eastAsiaTheme="minorEastAsia"/>
              <w:lang w:val="zh-CN" w:eastAsia="zh-CN"/>
            </w:rPr>
          </w:pPr>
          <w:r>
            <w:fldChar w:fldCharType="begin"/>
          </w:r>
          <w:r>
            <w:instrText xml:space="preserve"> HYPERLINK \l "_Toc158819541" </w:instrText>
          </w:r>
          <w:r>
            <w:fldChar w:fldCharType="separate"/>
          </w:r>
          <w:r>
            <w:rPr>
              <w:rStyle w:val="25"/>
              <w:rFonts w:ascii="Arial" w:hAnsi="Arial" w:cs="Arial"/>
            </w:rPr>
            <w:t>6</w:t>
          </w:r>
          <w:r>
            <w:rPr>
              <w:rFonts w:ascii="Arial" w:hAnsi="Arial" w:cs="Arial" w:eastAsiaTheme="minorEastAsia"/>
              <w:lang w:val="zh-CN" w:eastAsia="zh-CN"/>
            </w:rPr>
            <w:tab/>
          </w:r>
          <w:r>
            <w:rPr>
              <w:rStyle w:val="25"/>
              <w:rFonts w:ascii="Arial" w:hAnsi="Arial" w:cs="Arial"/>
            </w:rPr>
            <w:t>Conclusion</w:t>
          </w:r>
          <w:r>
            <w:rPr>
              <w:rFonts w:ascii="Arial" w:hAnsi="Arial" w:cs="Arial"/>
            </w:rPr>
            <w:tab/>
          </w:r>
          <w:r>
            <w:rPr>
              <w:rFonts w:ascii="Arial" w:hAnsi="Arial" w:cs="Arial"/>
            </w:rPr>
            <w:fldChar w:fldCharType="begin"/>
          </w:r>
          <w:r>
            <w:rPr>
              <w:rFonts w:ascii="Arial" w:hAnsi="Arial" w:cs="Arial"/>
            </w:rPr>
            <w:instrText xml:space="preserve"> PAGEREF _Toc158819541 \h </w:instrText>
          </w:r>
          <w:r>
            <w:rPr>
              <w:rFonts w:ascii="Arial" w:hAnsi="Arial" w:cs="Arial"/>
            </w:rPr>
            <w:fldChar w:fldCharType="separate"/>
          </w:r>
          <w:r>
            <w:rPr>
              <w:rFonts w:ascii="Arial" w:hAnsi="Arial" w:cs="Arial"/>
            </w:rPr>
            <w:t>54</w:t>
          </w:r>
          <w:r>
            <w:rPr>
              <w:rFonts w:ascii="Arial" w:hAnsi="Arial" w:cs="Arial"/>
            </w:rPr>
            <w:fldChar w:fldCharType="end"/>
          </w:r>
          <w:r>
            <w:rPr>
              <w:rFonts w:ascii="Arial" w:hAnsi="Arial" w:cs="Arial"/>
            </w:rPr>
            <w:fldChar w:fldCharType="end"/>
          </w:r>
        </w:p>
        <w:p>
          <w:pPr>
            <w:pStyle w:val="16"/>
            <w:tabs>
              <w:tab w:val="left" w:pos="1100"/>
              <w:tab w:val="right" w:leader="dot" w:pos="9016"/>
            </w:tabs>
            <w:spacing w:line="360" w:lineRule="auto"/>
            <w:rPr>
              <w:rFonts w:ascii="Arial" w:hAnsi="Arial" w:cs="Arial" w:eastAsiaTheme="minorEastAsia"/>
              <w:lang w:val="zh-CN" w:eastAsia="zh-CN"/>
            </w:rPr>
          </w:pPr>
          <w:r>
            <w:fldChar w:fldCharType="begin"/>
          </w:r>
          <w:r>
            <w:instrText xml:space="preserve"> HYPERLINK \l "_Toc158819542" </w:instrText>
          </w:r>
          <w:r>
            <w:fldChar w:fldCharType="separate"/>
          </w:r>
          <w:r>
            <w:rPr>
              <w:rStyle w:val="25"/>
              <w:rFonts w:ascii="Arial" w:hAnsi="Arial" w:cs="Arial"/>
            </w:rPr>
            <w:t>7</w:t>
          </w:r>
          <w:r>
            <w:rPr>
              <w:rFonts w:ascii="Arial" w:hAnsi="Arial" w:cs="Arial" w:eastAsiaTheme="minorEastAsia"/>
              <w:lang w:val="zh-CN" w:eastAsia="zh-CN"/>
            </w:rPr>
            <w:tab/>
          </w:r>
          <w:r>
            <w:rPr>
              <w:rStyle w:val="25"/>
              <w:rFonts w:ascii="Arial" w:hAnsi="Arial" w:cs="Arial"/>
            </w:rPr>
            <w:t>Future recommendations</w:t>
          </w:r>
          <w:r>
            <w:rPr>
              <w:rFonts w:ascii="Arial" w:hAnsi="Arial" w:cs="Arial"/>
            </w:rPr>
            <w:tab/>
          </w:r>
          <w:r>
            <w:rPr>
              <w:rFonts w:ascii="Arial" w:hAnsi="Arial" w:cs="Arial"/>
            </w:rPr>
            <w:fldChar w:fldCharType="begin"/>
          </w:r>
          <w:r>
            <w:rPr>
              <w:rFonts w:ascii="Arial" w:hAnsi="Arial" w:cs="Arial"/>
            </w:rPr>
            <w:instrText xml:space="preserve"> PAGEREF _Toc158819542 \h </w:instrText>
          </w:r>
          <w:r>
            <w:rPr>
              <w:rFonts w:ascii="Arial" w:hAnsi="Arial" w:cs="Arial"/>
            </w:rPr>
            <w:fldChar w:fldCharType="separate"/>
          </w:r>
          <w:r>
            <w:rPr>
              <w:rFonts w:ascii="Arial" w:hAnsi="Arial" w:cs="Arial"/>
            </w:rPr>
            <w:t>56</w:t>
          </w:r>
          <w:r>
            <w:rPr>
              <w:rFonts w:ascii="Arial" w:hAnsi="Arial" w:cs="Arial"/>
            </w:rPr>
            <w:fldChar w:fldCharType="end"/>
          </w:r>
          <w:r>
            <w:rPr>
              <w:rFonts w:ascii="Arial" w:hAnsi="Arial" w:cs="Arial"/>
            </w:rPr>
            <w:fldChar w:fldCharType="end"/>
          </w:r>
        </w:p>
        <w:p>
          <w:pPr>
            <w:pStyle w:val="16"/>
            <w:tabs>
              <w:tab w:val="left" w:pos="1100"/>
              <w:tab w:val="right" w:leader="dot" w:pos="9016"/>
            </w:tabs>
            <w:spacing w:line="360" w:lineRule="auto"/>
            <w:rPr>
              <w:rFonts w:ascii="Arial" w:hAnsi="Arial" w:cs="Arial" w:eastAsiaTheme="minorEastAsia"/>
              <w:lang w:val="zh-CN" w:eastAsia="zh-CN"/>
            </w:rPr>
          </w:pPr>
          <w:r>
            <w:fldChar w:fldCharType="begin"/>
          </w:r>
          <w:r>
            <w:instrText xml:space="preserve"> HYPERLINK \l "_Toc158819543" </w:instrText>
          </w:r>
          <w:r>
            <w:fldChar w:fldCharType="separate"/>
          </w:r>
          <w:r>
            <w:rPr>
              <w:rStyle w:val="25"/>
              <w:rFonts w:ascii="Arial" w:hAnsi="Arial" w:eastAsia="Times New Roman" w:cs="Arial"/>
            </w:rPr>
            <w:t>8</w:t>
          </w:r>
          <w:r>
            <w:rPr>
              <w:rFonts w:ascii="Arial" w:hAnsi="Arial" w:cs="Arial" w:eastAsiaTheme="minorEastAsia"/>
              <w:lang w:val="zh-CN" w:eastAsia="zh-CN"/>
            </w:rPr>
            <w:tab/>
          </w:r>
          <w:r>
            <w:rPr>
              <w:rStyle w:val="25"/>
              <w:rFonts w:ascii="Arial" w:hAnsi="Arial" w:cs="Arial"/>
            </w:rPr>
            <w:t>References</w:t>
          </w:r>
          <w:r>
            <w:rPr>
              <w:rFonts w:ascii="Arial" w:hAnsi="Arial" w:cs="Arial"/>
            </w:rPr>
            <w:tab/>
          </w:r>
          <w:r>
            <w:rPr>
              <w:rFonts w:ascii="Arial" w:hAnsi="Arial" w:cs="Arial"/>
            </w:rPr>
            <w:fldChar w:fldCharType="begin"/>
          </w:r>
          <w:r>
            <w:rPr>
              <w:rFonts w:ascii="Arial" w:hAnsi="Arial" w:cs="Arial"/>
            </w:rPr>
            <w:instrText xml:space="preserve"> PAGEREF _Toc158819543 \h </w:instrText>
          </w:r>
          <w:r>
            <w:rPr>
              <w:rFonts w:ascii="Arial" w:hAnsi="Arial" w:cs="Arial"/>
            </w:rPr>
            <w:fldChar w:fldCharType="separate"/>
          </w:r>
          <w:r>
            <w:rPr>
              <w:rFonts w:ascii="Arial" w:hAnsi="Arial" w:cs="Arial"/>
            </w:rPr>
            <w:t>57</w:t>
          </w:r>
          <w:r>
            <w:rPr>
              <w:rFonts w:ascii="Arial" w:hAnsi="Arial" w:cs="Arial"/>
            </w:rPr>
            <w:fldChar w:fldCharType="end"/>
          </w:r>
          <w:r>
            <w:rPr>
              <w:rFonts w:ascii="Arial" w:hAnsi="Arial" w:cs="Arial"/>
            </w:rPr>
            <w:fldChar w:fldCharType="end"/>
          </w:r>
        </w:p>
        <w:p>
          <w:pPr>
            <w:pStyle w:val="16"/>
            <w:tabs>
              <w:tab w:val="left" w:pos="1100"/>
              <w:tab w:val="right" w:leader="dot" w:pos="9016"/>
            </w:tabs>
            <w:spacing w:line="360" w:lineRule="auto"/>
            <w:rPr>
              <w:rFonts w:ascii="Arial" w:hAnsi="Arial" w:cs="Arial" w:eastAsiaTheme="minorEastAsia"/>
              <w:lang w:val="zh-CN" w:eastAsia="zh-CN"/>
            </w:rPr>
          </w:pPr>
          <w:r>
            <w:fldChar w:fldCharType="begin"/>
          </w:r>
          <w:r>
            <w:instrText xml:space="preserve"> HYPERLINK \l "_Toc158819544" </w:instrText>
          </w:r>
          <w:r>
            <w:fldChar w:fldCharType="separate"/>
          </w:r>
          <w:r>
            <w:rPr>
              <w:rStyle w:val="25"/>
              <w:rFonts w:ascii="Arial" w:hAnsi="Arial" w:cs="Arial"/>
            </w:rPr>
            <w:t>9</w:t>
          </w:r>
          <w:r>
            <w:rPr>
              <w:rFonts w:ascii="Arial" w:hAnsi="Arial" w:cs="Arial" w:eastAsiaTheme="minorEastAsia"/>
              <w:lang w:val="zh-CN" w:eastAsia="zh-CN"/>
            </w:rPr>
            <w:tab/>
          </w:r>
          <w:r>
            <w:rPr>
              <w:rStyle w:val="25"/>
              <w:rFonts w:ascii="Arial" w:hAnsi="Arial" w:cs="Arial"/>
            </w:rPr>
            <w:t>Appendix</w:t>
          </w:r>
          <w:r>
            <w:rPr>
              <w:rFonts w:ascii="Arial" w:hAnsi="Arial" w:cs="Arial"/>
            </w:rPr>
            <w:tab/>
          </w:r>
          <w:r>
            <w:rPr>
              <w:rFonts w:ascii="Arial" w:hAnsi="Arial" w:cs="Arial"/>
            </w:rPr>
            <w:fldChar w:fldCharType="begin"/>
          </w:r>
          <w:r>
            <w:rPr>
              <w:rFonts w:ascii="Arial" w:hAnsi="Arial" w:cs="Arial"/>
            </w:rPr>
            <w:instrText xml:space="preserve"> PAGEREF _Toc158819544 \h </w:instrText>
          </w:r>
          <w:r>
            <w:rPr>
              <w:rFonts w:ascii="Arial" w:hAnsi="Arial" w:cs="Arial"/>
            </w:rPr>
            <w:fldChar w:fldCharType="separate"/>
          </w:r>
          <w:r>
            <w:rPr>
              <w:rFonts w:ascii="Arial" w:hAnsi="Arial" w:cs="Arial"/>
            </w:rPr>
            <w:t>62</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"_Toc158819545" </w:instrText>
          </w:r>
          <w:r>
            <w:fldChar w:fldCharType="separate"/>
          </w:r>
          <w:r>
            <w:rPr>
              <w:rStyle w:val="25"/>
              <w:rFonts w:ascii="Arial" w:hAnsi="Arial" w:cs="Arial"/>
            </w:rPr>
            <w:t>9.1</w:t>
          </w:r>
          <w:r>
            <w:rPr>
              <w:rFonts w:ascii="Arial" w:hAnsi="Arial" w:cs="Arial" w:eastAsiaTheme="minorEastAsia"/>
              <w:lang w:val="zh-CN" w:eastAsia="zh-CN"/>
            </w:rPr>
            <w:tab/>
          </w:r>
          <w:r>
            <w:rPr>
              <w:rStyle w:val="25"/>
              <w:rFonts w:ascii="Arial" w:hAnsi="Arial" w:cs="Arial"/>
            </w:rPr>
            <w:t>Appendix 1: Questionnaire Survey Questions</w:t>
          </w:r>
          <w:r>
            <w:rPr>
              <w:rFonts w:ascii="Arial" w:hAnsi="Arial" w:cs="Arial"/>
            </w:rPr>
            <w:tab/>
          </w:r>
          <w:r>
            <w:rPr>
              <w:rFonts w:ascii="Arial" w:hAnsi="Arial" w:cs="Arial"/>
            </w:rPr>
            <w:fldChar w:fldCharType="begin"/>
          </w:r>
          <w:r>
            <w:rPr>
              <w:rFonts w:ascii="Arial" w:hAnsi="Arial" w:cs="Arial"/>
            </w:rPr>
            <w:instrText xml:space="preserve"> PAGEREF _Toc158819545 \h </w:instrText>
          </w:r>
          <w:r>
            <w:rPr>
              <w:rFonts w:ascii="Arial" w:hAnsi="Arial" w:cs="Arial"/>
            </w:rPr>
            <w:fldChar w:fldCharType="separate"/>
          </w:r>
          <w:r>
            <w:rPr>
              <w:rFonts w:ascii="Arial" w:hAnsi="Arial" w:cs="Arial"/>
            </w:rPr>
            <w:t>62</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"_Toc158819546" </w:instrText>
          </w:r>
          <w:r>
            <w:fldChar w:fldCharType="separate"/>
          </w:r>
          <w:r>
            <w:rPr>
              <w:rStyle w:val="25"/>
              <w:rFonts w:ascii="Arial" w:hAnsi="Arial" w:eastAsia="宋体" w:cs="Arial"/>
              <w:lang w:val="en-US" w:eastAsia="zh-CN"/>
            </w:rPr>
            <w:t>9.2</w:t>
          </w:r>
          <w:r>
            <w:rPr>
              <w:rFonts w:ascii="Arial" w:hAnsi="Arial" w:cs="Arial" w:eastAsiaTheme="minorEastAsia"/>
              <w:lang w:val="zh-CN" w:eastAsia="zh-CN"/>
            </w:rPr>
            <w:tab/>
          </w:r>
          <w:r>
            <w:rPr>
              <w:rStyle w:val="25"/>
              <w:rFonts w:ascii="Arial" w:hAnsi="Arial" w:eastAsia="宋体" w:cs="Arial"/>
              <w:lang w:val="en-US" w:eastAsia="zh-CN"/>
            </w:rPr>
            <w:t>Questionnaire for enterprise</w:t>
          </w:r>
          <w:r>
            <w:rPr>
              <w:rFonts w:ascii="Arial" w:hAnsi="Arial" w:cs="Arial"/>
            </w:rPr>
            <w:tab/>
          </w:r>
          <w:r>
            <w:rPr>
              <w:rFonts w:ascii="Arial" w:hAnsi="Arial" w:cs="Arial"/>
            </w:rPr>
            <w:fldChar w:fldCharType="begin"/>
          </w:r>
          <w:r>
            <w:rPr>
              <w:rFonts w:ascii="Arial" w:hAnsi="Arial" w:cs="Arial"/>
            </w:rPr>
            <w:instrText xml:space="preserve"> PAGEREF _Toc158819546 \h </w:instrText>
          </w:r>
          <w:r>
            <w:rPr>
              <w:rFonts w:ascii="Arial" w:hAnsi="Arial" w:cs="Arial"/>
            </w:rPr>
            <w:fldChar w:fldCharType="separate"/>
          </w:r>
          <w:r>
            <w:rPr>
              <w:rFonts w:ascii="Arial" w:hAnsi="Arial" w:cs="Arial"/>
            </w:rPr>
            <w:t>66</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"_Toc158819547" </w:instrText>
          </w:r>
          <w:r>
            <w:fldChar w:fldCharType="separate"/>
          </w:r>
          <w:r>
            <w:rPr>
              <w:rStyle w:val="25"/>
              <w:rFonts w:ascii="Arial" w:hAnsi="Arial" w:eastAsia="宋体" w:cs="Arial"/>
              <w:lang w:val="en-US" w:eastAsia="zh-CN"/>
            </w:rPr>
            <w:t>9.3</w:t>
          </w:r>
          <w:r>
            <w:rPr>
              <w:rFonts w:ascii="Arial" w:hAnsi="Arial" w:cs="Arial" w:eastAsiaTheme="minorEastAsia"/>
              <w:lang w:val="zh-CN" w:eastAsia="zh-CN"/>
            </w:rPr>
            <w:tab/>
          </w:r>
          <w:r>
            <w:rPr>
              <w:rStyle w:val="25"/>
              <w:rFonts w:ascii="Arial" w:hAnsi="Arial" w:eastAsia="宋体" w:cs="Arial"/>
              <w:lang w:val="en-US" w:eastAsia="zh-CN"/>
            </w:rPr>
            <w:t>Questionnaire for Student</w:t>
          </w:r>
          <w:r>
            <w:rPr>
              <w:rFonts w:ascii="Arial" w:hAnsi="Arial" w:cs="Arial"/>
            </w:rPr>
            <w:tab/>
          </w:r>
          <w:r>
            <w:rPr>
              <w:rFonts w:ascii="Arial" w:hAnsi="Arial" w:cs="Arial"/>
            </w:rPr>
            <w:fldChar w:fldCharType="begin"/>
          </w:r>
          <w:r>
            <w:rPr>
              <w:rFonts w:ascii="Arial" w:hAnsi="Arial" w:cs="Arial"/>
            </w:rPr>
            <w:instrText xml:space="preserve"> PAGEREF _Toc158819547 \h </w:instrText>
          </w:r>
          <w:r>
            <w:rPr>
              <w:rFonts w:ascii="Arial" w:hAnsi="Arial" w:cs="Arial"/>
            </w:rPr>
            <w:fldChar w:fldCharType="separate"/>
          </w:r>
          <w:r>
            <w:rPr>
              <w:rFonts w:ascii="Arial" w:hAnsi="Arial" w:cs="Arial"/>
            </w:rPr>
            <w:t>68</w:t>
          </w:r>
          <w:r>
            <w:rPr>
              <w:rFonts w:ascii="Arial" w:hAnsi="Arial" w:cs="Arial"/>
            </w:rPr>
            <w:fldChar w:fldCharType="end"/>
          </w:r>
          <w:r>
            <w:rPr>
              <w:rFonts w:ascii="Arial" w:hAnsi="Arial" w:cs="Arial"/>
            </w:rPr>
            <w:fldChar w:fldCharType="end"/>
          </w:r>
        </w:p>
        <w:p>
          <w:pPr>
            <w:pStyle w:val="19"/>
            <w:tabs>
              <w:tab w:val="left" w:pos="1540"/>
              <w:tab w:val="right" w:leader="dot" w:pos="9016"/>
            </w:tabs>
            <w:spacing w:line="360" w:lineRule="auto"/>
            <w:rPr>
              <w:rFonts w:ascii="Arial" w:hAnsi="Arial" w:cs="Arial" w:eastAsiaTheme="minorEastAsia"/>
              <w:lang w:val="zh-CN" w:eastAsia="zh-CN"/>
            </w:rPr>
          </w:pPr>
          <w:r>
            <w:fldChar w:fldCharType="begin"/>
          </w:r>
          <w:r>
            <w:instrText xml:space="preserve"> HYPERLINK \l "_Toc158819548" </w:instrText>
          </w:r>
          <w:r>
            <w:fldChar w:fldCharType="separate"/>
          </w:r>
          <w:r>
            <w:rPr>
              <w:rStyle w:val="25"/>
              <w:rFonts w:ascii="Arial" w:hAnsi="Arial" w:eastAsia="宋体" w:cs="Arial"/>
              <w:lang w:val="en-US" w:eastAsia="zh-CN"/>
            </w:rPr>
            <w:t>9.4</w:t>
          </w:r>
          <w:r>
            <w:rPr>
              <w:rFonts w:ascii="Arial" w:hAnsi="Arial" w:cs="Arial" w:eastAsiaTheme="minorEastAsia"/>
              <w:lang w:val="zh-CN" w:eastAsia="zh-CN"/>
            </w:rPr>
            <w:tab/>
          </w:r>
          <w:r>
            <w:rPr>
              <w:rStyle w:val="25"/>
              <w:rFonts w:ascii="Arial" w:hAnsi="Arial" w:eastAsia="宋体" w:cs="Arial"/>
              <w:lang w:val="en-US" w:eastAsia="zh-CN"/>
            </w:rPr>
            <w:t>Questionnaire for teacher</w:t>
          </w:r>
          <w:r>
            <w:rPr>
              <w:rFonts w:ascii="Arial" w:hAnsi="Arial" w:cs="Arial"/>
            </w:rPr>
            <w:tab/>
          </w:r>
          <w:r>
            <w:rPr>
              <w:rFonts w:ascii="Arial" w:hAnsi="Arial" w:cs="Arial"/>
            </w:rPr>
            <w:fldChar w:fldCharType="begin"/>
          </w:r>
          <w:r>
            <w:rPr>
              <w:rFonts w:ascii="Arial" w:hAnsi="Arial" w:cs="Arial"/>
            </w:rPr>
            <w:instrText xml:space="preserve"> PAGEREF _Toc158819548 \h </w:instrText>
          </w:r>
          <w:r>
            <w:rPr>
              <w:rFonts w:ascii="Arial" w:hAnsi="Arial" w:cs="Arial"/>
            </w:rPr>
            <w:fldChar w:fldCharType="separate"/>
          </w:r>
          <w:r>
            <w:rPr>
              <w:rFonts w:ascii="Arial" w:hAnsi="Arial" w:cs="Arial"/>
            </w:rPr>
            <w:t>69</w:t>
          </w:r>
          <w:r>
            <w:rPr>
              <w:rFonts w:ascii="Arial" w:hAnsi="Arial" w:cs="Arial"/>
            </w:rPr>
            <w:fldChar w:fldCharType="end"/>
          </w:r>
          <w:r>
            <w:rPr>
              <w:rFonts w:ascii="Arial" w:hAnsi="Arial" w:cs="Arial"/>
            </w:rPr>
            <w:fldChar w:fldCharType="end"/>
          </w:r>
        </w:p>
        <w:p>
          <w:pPr>
            <w:spacing w:line="360" w:lineRule="auto"/>
          </w:pPr>
          <w:r>
            <w:rPr>
              <w:rFonts w:ascii="Arial" w:hAnsi="Arial" w:cs="Arial"/>
            </w:rPr>
            <w:fldChar w:fldCharType="end"/>
          </w:r>
        </w:p>
      </w:sdtContent>
    </w:sdt>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jc w:val="center"/>
        <w:rPr>
          <w:rFonts w:ascii="Arial" w:hAnsi="Arial" w:cs="Arial"/>
          <w:b/>
          <w:bCs/>
        </w:rPr>
      </w:pPr>
      <w:r>
        <w:rPr>
          <w:rFonts w:ascii="Arial" w:hAnsi="Arial" w:cs="Arial"/>
          <w:b/>
          <w:bCs/>
        </w:rPr>
        <w:t>List of Tables</w:t>
      </w:r>
    </w:p>
    <w:p>
      <w:pPr>
        <w:pStyle w:val="18"/>
        <w:tabs>
          <w:tab w:val="right" w:leader="dot" w:pos="9016"/>
        </w:tabs>
        <w:ind w:firstLine="0"/>
        <w:rPr>
          <w:rFonts w:ascii="Arial" w:hAnsi="Arial" w:cs="Arial"/>
        </w:rPr>
      </w:pPr>
      <w:r>
        <w:rPr>
          <w:rFonts w:ascii="Arial" w:hAnsi="Arial" w:cs="Arial"/>
          <w:b/>
          <w:bCs/>
        </w:rPr>
        <w:fldChar w:fldCharType="begin"/>
      </w:r>
      <w:r>
        <w:rPr>
          <w:rFonts w:ascii="Arial" w:hAnsi="Arial" w:cs="Arial"/>
          <w:b/>
          <w:bCs/>
        </w:rPr>
        <w:instrText xml:space="preserve"> TOC \h \z \c "Table" </w:instrText>
      </w:r>
      <w:r>
        <w:rPr>
          <w:rFonts w:ascii="Arial" w:hAnsi="Arial" w:cs="Arial"/>
          <w:b/>
          <w:bCs/>
        </w:rPr>
        <w:fldChar w:fldCharType="separate"/>
      </w:r>
      <w:r>
        <w:fldChar w:fldCharType="begin"/>
      </w:r>
      <w:r>
        <w:instrText xml:space="preserve"> HYPERLINK \l "_Toc157480568" </w:instrText>
      </w:r>
      <w:r>
        <w:fldChar w:fldCharType="separate"/>
      </w:r>
      <w:r>
        <w:rPr>
          <w:rStyle w:val="25"/>
          <w:rFonts w:ascii="Arial" w:hAnsi="Arial" w:cs="Arial"/>
        </w:rPr>
        <w:t>Table 1:Summary of Responses on Overall Educational Experience</w:t>
      </w:r>
      <w:r>
        <w:rPr>
          <w:rFonts w:ascii="Arial" w:hAnsi="Arial" w:cs="Arial"/>
        </w:rPr>
        <w:tab/>
      </w:r>
      <w:r>
        <w:rPr>
          <w:rFonts w:ascii="Arial" w:hAnsi="Arial" w:cs="Arial"/>
        </w:rPr>
        <w:fldChar w:fldCharType="begin"/>
      </w:r>
      <w:r>
        <w:rPr>
          <w:rFonts w:ascii="Arial" w:hAnsi="Arial" w:cs="Arial"/>
        </w:rPr>
        <w:instrText xml:space="preserve"> PAGEREF _Toc157480568 \h </w:instrText>
      </w:r>
      <w:r>
        <w:rPr>
          <w:rFonts w:ascii="Arial" w:hAnsi="Arial" w:cs="Arial"/>
        </w:rPr>
        <w:fldChar w:fldCharType="separate"/>
      </w:r>
      <w:r>
        <w:rPr>
          <w:rFonts w:ascii="Arial" w:hAnsi="Arial" w:cs="Arial"/>
        </w:rPr>
        <w:t>42</w:t>
      </w:r>
      <w:r>
        <w:rPr>
          <w:rFonts w:ascii="Arial" w:hAnsi="Arial" w:cs="Arial"/>
        </w:rPr>
        <w:fldChar w:fldCharType="end"/>
      </w:r>
      <w:r>
        <w:rPr>
          <w:rFonts w:ascii="Arial" w:hAnsi="Arial" w:cs="Arial"/>
        </w:rPr>
        <w:fldChar w:fldCharType="end"/>
      </w:r>
    </w:p>
    <w:p>
      <w:pPr>
        <w:pStyle w:val="18"/>
        <w:tabs>
          <w:tab w:val="right" w:leader="dot" w:pos="9016"/>
        </w:tabs>
        <w:ind w:firstLine="0"/>
        <w:rPr>
          <w:rFonts w:ascii="Arial" w:hAnsi="Arial" w:cs="Arial"/>
        </w:rPr>
      </w:pPr>
      <w:r>
        <w:fldChar w:fldCharType="begin"/>
      </w:r>
      <w:r>
        <w:instrText xml:space="preserve"> HYPERLINK \l "_Toc157480569" </w:instrText>
      </w:r>
      <w:r>
        <w:fldChar w:fldCharType="separate"/>
      </w:r>
      <w:r>
        <w:rPr>
          <w:rStyle w:val="25"/>
          <w:rFonts w:ascii="Arial" w:hAnsi="Arial" w:cs="Arial"/>
        </w:rPr>
        <w:t>Table 2:Comparative Analysis of School and Enterprise Perspectives</w:t>
      </w:r>
      <w:r>
        <w:rPr>
          <w:rFonts w:ascii="Arial" w:hAnsi="Arial" w:cs="Arial"/>
        </w:rPr>
        <w:tab/>
      </w:r>
      <w:r>
        <w:rPr>
          <w:rFonts w:ascii="Arial" w:hAnsi="Arial" w:cs="Arial"/>
        </w:rPr>
        <w:fldChar w:fldCharType="begin"/>
      </w:r>
      <w:r>
        <w:rPr>
          <w:rFonts w:ascii="Arial" w:hAnsi="Arial" w:cs="Arial"/>
        </w:rPr>
        <w:instrText xml:space="preserve"> PAGEREF _Toc157480569 \h </w:instrText>
      </w:r>
      <w:r>
        <w:rPr>
          <w:rFonts w:ascii="Arial" w:hAnsi="Arial" w:cs="Arial"/>
        </w:rPr>
        <w:fldChar w:fldCharType="separate"/>
      </w:r>
      <w:r>
        <w:rPr>
          <w:rFonts w:ascii="Arial" w:hAnsi="Arial" w:cs="Arial"/>
        </w:rPr>
        <w:t>46</w:t>
      </w:r>
      <w:r>
        <w:rPr>
          <w:rFonts w:ascii="Arial" w:hAnsi="Arial" w:cs="Arial"/>
        </w:rPr>
        <w:fldChar w:fldCharType="end"/>
      </w:r>
      <w:r>
        <w:rPr>
          <w:rFonts w:ascii="Arial" w:hAnsi="Arial" w:cs="Arial"/>
        </w:rPr>
        <w:fldChar w:fldCharType="end"/>
      </w:r>
    </w:p>
    <w:p>
      <w:pPr>
        <w:pStyle w:val="18"/>
        <w:tabs>
          <w:tab w:val="right" w:leader="dot" w:pos="9016"/>
        </w:tabs>
        <w:ind w:firstLine="0"/>
        <w:rPr>
          <w:rFonts w:ascii="Arial" w:hAnsi="Arial" w:cs="Arial"/>
        </w:rPr>
      </w:pPr>
      <w:r>
        <w:fldChar w:fldCharType="begin"/>
      </w:r>
      <w:r>
        <w:instrText xml:space="preserve"> HYPERLINK \l "_Toc157480570" </w:instrText>
      </w:r>
      <w:r>
        <w:fldChar w:fldCharType="separate"/>
      </w:r>
      <w:r>
        <w:rPr>
          <w:rStyle w:val="25"/>
          <w:rFonts w:ascii="Arial" w:hAnsi="Arial" w:cs="Arial"/>
        </w:rPr>
        <w:t>Table 3:Student Experiences and Career Goals Overview</w:t>
      </w:r>
      <w:r>
        <w:rPr>
          <w:rFonts w:ascii="Arial" w:hAnsi="Arial" w:cs="Arial"/>
        </w:rPr>
        <w:tab/>
      </w:r>
      <w:r>
        <w:rPr>
          <w:rFonts w:ascii="Arial" w:hAnsi="Arial" w:cs="Arial"/>
        </w:rPr>
        <w:fldChar w:fldCharType="begin"/>
      </w:r>
      <w:r>
        <w:rPr>
          <w:rFonts w:ascii="Arial" w:hAnsi="Arial" w:cs="Arial"/>
        </w:rPr>
        <w:instrText xml:space="preserve"> PAGEREF _Toc157480570 \h </w:instrText>
      </w:r>
      <w:r>
        <w:rPr>
          <w:rFonts w:ascii="Arial" w:hAnsi="Arial" w:cs="Arial"/>
        </w:rPr>
        <w:fldChar w:fldCharType="separate"/>
      </w:r>
      <w:r>
        <w:rPr>
          <w:rFonts w:ascii="Arial" w:hAnsi="Arial" w:cs="Arial"/>
        </w:rPr>
        <w:t>49</w:t>
      </w:r>
      <w:r>
        <w:rPr>
          <w:rFonts w:ascii="Arial" w:hAnsi="Arial" w:cs="Arial"/>
        </w:rPr>
        <w:fldChar w:fldCharType="end"/>
      </w:r>
      <w:r>
        <w:rPr>
          <w:rFonts w:ascii="Arial" w:hAnsi="Arial" w:cs="Arial"/>
        </w:rPr>
        <w:fldChar w:fldCharType="end"/>
      </w:r>
    </w:p>
    <w:p>
      <w:pPr>
        <w:pStyle w:val="18"/>
        <w:tabs>
          <w:tab w:val="right" w:leader="dot" w:pos="9016"/>
        </w:tabs>
        <w:ind w:firstLine="0"/>
        <w:rPr>
          <w:rFonts w:ascii="Arial" w:hAnsi="Arial" w:cs="Arial"/>
        </w:rPr>
      </w:pPr>
      <w:r>
        <w:fldChar w:fldCharType="begin"/>
      </w:r>
      <w:r>
        <w:instrText xml:space="preserve"> HYPERLINK \l "_Toc157480571" </w:instrText>
      </w:r>
      <w:r>
        <w:fldChar w:fldCharType="separate"/>
      </w:r>
      <w:r>
        <w:rPr>
          <w:rStyle w:val="25"/>
          <w:rFonts w:ascii="Arial" w:hAnsi="Arial" w:cs="Arial"/>
        </w:rPr>
        <w:t>Table 4:Cross-Thematic Synthesis</w:t>
      </w:r>
      <w:r>
        <w:rPr>
          <w:rFonts w:ascii="Arial" w:hAnsi="Arial" w:cs="Arial"/>
        </w:rPr>
        <w:tab/>
      </w:r>
      <w:r>
        <w:rPr>
          <w:rFonts w:ascii="Arial" w:hAnsi="Arial" w:cs="Arial"/>
        </w:rPr>
        <w:fldChar w:fldCharType="begin"/>
      </w:r>
      <w:r>
        <w:rPr>
          <w:rFonts w:ascii="Arial" w:hAnsi="Arial" w:cs="Arial"/>
        </w:rPr>
        <w:instrText xml:space="preserve"> PAGEREF _Toc157480571 \h </w:instrText>
      </w:r>
      <w:r>
        <w:rPr>
          <w:rFonts w:ascii="Arial" w:hAnsi="Arial" w:cs="Arial"/>
        </w:rPr>
        <w:fldChar w:fldCharType="separate"/>
      </w:r>
      <w:r>
        <w:rPr>
          <w:rFonts w:ascii="Arial" w:hAnsi="Arial" w:cs="Arial"/>
        </w:rPr>
        <w:t>50</w:t>
      </w:r>
      <w:r>
        <w:rPr>
          <w:rFonts w:ascii="Arial" w:hAnsi="Arial" w:cs="Arial"/>
        </w:rPr>
        <w:fldChar w:fldCharType="end"/>
      </w:r>
      <w:r>
        <w:rPr>
          <w:rFonts w:ascii="Arial" w:hAnsi="Arial" w:cs="Arial"/>
        </w:rPr>
        <w:fldChar w:fldCharType="end"/>
      </w:r>
    </w:p>
    <w:p>
      <w:pPr>
        <w:spacing w:line="360" w:lineRule="auto"/>
        <w:ind w:firstLine="0"/>
        <w:rPr>
          <w:rFonts w:ascii="Arial" w:hAnsi="Arial" w:cs="Arial"/>
          <w:b/>
          <w:bCs/>
        </w:rPr>
      </w:pPr>
      <w:r>
        <w:rPr>
          <w:rFonts w:ascii="Arial" w:hAnsi="Arial" w:cs="Arial"/>
          <w:b/>
          <w:bCs/>
        </w:rPr>
        <w:fldChar w:fldCharType="end"/>
      </w:r>
    </w:p>
    <w:p>
      <w:pPr>
        <w:spacing w:line="360" w:lineRule="auto"/>
        <w:ind w:firstLine="0"/>
        <w:jc w:val="center"/>
        <w:rPr>
          <w:rFonts w:ascii="Arial" w:hAnsi="Arial" w:cs="Arial"/>
          <w:b/>
          <w:bCs/>
        </w:rPr>
      </w:pPr>
      <w:r>
        <w:rPr>
          <w:rFonts w:ascii="Arial" w:hAnsi="Arial" w:cs="Arial"/>
          <w:b/>
          <w:bCs/>
        </w:rPr>
        <w:t>List of Figures</w:t>
      </w:r>
    </w:p>
    <w:p>
      <w:pPr>
        <w:pStyle w:val="18"/>
        <w:tabs>
          <w:tab w:val="right" w:leader="dot" w:pos="9016"/>
        </w:tabs>
        <w:ind w:firstLine="0"/>
        <w:rPr>
          <w:rFonts w:asciiTheme="minorHAnsi" w:hAnsiTheme="minorHAnsi" w:eastAsiaTheme="minorEastAsia" w:cstheme="minorBidi"/>
          <w:kern w:val="0"/>
          <w:sz w:val="22"/>
          <w:szCs w:val="22"/>
          <w:lang w:eastAsia="en-GB"/>
          <w14:ligatures w14:val="none"/>
        </w:rPr>
      </w:pPr>
      <w:r>
        <w:rPr>
          <w:rFonts w:ascii="Arial" w:hAnsi="Arial" w:cs="Arial"/>
          <w:b/>
          <w:bCs/>
        </w:rPr>
        <w:fldChar w:fldCharType="begin"/>
      </w:r>
      <w:r>
        <w:rPr>
          <w:rFonts w:ascii="Arial" w:hAnsi="Arial" w:cs="Arial"/>
          <w:b/>
          <w:bCs/>
        </w:rPr>
        <w:instrText xml:space="preserve"> TOC \h \z \c "Figure" </w:instrText>
      </w:r>
      <w:r>
        <w:rPr>
          <w:rFonts w:ascii="Arial" w:hAnsi="Arial" w:cs="Arial"/>
          <w:b/>
          <w:bCs/>
        </w:rPr>
        <w:fldChar w:fldCharType="separate"/>
      </w:r>
      <w:r>
        <w:fldChar w:fldCharType="begin"/>
      </w:r>
      <w:r>
        <w:instrText xml:space="preserve"> HYPERLINK \l "_Toc157480753" </w:instrText>
      </w:r>
      <w:r>
        <w:fldChar w:fldCharType="separate"/>
      </w:r>
      <w:r>
        <w:rPr>
          <w:rStyle w:val="25"/>
          <w:rFonts w:ascii="Arial" w:hAnsi="Arial" w:cs="Arial"/>
        </w:rPr>
        <w:t>Figure 1: Student Responses to Willingness and Engagement</w:t>
      </w:r>
      <w:r>
        <w:tab/>
      </w:r>
      <w:r>
        <w:fldChar w:fldCharType="begin"/>
      </w:r>
      <w:r>
        <w:instrText xml:space="preserve"> PAGEREF _Toc157480753 \h </w:instrText>
      </w:r>
      <w:r>
        <w:fldChar w:fldCharType="separate"/>
      </w:r>
      <w:r>
        <w:t>42</w:t>
      </w:r>
      <w:r>
        <w:fldChar w:fldCharType="end"/>
      </w:r>
      <w:r>
        <w:fldChar w:fldCharType="end"/>
      </w:r>
    </w:p>
    <w:p>
      <w:pPr>
        <w:pStyle w:val="18"/>
        <w:tabs>
          <w:tab w:val="right" w:leader="dot" w:pos="9016"/>
        </w:tabs>
        <w:ind w:firstLine="0"/>
        <w:rPr>
          <w:rFonts w:asciiTheme="minorHAnsi" w:hAnsiTheme="minorHAnsi" w:eastAsiaTheme="minorEastAsia" w:cstheme="minorBidi"/>
          <w:kern w:val="0"/>
          <w:sz w:val="22"/>
          <w:szCs w:val="22"/>
          <w:lang w:eastAsia="en-GB"/>
          <w14:ligatures w14:val="none"/>
        </w:rPr>
      </w:pPr>
      <w:r>
        <w:fldChar w:fldCharType="begin"/>
      </w:r>
      <w:r>
        <w:instrText xml:space="preserve"> HYPERLINK \l "_Toc157480754" </w:instrText>
      </w:r>
      <w:r>
        <w:fldChar w:fldCharType="separate"/>
      </w:r>
      <w:r>
        <w:rPr>
          <w:rStyle w:val="25"/>
          <w:rFonts w:ascii="Arial" w:hAnsi="Arial" w:cs="Arial"/>
        </w:rPr>
        <w:t>Figure 2:Comparative Analysis of Career Field Understanding</w:t>
      </w:r>
      <w:r>
        <w:tab/>
      </w:r>
      <w:r>
        <w:fldChar w:fldCharType="begin"/>
      </w:r>
      <w:r>
        <w:instrText xml:space="preserve"> PAGEREF _Toc157480754 \h </w:instrText>
      </w:r>
      <w:r>
        <w:fldChar w:fldCharType="separate"/>
      </w:r>
      <w:r>
        <w:t>43</w:t>
      </w:r>
      <w:r>
        <w:fldChar w:fldCharType="end"/>
      </w:r>
      <w:r>
        <w:fldChar w:fldCharType="end"/>
      </w:r>
    </w:p>
    <w:p>
      <w:pPr>
        <w:pStyle w:val="18"/>
        <w:tabs>
          <w:tab w:val="right" w:leader="dot" w:pos="9016"/>
        </w:tabs>
        <w:ind w:firstLine="0"/>
        <w:rPr>
          <w:rFonts w:asciiTheme="minorHAnsi" w:hAnsiTheme="minorHAnsi" w:eastAsiaTheme="minorEastAsia" w:cstheme="minorBidi"/>
          <w:kern w:val="0"/>
          <w:sz w:val="22"/>
          <w:szCs w:val="22"/>
          <w:lang w:eastAsia="en-GB"/>
          <w14:ligatures w14:val="none"/>
        </w:rPr>
      </w:pPr>
      <w:r>
        <w:fldChar w:fldCharType="begin"/>
      </w:r>
      <w:r>
        <w:instrText xml:space="preserve"> HYPERLINK \l "_Toc157480755" </w:instrText>
      </w:r>
      <w:r>
        <w:fldChar w:fldCharType="separate"/>
      </w:r>
      <w:r>
        <w:rPr>
          <w:rStyle w:val="25"/>
          <w:rFonts w:ascii="Arial" w:hAnsi="Arial" w:cs="Arial"/>
        </w:rPr>
        <w:t>Figure 3:Career and Employment Outcomes in %</w:t>
      </w:r>
      <w:r>
        <w:tab/>
      </w:r>
      <w:r>
        <w:fldChar w:fldCharType="begin"/>
      </w:r>
      <w:r>
        <w:instrText xml:space="preserve"> PAGEREF _Toc157480755 \h </w:instrText>
      </w:r>
      <w:r>
        <w:fldChar w:fldCharType="separate"/>
      </w:r>
      <w:r>
        <w:t>45</w:t>
      </w:r>
      <w:r>
        <w:fldChar w:fldCharType="end"/>
      </w:r>
      <w:r>
        <w:fldChar w:fldCharType="end"/>
      </w:r>
    </w:p>
    <w:p>
      <w:pPr>
        <w:spacing w:line="360" w:lineRule="auto"/>
        <w:ind w:firstLine="0"/>
        <w:rPr>
          <w:rFonts w:ascii="Arial" w:hAnsi="Arial" w:cs="Arial"/>
          <w:b/>
          <w:bCs/>
        </w:rPr>
      </w:pPr>
      <w:r>
        <w:rPr>
          <w:rFonts w:ascii="Arial" w:hAnsi="Arial" w:cs="Arial"/>
          <w:b/>
          <w:bCs/>
        </w:rPr>
        <w:fldChar w:fldCharType="end"/>
      </w: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pStyle w:val="2"/>
        <w:numPr>
          <w:ilvl w:val="0"/>
          <w:numId w:val="0"/>
        </w:numPr>
        <w:ind w:left="432"/>
      </w:pPr>
      <w:bookmarkStart w:id="5" w:name="_Toc158819487"/>
      <w:r>
        <w:t>Acknowledgment</w:t>
      </w:r>
      <w:bookmarkEnd w:id="5"/>
    </w:p>
    <w:p>
      <w:pPr>
        <w:spacing w:line="360" w:lineRule="auto"/>
        <w:ind w:firstLine="0"/>
        <w:rPr>
          <w:rFonts w:ascii="Arial" w:hAnsi="Arial" w:cs="Arial"/>
        </w:rPr>
      </w:pPr>
      <w:r>
        <w:rPr>
          <w:rFonts w:ascii="Arial" w:hAnsi="Arial" w:cs="Arial"/>
        </w:rPr>
        <w:t>I would like to give a special thanks to my supervisor as she has been a great mentor and her encouragement made it possible to get here. Besides, I would also like to take this opportunity to thank my parent</w:t>
      </w:r>
      <w:r>
        <w:rPr>
          <w:rFonts w:hint="eastAsia" w:ascii="Arial" w:hAnsi="Arial" w:eastAsia="宋体" w:cs="Arial"/>
          <w:lang w:val="en-US" w:eastAsia="zh-CN"/>
        </w:rPr>
        <w:t>s , my husband and my daughter</w:t>
      </w:r>
      <w:r>
        <w:rPr>
          <w:rFonts w:ascii="Arial" w:hAnsi="Arial" w:cs="Arial"/>
        </w:rPr>
        <w:t xml:space="preserve"> for their unceasing motivations and their acceptance of my actions all along. I would also like to pay tribute to my peers for their companionship and co-operation, that not only enriched the academic experience but also gradually I was able to achieve this goal.</w:t>
      </w: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spacing w:line="360" w:lineRule="auto"/>
        <w:ind w:firstLine="0"/>
        <w:rPr>
          <w:rFonts w:ascii="Arial" w:hAnsi="Arial" w:cs="Arial"/>
          <w:b/>
          <w:bCs/>
        </w:rPr>
      </w:pPr>
    </w:p>
    <w:p>
      <w:pPr>
        <w:pStyle w:val="2"/>
        <w:numPr>
          <w:ilvl w:val="0"/>
          <w:numId w:val="0"/>
        </w:numPr>
        <w:ind w:left="432"/>
      </w:pPr>
      <w:bookmarkStart w:id="6" w:name="_Toc158819488"/>
      <w:r>
        <w:t>Abstract</w:t>
      </w:r>
      <w:bookmarkEnd w:id="6"/>
    </w:p>
    <w:p>
      <w:pPr>
        <w:spacing w:line="360" w:lineRule="auto"/>
        <w:ind w:firstLine="0"/>
        <w:rPr>
          <w:rFonts w:ascii="Arial" w:hAnsi="Arial" w:cs="Arial"/>
        </w:rPr>
      </w:pPr>
      <w:r>
        <w:rPr>
          <w:rFonts w:ascii="Arial" w:hAnsi="Arial" w:cs="Arial"/>
        </w:rPr>
        <w:t>This study analyses the effects of active learning activities held in a private junior vocational college in China. In particular, it reveals what aspects of employment and education are changed upon the implementation of active learning methods. The study uses a mixed-methods design, involving a questionnaire in the form of a structured questionnaire distributed to 40 participating students, and qualitative interview phase with a teacher, three students, and the representatives of business enterprise. Results determining that student community is watching it as generally a good thing, clarifying that it plays a role of teacher effectiveness which is going to affect job market. Although problems like absence of practice and inaccurate match of academic knowledge and industrial practice were highlighted, solutions such as specific programs, mentorship, and continuous training were suggested. Teachers and enterprise personalities proved the extent to which classes curriculum should incorporate practical knowledge and the way ‘school-enterprise cooperation’ should take place. The research based on the dynamic elements of Vocational Education brings a better understanding and also gives directions for curriculum development and industry involvement.</w:t>
      </w:r>
    </w:p>
    <w:p>
      <w:pPr>
        <w:spacing w:line="360" w:lineRule="auto"/>
        <w:ind w:firstLine="0"/>
        <w:rPr>
          <w:rFonts w:ascii="Arial" w:hAnsi="Arial" w:cs="Arial"/>
        </w:rPr>
      </w:pPr>
    </w:p>
    <w:p>
      <w:pPr>
        <w:spacing w:line="360" w:lineRule="auto"/>
        <w:ind w:firstLine="0"/>
        <w:rPr>
          <w:rFonts w:ascii="Arial" w:hAnsi="Arial" w:cs="Arial"/>
        </w:rPr>
      </w:pPr>
    </w:p>
    <w:p>
      <w:pPr>
        <w:spacing w:line="360" w:lineRule="auto"/>
        <w:ind w:firstLine="0"/>
        <w:rPr>
          <w:rFonts w:ascii="Arial" w:hAnsi="Arial" w:cs="Arial"/>
        </w:rPr>
      </w:pPr>
    </w:p>
    <w:p>
      <w:pPr>
        <w:spacing w:line="360" w:lineRule="auto"/>
        <w:ind w:firstLine="0"/>
        <w:rPr>
          <w:rFonts w:ascii="Arial" w:hAnsi="Arial" w:cs="Arial"/>
        </w:rPr>
      </w:pPr>
    </w:p>
    <w:p>
      <w:pPr>
        <w:spacing w:line="360" w:lineRule="auto"/>
        <w:ind w:firstLine="0"/>
        <w:rPr>
          <w:rFonts w:ascii="Arial" w:hAnsi="Arial" w:cs="Arial"/>
        </w:rPr>
      </w:pPr>
    </w:p>
    <w:p>
      <w:pPr>
        <w:spacing w:line="360" w:lineRule="auto"/>
        <w:ind w:firstLine="0"/>
        <w:rPr>
          <w:rFonts w:ascii="Arial" w:hAnsi="Arial" w:cs="Arial"/>
        </w:rPr>
      </w:pPr>
    </w:p>
    <w:p>
      <w:pPr>
        <w:spacing w:line="360" w:lineRule="auto"/>
        <w:ind w:firstLine="0"/>
        <w:rPr>
          <w:rFonts w:ascii="Arial" w:hAnsi="Arial" w:cs="Arial"/>
        </w:rPr>
      </w:pPr>
    </w:p>
    <w:p>
      <w:pPr>
        <w:spacing w:line="360" w:lineRule="auto"/>
        <w:ind w:firstLine="0"/>
        <w:rPr>
          <w:rFonts w:ascii="Arial" w:hAnsi="Arial" w:cs="Arial"/>
        </w:rPr>
      </w:pPr>
    </w:p>
    <w:p>
      <w:pPr>
        <w:spacing w:line="360" w:lineRule="auto"/>
        <w:ind w:firstLine="0"/>
        <w:rPr>
          <w:rFonts w:ascii="Arial" w:hAnsi="Arial" w:cs="Arial"/>
        </w:rPr>
      </w:pPr>
    </w:p>
    <w:p>
      <w:pPr>
        <w:spacing w:line="360" w:lineRule="auto"/>
        <w:ind w:firstLine="0"/>
        <w:rPr>
          <w:rFonts w:ascii="Arial" w:hAnsi="Arial" w:cs="Arial"/>
        </w:rPr>
      </w:pPr>
    </w:p>
    <w:p>
      <w:pPr>
        <w:pStyle w:val="2"/>
        <w:spacing w:line="360" w:lineRule="auto"/>
        <w:rPr>
          <w:rFonts w:ascii="Arial" w:hAnsi="Arial" w:cs="Arial"/>
          <w:bCs/>
        </w:rPr>
      </w:pPr>
      <w:bookmarkStart w:id="7" w:name="_Toc156776209"/>
      <w:bookmarkStart w:id="8" w:name="_Toc158819489"/>
      <w:r>
        <w:rPr>
          <w:rFonts w:ascii="Arial" w:hAnsi="Arial" w:cs="Arial"/>
        </w:rPr>
        <w:t>Introduction</w:t>
      </w:r>
      <w:bookmarkEnd w:id="7"/>
      <w:bookmarkEnd w:id="8"/>
      <w:r>
        <w:rPr>
          <w:rFonts w:ascii="Arial" w:hAnsi="Arial" w:cs="Arial"/>
        </w:rPr>
        <w:t xml:space="preserve"> </w:t>
      </w:r>
    </w:p>
    <w:p>
      <w:pPr>
        <w:spacing w:line="360" w:lineRule="auto"/>
        <w:ind w:firstLine="0"/>
        <w:rPr>
          <w:rFonts w:ascii="Arial" w:hAnsi="Arial" w:cs="Arial"/>
        </w:rPr>
      </w:pPr>
      <w:r>
        <w:rPr>
          <w:rFonts w:ascii="Arial" w:hAnsi="Arial" w:cs="Arial"/>
        </w:rPr>
        <w:t xml:space="preserve">As education confronts fast-changing realities, it is increasingly important that vocational colleges adopt practical teaching principles in order to better meet the demands of a constantly changing </w:t>
      </w:r>
      <w:r>
        <w:rPr>
          <w:rFonts w:ascii="Arial" w:hAnsi="Arial" w:cs="Arial"/>
          <w:lang w:val="en-US"/>
        </w:rPr>
        <w:t>labour</w:t>
      </w:r>
      <w:r>
        <w:rPr>
          <w:rFonts w:ascii="Arial" w:hAnsi="Arial" w:cs="Arial"/>
        </w:rPr>
        <w:t xml:space="preserve"> market (Wu &amp; Sun, 2022). The purpose of this study is to explore how practical teaching can influence a private junior vocational school in China. It examines the delicate triangular relationship between education, career planning, and industry involvement, to gain a deep insight into how practical learning has an effect on students</w:t>
      </w:r>
      <w:r>
        <w:rPr>
          <w:rFonts w:ascii="Arial" w:hAnsi="Arial" w:cs="Arial"/>
          <w:lang w:val="en-US"/>
        </w:rPr>
        <w:t>’</w:t>
      </w:r>
      <w:r>
        <w:rPr>
          <w:rFonts w:ascii="Arial" w:hAnsi="Arial" w:cs="Arial"/>
        </w:rPr>
        <w:t xml:space="preserve"> career choices, their employment selections, and business preferences in the hiring process.</w:t>
      </w:r>
    </w:p>
    <w:p>
      <w:pPr>
        <w:pStyle w:val="3"/>
        <w:spacing w:line="360" w:lineRule="auto"/>
        <w:rPr>
          <w:rFonts w:cs="Arial"/>
          <w:szCs w:val="24"/>
        </w:rPr>
      </w:pPr>
      <w:bookmarkStart w:id="9" w:name="_Toc156776210"/>
      <w:bookmarkStart w:id="10" w:name="_Toc158819490"/>
      <w:r>
        <w:rPr>
          <w:rFonts w:cs="Arial"/>
          <w:szCs w:val="24"/>
        </w:rPr>
        <w:t>Proposed Research Question</w:t>
      </w:r>
      <w:bookmarkEnd w:id="9"/>
      <w:bookmarkEnd w:id="10"/>
    </w:p>
    <w:p>
      <w:pPr>
        <w:spacing w:line="360" w:lineRule="auto"/>
        <w:ind w:firstLine="0"/>
        <w:rPr>
          <w:rFonts w:ascii="Arial" w:hAnsi="Arial" w:cs="Arial"/>
        </w:rPr>
      </w:pPr>
      <w:r>
        <w:rPr>
          <w:rFonts w:ascii="Arial" w:hAnsi="Arial" w:cs="Arial"/>
        </w:rPr>
        <w:t>This study allows one to test the way in which practical learning, in a private junior vocational college targeted for the benefit of industry, impacts students’ career planning and employment.</w:t>
      </w:r>
      <w:r>
        <w:rPr>
          <w:rFonts w:ascii="Arial" w:hAnsi="Arial" w:cs="Arial"/>
          <w:lang w:val="en-US"/>
        </w:rPr>
        <w:t xml:space="preserve"> </w:t>
      </w:r>
      <w:r>
        <w:rPr>
          <w:rFonts w:ascii="Arial" w:hAnsi="Arial" w:cs="Arial"/>
        </w:rPr>
        <w:t>But in the face of China's vocational focus for a rapidly developing economy, this research takes into account practical learning opportunities at all levels among the changing needs of corporate training (Wu and Sun; 2022). What makes this study special is that it focuses specifically on a private junior vocational college and recognizes the different challenges and opportunities these colleges present in the Chinese context. The research context surrounding this question is intended to fill the gap, while also considering practical concerns, between theory developed by academic researchers and actual practice in vocational education for both teachers and students. The results will reveal knowledge that may be useful in curriculum designing, informing educational reforms and supporting joint research with industry. This is consistent with the primary objectives of China’s educational policies in the contemporary age.</w:t>
      </w:r>
      <w:r>
        <w:rPr>
          <w:rFonts w:ascii="Arial" w:hAnsi="Arial" w:cs="Arial"/>
          <w:lang w:val="en-US"/>
        </w:rPr>
        <w:t xml:space="preserve"> </w:t>
      </w:r>
      <w:r>
        <w:rPr>
          <w:rFonts w:ascii="Arial" w:hAnsi="Arial" w:cs="Arial"/>
        </w:rPr>
        <w:t>In addition, through this exploration of the unique environment of private junior vocational colleges, the study hopes to offer concrete suggestions that can improve the practical performance in a variety of areas within occupational education in both private and public sectors, creating an integrated skilled workforce for new times.</w:t>
      </w:r>
    </w:p>
    <w:p>
      <w:pPr>
        <w:pStyle w:val="3"/>
        <w:spacing w:line="360" w:lineRule="auto"/>
        <w:rPr>
          <w:rFonts w:cs="Arial"/>
          <w:szCs w:val="24"/>
        </w:rPr>
      </w:pPr>
      <w:bookmarkStart w:id="11" w:name="_Toc156776211"/>
      <w:bookmarkStart w:id="12" w:name="_Toc158819491"/>
      <w:r>
        <w:rPr>
          <w:rFonts w:cs="Arial"/>
          <w:szCs w:val="24"/>
        </w:rPr>
        <w:t>Aims of the Research Activity</w:t>
      </w:r>
      <w:bookmarkEnd w:id="11"/>
      <w:bookmarkEnd w:id="12"/>
    </w:p>
    <w:p>
      <w:pPr>
        <w:spacing w:line="360" w:lineRule="auto"/>
        <w:ind w:firstLine="0"/>
        <w:rPr>
          <w:rFonts w:ascii="Arial" w:hAnsi="Arial" w:cs="Arial"/>
        </w:rPr>
      </w:pPr>
      <w:r>
        <w:rPr>
          <w:rFonts w:ascii="Arial" w:hAnsi="Arial" w:cs="Arial"/>
        </w:rPr>
        <w:t>This work is part of a larger research project where the goal is to measure the educational effectiveness of practical teaching in Chinese junior vocational education. In particular, the study seeks to understand how practical learning impacts students’ career planning and employment decisions, exploring specifically the special environment of a private vocational college in mainland China.</w:t>
      </w:r>
    </w:p>
    <w:p>
      <w:pPr>
        <w:pStyle w:val="3"/>
        <w:spacing w:line="360" w:lineRule="auto"/>
        <w:rPr>
          <w:rFonts w:cs="Arial"/>
          <w:szCs w:val="24"/>
        </w:rPr>
      </w:pPr>
      <w:bookmarkStart w:id="13" w:name="_Toc158819492"/>
      <w:bookmarkStart w:id="14" w:name="_Toc156776212"/>
      <w:r>
        <w:rPr>
          <w:rFonts w:cs="Arial"/>
          <w:szCs w:val="24"/>
        </w:rPr>
        <w:t>Objectives of Research Activity</w:t>
      </w:r>
      <w:bookmarkEnd w:id="13"/>
      <w:bookmarkEnd w:id="14"/>
    </w:p>
    <w:p>
      <w:pPr>
        <w:spacing w:line="360" w:lineRule="auto"/>
        <w:ind w:firstLine="0"/>
        <w:rPr>
          <w:rFonts w:ascii="Arial" w:hAnsi="Arial" w:cs="Arial"/>
        </w:rPr>
      </w:pPr>
      <w:r>
        <w:rPr>
          <w:rFonts w:ascii="Arial" w:hAnsi="Arial" w:cs="Arial"/>
        </w:rPr>
        <w:t>To achieve this overarching aim, the research has delineated the following specific objectives:</w:t>
      </w:r>
    </w:p>
    <w:p>
      <w:pPr>
        <w:pStyle w:val="28"/>
        <w:numPr>
          <w:ilvl w:val="0"/>
          <w:numId w:val="2"/>
        </w:numPr>
        <w:spacing w:line="360" w:lineRule="auto"/>
        <w:rPr>
          <w:rFonts w:ascii="Arial" w:hAnsi="Arial" w:cs="Arial"/>
        </w:rPr>
      </w:pPr>
      <w:r>
        <w:rPr>
          <w:rFonts w:ascii="Arial" w:hAnsi="Arial" w:cs="Arial"/>
        </w:rPr>
        <w:t>To evaluate the educational effectiveness of practical teaching methods in a private junior vocational college.</w:t>
      </w:r>
    </w:p>
    <w:p>
      <w:pPr>
        <w:pStyle w:val="28"/>
        <w:numPr>
          <w:ilvl w:val="0"/>
          <w:numId w:val="2"/>
        </w:numPr>
        <w:spacing w:line="360" w:lineRule="auto"/>
        <w:rPr>
          <w:rFonts w:ascii="Arial" w:hAnsi="Arial" w:cs="Arial"/>
        </w:rPr>
      </w:pPr>
      <w:r>
        <w:rPr>
          <w:rFonts w:ascii="Arial" w:hAnsi="Arial" w:cs="Arial"/>
        </w:rPr>
        <w:t>To investigate how practical learning might impact employment and career decisions</w:t>
      </w:r>
    </w:p>
    <w:p>
      <w:pPr>
        <w:pStyle w:val="28"/>
        <w:numPr>
          <w:ilvl w:val="0"/>
          <w:numId w:val="2"/>
        </w:numPr>
        <w:spacing w:line="360" w:lineRule="auto"/>
        <w:rPr>
          <w:rFonts w:ascii="Arial" w:hAnsi="Arial" w:cs="Arial"/>
        </w:rPr>
      </w:pPr>
      <w:r>
        <w:rPr>
          <w:rFonts w:ascii="Arial" w:hAnsi="Arial" w:cs="Arial"/>
        </w:rPr>
        <w:t>T</w:t>
      </w:r>
      <w:r>
        <w:rPr>
          <w:rFonts w:ascii="Arial" w:hAnsi="Arial" w:cs="Arial"/>
          <w:lang w:val="en-US"/>
        </w:rPr>
        <w:t>o explore</w:t>
      </w:r>
      <w:r>
        <w:rPr>
          <w:rFonts w:ascii="Arial" w:hAnsi="Arial" w:cs="Arial"/>
        </w:rPr>
        <w:t xml:space="preserve"> how firms recruit staff, especially in the industrial and educational integration park. What kinds of practice-based education techniques will have an impact on their hiring preferences?</w:t>
      </w:r>
    </w:p>
    <w:p>
      <w:pPr>
        <w:pStyle w:val="3"/>
        <w:spacing w:line="360" w:lineRule="auto"/>
        <w:rPr>
          <w:rFonts w:cs="Arial"/>
          <w:lang w:val="en-US"/>
        </w:rPr>
      </w:pPr>
      <w:bookmarkStart w:id="15" w:name="_Toc158819493"/>
      <w:r>
        <w:rPr>
          <w:rFonts w:cs="Arial"/>
        </w:rPr>
        <w:t xml:space="preserve">Research </w:t>
      </w:r>
      <w:r>
        <w:rPr>
          <w:rFonts w:cs="Arial"/>
          <w:lang w:val="en-US"/>
        </w:rPr>
        <w:t>Relevance</w:t>
      </w:r>
      <w:bookmarkEnd w:id="15"/>
      <w:r>
        <w:rPr>
          <w:rFonts w:cs="Arial"/>
          <w:lang w:val="en-US"/>
        </w:rPr>
        <w:t xml:space="preserve"> </w:t>
      </w:r>
    </w:p>
    <w:p>
      <w:pPr>
        <w:spacing w:line="360" w:lineRule="auto"/>
        <w:ind w:firstLine="0"/>
        <w:rPr>
          <w:rFonts w:ascii="Arial" w:hAnsi="Arial" w:cs="Arial"/>
        </w:rPr>
      </w:pPr>
      <w:r>
        <w:rPr>
          <w:rFonts w:ascii="Arial" w:hAnsi="Arial" w:cs="Arial"/>
        </w:rPr>
        <w:t>Current research provides the basis to delve into global trends in vocational education, career development learning (Biermann, 1999), and problems and potentials for school-enterprise cooperation (Ho et al., 2022; HUMA Rizwan &amp; Rafique, 2023). Biermann's (1990) seminal work goes some way in explaining why Chinese vocational education is so concentrated</w:t>
      </w:r>
      <w:r>
        <w:rPr>
          <w:rFonts w:ascii="Arial" w:hAnsi="Arial" w:cs="Arial"/>
          <w:lang w:val="en-US"/>
        </w:rPr>
        <w:t xml:space="preserve"> and </w:t>
      </w:r>
      <w:r>
        <w:rPr>
          <w:rFonts w:ascii="Arial" w:hAnsi="Arial" w:cs="Arial"/>
        </w:rPr>
        <w:t>it serves as a good starting point for understanding the 21st century challenges facing Chinese institutions.</w:t>
      </w:r>
    </w:p>
    <w:p>
      <w:pPr>
        <w:spacing w:line="360" w:lineRule="auto"/>
        <w:ind w:firstLine="0"/>
        <w:rPr>
          <w:rFonts w:ascii="Arial" w:hAnsi="Arial" w:cs="Arial"/>
        </w:rPr>
      </w:pPr>
      <w:r>
        <w:rPr>
          <w:rFonts w:ascii="Arial" w:hAnsi="Arial" w:cs="Arial"/>
        </w:rPr>
        <w:t>The research of Ho et al. (2022) provides us with valuable information about the later impact of learning about career development on employability, which is directly related to broader issues involved in practical education outside the school environment. This comparative analysis of policy perspectives for technical and vocational education by HUMA, Rizwan, and Rafique further complements our understanding of the global impact of policy decisions.</w:t>
      </w:r>
    </w:p>
    <w:p>
      <w:pPr>
        <w:spacing w:line="360" w:lineRule="auto"/>
        <w:ind w:firstLine="0"/>
        <w:rPr>
          <w:rFonts w:ascii="Arial" w:hAnsi="Arial" w:cs="Arial"/>
        </w:rPr>
      </w:pPr>
      <w:r>
        <w:rPr>
          <w:rFonts w:ascii="Arial" w:hAnsi="Arial" w:cs="Arial"/>
        </w:rPr>
        <w:t>In the domain of our present research, special interest is paid to Li’s 2023 work on school–enterprise cooperation modes, which appear particularly useful for clarifying cooperative educational models in China. For instance, Jiang’s blended learning research concerning higher vocational colleges can be considered a significant example, indicating the current educational method changes and their important responsiveness to modern pedagogical trends (Jiang, 2022).</w:t>
      </w:r>
    </w:p>
    <w:p>
      <w:pPr>
        <w:spacing w:line="360" w:lineRule="auto"/>
        <w:ind w:firstLine="0"/>
        <w:rPr>
          <w:rFonts w:ascii="Arial" w:hAnsi="Arial" w:cs="Arial"/>
        </w:rPr>
      </w:pPr>
      <w:r>
        <w:rPr>
          <w:rFonts w:ascii="Arial" w:hAnsi="Arial" w:cs="Arial"/>
        </w:rPr>
        <w:t xml:space="preserve">The efficacy of different models of education can be seen from a global perspective, as Kap’s (n.d.) comparative analysis between vocational education and training demonstrates. It becomes clear with the help of Kenton’s work on organizational structure (2023), that vocational colleges are not ignoring the bigger picture and their functioning is legitimate. </w:t>
      </w:r>
    </w:p>
    <w:p>
      <w:pPr>
        <w:spacing w:line="360" w:lineRule="auto"/>
        <w:ind w:firstLine="0"/>
        <w:rPr>
          <w:rFonts w:ascii="Arial" w:hAnsi="Arial" w:cs="Arial"/>
        </w:rPr>
      </w:pPr>
      <w:r>
        <w:rPr>
          <w:rFonts w:ascii="Arial" w:hAnsi="Arial" w:cs="Arial"/>
        </w:rPr>
        <w:t>According to Liang (2020), Virtual Reality integration into the training process is a transformative opportunity for vocational education, especially in a freight truck driver training program. Moving trainees into virtual reality simulators of driving situations, this innovative method provides hands-on training opportunities while avoiding real-life risks. Virtual Reality technology enables trainees to carry out many driving manoeuvres, drive through challenging road conditions, handle emergencies in a safe and controlled setting. This type of immersive training not only improves pragmatic skills but also increases confidence and readiness of future freight truck drivers which leads to better training results and safety. This new technique can significantly transform their training and qualification measures leading to major revolution in transportation domain.</w:t>
      </w:r>
      <w:r>
        <w:rPr>
          <w:rFonts w:ascii="Arial" w:hAnsi="Arial" w:cs="Arial"/>
          <w:lang w:val="en-US"/>
        </w:rPr>
        <w:t xml:space="preserve"> </w:t>
      </w:r>
      <w:r>
        <w:rPr>
          <w:rFonts w:ascii="Arial" w:hAnsi="Arial" w:cs="Arial"/>
        </w:rPr>
        <w:t>For a time, such things were not viewed as necessary, but now that White</w:t>
      </w:r>
      <w:r>
        <w:rPr>
          <w:rFonts w:ascii="Arial" w:hAnsi="Arial" w:cs="Arial"/>
          <w:lang w:val="en-US"/>
        </w:rPr>
        <w:t xml:space="preserve"> (2019) h</w:t>
      </w:r>
      <w:r>
        <w:rPr>
          <w:rFonts w:ascii="Arial" w:hAnsi="Arial" w:cs="Arial"/>
        </w:rPr>
        <w:t>as acknowledged the need for practical work-based learning, it is apparent how important hands-on experience can be to educational curricula.</w:t>
      </w:r>
    </w:p>
    <w:p>
      <w:pPr>
        <w:spacing w:line="360" w:lineRule="auto"/>
        <w:ind w:firstLine="0"/>
        <w:rPr>
          <w:rFonts w:ascii="Arial" w:hAnsi="Arial" w:cs="Arial"/>
        </w:rPr>
      </w:pPr>
      <w:r>
        <w:rPr>
          <w:rFonts w:ascii="Arial" w:hAnsi="Arial" w:cs="Arial"/>
        </w:rPr>
        <w:t>In addition, the 2019 study by Xing, Huerta and Garza on the effectiveness of college and career preparation activity provides some good clues regarding how pre-employment activity influences post-high school education and work. With Zhang (2014) analysing the enterprise education system for undergraduates, we learn about the symbiosis of academia and industry – a concept that British readers may be unfamiliar with. By enterprise education, we imply educational initiatives taking place within the confines of academic establishments to equip students with professional skills and mindset required by dynamic business world. Scholastic collaboration refers to the partnership between the school and the business entities, whereby students are given real life exposure, and mentoring opportunities. The importance of such partnerships in closing the gap between theory and practice and equipping graduates with practical skills and employable thus emphasized by Zhang. Zhang and Wang's (2021) research on the challenges of school-enterprise cooperation in vocational education highlights how difficult it is for schools to network and communicate across academic and industrial boundaries. The case study by Zheng (2019) has explored into the quest and practice of the model of school-enterprise cooperative education, discovering several brilliant cases to serve as commendable case studies worthy of emulation. The cooperation of a first-rank engineering university with a well-known technology company, where students take part in the projects, internships, and joint research programs, is a good example. The other example is partnership between a business school and a multinational corporation that allows students to have practical training and practice, the exposure to the industry and guidance from experienced professionals, etc. Besides, in the healthcare sector, Zheng points to a successful school-enterprise cooperative program that provides medical students with an internship in hospitals and clinics and thus ensures a smooth transition from school to the workplace. School-enterprise collaboration has been clearly shown to be an effective platform for improving the employability of students and preparing them for successful careers in various fields.</w:t>
      </w:r>
    </w:p>
    <w:p>
      <w:pPr>
        <w:pStyle w:val="3"/>
        <w:spacing w:line="360" w:lineRule="auto"/>
        <w:rPr>
          <w:rFonts w:cs="Arial"/>
          <w:szCs w:val="24"/>
        </w:rPr>
      </w:pPr>
      <w:bookmarkStart w:id="16" w:name="_Toc156776213"/>
      <w:bookmarkStart w:id="17" w:name="_Toc158819494"/>
      <w:r>
        <w:rPr>
          <w:rFonts w:cs="Arial"/>
          <w:szCs w:val="24"/>
        </w:rPr>
        <w:t>Contribution</w:t>
      </w:r>
      <w:r>
        <w:rPr>
          <w:rFonts w:cs="Arial"/>
          <w:szCs w:val="24"/>
          <w:lang w:val="en-US"/>
        </w:rPr>
        <w:t xml:space="preserve"> to Existing Literature</w:t>
      </w:r>
      <w:bookmarkEnd w:id="16"/>
      <w:bookmarkEnd w:id="17"/>
    </w:p>
    <w:p>
      <w:pPr>
        <w:spacing w:line="360" w:lineRule="auto"/>
        <w:ind w:firstLine="0"/>
        <w:rPr>
          <w:rFonts w:ascii="Arial" w:hAnsi="Arial" w:cs="Arial"/>
        </w:rPr>
      </w:pPr>
      <w:r>
        <w:rPr>
          <w:rFonts w:ascii="Arial" w:hAnsi="Arial" w:cs="Arial"/>
        </w:rPr>
        <w:t>While this wave of research has given us a general framework, it still lacks detailed information</w:t>
      </w:r>
      <w:r>
        <w:rPr>
          <w:rFonts w:ascii="Arial" w:hAnsi="Arial" w:cs="Arial"/>
          <w:lang w:val="en-US"/>
        </w:rPr>
        <w:t xml:space="preserve"> (Wu &amp; Sun, 2022)</w:t>
      </w:r>
      <w:r>
        <w:rPr>
          <w:rFonts w:ascii="Arial" w:hAnsi="Arial" w:cs="Arial"/>
        </w:rPr>
        <w:t>. It is hoped that the ongoing research will flesh out the effectiveness of practical teaching methods in one Chinese junior vocational college</w:t>
      </w:r>
      <w:r>
        <w:rPr>
          <w:rFonts w:ascii="Arial" w:hAnsi="Arial" w:cs="Arial"/>
          <w:lang w:val="en-US"/>
        </w:rPr>
        <w:t xml:space="preserve">. </w:t>
      </w:r>
      <w:r>
        <w:rPr>
          <w:rFonts w:ascii="Arial" w:hAnsi="Arial" w:cs="Arial"/>
        </w:rPr>
        <w:t>It hopes to address the paucity of related material already available, by comparing experience in a private Chinese university with other similar literature on practical learning and its results, including those for education, careers, and recruitment.</w:t>
      </w:r>
    </w:p>
    <w:p>
      <w:pPr>
        <w:spacing w:line="360" w:lineRule="auto"/>
        <w:ind w:firstLine="0"/>
        <w:rPr>
          <w:rFonts w:ascii="Arial" w:hAnsi="Arial" w:cs="Arial"/>
        </w:rPr>
      </w:pPr>
      <w:r>
        <w:rPr>
          <w:rFonts w:ascii="Arial" w:hAnsi="Arial" w:cs="Arial"/>
        </w:rPr>
        <w:t>This research activity is likely to add a new dimension to what we know about vocational education so far, especially in the Chinese situation. This study provides much food for thought in terms of its localized character, focusing as it does on one specific private junior vocational college in China. In studying this particular institution, the research strives to reveal something about the special problems and opportunities faced by the Chinese educational system.</w:t>
      </w:r>
    </w:p>
    <w:p>
      <w:pPr>
        <w:spacing w:line="360" w:lineRule="auto"/>
        <w:ind w:firstLine="0"/>
        <w:rPr>
          <w:rFonts w:ascii="Arial" w:hAnsi="Arial" w:cs="Arial"/>
        </w:rPr>
      </w:pPr>
      <w:r>
        <w:rPr>
          <w:rFonts w:ascii="Arial" w:hAnsi="Arial" w:cs="Arial"/>
        </w:rPr>
        <w:t xml:space="preserve">The underlying theme of the contribution is that research has to take into account a comprehensive evaluation of practical teaching methods. In addition to assessing the relatively short-term academic achievements of students, the study also bravely tries to evaluate their long-term careers. Through this, it hopes to explore the lasting impact of practical experiences on people and how they influence personal career paths. </w:t>
      </w:r>
    </w:p>
    <w:p>
      <w:pPr>
        <w:spacing w:line="360" w:lineRule="auto"/>
        <w:ind w:firstLine="0"/>
        <w:rPr>
          <w:rFonts w:ascii="Arial" w:hAnsi="Arial" w:cs="Arial"/>
        </w:rPr>
      </w:pPr>
      <w:r>
        <w:rPr>
          <w:rFonts w:ascii="Arial" w:hAnsi="Arial" w:cs="Arial"/>
        </w:rPr>
        <w:t xml:space="preserve">The practical significance of the research findings extends beyond academia and into the role of educators, policymakers, and business people participating in vocational education. The recommendations emerging from this study are set to </w:t>
      </w:r>
      <w:r>
        <w:rPr>
          <w:rFonts w:ascii="Arial" w:hAnsi="Arial" w:cs="Arial"/>
          <w:lang w:val="en-US"/>
        </w:rPr>
        <w:t>influence</w:t>
      </w:r>
      <w:r>
        <w:rPr>
          <w:rFonts w:ascii="Arial" w:hAnsi="Arial" w:cs="Arial"/>
        </w:rPr>
        <w:t xml:space="preserve"> the driving force in curriculum planning strategies, education policy and how to get academia and industry working together. Broadly speaking, the research seeks to serve as a prompt for action, providing advice that is both scholarly and pragmatically useful for those working in the sector.</w:t>
      </w:r>
    </w:p>
    <w:p>
      <w:pPr>
        <w:spacing w:line="360" w:lineRule="auto"/>
        <w:ind w:firstLine="0"/>
        <w:rPr>
          <w:rFonts w:ascii="Arial" w:hAnsi="Arial" w:cs="Arial"/>
        </w:rPr>
      </w:pPr>
      <w:r>
        <w:rPr>
          <w:rFonts w:ascii="Arial" w:hAnsi="Arial" w:cs="Arial"/>
        </w:rPr>
        <w:t>The research is inspired by the views of academic authority Xu (2021) to enhance the nexus between education and business, which is in line with that demanded by employers. Xu focuses on the importance of each graduate finding employment eventually (Xu, 2021). In the context of a rapidly developing industrial and educational integration park, a unique environment which combines the activities and interests of businesses and educational institutions in close cooperation, the study has been carried out. These integration parks are specified spaces where industries, most of the times from different sectors, are grouped in a close location with educational and research institutions. The objective is to promote innovation, knowledge transfer and economic development through creating a synergy between academia and industry. In this regard, firms are enabled by the large pool of skilled talents, research knowledge, and technological assets whereas educational institutions receive the avenue for real-world research, widened experiential learning, and industry collaborations.</w:t>
      </w:r>
    </w:p>
    <w:p>
      <w:pPr>
        <w:spacing w:line="360" w:lineRule="auto"/>
        <w:ind w:firstLine="0"/>
        <w:rPr>
          <w:rFonts w:ascii="Arial" w:hAnsi="Arial" w:cs="Arial"/>
        </w:rPr>
      </w:pPr>
      <w:r>
        <w:rPr>
          <w:rFonts w:ascii="Arial" w:hAnsi="Arial" w:cs="Arial"/>
        </w:rPr>
        <w:t>There has been a dedicated focus on contributing to the enhancement of teaching techniques as part of ongoing efforts for improvement.</w:t>
      </w:r>
      <w:r>
        <w:rPr>
          <w:rFonts w:ascii="Arial" w:hAnsi="Arial" w:cs="Arial"/>
          <w:lang w:val="en-US"/>
        </w:rPr>
        <w:t xml:space="preserve"> </w:t>
      </w:r>
      <w:r>
        <w:rPr>
          <w:rFonts w:ascii="Arial" w:hAnsi="Arial" w:cs="Arial"/>
        </w:rPr>
        <w:t>The institute's research also seeks to investigate various practical teaching models, including high-tech methods such as those deriving from virtual reality technology. In this way it not only enriches discussion about pedagogical creativity, but also serves to guide the practical implementation of such methods within the system of vocational education.</w:t>
      </w:r>
    </w:p>
    <w:p>
      <w:pPr>
        <w:spacing w:line="360" w:lineRule="auto"/>
        <w:ind w:firstLine="0"/>
        <w:rPr>
          <w:rFonts w:ascii="Arial" w:hAnsi="Arial" w:cs="Arial"/>
        </w:rPr>
      </w:pPr>
      <w:r>
        <w:rPr>
          <w:rFonts w:ascii="Arial" w:hAnsi="Arial" w:cs="Arial"/>
        </w:rPr>
        <w:t>The literature is unique in its international stance, using a comparative approach that identifies, describes, and evaluates effective models across different on the global level. The study</w:t>
      </w:r>
      <w:r>
        <w:rPr>
          <w:rStyle w:val="26"/>
        </w:rPr>
        <w:t xml:space="preserve"> </w:t>
      </w:r>
      <w:r>
        <w:rPr>
          <w:rFonts w:ascii="Arial" w:hAnsi="Arial" w:cs="Arial"/>
        </w:rPr>
        <w:t>aims to utilize insights from various international environments to provide an all-inclusive understanding of successful models globally.</w:t>
      </w:r>
      <w:r>
        <w:rPr>
          <w:rFonts w:ascii="Arial" w:hAnsi="Arial" w:cs="Arial"/>
          <w:lang w:val="en-US"/>
        </w:rPr>
        <w:t xml:space="preserve"> </w:t>
      </w:r>
      <w:r>
        <w:rPr>
          <w:rFonts w:ascii="Arial" w:hAnsi="Arial" w:cs="Arial"/>
        </w:rPr>
        <w:t>It is this comparative viewpoint that enables us to see what has worked in various situations around the world, and how other experience can be applied to China's unique situation.</w:t>
      </w:r>
    </w:p>
    <w:p>
      <w:pPr>
        <w:pStyle w:val="3"/>
        <w:spacing w:line="360" w:lineRule="auto"/>
        <w:rPr>
          <w:rFonts w:cs="Arial"/>
          <w:szCs w:val="24"/>
        </w:rPr>
      </w:pPr>
      <w:bookmarkStart w:id="18" w:name="_Toc158819495"/>
      <w:bookmarkStart w:id="19" w:name="_Toc156776214"/>
      <w:r>
        <w:rPr>
          <w:rFonts w:cs="Arial"/>
          <w:szCs w:val="24"/>
        </w:rPr>
        <w:t>The Area of Importance That it Addresses</w:t>
      </w:r>
      <w:bookmarkEnd w:id="18"/>
      <w:bookmarkEnd w:id="19"/>
    </w:p>
    <w:p>
      <w:pPr>
        <w:spacing w:line="360" w:lineRule="auto"/>
        <w:ind w:firstLine="0"/>
        <w:rPr>
          <w:rFonts w:ascii="Arial" w:hAnsi="Arial" w:cs="Arial"/>
        </w:rPr>
      </w:pPr>
      <w:r>
        <w:rPr>
          <w:rFonts w:ascii="Arial" w:hAnsi="Arial" w:cs="Arial"/>
        </w:rPr>
        <w:t>It is important that the tendency of vocational education to change so fast worldwide, and even more in China, should receive enough attention. Wu &amp; Sun (2021) claim that to get China to be a global economic superpower, the training of skilled manpower is given a high priority. It is more and more seen that practical learning is a basis for making education meet the requirements of the rapidly advancing employment environment.</w:t>
      </w:r>
    </w:p>
    <w:p>
      <w:pPr>
        <w:spacing w:line="360" w:lineRule="auto"/>
        <w:ind w:firstLine="0"/>
        <w:rPr>
          <w:rFonts w:ascii="Arial" w:hAnsi="Arial" w:cs="Arial"/>
        </w:rPr>
      </w:pPr>
      <w:r>
        <w:rPr>
          <w:rFonts w:ascii="Arial" w:hAnsi="Arial" w:cs="Arial"/>
        </w:rPr>
        <w:t>The focus of the study on a private junior vocational college is particularly important, however, because private educational institutions often have special qualities that should be noted. One of the unique features of private schools is that they can easily integrate progressive teaching techniques, without going through the bureaucratic processes associated with publicly funded learning institutions. This agility helps private schools to implement more dynamic contemporary methods of learning that are innovative and prompt in nature.</w:t>
      </w:r>
      <w:r>
        <w:rPr>
          <w:rFonts w:ascii="Arial" w:hAnsi="Arial" w:cs="Arial"/>
          <w:lang w:val="en-US"/>
        </w:rPr>
        <w:t xml:space="preserve"> </w:t>
      </w:r>
      <w:r>
        <w:rPr>
          <w:rFonts w:ascii="Arial" w:hAnsi="Arial" w:cs="Arial"/>
        </w:rPr>
        <w:t>Becoming familiar with how practical teaching methods work in the private sector can help us get a clearer understanding of the ecosystem for vocational education in China.</w:t>
      </w:r>
    </w:p>
    <w:p>
      <w:pPr>
        <w:spacing w:line="360" w:lineRule="auto"/>
        <w:ind w:firstLine="0"/>
        <w:rPr>
          <w:rFonts w:ascii="Arial" w:hAnsi="Arial" w:cs="Arial"/>
        </w:rPr>
      </w:pPr>
      <w:r>
        <w:rPr>
          <w:rFonts w:ascii="Arial" w:hAnsi="Arial" w:cs="Arial"/>
        </w:rPr>
        <w:t>Furthermore, the research focuses on the point where education and industry intersect. Through investigating the recruitment process, the report opens a window to employers</w:t>
      </w:r>
      <w:r>
        <w:rPr>
          <w:rFonts w:ascii="Arial" w:hAnsi="Arial" w:cs="Arial"/>
          <w:lang w:val="en-US"/>
        </w:rPr>
        <w:t>’</w:t>
      </w:r>
      <w:r>
        <w:rPr>
          <w:rFonts w:ascii="Arial" w:hAnsi="Arial" w:cs="Arial"/>
        </w:rPr>
        <w:t xml:space="preserve"> expectations and how their purchasing habits are shaped by practical learning. It is especially the case for the industrial and educational integration park, where interaction between academia and industry is most direct.In addition, the research into education looks at more than just academic results but also at how the students</w:t>
      </w:r>
      <w:r>
        <w:rPr>
          <w:rFonts w:ascii="Arial" w:hAnsi="Arial" w:cs="Arial"/>
          <w:lang w:val="en-US"/>
        </w:rPr>
        <w:t xml:space="preserve">’ </w:t>
      </w:r>
      <w:r>
        <w:rPr>
          <w:rFonts w:ascii="Arial" w:hAnsi="Arial" w:cs="Arial"/>
        </w:rPr>
        <w:t>education will help them throughout their lives both psychologically and in terms of career. The study examines the psychological ecology of students in light of the movement toward industry education integration, thereby taking into account an individual's overall development (Wu &amp; Sun, 2022).</w:t>
      </w:r>
    </w:p>
    <w:p>
      <w:pPr>
        <w:pStyle w:val="2"/>
        <w:spacing w:line="360" w:lineRule="auto"/>
        <w:rPr>
          <w:rFonts w:ascii="Arial" w:hAnsi="Arial" w:cs="Arial"/>
          <w:szCs w:val="24"/>
          <w:lang w:val="en-US"/>
        </w:rPr>
      </w:pPr>
      <w:bookmarkStart w:id="20" w:name="_Toc156776215"/>
      <w:r>
        <w:rPr>
          <w:rFonts w:ascii="Arial" w:hAnsi="Arial" w:cs="Arial"/>
          <w:szCs w:val="24"/>
          <w:lang w:val="en-US"/>
        </w:rPr>
        <w:t xml:space="preserve"> </w:t>
      </w:r>
      <w:bookmarkStart w:id="21" w:name="_Toc158819496"/>
      <w:r>
        <w:rPr>
          <w:rFonts w:ascii="Arial" w:hAnsi="Arial" w:cs="Arial"/>
          <w:szCs w:val="24"/>
          <w:lang w:val="en-US"/>
        </w:rPr>
        <w:t>Literature Review</w:t>
      </w:r>
      <w:bookmarkEnd w:id="20"/>
      <w:bookmarkEnd w:id="21"/>
      <w:r>
        <w:rPr>
          <w:rFonts w:ascii="Arial" w:hAnsi="Arial" w:cs="Arial"/>
          <w:szCs w:val="24"/>
          <w:lang w:val="en-US"/>
        </w:rPr>
        <w:t xml:space="preserve"> </w:t>
      </w:r>
    </w:p>
    <w:p>
      <w:pPr>
        <w:pStyle w:val="3"/>
        <w:spacing w:line="360" w:lineRule="auto"/>
        <w:rPr>
          <w:rFonts w:cs="Arial"/>
          <w:szCs w:val="24"/>
          <w:lang w:val="en-US"/>
        </w:rPr>
      </w:pPr>
      <w:bookmarkStart w:id="22" w:name="_Toc156776216"/>
      <w:bookmarkStart w:id="23" w:name="_Toc158819497"/>
      <w:r>
        <w:rPr>
          <w:rFonts w:cs="Arial"/>
          <w:szCs w:val="24"/>
        </w:rPr>
        <w:t>Vocational Education and Practical Teaching Methods</w:t>
      </w:r>
      <w:bookmarkEnd w:id="22"/>
      <w:bookmarkEnd w:id="23"/>
    </w:p>
    <w:p>
      <w:pPr>
        <w:spacing w:line="360" w:lineRule="auto"/>
        <w:ind w:firstLine="0"/>
        <w:rPr>
          <w:rFonts w:ascii="Arial" w:hAnsi="Arial" w:cs="Arial"/>
        </w:rPr>
      </w:pPr>
      <w:r>
        <w:rPr>
          <w:rFonts w:ascii="Arial" w:hAnsi="Arial" w:cs="Arial"/>
        </w:rPr>
        <w:t>Vocational education is an important part of educational systems all over the world. It provides technical training and knowledge in specific trades or skills that lead to some form of occupation.</w:t>
      </w:r>
      <w:r>
        <w:rPr>
          <w:rFonts w:ascii="Arial" w:hAnsi="Arial" w:cs="Arial"/>
          <w:color w:val="6B7280"/>
        </w:rPr>
        <w:t xml:space="preserve"> </w:t>
      </w:r>
      <w:r>
        <w:rPr>
          <w:rFonts w:ascii="Arial" w:hAnsi="Arial" w:cs="Arial"/>
          <w:color w:val="6B7280"/>
          <w:lang w:val="en-US"/>
        </w:rPr>
        <w:t xml:space="preserve"> </w:t>
      </w:r>
      <w:r>
        <w:rPr>
          <w:rFonts w:ascii="Arial" w:hAnsi="Arial" w:cs="Arial"/>
        </w:rPr>
        <w:t>As a result, job market trends would reflect in the research outcomes as individuals acquire practical skills and knowledge gained from real-life experiences communicated across industries (Biermann, 1999). In other words, this research aims to ensure that the curriculum matches with what is required in the labour market and thus provide students insights drawn right out of some industry fields.</w:t>
      </w:r>
      <w:r>
        <w:rPr>
          <w:rFonts w:ascii="Arial" w:hAnsi="Arial" w:cs="Arial"/>
          <w:lang w:val="en-US"/>
        </w:rPr>
        <w:t xml:space="preserve"> </w:t>
      </w:r>
      <w:r>
        <w:rPr>
          <w:rFonts w:ascii="Arial" w:hAnsi="Arial" w:cs="Arial"/>
        </w:rPr>
        <w:t>As countries seek to make education relevant to their workforce needs, vocational education has an important role in producing a skilled and flexible workforce.</w:t>
      </w:r>
    </w:p>
    <w:p>
      <w:pPr>
        <w:spacing w:line="360" w:lineRule="auto"/>
        <w:ind w:firstLine="0"/>
        <w:rPr>
          <w:rFonts w:ascii="Arial" w:hAnsi="Arial" w:cs="Arial"/>
        </w:rPr>
      </w:pPr>
      <w:r>
        <w:rPr>
          <w:rFonts w:ascii="Arial" w:hAnsi="Arial" w:cs="Arial"/>
        </w:rPr>
        <w:t>The various influences of vocational education on the employability and career development of students need to be tied back into its definition. To get at the long-term impact of vocational education, Ho et al. (2022) examined whether career development learning benefitted students' perceived employability via a longitudinal study. Furthermore, the survey by Huma et al. (2022) includes a comparative analysis of policy views covering technical and vocational education at secondary-school level, allowing people to access various approaches taken around the world.</w:t>
      </w:r>
    </w:p>
    <w:p>
      <w:pPr>
        <w:spacing w:line="360" w:lineRule="auto"/>
        <w:ind w:firstLine="0"/>
        <w:rPr>
          <w:rFonts w:ascii="Arial" w:hAnsi="Arial" w:cs="Arial"/>
        </w:rPr>
      </w:pPr>
      <w:r>
        <w:rPr>
          <w:rFonts w:ascii="Arial" w:hAnsi="Arial" w:cs="Arial"/>
        </w:rPr>
        <w:t>Practical teaching methods improve the learning environment, emphasizing practical experience for vocational training. For example, Liang (2020) talks about teaching styles in practice from the angle of virtual reality and illustrates how latest technologies were used to improve vocational education. Cultural teaching (Mueller 2022) investigates the work-experience and education balance, pointing to practical skills that prepare students for employment.</w:t>
      </w:r>
    </w:p>
    <w:p>
      <w:pPr>
        <w:spacing w:line="360" w:lineRule="auto"/>
        <w:ind w:firstLine="0"/>
        <w:rPr>
          <w:rFonts w:ascii="Arial" w:hAnsi="Arial" w:cs="Arial"/>
        </w:rPr>
      </w:pPr>
      <w:r>
        <w:rPr>
          <w:rFonts w:ascii="Arial" w:hAnsi="Arial" w:cs="Arial"/>
        </w:rPr>
        <w:t>The design of the organizational structure and cooperation with industry are important considerations in devising effective teaching practices. The school-enterprise cooperation model investigated by Li (2023) begins with an examination of the “craftsman leading, collaborative education” mechanism as a means to overcome the current disconnect between education and industry. As a further collaborative effort, Zheng (2019) demonstrates the case of school-enterprise cooperative education revealing the experimentation with different forms of cooperation between industries and vocational colleges.</w:t>
      </w:r>
    </w:p>
    <w:p>
      <w:pPr>
        <w:spacing w:line="360" w:lineRule="auto"/>
        <w:ind w:firstLine="0"/>
        <w:rPr>
          <w:rFonts w:ascii="Arial" w:hAnsi="Arial" w:cs="Arial"/>
          <w:lang w:val="en-US"/>
        </w:rPr>
      </w:pPr>
      <w:r>
        <w:rPr>
          <w:rFonts w:ascii="Arial" w:hAnsi="Arial" w:cs="Arial"/>
        </w:rPr>
        <w:t>The history of practical education within the framework of vocational education has been characterized by dynamic and transformative trends to both historical contexts and contemporary challenges. As originally based on apprenticeships and hands-on practice, vocational education has evolved to fit the changing environment caused by advances in technology and rising technological requirements</w:t>
      </w:r>
      <w:r>
        <w:rPr>
          <w:rFonts w:ascii="Arial" w:hAnsi="Arial" w:cs="Arial"/>
          <w:lang w:val="en-US"/>
        </w:rPr>
        <w:t>.</w:t>
      </w:r>
    </w:p>
    <w:p>
      <w:pPr>
        <w:spacing w:line="360" w:lineRule="auto"/>
        <w:ind w:firstLine="0"/>
        <w:rPr>
          <w:rFonts w:ascii="Arial" w:hAnsi="Arial" w:cs="Arial"/>
        </w:rPr>
      </w:pPr>
      <w:r>
        <w:rPr>
          <w:rFonts w:ascii="Arial" w:hAnsi="Arial" w:cs="Arial"/>
        </w:rPr>
        <w:t>Innovations in vocational education that can be seen in modern times, indicate a shift from the hands-on approach to a more holistic model where theoretical knowledge is tightly linked with its actual application. This is another way that White’s (2019) concept of facilitating the projection of practical experiences into a program content, supports one broader measurement for improving the overall learning opportunities for students. This change demonstrates the acknowledgement that hands-on learning is actually effective in developing practical skills and competencies.</w:t>
      </w:r>
    </w:p>
    <w:p>
      <w:pPr>
        <w:spacing w:line="360" w:lineRule="auto"/>
        <w:ind w:firstLine="0"/>
        <w:rPr>
          <w:rFonts w:ascii="Arial" w:hAnsi="Arial" w:cs="Arial"/>
        </w:rPr>
      </w:pPr>
      <w:r>
        <w:rPr>
          <w:rFonts w:ascii="Arial" w:hAnsi="Arial" w:cs="Arial"/>
        </w:rPr>
        <w:t>Liang (2020) suggests this integration idea of virtual reality in practical teaching methods by demonstrating how modern technologies can be used to simulate real-world vocational scenarios. This enlarges the boundaries of skills training, and is also consistent with the requirement for competencies related to utilizing contemporary tools and technologies in different sectors.</w:t>
      </w:r>
    </w:p>
    <w:p>
      <w:pPr>
        <w:spacing w:line="360" w:lineRule="auto"/>
        <w:ind w:firstLine="0"/>
        <w:rPr>
          <w:rFonts w:ascii="Arial" w:hAnsi="Arial" w:cs="Arial"/>
        </w:rPr>
      </w:pPr>
      <w:r>
        <w:rPr>
          <w:rFonts w:ascii="Arial" w:hAnsi="Arial" w:cs="Arial"/>
        </w:rPr>
        <w:t>One of the key tendencies in vocational education is an increasing focus on industry-education integration models. College students’ psychological outcomes regarding this integration are explored in the study conducted by Wu and Sun (2022). Educational organizations and industries collaborative approach seek to ensure that once in a work environment, the students do not feel as if they are in an alien environment. Customized training programs for specific industries provide graduates with relevant skills and knowledge to become competent professionals immediately after graduation. Yet,  according to Rainie and Anderson (2017) this specialized approach may not be flexible for those who decide to pursue a different career path as the training offered is essentially related to job-specific roles. Consequently, people who want to change their professions may have difficulties with retraining and learning new skills that are completely foreign to the field of their initial education.</w:t>
      </w:r>
    </w:p>
    <w:p>
      <w:pPr>
        <w:spacing w:line="360" w:lineRule="auto"/>
        <w:ind w:firstLine="0"/>
        <w:rPr>
          <w:rFonts w:ascii="Arial" w:hAnsi="Arial" w:cs="Arial"/>
        </w:rPr>
      </w:pPr>
      <w:r>
        <w:rPr>
          <w:rFonts w:ascii="Arial" w:hAnsi="Arial" w:cs="Arial"/>
        </w:rPr>
        <w:t xml:space="preserve">Policy analysis provides another layer, a critical one to the literature review and it gives an insight into the bigger picture of vocational education in the world. The current integration of industry and education in China, as </w:t>
      </w:r>
      <w:r>
        <w:rPr>
          <w:rFonts w:ascii="Arial" w:hAnsi="Arial" w:cs="Arial"/>
          <w:lang w:val="en-US"/>
        </w:rPr>
        <w:t xml:space="preserve">explored </w:t>
      </w:r>
      <w:r>
        <w:rPr>
          <w:rFonts w:ascii="Arial" w:hAnsi="Arial" w:cs="Arial"/>
        </w:rPr>
        <w:t>by Xu (</w:t>
      </w:r>
      <w:r>
        <w:rPr>
          <w:rFonts w:ascii="Arial" w:hAnsi="Arial" w:cs="Arial"/>
          <w:lang w:val="en-US"/>
        </w:rPr>
        <w:t>2021</w:t>
      </w:r>
      <w:r>
        <w:rPr>
          <w:rFonts w:ascii="Arial" w:hAnsi="Arial" w:cs="Arial"/>
        </w:rPr>
        <w:t>) gives some interesting insights about the evolution of higher education policies. The transition from the phenomena of massification (the practice of making luxury products available to the mass market) to post-massification entails a new understanding at an advanced level of changes and problems in Chinese education.</w:t>
      </w:r>
    </w:p>
    <w:p>
      <w:pPr>
        <w:spacing w:line="360" w:lineRule="auto"/>
        <w:ind w:firstLine="0"/>
        <w:rPr>
          <w:rFonts w:ascii="Arial" w:hAnsi="Arial" w:cs="Arial"/>
        </w:rPr>
      </w:pPr>
      <w:r>
        <w:rPr>
          <w:rFonts w:ascii="Arial" w:hAnsi="Arial" w:cs="Arial"/>
          <w:lang w:val="en-US"/>
        </w:rPr>
        <w:t xml:space="preserve">In addition, </w:t>
      </w:r>
      <w:r>
        <w:rPr>
          <w:rFonts w:ascii="Arial" w:hAnsi="Arial" w:cs="Arial"/>
        </w:rPr>
        <w:t>Xu, Su and Hong (2022) offer an in-depth analysis of different models of industry education integration in graduate education within the Chinese framework. In doing this analysis, we can see how vocational education at the graduate level is linked to industry needs so as to ensure that academic programs are always relevant for today’s workforce.</w:t>
      </w:r>
      <w:r>
        <w:rPr>
          <w:rFonts w:ascii="Arial" w:hAnsi="Arial" w:cs="Arial"/>
          <w:lang w:val="en-US"/>
        </w:rPr>
        <w:t xml:space="preserve"> </w:t>
      </w:r>
      <w:r>
        <w:rPr>
          <w:rFonts w:ascii="Arial" w:hAnsi="Arial" w:cs="Arial"/>
        </w:rPr>
        <w:t>Another dimension to the debate is Zhang’s (2019) analysis of school- enterprise collaboration in Chinese higher vocational colleges. This work pays special attention to the impact of industry-education integration at the institutional level, demonstrating how collaboration between educational establishments and enterprises enhances the performance of vocational training.</w:t>
      </w:r>
    </w:p>
    <w:p>
      <w:pPr>
        <w:spacing w:line="360" w:lineRule="auto"/>
        <w:ind w:firstLine="0"/>
        <w:rPr>
          <w:rFonts w:ascii="Arial" w:hAnsi="Arial" w:cs="Arial"/>
        </w:rPr>
      </w:pPr>
      <w:r>
        <w:rPr>
          <w:rFonts w:ascii="Arial" w:hAnsi="Arial" w:cs="Arial"/>
        </w:rPr>
        <w:t xml:space="preserve">In addition, the empirical comparison conducted by Zhang et al. </w:t>
      </w:r>
      <w:r>
        <w:rPr>
          <w:rFonts w:ascii="Arial" w:hAnsi="Arial" w:cs="Arial"/>
          <w:lang w:val="en-US"/>
        </w:rPr>
        <w:t>(</w:t>
      </w:r>
      <w:r>
        <w:rPr>
          <w:rFonts w:ascii="Arial" w:hAnsi="Arial" w:cs="Arial"/>
        </w:rPr>
        <w:t>2021</w:t>
      </w:r>
      <w:r>
        <w:rPr>
          <w:rFonts w:ascii="Arial" w:hAnsi="Arial" w:cs="Arial"/>
          <w:lang w:val="en-US"/>
        </w:rPr>
        <w:t>)</w:t>
      </w:r>
      <w:r>
        <w:rPr>
          <w:rFonts w:ascii="Arial" w:hAnsi="Arial" w:cs="Arial"/>
        </w:rPr>
        <w:t xml:space="preserve"> on the performance of industry-education integration in the production process of high-tech industries across three urban agglomerations in China provides tangible evidence towards impacting certain sectors. In using this empirical approach, readers can gain an objective insight as to how these policies create measurable outcomes in high-tech companies, which helps inform the future development of vocational education.</w:t>
      </w:r>
    </w:p>
    <w:p>
      <w:pPr>
        <w:spacing w:line="360" w:lineRule="auto"/>
        <w:ind w:firstLine="0"/>
        <w:rPr>
          <w:rFonts w:ascii="Arial" w:hAnsi="Arial" w:cs="Arial"/>
        </w:rPr>
      </w:pPr>
      <w:r>
        <w:rPr>
          <w:rFonts w:ascii="Arial" w:hAnsi="Arial" w:cs="Arial"/>
        </w:rPr>
        <w:t>This whole concept of practical learning being superior to classroom study is based on numerous theoretical foundations that originally explain how hands-on experience improves students 'ability to learn and develop skills.</w:t>
      </w:r>
      <w:r>
        <w:rPr>
          <w:rFonts w:ascii="Arial" w:hAnsi="Arial" w:cs="Arial"/>
          <w:lang w:val="en-US"/>
        </w:rPr>
        <w:t xml:space="preserve"> To start with, i</w:t>
      </w:r>
      <w:r>
        <w:rPr>
          <w:rFonts w:ascii="Arial" w:hAnsi="Arial" w:cs="Arial"/>
        </w:rPr>
        <w:t>t was constructivism that proposed the idea of learners actively constructing knowledge, based on their experiences and interactions with the environment. This theory, applied to practical learning, holds that students achieve a deeper comprehension of concepts when they participate in practical applications. Taking the constructivist viewpoint into consideration Jiang (2022) examines variables affecting the use of blended learning in higher vocational colleges, thus laying a foundation for research.</w:t>
      </w:r>
    </w:p>
    <w:p>
      <w:pPr>
        <w:spacing w:line="360" w:lineRule="auto"/>
        <w:ind w:firstLine="0"/>
        <w:rPr>
          <w:rFonts w:ascii="Arial" w:hAnsi="Arial" w:cs="Arial"/>
        </w:rPr>
      </w:pPr>
      <w:r>
        <w:rPr>
          <w:rFonts w:ascii="Arial" w:hAnsi="Arial" w:cs="Arial"/>
        </w:rPr>
        <w:t>Experiential Learning Theory, proposed by David Kolb, holds that learning is a cyclical process of concrete experience, reflective observation, abstract conceptualization and active experimentation. White (2019) argues that practical work-based learning is essential, a point very much in line with Kolb's theory since he also stresses the importance of concrete experience to vocational education. From this framework we can see that students are helped to learn through direct activities and contemplation.</w:t>
      </w:r>
    </w:p>
    <w:p>
      <w:pPr>
        <w:spacing w:line="360" w:lineRule="auto"/>
        <w:ind w:firstLine="0"/>
        <w:rPr>
          <w:rFonts w:ascii="Arial" w:hAnsi="Arial" w:cs="Arial"/>
        </w:rPr>
      </w:pPr>
      <w:r>
        <w:rPr>
          <w:rFonts w:ascii="Arial" w:hAnsi="Arial" w:cs="Arial"/>
        </w:rPr>
        <w:t>The study on the effect of the integration model by Wu and Sun (2022) is based on this theoretical framework, pointing out that education institutions should coordinate closely with industry. This also couples with the social constructivism which focuses on mutual creativity. It is a model of integrating industry practice into education which contributes to the establishment of a psychological ecology that naturally moves them forward from education to work.</w:t>
      </w:r>
    </w:p>
    <w:p>
      <w:pPr>
        <w:pStyle w:val="3"/>
        <w:spacing w:line="360" w:lineRule="auto"/>
        <w:rPr>
          <w:rFonts w:cs="Arial"/>
        </w:rPr>
      </w:pPr>
      <w:bookmarkStart w:id="24" w:name="_Toc158819498"/>
      <w:bookmarkStart w:id="25" w:name="_Toc156776220"/>
      <w:r>
        <w:rPr>
          <w:rFonts w:cs="Arial"/>
        </w:rPr>
        <w:t>Practical Teaching Methods</w:t>
      </w:r>
      <w:bookmarkEnd w:id="24"/>
      <w:r>
        <w:rPr>
          <w:rFonts w:cs="Arial"/>
        </w:rPr>
        <w:t xml:space="preserve"> </w:t>
      </w:r>
      <w:bookmarkEnd w:id="25"/>
    </w:p>
    <w:p>
      <w:pPr>
        <w:spacing w:line="360" w:lineRule="auto"/>
        <w:ind w:firstLine="0"/>
        <w:rPr>
          <w:rFonts w:ascii="Arial" w:hAnsi="Arial" w:cs="Arial"/>
        </w:rPr>
      </w:pPr>
      <w:r>
        <w:rPr>
          <w:rFonts w:ascii="Arial" w:hAnsi="Arial" w:cs="Arial"/>
        </w:rPr>
        <w:t>In terms of practical teaching, vocational education has seen a variety of creative ways deployed all over the world to support lectures by bringing learning into contact with actual practice. Only by gripping hold of these methods and performing a comparative analysis can the best ways be discerned, and then adapted to meet the needs of different vocational education schools.</w:t>
      </w:r>
    </w:p>
    <w:p>
      <w:pPr>
        <w:spacing w:line="360" w:lineRule="auto"/>
        <w:ind w:firstLine="0"/>
        <w:rPr>
          <w:rFonts w:ascii="Arial" w:hAnsi="Arial" w:cs="Arial"/>
        </w:rPr>
      </w:pPr>
      <w:r>
        <w:rPr>
          <w:rFonts w:ascii="Arial" w:hAnsi="Arial" w:cs="Arial"/>
          <w:lang w:val="en-US"/>
        </w:rPr>
        <w:t xml:space="preserve">One, </w:t>
      </w:r>
      <w:r>
        <w:rPr>
          <w:rFonts w:ascii="Arial" w:hAnsi="Arial" w:cs="Arial"/>
        </w:rPr>
        <w:t>apprenticeships and on-the-job training have always formed the most basic elements of vocational education around the world. It is a method in which students learn skills directly in the workplace, under the instruction of experienced practitioners. Biermann (1999), who has researched how vocational education functions in China, points out the historical importance of apprenticeship. What makes this method most effective is the direct application of theoretical knowledge to practical situations, in order to teach skills by immersing students in realistic work environments.</w:t>
      </w:r>
    </w:p>
    <w:p>
      <w:pPr>
        <w:spacing w:line="360" w:lineRule="auto"/>
        <w:ind w:firstLine="0"/>
        <w:rPr>
          <w:rFonts w:ascii="Arial" w:hAnsi="Arial" w:cs="Arial"/>
        </w:rPr>
      </w:pPr>
      <w:r>
        <w:rPr>
          <w:rFonts w:ascii="Arial" w:hAnsi="Arial" w:cs="Arial"/>
          <w:lang w:val="en-US"/>
        </w:rPr>
        <w:t>Secondly, t</w:t>
      </w:r>
      <w:r>
        <w:rPr>
          <w:rFonts w:ascii="Arial" w:hAnsi="Arial" w:cs="Arial"/>
        </w:rPr>
        <w:t>he simulated learning environment approach attempts to duplicate the conditions of work within a classroom. An example of this is Liang's (2020) experimentation with practical teaching methods employing virtual reality. With virtual reality and simulators students can experience risk-free real-world simulation of the challenges they will encounter on their future jobs. In industries where practical experience is relatively difficult or expensive to procure, such as aviation or health care, this method has proved most helpful.</w:t>
      </w:r>
    </w:p>
    <w:p>
      <w:pPr>
        <w:spacing w:line="360" w:lineRule="auto"/>
        <w:ind w:firstLine="0"/>
        <w:rPr>
          <w:rFonts w:ascii="Arial" w:hAnsi="Arial" w:cs="Arial"/>
        </w:rPr>
      </w:pPr>
      <w:r>
        <w:rPr>
          <w:rFonts w:ascii="Arial" w:hAnsi="Arial" w:cs="Arial"/>
        </w:rPr>
        <w:t>Project-based learning, on the other hand, entails students undertaking actual real-world projects that solve problems. This method promotes critical thinking, working cooperatively and the application of pragmatic skill. A study on college and career preparation activities by Xing, Huerta, and Garza (2019) provides an excellent example. This method has the added benefit of made to order for their future careers and helps to better prepare them for the demands of a workaday environment.</w:t>
      </w:r>
    </w:p>
    <w:p>
      <w:pPr>
        <w:spacing w:line="360" w:lineRule="auto"/>
        <w:ind w:firstLine="0"/>
        <w:rPr>
          <w:rFonts w:ascii="Arial" w:hAnsi="Arial" w:cs="Arial"/>
        </w:rPr>
      </w:pPr>
      <w:r>
        <w:rPr>
          <w:rFonts w:ascii="Arial" w:hAnsi="Arial" w:cs="Arial"/>
        </w:rPr>
        <w:t>Industry-Integrated Learning</w:t>
      </w:r>
      <w:r>
        <w:rPr>
          <w:rFonts w:ascii="Arial" w:hAnsi="Arial" w:cs="Arial"/>
          <w:lang w:val="en-US"/>
        </w:rPr>
        <w:t xml:space="preserve"> as the other practical teaching method, </w:t>
      </w:r>
      <w:r>
        <w:rPr>
          <w:rFonts w:ascii="Arial" w:hAnsi="Arial" w:cs="Arial"/>
        </w:rPr>
        <w:t xml:space="preserve">means </w:t>
      </w:r>
      <w:r>
        <w:rPr>
          <w:rFonts w:ascii="Arial" w:hAnsi="Arial" w:cs="Arial"/>
          <w:lang w:val="en-US"/>
        </w:rPr>
        <w:t xml:space="preserve">that </w:t>
      </w:r>
      <w:r>
        <w:rPr>
          <w:rFonts w:ascii="Arial" w:hAnsi="Arial" w:cs="Arial"/>
        </w:rPr>
        <w:t>schools have to work closely with businesses. Wu and Sun's (2022) study on the effects of industry-education integration also shows that this formula works, in China. Students participate in internships, cooperative programs or work-study to acquire hands-on experience and knowledge of industry. But this method also gives students a chance for practical experience, and can facilitate their later networking and employment.</w:t>
      </w:r>
    </w:p>
    <w:p>
      <w:pPr>
        <w:spacing w:line="360" w:lineRule="auto"/>
        <w:ind w:firstLine="0"/>
        <w:rPr>
          <w:rFonts w:ascii="Arial" w:hAnsi="Arial" w:cs="Arial"/>
        </w:rPr>
      </w:pPr>
      <w:r>
        <w:rPr>
          <w:rFonts w:ascii="Arial" w:hAnsi="Arial" w:cs="Arial"/>
        </w:rPr>
        <w:t>A comparative analysis of these practical teaching techniques shows that they are all eff</w:t>
      </w:r>
      <w:r>
        <w:rPr>
          <w:rFonts w:ascii="Arial" w:hAnsi="Arial" w:cs="Arial"/>
          <w:lang w:val="en-US"/>
        </w:rPr>
        <w:t>e</w:t>
      </w:r>
      <w:r>
        <w:rPr>
          <w:rFonts w:ascii="Arial" w:hAnsi="Arial" w:cs="Arial"/>
        </w:rPr>
        <w:t>ctive, but success or failure depends on a number of factors, such as nature of industry, resources and learning objectives. Apprenticeships and on-the-job training provide face-to-face workplace experience but perhaps are not easily scalable or accessible. This is where simulated learning environments play an important role, but also involve considerable technological manpower behind the scenes.</w:t>
      </w:r>
    </w:p>
    <w:p>
      <w:pPr>
        <w:pStyle w:val="3"/>
        <w:spacing w:line="360" w:lineRule="auto"/>
        <w:rPr>
          <w:rFonts w:cs="Arial"/>
          <w:szCs w:val="24"/>
        </w:rPr>
      </w:pPr>
      <w:bookmarkStart w:id="26" w:name="_Toc156776221"/>
      <w:bookmarkStart w:id="27" w:name="_Toc158819499"/>
      <w:r>
        <w:rPr>
          <w:rFonts w:cs="Arial"/>
          <w:szCs w:val="24"/>
        </w:rPr>
        <w:t>Vocational Education, Career Planning, and Employment Outcomes</w:t>
      </w:r>
      <w:bookmarkEnd w:id="26"/>
      <w:bookmarkEnd w:id="27"/>
    </w:p>
    <w:p>
      <w:pPr>
        <w:spacing w:line="360" w:lineRule="auto"/>
        <w:ind w:firstLine="0"/>
        <w:rPr>
          <w:rFonts w:ascii="Arial" w:hAnsi="Arial" w:cs="Arial"/>
        </w:rPr>
      </w:pPr>
      <w:r>
        <w:rPr>
          <w:rFonts w:ascii="Arial" w:hAnsi="Arial" w:cs="Arial"/>
        </w:rPr>
        <w:t>One of the purposes of vocational education is to guide students in their career paths and affect their choices over future employment. There have been a number of studies on the symbiotic relationship between vocational education and career planning, which reveal some keys to successful careers.</w:t>
      </w:r>
    </w:p>
    <w:p>
      <w:pPr>
        <w:spacing w:line="360" w:lineRule="auto"/>
        <w:ind w:firstLine="0"/>
        <w:rPr>
          <w:rFonts w:ascii="Arial" w:hAnsi="Arial" w:cs="Arial"/>
        </w:rPr>
      </w:pPr>
      <w:r>
        <w:rPr>
          <w:rFonts w:ascii="Arial" w:hAnsi="Arial" w:cs="Arial"/>
        </w:rPr>
        <w:t>A new longitudinal study has been carried out by Ho et al. (2022), which explores the sources of students’ perceptions of their empower ability. This study emphasizes that vocational education can have a tremendous impact on students 'career plans and help them with career planning skills. Ho et al. (2022) confirm the need for educating students in vocational education programs about their future careers, stressing that participation in career development activities at school is positively correlated with students' self-perception.</w:t>
      </w:r>
    </w:p>
    <w:p>
      <w:pPr>
        <w:spacing w:line="360" w:lineRule="auto"/>
        <w:ind w:firstLine="0"/>
        <w:rPr>
          <w:rFonts w:ascii="Arial" w:hAnsi="Arial" w:cs="Arial"/>
        </w:rPr>
      </w:pPr>
      <w:r>
        <w:rPr>
          <w:rFonts w:ascii="Arial" w:hAnsi="Arial" w:cs="Arial"/>
        </w:rPr>
        <w:t>From the perspective of factors influencing student choice of career, Xing et al. (2019)</w:t>
      </w:r>
      <w:r>
        <w:rPr>
          <w:rFonts w:ascii="Arial" w:hAnsi="Arial" w:cs="Arial"/>
          <w:lang w:val="en-US"/>
        </w:rPr>
        <w:t xml:space="preserve"> focused </w:t>
      </w:r>
      <w:r>
        <w:rPr>
          <w:rFonts w:ascii="Arial" w:hAnsi="Arial" w:cs="Arial"/>
        </w:rPr>
        <w:t>on activities employed by vocational schools and did some research into them. Research has demonstrated that project-based learning can be developed in the vocational education environment according to students' career plans, for example, by providing examples of employment in different fields which will help them understand demand and expectations from industry, as well as how their skills are related to a future job. This is in accordance with the overall goal of vocational learning, which is to help students figure out what they want and how their future work will unfold (Xing et al., 2019)</w:t>
      </w:r>
    </w:p>
    <w:p>
      <w:pPr>
        <w:spacing w:line="360" w:lineRule="auto"/>
        <w:ind w:firstLine="0"/>
        <w:rPr>
          <w:rFonts w:ascii="Arial" w:hAnsi="Arial" w:cs="Arial"/>
        </w:rPr>
      </w:pPr>
      <w:r>
        <w:rPr>
          <w:rFonts w:ascii="Arial" w:hAnsi="Arial" w:cs="Arial"/>
        </w:rPr>
        <w:t>The impacts of the integration model Wu and Sun (2022) analyze tightening behavio</w:t>
      </w:r>
      <w:r>
        <w:rPr>
          <w:rFonts w:ascii="Arial" w:hAnsi="Arial" w:cs="Arial"/>
          <w:lang w:val="en-US"/>
        </w:rPr>
        <w:t>u</w:t>
      </w:r>
      <w:r>
        <w:rPr>
          <w:rFonts w:ascii="Arial" w:hAnsi="Arial" w:cs="Arial"/>
        </w:rPr>
        <w:t>ral boundaries on college students’ psychological ecology. From this it emphasizes industry professionals’ participation in vocational education, so that students can have an understanding of career options. This kind of coordinated work would not only foster career planning but also be conducive to the psychological preparation for a job.</w:t>
      </w:r>
      <w:r>
        <w:rPr>
          <w:rFonts w:ascii="Arial" w:hAnsi="Arial" w:cs="Arial"/>
          <w:lang w:val="en-US"/>
        </w:rPr>
        <w:t xml:space="preserve"> </w:t>
      </w:r>
      <w:r>
        <w:rPr>
          <w:rFonts w:ascii="Arial" w:hAnsi="Arial" w:cs="Arial"/>
        </w:rPr>
        <w:t>Wu and Sun (2022) propose that vocational education programs which understand industry knowledge can play a strong role in helping students develop an overall career strategy.</w:t>
      </w:r>
    </w:p>
    <w:p>
      <w:pPr>
        <w:spacing w:line="360" w:lineRule="auto"/>
        <w:ind w:firstLine="0"/>
        <w:rPr>
          <w:rFonts w:ascii="Arial" w:hAnsi="Arial" w:cs="Arial"/>
        </w:rPr>
      </w:pPr>
      <w:r>
        <w:rPr>
          <w:rFonts w:ascii="Arial" w:hAnsi="Arial" w:cs="Arial"/>
        </w:rPr>
        <w:t xml:space="preserve">Practical experience has long been a panacea for vocational education, and recent research studies </w:t>
      </w:r>
      <w:r>
        <w:rPr>
          <w:rFonts w:ascii="Arial" w:hAnsi="Arial" w:cs="Arial"/>
          <w:lang w:val="en-US"/>
        </w:rPr>
        <w:t xml:space="preserve">such as </w:t>
      </w:r>
      <w:r>
        <w:rPr>
          <w:rFonts w:ascii="Arial" w:hAnsi="Arial" w:cs="Arial"/>
        </w:rPr>
        <w:t>Wu &amp; Sun, 2022</w:t>
      </w:r>
      <w:r>
        <w:rPr>
          <w:rFonts w:ascii="Arial" w:hAnsi="Arial" w:cs="Arial"/>
          <w:lang w:val="en-US"/>
        </w:rPr>
        <w:t xml:space="preserve"> and </w:t>
      </w:r>
      <w:r>
        <w:rPr>
          <w:rFonts w:ascii="Arial" w:hAnsi="Arial" w:cs="Arial"/>
        </w:rPr>
        <w:t>Mueller, 2021</w:t>
      </w:r>
      <w:r>
        <w:rPr>
          <w:rFonts w:ascii="Arial" w:hAnsi="Arial" w:cs="Arial"/>
          <w:lang w:val="en-US"/>
        </w:rPr>
        <w:t xml:space="preserve">, </w:t>
      </w:r>
      <w:r>
        <w:rPr>
          <w:rFonts w:ascii="Arial" w:hAnsi="Arial" w:cs="Arial"/>
        </w:rPr>
        <w:t>have shown that the degree of practical learning experiences in vocational schools is closely related to increased employability. Many of these research studies give much food for thought in regards to how hands-on learning does indeed affect students 'employability and their preparedness for the job market.</w:t>
      </w:r>
    </w:p>
    <w:p>
      <w:pPr>
        <w:spacing w:line="360" w:lineRule="auto"/>
        <w:ind w:firstLine="0"/>
        <w:rPr>
          <w:rFonts w:ascii="Arial" w:hAnsi="Arial" w:cs="Arial"/>
        </w:rPr>
      </w:pPr>
      <w:r>
        <w:rPr>
          <w:rFonts w:ascii="Arial" w:hAnsi="Arial" w:cs="Arial"/>
          <w:lang w:val="en-US"/>
        </w:rPr>
        <w:t>According to t</w:t>
      </w:r>
      <w:r>
        <w:rPr>
          <w:rFonts w:ascii="Arial" w:hAnsi="Arial" w:cs="Arial"/>
        </w:rPr>
        <w:t>he research done by Wu and Sun (2022) on the effect of integration in industry education has analysed this question more deeply, explaining that opportunities to obtain practical experience through internships help increase employability. Internships give students a tangible opportunity to put academic skills into practice and smooth the way from study to work. This also coincides with the views of Mueller (2022), who stresses that work experience bridges the gap between education and real life. Learning is to be practised. Internships are settings for practical learning experiences. Bridging theory and practice makes students more flexible, making them better suited to the demands of industry (Wu &amp; Sun, 2022; Mueller, 2021).</w:t>
      </w:r>
    </w:p>
    <w:p>
      <w:pPr>
        <w:spacing w:line="360" w:lineRule="auto"/>
        <w:ind w:firstLine="0"/>
        <w:rPr>
          <w:rFonts w:ascii="Arial" w:hAnsi="Arial" w:cs="Arial"/>
        </w:rPr>
      </w:pPr>
      <w:r>
        <w:rPr>
          <w:rFonts w:ascii="Arial" w:hAnsi="Arial" w:cs="Arial"/>
        </w:rPr>
        <w:t>The relationship between project-based learning and employability can be explained by the findings of the Xing et al. (2019) study, which analysed employment preparatory activities. However, this study points out that project-based learning is not only about technical training but general skills such as teamwork, communication and problem-solving. These are seen as key skills to students’ overall employability by employers. They find that being able to apply theory on projects made them feel more competent overall and made them more employable (Xing et al., 2019).</w:t>
      </w:r>
    </w:p>
    <w:p>
      <w:pPr>
        <w:spacing w:line="360" w:lineRule="auto"/>
        <w:ind w:firstLine="0"/>
        <w:rPr>
          <w:rFonts w:ascii="Arial" w:hAnsi="Arial" w:cs="Arial"/>
        </w:rPr>
      </w:pPr>
      <w:r>
        <w:rPr>
          <w:rFonts w:ascii="Arial" w:hAnsi="Arial" w:cs="Arial"/>
        </w:rPr>
        <w:t xml:space="preserve">The enterprise education model of undergraduate degrees Zhang (2014) points out that practical learning is a way to develop industry-useful skills. Research indicates that vocational education programs with practical experiences relevant to industry needs are of help in students gaining skills directly related to their job. This is part and parcel </w:t>
      </w:r>
      <w:r>
        <w:rPr>
          <w:rFonts w:ascii="Arial" w:hAnsi="Arial" w:cs="Arial"/>
          <w:lang w:val="en-US"/>
        </w:rPr>
        <w:t xml:space="preserve">of </w:t>
      </w:r>
      <w:r>
        <w:rPr>
          <w:rFonts w:ascii="Arial" w:hAnsi="Arial" w:cs="Arial"/>
        </w:rPr>
        <w:t>the broader trend about which Kenton (2003) speaks, as in which practical skills increasingly outweigh traditional educational credentials. In addition, practical learning experiences that more closely resemble industry needs, make graduates more immediately employable (Zhang, 2014; Kenton, 2023).</w:t>
      </w:r>
    </w:p>
    <w:p>
      <w:pPr>
        <w:spacing w:line="360" w:lineRule="auto"/>
        <w:ind w:firstLine="0"/>
        <w:rPr>
          <w:rFonts w:ascii="Arial" w:hAnsi="Arial" w:cs="Arial"/>
        </w:rPr>
      </w:pPr>
      <w:r>
        <w:rPr>
          <w:rFonts w:ascii="Arial" w:hAnsi="Arial" w:cs="Arial"/>
        </w:rPr>
        <w:t>Certainly, this practical learning that Ho et al. (2022) highlighted in their career development learning showed the pervasive influence of practical learning on employee employability. It turns out that practical learning does not only increase immediate job readiness but also highly contributes to future employability. However, vocational students’ career aspirations adapt to match industry requirements when they face actual workplace environments. Further, this alignment enhances the graduates’ overall employability by showing their development of vital skillsets and adaptable thinking fitted for lifelong careers (Ho et al., 2022).</w:t>
      </w:r>
    </w:p>
    <w:p>
      <w:pPr>
        <w:pStyle w:val="3"/>
        <w:spacing w:line="360" w:lineRule="auto"/>
        <w:rPr>
          <w:rFonts w:cs="Arial"/>
        </w:rPr>
      </w:pPr>
      <w:bookmarkStart w:id="28" w:name="_Toc158819500"/>
      <w:r>
        <w:rPr>
          <w:rFonts w:cs="Arial"/>
        </w:rPr>
        <w:t>Educational Impact in Chinese Junior Vocational Colleges</w:t>
      </w:r>
      <w:bookmarkEnd w:id="28"/>
    </w:p>
    <w:p>
      <w:pPr>
        <w:spacing w:line="360" w:lineRule="auto"/>
        <w:ind w:firstLine="0"/>
        <w:rPr>
          <w:rFonts w:ascii="Arial" w:hAnsi="Arial" w:cs="Arial"/>
        </w:rPr>
      </w:pPr>
      <w:r>
        <w:rPr>
          <w:rFonts w:ascii="Arial" w:hAnsi="Arial" w:cs="Arial"/>
        </w:rPr>
        <w:t>Existing literature sheds light for us. Biermann (1999) notes that China's system of vocational education lies at the core of the nation's educational structure. In this framework, the study stresses that private junior vocational colleges play a big role in providing students with practical skills which are to form such an important part of their education. (Biermann, 1999) Through a long-term study of the impact of career development learning on students 'views of their employability. Ho et al., 2022 This study uncovers the complicated relationships between practical learning experience and students 'self-assessment of their employability, revealing how vocational education influences students 'career paths.</w:t>
      </w:r>
    </w:p>
    <w:p>
      <w:pPr>
        <w:spacing w:line="360" w:lineRule="auto"/>
        <w:ind w:firstLine="0"/>
        <w:rPr>
          <w:rFonts w:ascii="Arial" w:hAnsi="Arial" w:cs="Arial"/>
        </w:rPr>
      </w:pPr>
      <w:r>
        <w:rPr>
          <w:rFonts w:ascii="Arial" w:hAnsi="Arial" w:cs="Arial"/>
        </w:rPr>
        <w:t>The following is a comparison of views on policy for technical and vocational education at the secondary school level, as reported by Huma, Rizwan, and Rafique (2022). Their research gives a richly detailed picture of the positions taken on policies concerning vocational education in China, with special attention to private junior vocational colleges. By contextualizing practical teaching methods within the broader policy framework, this analysis adds to the literature on the subject (Huma et al., 2022).</w:t>
      </w:r>
    </w:p>
    <w:p>
      <w:pPr>
        <w:spacing w:line="360" w:lineRule="auto"/>
        <w:ind w:firstLine="0"/>
        <w:rPr>
          <w:rFonts w:ascii="Arial" w:hAnsi="Arial" w:cs="Arial"/>
        </w:rPr>
      </w:pPr>
      <w:r>
        <w:rPr>
          <w:rFonts w:ascii="Arial" w:hAnsi="Arial" w:cs="Arial"/>
        </w:rPr>
        <w:t>What makes the exploration presented here quite distinctive is that it examines factors behind EFL teachers 'use of Small Private Online Courses (SPOC)-based blended learning in China's higher vocational colleges. In doing so, the study illuminates some of the difficulties teachers encounter in using practical teaching methods, and provides us with a better understanding of what is involved in bringing such an approach into Chinese classrooms (Jiang, 2022).</w:t>
      </w:r>
    </w:p>
    <w:p>
      <w:pPr>
        <w:spacing w:line="360" w:lineRule="auto"/>
        <w:ind w:firstLine="0"/>
        <w:rPr>
          <w:rFonts w:ascii="Arial" w:hAnsi="Arial" w:cs="Arial"/>
        </w:rPr>
      </w:pPr>
      <w:r>
        <w:rPr>
          <w:rFonts w:ascii="Arial" w:hAnsi="Arial" w:cs="Arial"/>
        </w:rPr>
        <w:t>The study conducted by Biermann (1999) outlines the basic significance of apprenticeships from a historical perspective. It is the transition in which theoretical knowledge becomes actual skills. This coincides well with the current trend of blending academic learning and practical skills that industries demand. On the other hand, Ho etal.'s longitudinal study provides us with key insights on the career endurance of career development learning in terms of student’s perceptions of employability (Ho et al., 2022). Information from the findings indicates that practical teaching methods not only help students prepare for immediate work but also has a long-term effect on students 'careers. This meshes with the direction of vocational education, which attempts to provide students with knowledge and skills that are adaptable in response to changing calling-market needs (Ho et al., 2022).</w:t>
      </w:r>
    </w:p>
    <w:p>
      <w:pPr>
        <w:spacing w:line="360" w:lineRule="auto"/>
        <w:ind w:firstLine="0"/>
        <w:rPr>
          <w:rFonts w:ascii="Arial" w:hAnsi="Arial" w:cs="Arial"/>
        </w:rPr>
      </w:pPr>
      <w:r>
        <w:rPr>
          <w:rFonts w:ascii="Arial" w:hAnsi="Arial" w:cs="Arial"/>
        </w:rPr>
        <w:t>Adding a layer of complexity to the debate, Huma et al. compare policy perspectives by examining broader educational policies that underpin the landscape of vocational education. Knowing the policy frameworks is important for teachers and policymakers if they are to implement effective pedagogical practices that can be linked back to overall educational aims (Huma et al., 2022). Jiang's research on factors affecting EFL teachers in applying blended learning in higher vocational colleges offers practical guidance to educators seeking to overcome difficulties and put theory into practice. This realization is required to refine educational methods and overcome obstacles to enable truly hands-on learning experiences (Jiang, 2022).</w:t>
      </w:r>
    </w:p>
    <w:p>
      <w:pPr>
        <w:pStyle w:val="3"/>
        <w:spacing w:line="360" w:lineRule="auto"/>
        <w:rPr>
          <w:rFonts w:cs="Arial"/>
        </w:rPr>
      </w:pPr>
      <w:bookmarkStart w:id="29" w:name="_Toc158819501"/>
      <w:r>
        <w:rPr>
          <w:rFonts w:cs="Arial"/>
        </w:rPr>
        <w:t>Integration of Industry and Education in Vocational Colleges</w:t>
      </w:r>
      <w:bookmarkEnd w:id="29"/>
    </w:p>
    <w:p>
      <w:pPr>
        <w:spacing w:line="360" w:lineRule="auto"/>
        <w:ind w:firstLine="0"/>
        <w:rPr>
          <w:rFonts w:ascii="Arial" w:hAnsi="Arial" w:cs="Arial"/>
        </w:rPr>
      </w:pPr>
      <w:r>
        <w:rPr>
          <w:rFonts w:ascii="Arial" w:hAnsi="Arial" w:cs="Arial"/>
        </w:rPr>
        <w:t xml:space="preserve">Vocational colleges, in particular, have become a topic of conversation among educators around the world bent on improving the effectiveness of educational systems (Biermann 1999; Zheng 2019). Industry-education integration has placed vocational education at the forefront. </w:t>
      </w:r>
    </w:p>
    <w:p>
      <w:pPr>
        <w:spacing w:line="360" w:lineRule="auto"/>
        <w:ind w:firstLine="0"/>
        <w:rPr>
          <w:rFonts w:ascii="Arial" w:hAnsi="Arial" w:cs="Arial"/>
        </w:rPr>
      </w:pPr>
      <w:r>
        <w:rPr>
          <w:rFonts w:ascii="Arial" w:hAnsi="Arial" w:cs="Arial"/>
        </w:rPr>
        <w:t xml:space="preserve">From the literature, industry education cooperation is becoming more and more clear (Huma, Rizwan &amp; Rafique 2022). The problem with integrating industrial practices into an educational framework is revealed in a thoughtful commentary by Zhang and Wang (2021) on the obstacles which stand in the way of school- enterprise cooperation in vocational education. Li's (2023) study on school-enterprise cooperation models proposes the concept of craftsman leading and collaborative education. </w:t>
      </w:r>
    </w:p>
    <w:p>
      <w:pPr>
        <w:spacing w:line="360" w:lineRule="auto"/>
        <w:ind w:firstLine="0"/>
        <w:rPr>
          <w:rFonts w:ascii="Arial" w:hAnsi="Arial" w:cs="Arial"/>
        </w:rPr>
      </w:pPr>
      <w:r>
        <w:rPr>
          <w:rFonts w:ascii="Arial" w:hAnsi="Arial" w:cs="Arial"/>
        </w:rPr>
        <w:t>More specifically, a study by Xing et al. (2019) examines whether there is any relationship between college and career preparation activities and post-high school education and employment attainment. This research shows us that the transition from school to work must be smooth. It indicates that educational curricula have to be fashioned in accordance with industrial needs. These findings taken together enables a complete perspective on the difficulties and benefits that arise when industry and education are combined in vocational colleges.</w:t>
      </w:r>
    </w:p>
    <w:p>
      <w:pPr>
        <w:spacing w:line="360" w:lineRule="auto"/>
        <w:ind w:firstLine="0"/>
        <w:rPr>
          <w:rFonts w:ascii="Arial" w:hAnsi="Arial" w:cs="Arial"/>
        </w:rPr>
      </w:pPr>
      <w:r>
        <w:rPr>
          <w:rFonts w:ascii="Arial" w:hAnsi="Arial" w:cs="Arial"/>
        </w:rPr>
        <w:t>As to organizational structures, Kenton's (2023) article points out that management teams must implement effective organization forms for companies. He stresses the need for parties involved in industry and education cooperation to be clear and coherent about various aspects of their work. These are significant insights for vocational colleges seeking to establish effective links with firms.</w:t>
      </w:r>
    </w:p>
    <w:p>
      <w:pPr>
        <w:spacing w:line="360" w:lineRule="auto"/>
        <w:ind w:firstLine="0"/>
        <w:rPr>
          <w:rFonts w:ascii="Arial" w:hAnsi="Arial" w:cs="Arial"/>
        </w:rPr>
      </w:pPr>
      <w:r>
        <w:rPr>
          <w:rFonts w:ascii="Arial" w:hAnsi="Arial" w:cs="Arial"/>
        </w:rPr>
        <w:t>As the literature shows, integrating industry and education is a complex affair, requiring an integrated approach. Although good progress has already been made, continuing research in this area is necessary to adjust the Raleigh Formula, and enhance the win-win effect between vocational education and industry needs. All parts of this body of research serve as a base for developing policies, sharing practices, and creating mutually beneficial models of collaboration that can substantially improve the quality and value of vocational education everywhere.</w:t>
      </w:r>
    </w:p>
    <w:p>
      <w:pPr>
        <w:spacing w:line="360" w:lineRule="auto"/>
        <w:ind w:firstLine="0"/>
        <w:rPr>
          <w:rFonts w:ascii="Arial" w:hAnsi="Arial" w:cs="Arial"/>
        </w:rPr>
      </w:pPr>
      <w:r>
        <w:rPr>
          <w:rFonts w:ascii="Arial" w:hAnsi="Arial" w:cs="Arial"/>
        </w:rPr>
        <w:t>Examining partnerships between learning institutions and enterprises forms an indispensable part of vocational education. The way they are set up will influence how students learn, as well as future employment prospects. The global importance of such collaborations is clear from the research landscape. The challenges and opportunities faced by education in the twenty-first century are explored in the insightful Biermann (1999) analysis of China's vocational education system, which points to partnerships with businesses as playing a key role. Therefore, the impact such partnerships can have on students' perceived employability is brought into sharp focus by Ho et al.' (2022) longitudinal study of the effects of career development learning. The research looks particularly at what enduring benefits can be seen from educational-business collaborations.</w:t>
      </w:r>
    </w:p>
    <w:p>
      <w:pPr>
        <w:spacing w:line="360" w:lineRule="auto"/>
        <w:ind w:firstLine="0"/>
        <w:rPr>
          <w:rFonts w:ascii="Arial" w:hAnsi="Arial" w:cs="Arial"/>
        </w:rPr>
      </w:pPr>
      <w:r>
        <w:rPr>
          <w:rFonts w:ascii="Arial" w:hAnsi="Arial" w:cs="Arial"/>
        </w:rPr>
        <w:t>A broader perspective of how partnerships are approached globally can be seen in their comparative analysis of policy perspectives for technical and vocational education by Huma, Rizwan, and Rafique (2022). This work examines secondary school-level policies, and provides a glimpse of different ways forward, as well as the life paths taken by students after graduation.</w:t>
      </w:r>
    </w:p>
    <w:p>
      <w:pPr>
        <w:pStyle w:val="3"/>
        <w:spacing w:line="360" w:lineRule="auto"/>
        <w:rPr>
          <w:rFonts w:cs="Arial"/>
        </w:rPr>
      </w:pPr>
      <w:bookmarkStart w:id="30" w:name="_Toc158819502"/>
      <w:r>
        <w:rPr>
          <w:rFonts w:cs="Arial"/>
        </w:rPr>
        <w:t>Recruitment Practices and Preferences of Businesses</w:t>
      </w:r>
      <w:bookmarkEnd w:id="30"/>
    </w:p>
    <w:p>
      <w:pPr>
        <w:spacing w:line="360" w:lineRule="auto"/>
        <w:ind w:firstLine="0"/>
        <w:rPr>
          <w:rFonts w:ascii="Arial" w:hAnsi="Arial" w:cs="Arial"/>
        </w:rPr>
      </w:pPr>
      <w:r>
        <w:rPr>
          <w:rFonts w:ascii="Arial" w:hAnsi="Arial" w:cs="Arial"/>
        </w:rPr>
        <w:t>The way vocational education is taught affects the practices and preferences of businesses with respect to recruitment. Our understanding of this dynamic relationship is aided by all the research that has been done. This helps us to illuminate some very important intersections between education and industry needs. In Biermann's (1999) study of China's vocational training system, the author points to practical teaching methods that link theory to real-life application. This foundational work reflects the role of practical skills in bringing students up to speed with industry expectations, and shapes recruitment techniques in a quickly changing job market.</w:t>
      </w:r>
    </w:p>
    <w:p>
      <w:pPr>
        <w:spacing w:line="360" w:lineRule="auto"/>
        <w:ind w:firstLine="0"/>
        <w:rPr>
          <w:rFonts w:ascii="Arial" w:hAnsi="Arial" w:cs="Arial"/>
        </w:rPr>
      </w:pPr>
      <w:r>
        <w:rPr>
          <w:rFonts w:ascii="Arial" w:hAnsi="Arial" w:cs="Arial"/>
        </w:rPr>
        <w:t>A longitudinal study by Ho et al. (2022) examines the impact of career development learning, arguing that it makes a contribution toward enhancing students 'perceived employability. In the process of following up with students, the research presents critical insight as to how practical teaching experiences whether in preparation for immediate marketability or not-help ensure long term employment. This is something of enormous significance to business in its human resource planning.</w:t>
      </w:r>
    </w:p>
    <w:p>
      <w:pPr>
        <w:spacing w:line="360" w:lineRule="auto"/>
        <w:ind w:firstLine="0"/>
        <w:rPr>
          <w:rFonts w:ascii="Arial" w:hAnsi="Arial" w:cs="Arial"/>
        </w:rPr>
      </w:pPr>
      <w:r>
        <w:rPr>
          <w:rFonts w:ascii="Arial" w:hAnsi="Arial" w:cs="Arial"/>
        </w:rPr>
        <w:t>A broader perspective The comparative analysis of policy perspectives by Huma, Rizwan and Rafique (2022) expands the field. It explains how different views on technical and vocational education affect recruitment practices around the world. If practical learning experiences are important for shaping policies that can keep up with industry needs, then this study points to the importance of adaptable education policies in tune with businesses.</w:t>
      </w:r>
    </w:p>
    <w:p>
      <w:pPr>
        <w:spacing w:line="360" w:lineRule="auto"/>
        <w:ind w:firstLine="0"/>
        <w:rPr>
          <w:rFonts w:ascii="Arial" w:hAnsi="Arial" w:cs="Arial"/>
        </w:rPr>
      </w:pPr>
      <w:r>
        <w:rPr>
          <w:rFonts w:ascii="Arial" w:hAnsi="Arial" w:cs="Arial"/>
        </w:rPr>
        <w:t>The psychological dimension is brought into the debate by Wu and Sun's (2022) study on the impact of integrating industry education. Through examining the psychological ecology of students involved in practical learning, the study sheds light on how from a business perspective such integrated industry education might influence their recruitment preferences.</w:t>
      </w:r>
    </w:p>
    <w:p>
      <w:pPr>
        <w:spacing w:line="360" w:lineRule="auto"/>
        <w:ind w:firstLine="0"/>
        <w:rPr>
          <w:rFonts w:ascii="Arial" w:hAnsi="Arial" w:cs="Arial"/>
        </w:rPr>
      </w:pPr>
      <w:r>
        <w:rPr>
          <w:rFonts w:ascii="Arial" w:hAnsi="Arial" w:cs="Arial"/>
        </w:rPr>
        <w:t>It is important to determine the preferences of employers with respect to hiring graduated students with practical learning experiences, and whether educational programs can be adjusted accordingly in response to changes in industry demands. China's vocational education system provides examples of research by Biermann (1999), which points up the changing expectations for employees in the twenty-first century. It also stresses that graduates have to be equipped with practical skills, highlighting the role vocational education plays in producing job-ready candidates.</w:t>
      </w:r>
    </w:p>
    <w:p>
      <w:pPr>
        <w:spacing w:line="360" w:lineRule="auto"/>
        <w:ind w:firstLine="0"/>
        <w:rPr>
          <w:rFonts w:ascii="Arial" w:hAnsi="Arial" w:cs="Arial"/>
        </w:rPr>
      </w:pPr>
      <w:r>
        <w:rPr>
          <w:rFonts w:ascii="Arial" w:hAnsi="Arial" w:cs="Arial"/>
        </w:rPr>
        <w:t>In the longitudinal study by Ho et al. (2022), it is investigated how career development learning affects students 'feeling of employability’. Nevertheless, this study provides useful information about employers 'understanding of graduates with a trajectory of long-term learning and career development. It also suggests that practical experiences play an important role in shaping employability consciousness.</w:t>
      </w:r>
    </w:p>
    <w:p>
      <w:pPr>
        <w:spacing w:line="360" w:lineRule="auto"/>
        <w:ind w:firstLine="0"/>
        <w:rPr>
          <w:rFonts w:ascii="Arial" w:hAnsi="Arial" w:cs="Arial"/>
        </w:rPr>
      </w:pPr>
      <w:r>
        <w:rPr>
          <w:rFonts w:ascii="Arial" w:hAnsi="Arial" w:cs="Arial"/>
        </w:rPr>
        <w:t>In a comparison of policy orientations, Huma, Rizwan and Rafique (2022) provide a wider view on the global desires of employers. The need for technical and vocational education graduates combining theory with application is illustrated by the review of policy frameworks. As a major party, employers are probably going to prefer candidates with educations well-suited to the shifting demands of the employment market.</w:t>
      </w:r>
    </w:p>
    <w:p>
      <w:pPr>
        <w:spacing w:line="360" w:lineRule="auto"/>
        <w:ind w:firstLine="0"/>
        <w:rPr>
          <w:rFonts w:ascii="Arial" w:hAnsi="Arial" w:cs="Arial"/>
        </w:rPr>
      </w:pPr>
      <w:r>
        <w:rPr>
          <w:rFonts w:ascii="Arial" w:hAnsi="Arial" w:cs="Arial"/>
        </w:rPr>
        <w:t>A review of psychology and education informed by the experiences of students involved in practical learning Wu and Sun (2022) shed light on the psychological ecology concerning industry integrating model. As employers are coming to appreciate the value of candidates capable of applying technical knowledge as well as possessing an appreciation for the industry's psychological complexities, they also tend to favor graduates who have higher- round educational experiences academically.</w:t>
      </w:r>
    </w:p>
    <w:p>
      <w:pPr>
        <w:pStyle w:val="3"/>
        <w:spacing w:line="360" w:lineRule="auto"/>
        <w:rPr>
          <w:rFonts w:cs="Arial"/>
        </w:rPr>
      </w:pPr>
      <w:bookmarkStart w:id="31" w:name="_Toc158819503"/>
      <w:r>
        <w:rPr>
          <w:rFonts w:cs="Arial"/>
        </w:rPr>
        <w:t>Long-Term Impact on Students' Goals and Job Preferences</w:t>
      </w:r>
      <w:bookmarkEnd w:id="31"/>
    </w:p>
    <w:p>
      <w:pPr>
        <w:spacing w:line="360" w:lineRule="auto"/>
        <w:ind w:firstLine="0"/>
        <w:rPr>
          <w:rFonts w:ascii="Arial" w:hAnsi="Arial" w:cs="Arial"/>
        </w:rPr>
      </w:pPr>
      <w:r>
        <w:rPr>
          <w:rFonts w:ascii="Arial" w:hAnsi="Arial" w:cs="Arial"/>
        </w:rPr>
        <w:t>Understanding the extent in which practical learning pays long-term benefits for students' career choices and job preferences is vital to the future of vocational education. For Biermann (1999), this exploration has its foundation in his writings on China's vocational education system, where he points out that it is important to prepare students for the problems and possibilities of a job market undergoing transformations in every direction. Ho et al. (2022), who conducted a longitudinal study of the effects of career development learning, provide important information on how sustained practical experiences mould students 'perceived employability over time. In the course of this long-term research, we gain a subtle appreciation of how students' career expectations and professional attitudes are affected by their practical learning. Alternatively, Huma (2022), Rizwan and Rafique's comparative study of policy perspectives adds an international flair to the enquiry. They explore how different educational policies influence student's lifetime career goals. Through an examination of the broader policy context, we can see the long-term effect that practical learning has in shaping students 'perspective and choice.</w:t>
      </w:r>
    </w:p>
    <w:p>
      <w:pPr>
        <w:spacing w:line="360" w:lineRule="auto"/>
        <w:ind w:firstLine="0"/>
        <w:rPr>
          <w:rFonts w:ascii="Arial" w:hAnsi="Arial" w:cs="Arial"/>
        </w:rPr>
      </w:pPr>
      <w:r>
        <w:rPr>
          <w:rFonts w:ascii="Arial" w:hAnsi="Arial" w:cs="Arial"/>
        </w:rPr>
        <w:t>With the addition of Liang’s (2020) examination of modes practical teaching. from the perspective of virtual reality, this study adds a new dimension to exploring long-term effects. Virtual reality, while used in basic teaching, would also affect students 'career planning. Through the use of advanced technologies to similar virtual scenes of their daily lives will enable them to shape future-oriented workplaces.</w:t>
      </w:r>
    </w:p>
    <w:p>
      <w:pPr>
        <w:spacing w:line="360" w:lineRule="auto"/>
        <w:ind w:firstLine="0"/>
        <w:rPr>
          <w:rFonts w:ascii="Arial" w:hAnsi="Arial" w:cs="Arial"/>
        </w:rPr>
      </w:pPr>
      <w:r>
        <w:rPr>
          <w:rFonts w:ascii="Arial" w:hAnsi="Arial" w:cs="Arial"/>
        </w:rPr>
        <w:t>Understanding the multifaceted role of vocational education Thus exploring the contribution of practical education to students 'professional development, and its effect on shaping their career aspirations--is crucially important. This assessment is placed in the broader context of Biermann's (1999) foundational research on China's vocational education system, which points out that practical learning plays a pivotal role in preparing students for the even greater complexities of work in the twenty-first century.</w:t>
      </w:r>
    </w:p>
    <w:p>
      <w:pPr>
        <w:spacing w:line="360" w:lineRule="auto"/>
        <w:ind w:firstLine="0"/>
        <w:rPr>
          <w:rFonts w:ascii="Arial" w:hAnsi="Arial" w:cs="Arial"/>
        </w:rPr>
      </w:pPr>
      <w:r>
        <w:rPr>
          <w:rFonts w:ascii="Arial" w:hAnsi="Arial" w:cs="Arial"/>
        </w:rPr>
        <w:t>Ho et al. (2022), a longitudinal study on the effects of career development learning, is one essential part of this exploration. The research, over a number of years, suggests some ways in which practical education provides students with an edge in the job market. This longitudinal perspective is essential to gain an understanding of how practical learning leads to students 'career development. It has the power to transcend those foolish academic achievements within our generation of students.</w:t>
      </w:r>
    </w:p>
    <w:p>
      <w:pPr>
        <w:spacing w:line="360" w:lineRule="auto"/>
        <w:ind w:firstLine="0"/>
        <w:rPr>
          <w:rFonts w:ascii="Arial" w:hAnsi="Arial" w:cs="Arial"/>
        </w:rPr>
      </w:pPr>
      <w:r>
        <w:rPr>
          <w:rFonts w:ascii="Arial" w:hAnsi="Arial" w:cs="Arial"/>
        </w:rPr>
        <w:t>This can help us to see through a worldly eye (Huma, Rizwan and Rafique 2022), so that we might reflect on how different policies affect the incorporation of vocational education into senior school programmes. In order to understand how practical education is actually conducted, this study explores different policy frameworks and provides a more multifaceted understanding of the matter. It also significantly broadens the space in which students can grow professionally. Jiang's (2022) study of factors encouraging teachers to implement blended learning in vocational colleges adds another perspective to the review. Knowing the barriers and openings to practical teaching methods also tells us something about what actually shapes up in students 'school experiences. This in turn affects their professional preparation and career goals. Moreover, Liang (2020) also carries out a discussion on practical teaching methods from the point of view of virtual reality, which gives the review a modern touch. But bringing virtual reality into practical education could give future generations of students’ real-life exposure to the latest technologies, which would prepare them better for tomorrow's career.</w:t>
      </w:r>
    </w:p>
    <w:p>
      <w:pPr>
        <w:pStyle w:val="3"/>
        <w:spacing w:line="360" w:lineRule="auto"/>
        <w:rPr>
          <w:rFonts w:cs="Arial"/>
        </w:rPr>
      </w:pPr>
      <w:bookmarkStart w:id="32" w:name="_Toc158819504"/>
      <w:r>
        <w:rPr>
          <w:rFonts w:cs="Arial"/>
        </w:rPr>
        <w:t>Challenges and Opportunities in School-Enterprise Cooperation</w:t>
      </w:r>
      <w:bookmarkEnd w:id="32"/>
    </w:p>
    <w:p>
      <w:pPr>
        <w:spacing w:line="360" w:lineRule="auto"/>
        <w:ind w:firstLine="0"/>
        <w:rPr>
          <w:rFonts w:ascii="Arial" w:hAnsi="Arial" w:cs="Arial"/>
        </w:rPr>
      </w:pPr>
      <w:r>
        <w:rPr>
          <w:rFonts w:ascii="Arial" w:hAnsi="Arial" w:cs="Arial"/>
        </w:rPr>
        <w:t>Many people refer to this form of collaboration between educational institutions and enterprises in vocational education as school-enterprise cooperation. This is a very mixed bag, offering both opportunities and threats. This foundational understanding is provided by Biermann's (1999) seminal work on China's vocational education system. So as we wade in and examine the problems, it is only realistic to realize that solving these problems can maximize getting the most out of school-enterprise cooperation.</w:t>
      </w:r>
    </w:p>
    <w:p>
      <w:pPr>
        <w:spacing w:line="360" w:lineRule="auto"/>
        <w:ind w:firstLine="0"/>
        <w:rPr>
          <w:rFonts w:ascii="Arial" w:hAnsi="Arial" w:cs="Arial"/>
        </w:rPr>
      </w:pPr>
      <w:r>
        <w:rPr>
          <w:rFonts w:ascii="Arial" w:hAnsi="Arial" w:cs="Arial"/>
        </w:rPr>
        <w:t>One of the main problems is the mixed policy options for technical and vocational education at the secondary school level. This was pointed out by Huma, Rizwan, and Rafique (2022). In the process of practical education integration, disparate policies can result in different approaches to it. This challenge requires a delicate understanding of the policy climate for productive cooperation.</w:t>
      </w:r>
    </w:p>
    <w:p>
      <w:pPr>
        <w:spacing w:line="360" w:lineRule="auto"/>
        <w:ind w:firstLine="0"/>
        <w:rPr>
          <w:rFonts w:ascii="Arial" w:hAnsi="Arial" w:cs="Arial"/>
        </w:rPr>
      </w:pPr>
      <w:r>
        <w:rPr>
          <w:rFonts w:ascii="Arial" w:hAnsi="Arial" w:cs="Arial"/>
        </w:rPr>
        <w:t>Another significant problem revealed in Jiang (2022)'s study of factors affecting the implementation of blended learning in vocational schools is: Practical teaching methods need to break through three kinds of barriers: technological, pedagogical and institutional. Dealing with these factors is an essential pre-condition to enhancing the effectiveness of school-enterprise cooperation.</w:t>
      </w:r>
    </w:p>
    <w:p>
      <w:pPr>
        <w:spacing w:line="360" w:lineRule="auto"/>
        <w:ind w:firstLine="0"/>
        <w:rPr>
          <w:rFonts w:ascii="Arial" w:hAnsi="Arial" w:cs="Arial"/>
        </w:rPr>
      </w:pPr>
      <w:r>
        <w:rPr>
          <w:rFonts w:ascii="Arial" w:hAnsi="Arial" w:cs="Arial"/>
        </w:rPr>
        <w:t>Li (2023) has been researching the school-enterprise cooperation mode under the mechanism of "craftsman leading collaborative education", proposing a unique challenge. In situations where old systems of education remain in place, the artisan-led approach may find opposition. For this kind of collaboration to be successful, bridging the gap between craftsmanship and common educational models becomes crucially important.</w:t>
      </w:r>
    </w:p>
    <w:p>
      <w:pPr>
        <w:spacing w:line="360" w:lineRule="auto"/>
        <w:ind w:firstLine="0"/>
        <w:rPr>
          <w:rFonts w:ascii="Arial" w:hAnsi="Arial" w:cs="Arial"/>
        </w:rPr>
      </w:pPr>
      <w:r>
        <w:rPr>
          <w:rFonts w:ascii="Arial" w:hAnsi="Arial" w:cs="Arial"/>
        </w:rPr>
        <w:t>Additionally, Zheng's (2019) case study of the exploration and implementation of cooperative education between schools and enterprises in Shanghai Publishing and Printing College illuminates’ organizational problems. Alignment Achieving productive cooperation between education and industry will involve a balancing act, in which the partnership should not unsettle established workflows. These are indeed formidable challenges, but the literature finds opportunities in school-enterprise cooperation as well. The emphasis upon practical, work-based experience that can enhance students 'employability is highlighted by Mueller (2022). This angle points to one possible channel for overcoming the gap between academic knowledge and practical application.</w:t>
      </w:r>
    </w:p>
    <w:p>
      <w:pPr>
        <w:spacing w:line="360" w:lineRule="auto"/>
        <w:ind w:firstLine="0"/>
        <w:rPr>
          <w:rFonts w:ascii="Arial" w:hAnsi="Arial" w:cs="Arial"/>
        </w:rPr>
      </w:pPr>
      <w:r>
        <w:rPr>
          <w:rFonts w:ascii="Arial" w:hAnsi="Arial" w:cs="Arial"/>
        </w:rPr>
        <w:t>Such solutions may be found in a study by Zhang and Wang (2021) which examines the problems that have hampered efforts to establish school-enterprise cooperation in vocational education. By dealing with problems regarding the tie-up of industry and education, a better environment for cooperation can be created.</w:t>
      </w:r>
    </w:p>
    <w:p>
      <w:pPr>
        <w:spacing w:line="360" w:lineRule="auto"/>
        <w:ind w:firstLine="0"/>
        <w:rPr>
          <w:rFonts w:ascii="Arial" w:hAnsi="Arial" w:cs="Arial"/>
        </w:rPr>
      </w:pPr>
      <w:r>
        <w:rPr>
          <w:rFonts w:ascii="Arial" w:hAnsi="Arial" w:cs="Arial"/>
        </w:rPr>
        <w:t>The models of cooperative education gleaned from the related fields are an array of methods for narrowing the gap between university and industry. But these models aren't just a reflection of differing industrial configurations, they also provide a very balanced assessment of their power to ease transitions for students between school and working lives.</w:t>
      </w:r>
    </w:p>
    <w:p>
      <w:pPr>
        <w:spacing w:line="360" w:lineRule="auto"/>
        <w:ind w:firstLine="0"/>
        <w:rPr>
          <w:rFonts w:ascii="Arial" w:hAnsi="Arial" w:cs="Arial"/>
        </w:rPr>
      </w:pPr>
      <w:r>
        <w:rPr>
          <w:rFonts w:ascii="Arial" w:hAnsi="Arial" w:cs="Arial"/>
        </w:rPr>
        <w:t>Although they are difficult details, this kind of thing always causes Biermann's study (1999) of China's vocational education system to stand out as a pillar. It emphasizes the importance of being adaptable, and makes it one of factors in judging models for cooperative education which must take place during a period when businesses are always changing. Ho et al.'s (2022) study on career development learning took a critical longitudinal perspective, and thus provides insight into the long term impact of cooperative education. These models for cooperative education are followed over time, the connection between different approaches to learning and lifetime employment takes on a new reality.</w:t>
      </w:r>
    </w:p>
    <w:p>
      <w:pPr>
        <w:spacing w:line="360" w:lineRule="auto"/>
        <w:ind w:firstLine="0"/>
        <w:rPr>
          <w:rFonts w:ascii="Arial" w:hAnsi="Arial" w:cs="Arial"/>
        </w:rPr>
      </w:pPr>
      <w:r>
        <w:rPr>
          <w:rFonts w:ascii="Arial" w:hAnsi="Arial" w:cs="Arial"/>
        </w:rPr>
        <w:t>Jiang (2022) in her examination of why SPOC-based blended learning has not taken off points to technological integration as a consideration.</w:t>
      </w:r>
      <w:bookmarkStart w:id="33" w:name="_Hlk158808333"/>
      <w:r>
        <w:rPr>
          <w:rFonts w:ascii="Arial" w:hAnsi="Arial" w:cs="Arial"/>
        </w:rPr>
        <w:t xml:space="preserve"> SPOC is an abbreviation for the Small Private Online Course, which is a type of the MOOC (Massive Open Online Course) model. </w:t>
      </w:r>
      <w:bookmarkEnd w:id="33"/>
      <w:r>
        <w:rPr>
          <w:rFonts w:ascii="Arial" w:hAnsi="Arial" w:cs="Arial"/>
        </w:rPr>
        <w:t xml:space="preserve">While MOOCs have no boundaries and cater to everyone, SPOCs serve a limited, closed audience, typically within a given institution or organization. They provide a mix of online and on-site teaching, where individuals receive both the convenience of distance learning and the personal engagement associated with conventional classroom environments. This study therefore provides a good reference for testing the adaptability and feasibility of cooperative models, especially those based on technology. Even in the era of rapid digital transformations, understanding these factors is critical to assessing standards for cooperative education models. </w:t>
      </w:r>
    </w:p>
    <w:p>
      <w:pPr>
        <w:pStyle w:val="3"/>
        <w:spacing w:line="360" w:lineRule="auto"/>
        <w:rPr>
          <w:rFonts w:cs="Arial"/>
        </w:rPr>
      </w:pPr>
      <w:bookmarkStart w:id="34" w:name="_Toc158819505"/>
      <w:r>
        <w:rPr>
          <w:rFonts w:cs="Arial"/>
        </w:rPr>
        <w:t>Comparative Analysis</w:t>
      </w:r>
      <w:bookmarkEnd w:id="34"/>
      <w:r>
        <w:rPr>
          <w:rFonts w:cs="Arial"/>
        </w:rPr>
        <w:t xml:space="preserve"> </w:t>
      </w:r>
    </w:p>
    <w:p>
      <w:pPr>
        <w:spacing w:line="360" w:lineRule="auto"/>
        <w:ind w:firstLine="0"/>
        <w:rPr>
          <w:rFonts w:ascii="Arial" w:hAnsi="Arial" w:cs="Arial"/>
        </w:rPr>
      </w:pPr>
      <w:r>
        <w:rPr>
          <w:rFonts w:ascii="Arial" w:hAnsi="Arial" w:cs="Arial"/>
        </w:rPr>
        <w:t>A comparative study of China's industrial education system with those in other countries offers us a clear assessment of the multifariousness and complexity of these approaches to preparing students for employment. Biermann (1999), who has studied China's vocational education system, paves the way for this comparison. He stresses that one must understand global landscapes of lifelong vocational education in the twenty-first century. Ho et al.'s (2022) longitudinal study adds to the comparative analysis by looking at how career development learning affects students 'evaluated employability. Through this research we can place a magnifying glass on the way different countries have attached various importance, both in terms of formulation and implementation, to developing students 'career readiness over time.</w:t>
      </w:r>
    </w:p>
    <w:p>
      <w:pPr>
        <w:spacing w:line="360" w:lineRule="auto"/>
        <w:ind w:firstLine="0"/>
        <w:rPr>
          <w:rFonts w:ascii="Arial" w:hAnsi="Arial" w:cs="Arial"/>
        </w:rPr>
      </w:pPr>
      <w:r>
        <w:rPr>
          <w:rFonts w:ascii="Arial" w:hAnsi="Arial" w:cs="Arial"/>
        </w:rPr>
        <w:t>From a policy point of view, HUMA et al.'s (2022) comparative analysis looks at technical and vocational education policies in secondary schools. By comparing these policies across nations, the research casts light on the different ways countries organize their vocational education systems. Understanding these policy differences is a precondition for an overall comparative study. Adding a technological dimension to the comparison, Jiang (2022) study into the factors influencing the introduction of SPOC-based blended learning in higher vocational colleges in China is also relevant. By looking at how technology is used in vocational education, we get a vantage point from which to judge the readiness of the global landscape for adaptation to actual changes occurring in education.</w:t>
      </w:r>
    </w:p>
    <w:p>
      <w:pPr>
        <w:spacing w:line="360" w:lineRule="auto"/>
        <w:ind w:firstLine="0"/>
        <w:rPr>
          <w:rFonts w:ascii="Arial" w:hAnsi="Arial" w:cs="Arial"/>
        </w:rPr>
      </w:pPr>
      <w:r>
        <w:rPr>
          <w:rFonts w:ascii="Arial" w:hAnsi="Arial" w:cs="Arial"/>
        </w:rPr>
        <w:t>Kap (n.d.) offers a comparative study of vocational education and training that adds another perspective to the international movements in vocational education. This research helps one to see that the overarching structures of vocational education systems and the relative emphasis on theoretical versus practical learning styles differ greatly. In addition, the study by Xing et al. (2019) on college and career preparation activities and their impact on education and work after leaving high school has a very practical component to adding depth to comparative analysis of these questions. Through comparing the results from such activities throughout different countries, the study offers some lessons regarding how effective various strategies have been in helping students make their way from education to working life.</w:t>
      </w:r>
    </w:p>
    <w:p>
      <w:pPr>
        <w:spacing w:line="360" w:lineRule="auto"/>
        <w:ind w:firstLine="0"/>
        <w:rPr>
          <w:rFonts w:ascii="Arial" w:hAnsi="Arial" w:cs="Arial"/>
        </w:rPr>
      </w:pPr>
      <w:r>
        <w:rPr>
          <w:rFonts w:ascii="Arial" w:hAnsi="Arial" w:cs="Arial"/>
        </w:rPr>
        <w:t>The practical study of teaching techniques and products in technical education as portrayed through the literature shows a rich wealth of approaches, with many more similarities than differences in different situations. Regarding, China's vocational education system Biermann (1999) provides some basic information on the landscape, as well as highlighting those practical skills are important in preparing students to enter the job market. In another study potentially high in effect, Ho et. al (2022) tracked the impact on students 'perceived employability over time of career development learning introduced in both primary and secondary schools in Taipei based on questionnaire responses during three sessions spread out over a two-year period. These findings indicate that if practical teaching methods are put into practice for the long term, it has a positive impact on students 'self-confidence concerning employment.</w:t>
      </w:r>
    </w:p>
    <w:p>
      <w:pPr>
        <w:spacing w:line="360" w:lineRule="auto"/>
        <w:ind w:firstLine="0"/>
        <w:rPr>
          <w:rFonts w:ascii="Arial" w:hAnsi="Arial" w:cs="Arial"/>
        </w:rPr>
      </w:pPr>
    </w:p>
    <w:p>
      <w:pPr>
        <w:pStyle w:val="2"/>
        <w:spacing w:line="360" w:lineRule="auto"/>
        <w:rPr>
          <w:rFonts w:ascii="Arial" w:hAnsi="Arial" w:cs="Arial"/>
        </w:rPr>
      </w:pPr>
      <w:bookmarkStart w:id="35" w:name="_Toc158819506"/>
      <w:r>
        <w:rPr>
          <w:rFonts w:ascii="Arial" w:hAnsi="Arial" w:cs="Arial"/>
        </w:rPr>
        <w:t>Methodology</w:t>
      </w:r>
      <w:bookmarkEnd w:id="35"/>
      <w:r>
        <w:rPr>
          <w:rFonts w:ascii="Arial" w:hAnsi="Arial" w:cs="Arial"/>
        </w:rPr>
        <w:t xml:space="preserve"> </w:t>
      </w:r>
    </w:p>
    <w:p>
      <w:pPr>
        <w:pStyle w:val="3"/>
        <w:spacing w:line="360" w:lineRule="auto"/>
        <w:rPr>
          <w:rFonts w:cs="Arial"/>
        </w:rPr>
      </w:pPr>
      <w:bookmarkStart w:id="36" w:name="_Toc158819507"/>
      <w:r>
        <w:rPr>
          <w:rFonts w:cs="Arial"/>
        </w:rPr>
        <w:t>Research Design</w:t>
      </w:r>
      <w:bookmarkEnd w:id="36"/>
      <w:r>
        <w:rPr>
          <w:rFonts w:cs="Arial"/>
        </w:rPr>
        <w:t xml:space="preserve"> </w:t>
      </w:r>
    </w:p>
    <w:p>
      <w:pPr>
        <w:spacing w:line="360" w:lineRule="auto"/>
        <w:ind w:firstLine="0"/>
        <w:rPr>
          <w:rFonts w:ascii="Arial" w:hAnsi="Arial" w:cs="Arial"/>
        </w:rPr>
      </w:pPr>
      <w:r>
        <w:rPr>
          <w:rFonts w:ascii="Arial" w:hAnsi="Arial" w:cs="Arial"/>
        </w:rPr>
        <w:t>The study design will be mixed methods as the analysis utilizes in-depth interviews and focus groups, best suitable for exploring complex perceptions and experience of participants in a private junior vocational college throughout China (Creswell &amp; Creswell, 2017). Qualitative approaches are often described as highly effective because they can generate in-depth findings and reflect the nature of phenomena, so this type is appropriate for understanding the effects of practical teaching practice within vocational training.</w:t>
      </w:r>
    </w:p>
    <w:p>
      <w:pPr>
        <w:spacing w:line="360" w:lineRule="auto"/>
        <w:ind w:firstLine="0"/>
        <w:rPr>
          <w:rFonts w:ascii="Arial" w:hAnsi="Arial" w:cs="Arial"/>
        </w:rPr>
      </w:pPr>
      <w:r>
        <w:rPr>
          <w:rFonts w:ascii="Arial" w:hAnsi="Arial" w:cs="Arial"/>
        </w:rPr>
        <w:t>As the qualitative design allows deserving the reason for its use is associated with the necessity to become aware of attitudes and views toward this process among students and teachers (Merriam &amp; Tisdell, 2016). In addition, the study has an exploratory nature that indicated the character of qualitative research which is flexibility and richness.</w:t>
      </w:r>
    </w:p>
    <w:p>
      <w:pPr>
        <w:spacing w:line="360" w:lineRule="auto"/>
        <w:ind w:firstLine="0"/>
        <w:rPr>
          <w:rFonts w:ascii="Arial" w:hAnsi="Arial" w:cs="Arial"/>
        </w:rPr>
      </w:pPr>
      <w:r>
        <w:rPr>
          <w:rFonts w:ascii="Arial" w:hAnsi="Arial" w:cs="Arial"/>
        </w:rPr>
        <w:t>In this case, the employed research method can be regarded as a mixed-method approach aimed at semi-structured interviews and questionnaires (Creswell &amp; Creswell, 2017). Probing as a technique for another level of investigation, and therefore probing into participant responses is do-able through the use of semi-structured interviews. The interviewees had been chosen with particular care to include students, teachers and enterprise staff in the major stakeholder groups.</w:t>
      </w:r>
    </w:p>
    <w:p>
      <w:pPr>
        <w:spacing w:line="360" w:lineRule="auto"/>
        <w:ind w:firstLine="0"/>
        <w:rPr>
          <w:rFonts w:ascii="Arial" w:hAnsi="Arial" w:cs="Arial"/>
        </w:rPr>
      </w:pPr>
      <w:r>
        <w:rPr>
          <w:rFonts w:ascii="Arial" w:hAnsi="Arial" w:cs="Arial"/>
        </w:rPr>
        <w:t>Questionnaires represent another type of information that gives a chance to assess quantitative data for the purpose of supporting qualitative results (Creswell &amp; Creswell, 2017). The format of the design and how to administer questionnaires is considered so that they are efficient as well as relevant in meeting research goals. The second phase of the questionnaire also uses purposive sampling that helps in choosing a wide and representative sample.</w:t>
      </w:r>
    </w:p>
    <w:p>
      <w:pPr>
        <w:spacing w:line="360" w:lineRule="auto"/>
        <w:ind w:firstLine="0"/>
        <w:rPr>
          <w:rFonts w:ascii="Arial" w:hAnsi="Arial" w:cs="Arial"/>
        </w:rPr>
      </w:pPr>
      <w:r>
        <w:rPr>
          <w:rFonts w:ascii="Arial" w:hAnsi="Arial" w:cs="Arial"/>
        </w:rPr>
        <w:t>The sampling method used in this study is purposive sampling which is a non-probability sampling technique that involves the selection of respondents based on specific criteria that they meet (Palinkas et al., 2015). This method allows the researchers to focus on the participants who have relevant experience and perspectives on applied teaching, a private lower vocational college in China. The inclusion criteria for participants targeted the period of participation in practical teaching, occupation type – students’ major or specialization, and teacher enterprise individuals.</w:t>
      </w:r>
    </w:p>
    <w:p>
      <w:pPr>
        <w:spacing w:line="360" w:lineRule="auto"/>
        <w:ind w:firstLine="0"/>
        <w:rPr>
          <w:rFonts w:ascii="Arial" w:hAnsi="Arial" w:cs="Arial"/>
        </w:rPr>
      </w:pPr>
      <w:r>
        <w:rPr>
          <w:rFonts w:ascii="Arial" w:hAnsi="Arial" w:cs="Arial"/>
        </w:rPr>
        <w:t>The justification of utilizing qualitative approaches including semi-structured interviews and questionnaires is rooted in the necessity to address the complexity of participant levels of experiences and perceptions (Merriam &amp; Tisdell, 2016). The approach employed in this study is integrated and as a result, it delivers a more detailed understanding of the outcomes created by pragmatic teaching methods. The sampling method that has been utilized in the study is deliberate leading to representative respondents and diverse ideas, broadening the outlook and depth of study. From this methodological perspective, these decisions allow me to present a detailed analysis of the influence on practical teaching mode in one Chinese private junior vocational college.</w:t>
      </w:r>
    </w:p>
    <w:p>
      <w:pPr>
        <w:pStyle w:val="3"/>
        <w:spacing w:line="360" w:lineRule="auto"/>
        <w:rPr>
          <w:rFonts w:cs="Arial"/>
        </w:rPr>
      </w:pPr>
      <w:bookmarkStart w:id="37" w:name="_Toc158819508"/>
      <w:r>
        <w:rPr>
          <w:rFonts w:cs="Arial"/>
        </w:rPr>
        <w:t>Data Collection</w:t>
      </w:r>
      <w:bookmarkEnd w:id="37"/>
      <w:r>
        <w:rPr>
          <w:rFonts w:cs="Arial"/>
        </w:rPr>
        <w:t xml:space="preserve"> </w:t>
      </w:r>
    </w:p>
    <w:p>
      <w:pPr>
        <w:spacing w:line="360" w:lineRule="auto"/>
        <w:ind w:firstLine="0"/>
        <w:rPr>
          <w:rFonts w:ascii="Arial" w:hAnsi="Arial" w:cs="Arial"/>
        </w:rPr>
      </w:pPr>
      <w:r>
        <w:rPr>
          <w:rFonts w:ascii="Arial" w:hAnsi="Arial" w:cs="Arial"/>
        </w:rPr>
        <w:t>The issue of data collection, tool validity and reliability was given a great deal of importance during the development process of tools for this study. The selected methodology reflects in particular, the combination of questionnaires and interviews that were meant to reveal a full-scale picture of the influence produced by practical teaching at a private Chinese junior vocational college.</w:t>
      </w:r>
    </w:p>
    <w:p>
      <w:pPr>
        <w:pStyle w:val="4"/>
        <w:spacing w:line="360" w:lineRule="auto"/>
        <w:rPr>
          <w:rFonts w:cs="Arial"/>
        </w:rPr>
      </w:pPr>
      <w:bookmarkStart w:id="38" w:name="_Toc158819509"/>
      <w:r>
        <w:rPr>
          <w:rFonts w:cs="Arial"/>
        </w:rPr>
        <w:t>Questionnaire Development</w:t>
      </w:r>
      <w:bookmarkEnd w:id="38"/>
    </w:p>
    <w:p>
      <w:pPr>
        <w:spacing w:line="360" w:lineRule="auto"/>
        <w:ind w:firstLine="0"/>
        <w:rPr>
          <w:rFonts w:ascii="Arial" w:hAnsi="Arial" w:cs="Arial"/>
        </w:rPr>
      </w:pPr>
      <w:r>
        <w:rPr>
          <w:rFonts w:ascii="Arial" w:hAnsi="Arial" w:cs="Arial"/>
        </w:rPr>
        <w:t>The questionnaire was designed using design principles that made sure the answers given by participants were opinionated and relevant. It was comprised of Likert scale questions and open-ended inquiries that collected both quantitative and qualitative data. Respondents were asked to answer Likert scale questions on the statements indicating their viewpoints concerning educational outcomes, career opportunities and procedure of recruitment related to practical approaches. In contrast, open-ended questions inevitably produced large answers which improved the quality of data.</w:t>
      </w:r>
    </w:p>
    <w:p>
      <w:pPr>
        <w:spacing w:line="360" w:lineRule="auto"/>
        <w:ind w:firstLine="0"/>
        <w:rPr>
          <w:rFonts w:ascii="Arial" w:hAnsi="Arial" w:cs="Arial"/>
        </w:rPr>
      </w:pPr>
      <w:r>
        <w:rPr>
          <w:rFonts w:ascii="Arial" w:hAnsi="Arial" w:cs="Arial"/>
        </w:rPr>
        <w:t>The administration of the Likert scale, an attitude and opinion measurement index which is also one of the most common scales that have been used, was able to transform the responses from qualitative to quantitative. The structured approach made it possible to conduct a systematic analysis of trends and patterns in the perceptions of the participants. The use of the Likert scale with open-ended questions provided participants with an opportunity to narrate their stories concerning practical teaching methods.</w:t>
      </w:r>
    </w:p>
    <w:p>
      <w:pPr>
        <w:pStyle w:val="4"/>
        <w:spacing w:line="360" w:lineRule="auto"/>
        <w:rPr>
          <w:rFonts w:cs="Arial"/>
        </w:rPr>
      </w:pPr>
      <w:bookmarkStart w:id="39" w:name="_Toc158819510"/>
      <w:r>
        <w:rPr>
          <w:rFonts w:cs="Arial"/>
        </w:rPr>
        <w:t>Interview Protocols</w:t>
      </w:r>
      <w:bookmarkEnd w:id="39"/>
    </w:p>
    <w:p>
      <w:pPr>
        <w:spacing w:line="360" w:lineRule="auto"/>
        <w:ind w:firstLine="0"/>
        <w:rPr>
          <w:rFonts w:ascii="Arial" w:hAnsi="Arial" w:cs="Arial"/>
        </w:rPr>
      </w:pPr>
      <w:r>
        <w:rPr>
          <w:rFonts w:ascii="Arial" w:hAnsi="Arial" w:cs="Arial"/>
        </w:rPr>
        <w:t>The interview protocols were standardized to be structured using a framework but with open-ended questions. This method provided uniformity in the conducted interviews but enabled more exploration of some aspects. The questions were structured so as to elicit information on the roles, experiences and perceptions of practical teaching among participants. Open-ended questions provided the participants with an opportunity to describe personal stories, insights and reflections that fit well into the qualitative dataset.</w:t>
      </w:r>
    </w:p>
    <w:p>
      <w:pPr>
        <w:spacing w:line="360" w:lineRule="auto"/>
        <w:ind w:firstLine="0"/>
        <w:rPr>
          <w:rFonts w:ascii="Arial" w:hAnsi="Arial" w:cs="Arial"/>
        </w:rPr>
      </w:pPr>
      <w:r>
        <w:rPr>
          <w:rFonts w:ascii="Arial" w:hAnsi="Arial" w:cs="Arial"/>
        </w:rPr>
        <w:t>The use of open-ended questions in both questionnaires and interviews is in line with the qualitative nature of this study to understand participants’ experiences for their richness and subtleties (Creswell, 2013). The use of open-ended questions enables respondents to express their thoughts freely and gives qualitative data that closed responses may not fully capture.</w:t>
      </w:r>
    </w:p>
    <w:p>
      <w:pPr>
        <w:pStyle w:val="4"/>
        <w:spacing w:line="360" w:lineRule="auto"/>
        <w:rPr>
          <w:rFonts w:cs="Arial"/>
        </w:rPr>
      </w:pPr>
      <w:bookmarkStart w:id="40" w:name="_Toc158819511"/>
      <w:r>
        <w:rPr>
          <w:rFonts w:cs="Arial"/>
        </w:rPr>
        <w:t>Pilot Testing</w:t>
      </w:r>
      <w:bookmarkEnd w:id="40"/>
    </w:p>
    <w:p>
      <w:pPr>
        <w:spacing w:line="360" w:lineRule="auto"/>
        <w:ind w:firstLine="0"/>
        <w:rPr>
          <w:rFonts w:ascii="Arial" w:hAnsi="Arial" w:cs="Arial"/>
        </w:rPr>
      </w:pPr>
      <w:r>
        <w:rPr>
          <w:rFonts w:ascii="Arial" w:hAnsi="Arial" w:cs="Arial"/>
        </w:rPr>
        <w:t>A pilot study was conducted prior to the actual phase of data collection in order to test the validity of questionnaires and interview protocols. Pilot testing employed a limited number of participants to represent the intended population. The pilot study feedback was analysed critically to uncover any ambiguities, repetition and participant challenges in understanding the questions.</w:t>
      </w:r>
    </w:p>
    <w:p>
      <w:pPr>
        <w:spacing w:line="360" w:lineRule="auto"/>
        <w:ind w:firstLine="0"/>
        <w:rPr>
          <w:rFonts w:ascii="Arial" w:hAnsi="Arial" w:cs="Arial"/>
        </w:rPr>
      </w:pPr>
      <w:r>
        <w:rPr>
          <w:rFonts w:ascii="Arial" w:hAnsi="Arial" w:cs="Arial"/>
        </w:rPr>
        <w:t>Modifications were made using suggestions from the pilot testing to enhance the accuracy and applicability of these tools. This iterative process ensured that the final questionnaire and interview protocols were adapted accordingly to fit the context of participants on private junior vocational colleges in China.</w:t>
      </w:r>
    </w:p>
    <w:p>
      <w:pPr>
        <w:pStyle w:val="3"/>
        <w:spacing w:line="360" w:lineRule="auto"/>
        <w:rPr>
          <w:rFonts w:cs="Arial"/>
        </w:rPr>
      </w:pPr>
      <w:bookmarkStart w:id="41" w:name="_Toc158819512"/>
      <w:r>
        <w:rPr>
          <w:rFonts w:cs="Arial"/>
        </w:rPr>
        <w:t>Participants</w:t>
      </w:r>
      <w:bookmarkEnd w:id="41"/>
      <w:r>
        <w:rPr>
          <w:rFonts w:cs="Arial"/>
        </w:rPr>
        <w:t xml:space="preserve"> </w:t>
      </w:r>
    </w:p>
    <w:p>
      <w:pPr>
        <w:spacing w:line="360" w:lineRule="auto"/>
        <w:ind w:firstLine="0"/>
        <w:rPr>
          <w:rFonts w:ascii="Arial" w:hAnsi="Arial" w:cs="Arial"/>
        </w:rPr>
      </w:pPr>
      <w:r>
        <w:rPr>
          <w:rFonts w:ascii="Arial" w:hAnsi="Arial" w:cs="Arial"/>
        </w:rPr>
        <w:t>The study design involved a strict process of participant selection to ensure an in-depth analysis of the impact practical teaching which was implemented in a private junior vocational college. The study engaged three distinct participant groups: The research is conducted from the perspectives of students, teachers and enterprise staff.</w:t>
      </w:r>
    </w:p>
    <w:p>
      <w:pPr>
        <w:pStyle w:val="4"/>
        <w:spacing w:line="360" w:lineRule="auto"/>
        <w:rPr>
          <w:rFonts w:cs="Arial"/>
        </w:rPr>
      </w:pPr>
      <w:bookmarkStart w:id="42" w:name="_Toc158819513"/>
      <w:r>
        <w:rPr>
          <w:rFonts w:cs="Arial"/>
        </w:rPr>
        <w:t>Student Participants</w:t>
      </w:r>
      <w:bookmarkEnd w:id="42"/>
    </w:p>
    <w:p>
      <w:pPr>
        <w:spacing w:line="360" w:lineRule="auto"/>
        <w:ind w:firstLine="0"/>
        <w:rPr>
          <w:rFonts w:ascii="Arial" w:hAnsi="Arial" w:cs="Arial"/>
        </w:rPr>
      </w:pPr>
      <w:r>
        <w:rPr>
          <w:rFonts w:ascii="Arial" w:hAnsi="Arial" w:cs="Arial"/>
        </w:rPr>
        <w:t>Students played a significant role in understanding the practical teaching effectiveness of education. The inclusion criteria included learners attending the private junior vocational college taking into account various majors, (Creswell, 2013). This approach sought for a representation in various fields of specialization within the vocational environment. For this purpose, a stratified sampling technique was applied in order to ensure that no particular major was overrepresented. The recruitment involved issuing invitations to participate through class announcements and coordination with college administrators. The aim was to provide a general perspective on the influence of practical teaching by involving a wide range of participants with different academic backgrounds.</w:t>
      </w:r>
    </w:p>
    <w:p>
      <w:pPr>
        <w:pStyle w:val="4"/>
        <w:spacing w:line="360" w:lineRule="auto"/>
        <w:rPr>
          <w:rFonts w:cs="Arial"/>
        </w:rPr>
      </w:pPr>
      <w:bookmarkStart w:id="43" w:name="_Toc158819514"/>
      <w:r>
        <w:rPr>
          <w:rFonts w:cs="Arial"/>
        </w:rPr>
        <w:t>Teacher Participants</w:t>
      </w:r>
      <w:bookmarkEnd w:id="43"/>
    </w:p>
    <w:p>
      <w:pPr>
        <w:spacing w:line="360" w:lineRule="auto"/>
        <w:ind w:firstLine="0"/>
        <w:rPr>
          <w:rFonts w:ascii="Arial" w:hAnsi="Arial" w:cs="Arial"/>
        </w:rPr>
      </w:pPr>
      <w:r>
        <w:rPr>
          <w:rFonts w:ascii="Arial" w:hAnsi="Arial" w:cs="Arial"/>
        </w:rPr>
        <w:t>Teachers were also instrumental in designing the practical teaching methods that students used in the college. The inclusion criteria emphasized the active teachers involved in delivering practical education (Creswell, 2013). The focus was made on their teaching practice and the direct implementation in practical education. The recruitment process for teachers went through the formal channels of communication within the college. Collaboration with the college administration made it possible to identify and invite some teachers who played an important role in implementing practical teaching practices. The goal was to get reflections from educators who were actively engaged in forming students’ learning activities.</w:t>
      </w:r>
    </w:p>
    <w:p>
      <w:pPr>
        <w:pStyle w:val="4"/>
        <w:spacing w:line="360" w:lineRule="auto"/>
        <w:rPr>
          <w:rFonts w:cs="Arial"/>
        </w:rPr>
      </w:pPr>
      <w:bookmarkStart w:id="44" w:name="_Toc158819515"/>
      <w:r>
        <w:rPr>
          <w:rFonts w:cs="Arial"/>
        </w:rPr>
        <w:t>Enterprise staff</w:t>
      </w:r>
      <w:bookmarkEnd w:id="44"/>
    </w:p>
    <w:p>
      <w:pPr>
        <w:spacing w:line="360" w:lineRule="auto"/>
        <w:ind w:firstLine="0"/>
        <w:rPr>
          <w:rFonts w:ascii="Arial" w:hAnsi="Arial" w:cs="Arial"/>
        </w:rPr>
      </w:pPr>
      <w:r>
        <w:rPr>
          <w:rFonts w:ascii="Arial" w:hAnsi="Arial" w:cs="Arial"/>
        </w:rPr>
        <w:t>To understand the viewpoint of the industry, enterprise staff were also added because these are people holding key positions in companies engaged with working with the vocational college. The inclusion criteria also emphasized the importance of their experience in recruitment processes and interactions with graduates from vocational colleges (Creswell, 2013). The enterprise staff were identified by working with the college’s industry partners. Participants were HR managers and other senior officials responsible for recruitment. The goal was to engage practitioners who were connected with the vocational education system.</w:t>
      </w:r>
    </w:p>
    <w:p>
      <w:pPr>
        <w:spacing w:line="360" w:lineRule="auto"/>
        <w:ind w:firstLine="0"/>
        <w:rPr>
          <w:rFonts w:ascii="Arial" w:hAnsi="Arial" w:cs="Arial"/>
        </w:rPr>
      </w:pPr>
      <w:r>
        <w:rPr>
          <w:rFonts w:ascii="Arial" w:hAnsi="Arial" w:cs="Arial"/>
        </w:rPr>
        <w:t>The ethical nature of the selection process also ensured informed consent and voluntary participation. To elucidate specifics of practical teaching effects in private junior vocational college, the study involved students, teachers and industry people.</w:t>
      </w:r>
    </w:p>
    <w:p>
      <w:pPr>
        <w:pStyle w:val="3"/>
        <w:spacing w:line="360" w:lineRule="auto"/>
        <w:rPr>
          <w:rFonts w:cs="Arial"/>
        </w:rPr>
      </w:pPr>
      <w:bookmarkStart w:id="45" w:name="_Toc158819516"/>
      <w:r>
        <w:rPr>
          <w:rFonts w:cs="Arial"/>
        </w:rPr>
        <w:t>Ethical Considerations</w:t>
      </w:r>
      <w:bookmarkEnd w:id="45"/>
      <w:r>
        <w:rPr>
          <w:rFonts w:cs="Arial"/>
        </w:rPr>
        <w:t xml:space="preserve"> </w:t>
      </w:r>
    </w:p>
    <w:p>
      <w:pPr>
        <w:spacing w:line="360" w:lineRule="auto"/>
        <w:ind w:firstLine="0"/>
        <w:rPr>
          <w:rFonts w:ascii="Arial" w:hAnsi="Arial" w:cs="Arial"/>
        </w:rPr>
      </w:pPr>
      <w:r>
        <w:rPr>
          <w:rFonts w:ascii="Arial" w:hAnsi="Arial" w:cs="Arial"/>
        </w:rPr>
        <w:t>The ethical concerns in this study were critical to ensure that the participants were safe and secure throughout the whole process. The ethical standards such as informed consent, confidentiality and data safety were followed in order to respect the rights of participants.</w:t>
      </w:r>
    </w:p>
    <w:p>
      <w:pPr>
        <w:pStyle w:val="4"/>
        <w:spacing w:line="360" w:lineRule="auto"/>
        <w:rPr>
          <w:rFonts w:cs="Arial"/>
        </w:rPr>
      </w:pPr>
      <w:bookmarkStart w:id="46" w:name="_Toc158819517"/>
      <w:r>
        <w:rPr>
          <w:rFonts w:cs="Arial"/>
        </w:rPr>
        <w:t>Informed Consent</w:t>
      </w:r>
      <w:bookmarkEnd w:id="46"/>
    </w:p>
    <w:p>
      <w:pPr>
        <w:spacing w:line="360" w:lineRule="auto"/>
        <w:ind w:firstLine="0"/>
        <w:rPr>
          <w:rFonts w:ascii="Arial" w:hAnsi="Arial" w:cs="Arial"/>
        </w:rPr>
      </w:pPr>
      <w:r>
        <w:rPr>
          <w:rFonts w:ascii="Arial" w:hAnsi="Arial" w:cs="Arial"/>
        </w:rPr>
        <w:t>The study purpose was well defined for the participants in terms of nature and purpose of the research they need to participate in (Polit &amp; Beck, 2017). The proposed manner of informed consent identified the principal feature of voluntariness thus that people did not participate in this study under coercion. The study subjects were educated that they have the right to leave the project any time without penalty. The aim was to ensure a comfortable environment with participants and as a result, create an atmosphere that makes the process of carrying out research trustworthy and honest.</w:t>
      </w:r>
    </w:p>
    <w:p>
      <w:pPr>
        <w:pStyle w:val="4"/>
        <w:spacing w:line="360" w:lineRule="auto"/>
        <w:rPr>
          <w:rFonts w:cs="Arial"/>
        </w:rPr>
      </w:pPr>
      <w:bookmarkStart w:id="47" w:name="_Toc158819518"/>
      <w:r>
        <w:rPr>
          <w:rFonts w:cs="Arial"/>
        </w:rPr>
        <w:t>Confidentiality</w:t>
      </w:r>
      <w:bookmarkEnd w:id="47"/>
    </w:p>
    <w:p>
      <w:pPr>
        <w:spacing w:line="360" w:lineRule="auto"/>
        <w:ind w:firstLine="0"/>
        <w:rPr>
          <w:rFonts w:ascii="Arial" w:hAnsi="Arial" w:cs="Arial"/>
        </w:rPr>
      </w:pPr>
      <w:r>
        <w:rPr>
          <w:rFonts w:ascii="Arial" w:hAnsi="Arial" w:cs="Arial"/>
        </w:rPr>
        <w:t>Among much other important aspects that contributed to safeguard the identity of respondents, anonymity was one of them. Resources used include the names of participants. A code or pseudonym was assigned to each respondent in the analysis field, so as not to reveal the identity of their responses and contributions. This was also because the information was stored in an enclosed place and thus making it secure from intruders. This procedure was intended at achieving the privacy of participants and to establish trust between them and the process.</w:t>
      </w:r>
    </w:p>
    <w:p>
      <w:pPr>
        <w:pStyle w:val="4"/>
        <w:spacing w:line="360" w:lineRule="auto"/>
        <w:rPr>
          <w:rFonts w:cs="Arial"/>
        </w:rPr>
      </w:pPr>
      <w:bookmarkStart w:id="48" w:name="_Toc158819519"/>
      <w:r>
        <w:rPr>
          <w:rFonts w:cs="Arial"/>
        </w:rPr>
        <w:t>Data Protection</w:t>
      </w:r>
      <w:bookmarkEnd w:id="48"/>
    </w:p>
    <w:p>
      <w:pPr>
        <w:spacing w:line="360" w:lineRule="auto"/>
        <w:ind w:firstLine="0"/>
        <w:rPr>
          <w:rFonts w:ascii="Arial" w:hAnsi="Arial" w:cs="Arial"/>
        </w:rPr>
      </w:pPr>
      <w:r>
        <w:rPr>
          <w:rFonts w:ascii="Arial" w:hAnsi="Arial" w:cs="Arial"/>
        </w:rPr>
        <w:t>In conducting this research, the privacy laws and ethical codes of data protection were adhered to (Polit &amp; Beck, 2017). All data collected were stored securely and were only accessible to the research team. The following measures were undertaken to prevent any unauthorized access or disclosure of the participant information. However, the research team assured that they would use the data for research purposes only and keep it intact and confidential where the data came from the participants.</w:t>
      </w:r>
    </w:p>
    <w:p>
      <w:pPr>
        <w:spacing w:line="360" w:lineRule="auto"/>
        <w:ind w:firstLine="0"/>
        <w:rPr>
          <w:rFonts w:ascii="Arial" w:hAnsi="Arial" w:cs="Arial"/>
        </w:rPr>
      </w:pPr>
      <w:r>
        <w:rPr>
          <w:rFonts w:ascii="Arial" w:hAnsi="Arial" w:cs="Arial"/>
        </w:rPr>
        <w:t>The UWTSD Ethics Committee that is in charge of ethical considerations reviewed and approved the above accordingly to meet the prevailing ethics standards. This study has been provided with an ethical framework on the basis of participants’ rights and their wellbeing, validity in the research process, and critical information to the field of vocational education.</w:t>
      </w:r>
    </w:p>
    <w:p>
      <w:pPr>
        <w:pStyle w:val="3"/>
        <w:spacing w:line="360" w:lineRule="auto"/>
        <w:rPr>
          <w:rFonts w:cs="Arial"/>
        </w:rPr>
      </w:pPr>
      <w:bookmarkStart w:id="49" w:name="_Toc158819520"/>
      <w:r>
        <w:rPr>
          <w:rFonts w:cs="Arial"/>
        </w:rPr>
        <w:t>Data Analysis</w:t>
      </w:r>
      <w:bookmarkEnd w:id="49"/>
      <w:r>
        <w:rPr>
          <w:rFonts w:cs="Arial"/>
        </w:rPr>
        <w:t xml:space="preserve"> </w:t>
      </w:r>
    </w:p>
    <w:p>
      <w:pPr>
        <w:spacing w:line="360" w:lineRule="auto"/>
        <w:ind w:firstLine="0"/>
        <w:rPr>
          <w:rFonts w:ascii="Arial" w:hAnsi="Arial" w:cs="Arial"/>
        </w:rPr>
      </w:pPr>
      <w:r>
        <w:rPr>
          <w:rFonts w:ascii="Arial" w:hAnsi="Arial" w:cs="Arial"/>
        </w:rPr>
        <w:t>During this study, qualitative data was analysed thematically and quantitative data was analysed statistically. Below are the details of the coding procedures, emerging themes and the qualitative and quantitative findings synthesis.</w:t>
      </w:r>
    </w:p>
    <w:p>
      <w:pPr>
        <w:pStyle w:val="4"/>
        <w:spacing w:line="360" w:lineRule="auto"/>
        <w:rPr>
          <w:rFonts w:cs="Arial"/>
        </w:rPr>
      </w:pPr>
      <w:bookmarkStart w:id="50" w:name="_Toc158819521"/>
      <w:r>
        <w:rPr>
          <w:rFonts w:cs="Arial"/>
        </w:rPr>
        <w:t>Thematic Analysis</w:t>
      </w:r>
      <w:bookmarkEnd w:id="50"/>
    </w:p>
    <w:p>
      <w:pPr>
        <w:spacing w:line="360" w:lineRule="auto"/>
        <w:ind w:firstLine="0"/>
        <w:rPr>
          <w:rFonts w:ascii="Arial" w:hAnsi="Arial" w:cs="Arial"/>
        </w:rPr>
      </w:pPr>
      <w:r>
        <w:rPr>
          <w:rFonts w:ascii="Arial" w:hAnsi="Arial" w:cs="Arial"/>
        </w:rPr>
        <w:t>Thematic analysis was used to identify patterns and themes in the qualitative data from individual interviews of teachers, students, and enterprise staff (Braun &amp; Clarke, 2006). The coding procedures were systematic and iterative. Secondly, all interview transcripts were analysed in detail to have a general idea of the content. Secondary codes were developed from primary concepts and recurrent themes in the data.</w:t>
      </w:r>
    </w:p>
    <w:p>
      <w:pPr>
        <w:spacing w:line="360" w:lineRule="auto"/>
        <w:ind w:firstLine="0"/>
        <w:rPr>
          <w:rFonts w:ascii="Arial" w:hAnsi="Arial" w:cs="Arial"/>
        </w:rPr>
      </w:pPr>
      <w:r>
        <w:rPr>
          <w:rFonts w:ascii="Arial" w:hAnsi="Arial" w:cs="Arial"/>
        </w:rPr>
        <w:t>The coding procedure was both deductive and inductive. The deductive codes were derived from the research questions and literature that could fit with defined themes about practical teaching influences, recruitment processes and student experiences. At the same time, inductive coding led to new themes that were not guided by the research questions.</w:t>
      </w:r>
    </w:p>
    <w:p>
      <w:pPr>
        <w:spacing w:line="360" w:lineRule="auto"/>
        <w:ind w:firstLine="0"/>
        <w:rPr>
          <w:rFonts w:ascii="Arial" w:hAnsi="Arial" w:cs="Arial"/>
        </w:rPr>
      </w:pPr>
      <w:r>
        <w:rPr>
          <w:rFonts w:ascii="Arial" w:hAnsi="Arial" w:cs="Arial"/>
        </w:rPr>
        <w:t>Once the codes were identified, constant comparing and coding would result in classification as overall themes and sub-themes (Braun &amp; Clarke, 2006). This cyclic process involved going back to the data, coding again, and building links between codes that would become themes. The identified themes were in relation to the research questions and their understanding of practical teaching implications.</w:t>
      </w:r>
    </w:p>
    <w:p>
      <w:pPr>
        <w:spacing w:line="360" w:lineRule="auto"/>
        <w:ind w:firstLine="0"/>
        <w:rPr>
          <w:rFonts w:ascii="Arial" w:hAnsi="Arial" w:cs="Arial"/>
        </w:rPr>
      </w:pPr>
      <w:r>
        <w:rPr>
          <w:rFonts w:ascii="Arial" w:hAnsi="Arial" w:cs="Arial"/>
        </w:rPr>
        <w:t>The thematic issues included practice teaching and implications for education, career and employment statuses, recruitment strategies, as well as students’ perspectives. To make the qualitative analysis more complex, the sub-themes of each theme were incorporated as detail and variants of the aspects in the participant’s perspective.</w:t>
      </w:r>
    </w:p>
    <w:p>
      <w:pPr>
        <w:pStyle w:val="4"/>
        <w:spacing w:line="360" w:lineRule="auto"/>
        <w:rPr>
          <w:rFonts w:cs="Arial"/>
        </w:rPr>
      </w:pPr>
      <w:bookmarkStart w:id="51" w:name="_Toc158819522"/>
      <w:r>
        <w:rPr>
          <w:rFonts w:cs="Arial"/>
        </w:rPr>
        <w:t>Integration of Quantitative Data</w:t>
      </w:r>
      <w:bookmarkEnd w:id="51"/>
    </w:p>
    <w:p>
      <w:pPr>
        <w:spacing w:line="360" w:lineRule="auto"/>
        <w:ind w:firstLine="0"/>
        <w:rPr>
          <w:rFonts w:ascii="Arial" w:hAnsi="Arial" w:cs="Arial"/>
        </w:rPr>
      </w:pPr>
      <w:r>
        <w:rPr>
          <w:rFonts w:ascii="Arial" w:hAnsi="Arial" w:cs="Arial"/>
        </w:rPr>
        <w:t>Statistical analyses were employed to analyze the quantitative data obtained from the questionnaires. The descriptive statistics used to assess the response for each of the items include frequencies and percentages. Thus, this quantitative analysis provided an opportunity to conduct a systematic evaluation of such particular beliefs or attitudes from the point of view of the respondents (Creswell &amp; Creswell, 2017).</w:t>
      </w:r>
    </w:p>
    <w:p>
      <w:pPr>
        <w:spacing w:line="360" w:lineRule="auto"/>
        <w:ind w:firstLine="0"/>
        <w:rPr>
          <w:rFonts w:ascii="Arial" w:hAnsi="Arial" w:cs="Arial"/>
        </w:rPr>
      </w:pPr>
      <w:r>
        <w:rPr>
          <w:rFonts w:ascii="Arial" w:hAnsi="Arial" w:cs="Arial"/>
        </w:rPr>
        <w:t>The aim of triangulation is to produce generalizability and repeatability in the quantitative and qualitative data and, as such, they were triangulated to produce reliable results (Creswell &amp; Creswell, 2017). Quantitative and qualitative methods were compared to find out the places where they agreed, disagreed and were not. In other words, triangulation is also used in the effort of analyzing clearer understandings on the research question by verifying both sets of data.</w:t>
      </w:r>
    </w:p>
    <w:p>
      <w:pPr>
        <w:spacing w:line="360" w:lineRule="auto"/>
        <w:ind w:firstLine="0"/>
        <w:rPr>
          <w:rFonts w:ascii="Arial" w:hAnsi="Arial" w:cs="Arial"/>
        </w:rPr>
      </w:pPr>
      <w:r>
        <w:rPr>
          <w:rFonts w:ascii="Arial" w:hAnsi="Arial" w:cs="Arial"/>
        </w:rPr>
        <w:t>In order to increase the general validity and reliability of the qualitative and quantitative findings, the method triangulation was carried out using two findings (Creswell W. J &amp; Creswell J. W 2017). To establish the place of correlation, noncorrelation or discrepancy between the qualitative and quantitative findings, a comparison was done between the qualitative themes with the quantitative results. The reconciliation of two sets of information is triangulation as one of the steps that are taken to aid in clarity on research problems.</w:t>
      </w:r>
    </w:p>
    <w:p>
      <w:pPr>
        <w:pStyle w:val="3"/>
        <w:spacing w:line="360" w:lineRule="auto"/>
        <w:rPr>
          <w:rFonts w:cs="Arial"/>
        </w:rPr>
      </w:pPr>
      <w:bookmarkStart w:id="52" w:name="_Toc158819523"/>
      <w:r>
        <w:rPr>
          <w:rFonts w:cs="Arial"/>
        </w:rPr>
        <w:t>Validity and Reliability</w:t>
      </w:r>
      <w:bookmarkEnd w:id="52"/>
    </w:p>
    <w:p>
      <w:pPr>
        <w:spacing w:line="360" w:lineRule="auto"/>
        <w:ind w:firstLine="0"/>
        <w:rPr>
          <w:rFonts w:ascii="Arial" w:hAnsi="Arial" w:cs="Arial"/>
        </w:rPr>
      </w:pPr>
      <w:r>
        <w:rPr>
          <w:rFonts w:ascii="Arial" w:hAnsi="Arial" w:cs="Arial"/>
        </w:rPr>
        <w:t>In its turn, the establishment of trustworthiness and generalizability is dependent upon the reliability and validity of research findings.</w:t>
      </w:r>
    </w:p>
    <w:p>
      <w:pPr>
        <w:pStyle w:val="4"/>
        <w:spacing w:line="360" w:lineRule="auto"/>
        <w:rPr>
          <w:rFonts w:cs="Arial"/>
        </w:rPr>
      </w:pPr>
      <w:bookmarkStart w:id="53" w:name="_Toc158819524"/>
      <w:r>
        <w:rPr>
          <w:rFonts w:cs="Arial"/>
        </w:rPr>
        <w:t>Credibility</w:t>
      </w:r>
      <w:bookmarkEnd w:id="53"/>
    </w:p>
    <w:p>
      <w:pPr>
        <w:spacing w:line="360" w:lineRule="auto"/>
        <w:ind w:firstLine="0"/>
        <w:rPr>
          <w:rFonts w:ascii="Arial" w:hAnsi="Arial" w:cs="Arial"/>
        </w:rPr>
      </w:pPr>
      <w:r>
        <w:rPr>
          <w:rFonts w:ascii="Arial" w:hAnsi="Arial" w:cs="Arial"/>
        </w:rPr>
        <w:t>As one of the main strategies to enhance validity between the qualitative findings, member checking was applied (Lincoln &amp; Guba, 1985). After this initial analysis of participants’ responses, interpretations to their patterns were repeated for the purpose of providing summaries to ensure that such interpretation accuracy did not leave out any information. With reference to this member checking cycle, the reflection of participants’ perspective would be reaffirmation of qualitative information validity.</w:t>
      </w:r>
    </w:p>
    <w:p>
      <w:pPr>
        <w:pStyle w:val="4"/>
        <w:spacing w:line="360" w:lineRule="auto"/>
        <w:rPr>
          <w:rFonts w:cs="Arial"/>
        </w:rPr>
      </w:pPr>
      <w:bookmarkStart w:id="54" w:name="_Toc158819525"/>
      <w:r>
        <w:rPr>
          <w:rFonts w:cs="Arial"/>
        </w:rPr>
        <w:t>Credibility</w:t>
      </w:r>
      <w:bookmarkEnd w:id="54"/>
    </w:p>
    <w:p>
      <w:pPr>
        <w:spacing w:line="360" w:lineRule="auto"/>
        <w:ind w:firstLine="0"/>
        <w:rPr>
          <w:rFonts w:ascii="Arial" w:hAnsi="Arial" w:cs="Arial"/>
        </w:rPr>
      </w:pPr>
      <w:r>
        <w:rPr>
          <w:rFonts w:ascii="Arial" w:hAnsi="Arial" w:cs="Arial"/>
        </w:rPr>
        <w:t>Another strategy for building credibility was peer debriefing (Lincoln &amp; Guba, 1985). Discussions were quite common in the team on steps of research, interpretations and developing findings This type of collaborative also provides peer review, criticism and detecting biases or assumptions. Through a dynamic longitudinal discussion, the research team was able to improve interpretations and ensure a valid data analysis.</w:t>
      </w:r>
    </w:p>
    <w:p>
      <w:pPr>
        <w:pStyle w:val="4"/>
        <w:spacing w:line="360" w:lineRule="auto"/>
        <w:rPr>
          <w:rFonts w:cs="Arial"/>
        </w:rPr>
      </w:pPr>
      <w:bookmarkStart w:id="55" w:name="_Toc158819526"/>
      <w:r>
        <w:rPr>
          <w:rFonts w:cs="Arial"/>
        </w:rPr>
        <w:t>Transferability</w:t>
      </w:r>
      <w:bookmarkEnd w:id="55"/>
    </w:p>
    <w:p>
      <w:pPr>
        <w:spacing w:line="360" w:lineRule="auto"/>
        <w:ind w:firstLine="0"/>
        <w:rPr>
          <w:rFonts w:ascii="Arial" w:hAnsi="Arial" w:cs="Arial"/>
        </w:rPr>
      </w:pPr>
      <w:r>
        <w:rPr>
          <w:rFonts w:ascii="Arial" w:hAnsi="Arial" w:cs="Arial"/>
        </w:rPr>
        <w:t>To increase the transferability, a detailed and precise methodological description was presented (Lincoln &amp; Guba, 1985). Designed to inform on the research design, sampling procedures, data collection methods as well as analytical techniques were provided to ensure that the reader could judge how generalizable are the findings with regard to other settings. The specificity of the description of methodology allows us to use our study results across similar contexts and, as a result increase its generalizability.</w:t>
      </w:r>
    </w:p>
    <w:p>
      <w:pPr>
        <w:pStyle w:val="4"/>
        <w:spacing w:line="360" w:lineRule="auto"/>
        <w:rPr>
          <w:rFonts w:cs="Arial"/>
        </w:rPr>
      </w:pPr>
      <w:bookmarkStart w:id="56" w:name="_Toc158819527"/>
      <w:r>
        <w:rPr>
          <w:rFonts w:cs="Arial"/>
        </w:rPr>
        <w:t>Transferability</w:t>
      </w:r>
      <w:bookmarkEnd w:id="56"/>
    </w:p>
    <w:p>
      <w:pPr>
        <w:spacing w:line="360" w:lineRule="auto"/>
        <w:ind w:firstLine="0"/>
        <w:rPr>
          <w:rFonts w:ascii="Arial" w:hAnsi="Arial" w:cs="Arial"/>
        </w:rPr>
      </w:pPr>
      <w:r>
        <w:rPr>
          <w:rFonts w:ascii="Arial" w:hAnsi="Arial" w:cs="Arial"/>
        </w:rPr>
        <w:t>Another way through which transferability is ensured is in the way the participants and the setting where the study took place are described in detail (Yin, 2018). The participants while providing responses to the questions were described in detail by their majors, years of experience, and job position. The detail at this level allows readers to assess the validity and transferability of findings in their own environments. First, the heterogeneity of opinion in the sample of participants ensures the generalization of the results.</w:t>
      </w:r>
    </w:p>
    <w:p>
      <w:pPr>
        <w:pStyle w:val="3"/>
        <w:spacing w:line="360" w:lineRule="auto"/>
        <w:rPr>
          <w:rFonts w:cs="Arial"/>
        </w:rPr>
      </w:pPr>
      <w:bookmarkStart w:id="57" w:name="_Toc158819528"/>
      <w:r>
        <w:rPr>
          <w:rFonts w:cs="Arial"/>
        </w:rPr>
        <w:t>Limitations</w:t>
      </w:r>
      <w:bookmarkEnd w:id="57"/>
      <w:r>
        <w:rPr>
          <w:rFonts w:cs="Arial"/>
        </w:rPr>
        <w:t xml:space="preserve"> </w:t>
      </w:r>
    </w:p>
    <w:p>
      <w:pPr>
        <w:spacing w:line="360" w:lineRule="auto"/>
        <w:ind w:firstLine="0"/>
        <w:rPr>
          <w:rFonts w:ascii="Arial" w:hAnsi="Arial" w:cs="Arial"/>
        </w:rPr>
      </w:pPr>
      <w:r>
        <w:rPr>
          <w:rFonts w:ascii="Arial" w:hAnsi="Arial" w:cs="Arial"/>
        </w:rPr>
        <w:t>Notably, the researcher is mindful of several limitations to consider when interpreting the findings. These factors are bias, generalization and uncontrollable factors that may have influenced the entire process of data gathering.</w:t>
      </w:r>
    </w:p>
    <w:p>
      <w:pPr>
        <w:spacing w:line="360" w:lineRule="auto"/>
        <w:ind w:firstLine="0"/>
        <w:rPr>
          <w:rFonts w:ascii="Arial" w:hAnsi="Arial" w:cs="Arial"/>
        </w:rPr>
      </w:pPr>
      <w:r>
        <w:rPr>
          <w:rFonts w:ascii="Arial" w:hAnsi="Arial" w:cs="Arial"/>
        </w:rPr>
        <w:t>The data used in the study was self-report and this can potentially lead to bias especially in the questionnaires and interviews. Response bias in this research can be when the participants give socially desirable answers or they do not give honest answers, and this can occur when the participants give socially desirable answers or they do not give honest answers. The following measures were taken to minimize this bias: confidentiality and anonymity, emphasizing the importance of honesty and truthfulness. Nevertheless, it is important to emphasize that there are shortcomings inherent in self-reported data.</w:t>
      </w:r>
    </w:p>
    <w:p>
      <w:pPr>
        <w:spacing w:line="360" w:lineRule="auto"/>
        <w:ind w:firstLine="0"/>
        <w:rPr>
          <w:rFonts w:ascii="Arial" w:hAnsi="Arial" w:cs="Arial"/>
        </w:rPr>
      </w:pPr>
      <w:r>
        <w:rPr>
          <w:rFonts w:ascii="Arial" w:hAnsi="Arial" w:cs="Arial"/>
        </w:rPr>
        <w:t>The findings are based on a particular scenario, which is the private junior vocational college in China. Even though the research was aimed at providing valuable insights into practical teaching practices in this particular setting, it would be impossible to generalize findings as regards other educational settings or countries. However, the specifics of private vocational colleges in China may be very different from public ones or those located elsewhere. Thus, it is necessary to be cautious when generalizing the results of the study from the particular setting that was studied.</w:t>
      </w:r>
    </w:p>
    <w:p>
      <w:pPr>
        <w:spacing w:line="360" w:lineRule="auto"/>
        <w:ind w:firstLine="0"/>
        <w:rPr>
          <w:rFonts w:ascii="Arial" w:hAnsi="Arial" w:cs="Arial"/>
        </w:rPr>
      </w:pPr>
      <w:r>
        <w:rPr>
          <w:rFonts w:ascii="Arial" w:hAnsi="Arial" w:cs="Arial"/>
        </w:rPr>
        <w:t>The study was longitudinal in nature and changes in the society or economy could have influenced the responses of respondents. For instance, perceptions of both students as well as representatives from industry could be influenced by global or regional economic conditions, educational policies, or unpredicted events. While the study was meant to depict a snapshot of participants’ experiences, temporal specificity caused by the dynamic nature of external factors should be addressed.</w:t>
      </w:r>
    </w:p>
    <w:p>
      <w:pPr>
        <w:spacing w:line="360" w:lineRule="auto"/>
        <w:ind w:firstLine="0"/>
        <w:rPr>
          <w:rFonts w:ascii="Arial" w:hAnsi="Arial" w:cs="Arial"/>
        </w:rPr>
      </w:pPr>
      <w:r>
        <w:rPr>
          <w:rFonts w:ascii="Arial" w:hAnsi="Arial" w:cs="Arial"/>
        </w:rPr>
        <w:t>In qualitative interviews, respondents tend to shape their responses to what they believe are the values or norms of the society. This social desirability bias may influence the expression of views about practical teaching methods and their impact by participants. Although efforts were made to create an atmosphere of non-judgmental openness during interviews, the impact of social desirability bias cannot be eliminated.</w:t>
      </w:r>
    </w:p>
    <w:p>
      <w:pPr>
        <w:spacing w:line="360" w:lineRule="auto"/>
        <w:ind w:firstLine="0"/>
        <w:rPr>
          <w:rFonts w:ascii="Arial" w:hAnsi="Arial" w:cs="Arial"/>
        </w:rPr>
      </w:pPr>
      <w:r>
        <w:rPr>
          <w:rFonts w:ascii="Arial" w:hAnsi="Arial" w:cs="Arial"/>
        </w:rPr>
        <w:t>These limitations point out directions for further research. The researchers should discuss the generalizability of findings in different settings and how cultural and contextual factors influence practical teaching methods. Longitudinal studies could also address the stability of the observed effects across time, shedding light on how much practical learning lasts.</w:t>
      </w:r>
    </w:p>
    <w:p>
      <w:pPr>
        <w:spacing w:line="360" w:lineRule="auto"/>
        <w:ind w:firstLine="0"/>
        <w:rPr>
          <w:rFonts w:ascii="Arial" w:hAnsi="Arial" w:cs="Arial"/>
          <w:kern w:val="0"/>
          <w14:ligatures w14:val="none"/>
        </w:rPr>
      </w:pPr>
    </w:p>
    <w:p>
      <w:pPr>
        <w:pStyle w:val="2"/>
        <w:spacing w:line="360" w:lineRule="auto"/>
        <w:rPr>
          <w:rFonts w:ascii="Arial" w:hAnsi="Arial" w:cs="Arial"/>
        </w:rPr>
      </w:pPr>
      <w:bookmarkStart w:id="58" w:name="_Toc158819529"/>
      <w:r>
        <w:rPr>
          <w:rFonts w:ascii="Arial" w:hAnsi="Arial" w:cs="Arial"/>
        </w:rPr>
        <w:t>Results</w:t>
      </w:r>
      <w:bookmarkEnd w:id="58"/>
    </w:p>
    <w:p>
      <w:pPr>
        <w:pStyle w:val="3"/>
        <w:spacing w:line="360" w:lineRule="auto"/>
        <w:rPr>
          <w:rFonts w:cs="Arial"/>
        </w:rPr>
      </w:pPr>
      <w:bookmarkStart w:id="59" w:name="_Toc158819530"/>
      <w:r>
        <w:rPr>
          <w:rFonts w:cs="Arial"/>
        </w:rPr>
        <w:t>Introduction</w:t>
      </w:r>
      <w:bookmarkEnd w:id="59"/>
      <w:r>
        <w:rPr>
          <w:rFonts w:cs="Arial"/>
        </w:rPr>
        <w:t xml:space="preserve"> </w:t>
      </w:r>
    </w:p>
    <w:p>
      <w:pPr>
        <w:spacing w:line="360" w:lineRule="auto"/>
        <w:ind w:firstLine="0"/>
        <w:rPr>
          <w:rFonts w:ascii="Arial" w:hAnsi="Arial" w:cs="Arial"/>
        </w:rPr>
      </w:pPr>
      <w:r>
        <w:rPr>
          <w:rFonts w:ascii="Arial" w:hAnsi="Arial" w:cs="Arial"/>
        </w:rPr>
        <w:t>The study collected data from questionnaire of forty students, interviews from one teaching staff, three students, and two enterprise staffs. The Results section offers a thorough analysis of the data collected from questionnaires and interviews that show the complicated nature of impact teaching practices based on practical applications have on students in one private junior vocational college in China. The integration of the quantitative data obtained from student questionnaire, teacher interview as well as enterprise staff interviews in general comprises to a good outcome. In order to estimate student readiness, assess the overall value of practical learning, and define its implications for their future careers, thirty-three students who have voluntarily participated in this study were carefully analysed. Additionally, interview information about the number of students studying practical teaching as well as the volume of courses spent on teaching makes a good picture of education.</w:t>
      </w:r>
    </w:p>
    <w:p>
      <w:pPr>
        <w:spacing w:line="360" w:lineRule="auto"/>
        <w:ind w:firstLine="0"/>
        <w:rPr>
          <w:rFonts w:ascii="Arial" w:hAnsi="Arial" w:cs="Arial"/>
        </w:rPr>
      </w:pPr>
      <w:r>
        <w:rPr>
          <w:rFonts w:ascii="Arial" w:hAnsi="Arial" w:cs="Arial"/>
        </w:rPr>
        <w:t>Further, qualitative data was garnered from two enterprise staff – a vice president and a technician whose interviews were conducted. Their insights also centre on modes of partnership between the college and the business practice, needs for talent, personnel selection practices, as well as practical costing approach to operation costs and talent development. This data synthesis from quantitative and qualitative research is used as a basis for sensitive analysis of the effect of practical teaching techniques, and this process is based on multidimensional aspects developed in the research objectives.</w:t>
      </w:r>
    </w:p>
    <w:p>
      <w:pPr>
        <w:pStyle w:val="3"/>
        <w:spacing w:line="360" w:lineRule="auto"/>
        <w:rPr>
          <w:rFonts w:cs="Arial"/>
        </w:rPr>
      </w:pPr>
      <w:bookmarkStart w:id="60" w:name="_Toc158819531"/>
      <w:r>
        <w:rPr>
          <w:rFonts w:cs="Arial"/>
        </w:rPr>
        <w:t>Student Perspectives on Educational Impact</w:t>
      </w:r>
      <w:bookmarkEnd w:id="60"/>
    </w:p>
    <w:p>
      <w:pPr>
        <w:spacing w:line="360" w:lineRule="auto"/>
        <w:ind w:firstLine="0"/>
        <w:rPr>
          <w:rFonts w:ascii="Arial" w:hAnsi="Arial" w:cs="Arial"/>
        </w:rPr>
      </w:pPr>
      <w:r>
        <w:rPr>
          <w:rFonts w:ascii="Arial" w:hAnsi="Arial" w:cs="Arial"/>
        </w:rPr>
        <w:t>The following key themes were revealed in the analysis of student reacting to practical teaching methods as a part of their educational effects during research on private junior vocational college students in China. These themes reveal to the willingness of students to pursue a practical learning environment, their overall impact on the education cycle as well as how it shapes their perception of career paths.</w:t>
      </w:r>
    </w:p>
    <w:p>
      <w:pPr>
        <w:spacing w:line="360" w:lineRule="auto"/>
        <w:ind w:firstLine="0"/>
        <w:rPr>
          <w:rFonts w:ascii="Arial" w:hAnsi="Arial" w:cs="Arial"/>
        </w:rPr>
      </w:pPr>
      <w:r>
        <w:rPr>
          <w:rFonts w:ascii="Arial" w:hAnsi="Arial" w:cs="Arial"/>
        </w:rPr>
        <w:t>It is from this analysis of the willingness of students to teach in practice that some interesting conclusions were obtained. The willingness to engage with practical teaching activities and opportunities during the respondents’ school years was expressed by 76% of them indicating agreement (4 and 5 scores). This shows that the learner is comfortable with active learning experiences. In fact, the 24% of neutral replies can be an indication that there is a gap to fill as far as further enquiry on the subject for effects towards students’ motivation in practical learning is concerned.</w:t>
      </w:r>
    </w:p>
    <w:p>
      <w:pPr>
        <w:spacing w:line="360" w:lineRule="auto"/>
        <w:ind w:firstLine="0"/>
        <w:rPr>
          <w:rFonts w:ascii="Arial" w:hAnsi="Arial" w:cs="Arial"/>
        </w:rPr>
      </w:pPr>
      <w:r>
        <w:rPr>
          <w:rFonts w:ascii="Arial" w:hAnsi="Arial" w:cs="Arial"/>
        </w:rPr>
        <w:t>Analysis of the levels of practical learning revealed an equal portion answering in each level. In fact, 45% of the students tended to agree on behalf of their attitude toward active involvement (scores for 4 and 5), while roughly equal people were neutral. A more detailed analysis of neutral answers can also determine particular design elements within realistic teaching that may need either remedial action or some other incentives to increase students’ engagement.</w:t>
      </w:r>
    </w:p>
    <w:p>
      <w:pPr>
        <w:spacing w:line="360" w:lineRule="auto"/>
        <w:ind w:firstLine="0"/>
        <w:rPr>
          <w:rFonts w:ascii="Arial" w:hAnsi="Arial" w:cs="Arial"/>
        </w:rPr>
      </w:pPr>
    </w:p>
    <w:p>
      <w:pPr>
        <w:keepNext/>
        <w:spacing w:line="360" w:lineRule="auto"/>
        <w:ind w:firstLine="0"/>
        <w:rPr>
          <w:rFonts w:ascii="Arial" w:hAnsi="Arial" w:cs="Arial"/>
        </w:rPr>
      </w:pPr>
      <w:r>
        <w:rPr>
          <w:rFonts w:ascii="Arial" w:hAnsi="Arial" w:cs="Arial"/>
        </w:rPr>
        <w:drawing>
          <wp:inline distT="0" distB="0" distL="0" distR="0">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pPr>
        <w:pStyle w:val="11"/>
        <w:spacing w:line="360" w:lineRule="auto"/>
        <w:ind w:firstLine="0"/>
        <w:rPr>
          <w:rFonts w:ascii="Arial" w:hAnsi="Arial" w:cs="Arial"/>
        </w:rPr>
      </w:pPr>
      <w:bookmarkStart w:id="61" w:name="_Toc157480753"/>
      <w:r>
        <w:rPr>
          <w:rFonts w:ascii="Arial" w:hAnsi="Arial" w:cs="Arial"/>
        </w:rPr>
        <w:t xml:space="preserve">Figure </w:t>
      </w:r>
      <w:r>
        <w:rPr>
          <w:rFonts w:ascii="Arial" w:hAnsi="Arial" w:cs="Arial"/>
        </w:rPr>
        <w:fldChar w:fldCharType="begin"/>
      </w:r>
      <w:r>
        <w:rPr>
          <w:rFonts w:ascii="Arial" w:hAnsi="Arial" w:cs="Arial"/>
        </w:rPr>
        <w:instrText xml:space="preserve"> SEQ Figure \* ARABIC </w:instrText>
      </w:r>
      <w:r>
        <w:rPr>
          <w:rFonts w:ascii="Arial" w:hAnsi="Arial" w:cs="Arial"/>
        </w:rPr>
        <w:fldChar w:fldCharType="separate"/>
      </w:r>
      <w:r>
        <w:rPr>
          <w:rFonts w:ascii="Arial" w:hAnsi="Arial" w:cs="Arial"/>
        </w:rPr>
        <w:t>1</w:t>
      </w:r>
      <w:r>
        <w:rPr>
          <w:rFonts w:ascii="Arial" w:hAnsi="Arial" w:cs="Arial"/>
        </w:rPr>
        <w:fldChar w:fldCharType="end"/>
      </w:r>
      <w:r>
        <w:rPr>
          <w:rFonts w:ascii="Arial" w:hAnsi="Arial" w:cs="Arial"/>
        </w:rPr>
        <w:t>: Student Responses to Willingness and Engagement</w:t>
      </w:r>
      <w:bookmarkEnd w:id="61"/>
    </w:p>
    <w:p>
      <w:pPr>
        <w:spacing w:line="360" w:lineRule="auto"/>
        <w:ind w:firstLine="0"/>
        <w:rPr>
          <w:rFonts w:ascii="Arial" w:hAnsi="Arial" w:cs="Arial"/>
        </w:rPr>
      </w:pPr>
      <w:r>
        <w:rPr>
          <w:rFonts w:ascii="Arial" w:hAnsi="Arial" w:cs="Arial"/>
        </w:rPr>
        <w:t>The study on the overall teaching experience also showed that there were positive generalizations among students. The scores in the column of practical learning are on average above 6 (rating 4 and 5). This tells that students see practical knowledge as an integral part of the theoretical opinions.</w:t>
      </w:r>
    </w:p>
    <w:p>
      <w:pPr>
        <w:spacing w:line="360" w:lineRule="auto"/>
        <w:ind w:firstLine="0"/>
        <w:rPr>
          <w:rFonts w:ascii="Arial" w:hAnsi="Arial" w:cs="Arial"/>
        </w:rPr>
      </w:pPr>
      <w:r>
        <w:rPr>
          <w:rFonts w:ascii="Arial" w:hAnsi="Arial" w:cs="Arial"/>
        </w:rPr>
        <w:t>Identification of the factors contributing to a good educational experience, revealed that changes included more practical interaction with real-world scenarios, better utilization of theoretical knowledge and new requirements in the market. All these factors together help to create an experience that is more complete.</w:t>
      </w:r>
      <w:bookmarkStart w:id="62" w:name="_Toc157480568"/>
    </w:p>
    <w:p>
      <w:pPr>
        <w:pStyle w:val="11"/>
        <w:spacing w:line="360" w:lineRule="auto"/>
        <w:ind w:firstLine="0"/>
        <w:rPr>
          <w:rFonts w:ascii="Arial" w:hAnsi="Arial" w:cs="Arial"/>
        </w:rPr>
      </w:pPr>
      <w:r>
        <w:rPr>
          <w:rFonts w:ascii="Arial" w:hAnsi="Arial" w:cs="Arial"/>
        </w:rPr>
        <w:t xml:space="preserve">Table </w:t>
      </w:r>
      <w:r>
        <w:rPr>
          <w:rFonts w:ascii="Arial" w:hAnsi="Arial" w:cs="Arial"/>
        </w:rPr>
        <w:fldChar w:fldCharType="begin"/>
      </w:r>
      <w:r>
        <w:rPr>
          <w:rFonts w:ascii="Arial" w:hAnsi="Arial" w:cs="Arial"/>
        </w:rPr>
        <w:instrText xml:space="preserve"> SEQ Table \* ARABIC </w:instrText>
      </w:r>
      <w:r>
        <w:rPr>
          <w:rFonts w:ascii="Arial" w:hAnsi="Arial" w:cs="Arial"/>
        </w:rPr>
        <w:fldChar w:fldCharType="separate"/>
      </w:r>
      <w:r>
        <w:rPr>
          <w:rFonts w:ascii="Arial" w:hAnsi="Arial" w:cs="Arial"/>
        </w:rPr>
        <w:t>1</w:t>
      </w:r>
      <w:r>
        <w:rPr>
          <w:rFonts w:ascii="Arial" w:hAnsi="Arial" w:cs="Arial"/>
        </w:rPr>
        <w:fldChar w:fldCharType="end"/>
      </w:r>
      <w:r>
        <w:rPr>
          <w:rFonts w:ascii="Arial" w:hAnsi="Arial" w:cs="Arial"/>
        </w:rPr>
        <w:t>:Summary of Responses on Overall Educational Experience</w:t>
      </w:r>
      <w:bookmarkEnd w:id="62"/>
    </w:p>
    <w:tbl>
      <w:tblPr>
        <w:tblStyle w:val="22"/>
        <w:tblW w:w="919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501"/>
        <w:gridCol w:w="1890"/>
        <w:gridCol w:w="1775"/>
        <w:gridCol w:w="1084"/>
        <w:gridCol w:w="932"/>
        <w:gridCol w:w="201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01" w:type="dxa"/>
          </w:tcPr>
          <w:p>
            <w:pPr>
              <w:spacing w:after="0" w:line="360" w:lineRule="auto"/>
              <w:ind w:firstLine="0"/>
              <w:rPr>
                <w:rFonts w:ascii="Arial" w:hAnsi="Arial" w:cs="Arial"/>
                <w:b/>
                <w:bCs/>
                <w:kern w:val="0"/>
                <w14:ligatures w14:val="none"/>
              </w:rPr>
            </w:pPr>
            <w:r>
              <w:rPr>
                <w:rFonts w:ascii="Arial" w:hAnsi="Arial" w:cs="Arial"/>
                <w:b/>
                <w:bCs/>
                <w:kern w:val="0"/>
                <w14:ligatures w14:val="none"/>
              </w:rPr>
              <w:t>Response</w:t>
            </w:r>
          </w:p>
        </w:tc>
        <w:tc>
          <w:tcPr>
            <w:tcW w:w="1890" w:type="dxa"/>
          </w:tcPr>
          <w:p>
            <w:pPr>
              <w:spacing w:after="0" w:line="360" w:lineRule="auto"/>
              <w:ind w:firstLine="0"/>
              <w:rPr>
                <w:rFonts w:ascii="Arial" w:hAnsi="Arial" w:cs="Arial"/>
                <w:b/>
                <w:bCs/>
                <w:kern w:val="0"/>
                <w14:ligatures w14:val="none"/>
              </w:rPr>
            </w:pPr>
            <w:r>
              <w:rPr>
                <w:rFonts w:ascii="Arial" w:hAnsi="Arial" w:cs="Arial"/>
                <w:b/>
                <w:bCs/>
                <w:kern w:val="0"/>
                <w14:ligatures w14:val="none"/>
              </w:rPr>
              <w:t>Strongly Opposed</w:t>
            </w:r>
          </w:p>
        </w:tc>
        <w:tc>
          <w:tcPr>
            <w:tcW w:w="1775" w:type="dxa"/>
          </w:tcPr>
          <w:p>
            <w:pPr>
              <w:spacing w:after="0" w:line="360" w:lineRule="auto"/>
              <w:ind w:firstLine="0"/>
              <w:rPr>
                <w:rFonts w:ascii="Arial" w:hAnsi="Arial" w:cs="Arial"/>
                <w:b/>
                <w:bCs/>
                <w:kern w:val="0"/>
                <w14:ligatures w14:val="none"/>
              </w:rPr>
            </w:pPr>
            <w:r>
              <w:rPr>
                <w:rFonts w:ascii="Arial" w:hAnsi="Arial" w:cs="Arial"/>
                <w:b/>
                <w:bCs/>
                <w:kern w:val="0"/>
                <w14:ligatures w14:val="none"/>
              </w:rPr>
              <w:t>Disagree</w:t>
            </w:r>
          </w:p>
        </w:tc>
        <w:tc>
          <w:tcPr>
            <w:tcW w:w="1084" w:type="dxa"/>
          </w:tcPr>
          <w:p>
            <w:pPr>
              <w:spacing w:after="0" w:line="360" w:lineRule="auto"/>
              <w:ind w:firstLine="0"/>
              <w:rPr>
                <w:rFonts w:ascii="Arial" w:hAnsi="Arial" w:cs="Arial"/>
                <w:b/>
                <w:bCs/>
                <w:kern w:val="0"/>
                <w14:ligatures w14:val="none"/>
              </w:rPr>
            </w:pPr>
            <w:r>
              <w:rPr>
                <w:rFonts w:ascii="Arial" w:hAnsi="Arial" w:cs="Arial"/>
                <w:b/>
                <w:bCs/>
                <w:kern w:val="0"/>
                <w14:ligatures w14:val="none"/>
              </w:rPr>
              <w:t>Neutral</w:t>
            </w:r>
          </w:p>
        </w:tc>
        <w:tc>
          <w:tcPr>
            <w:tcW w:w="932" w:type="dxa"/>
          </w:tcPr>
          <w:p>
            <w:pPr>
              <w:spacing w:after="0" w:line="360" w:lineRule="auto"/>
              <w:ind w:firstLine="0"/>
              <w:rPr>
                <w:rFonts w:ascii="Arial" w:hAnsi="Arial" w:cs="Arial"/>
                <w:b/>
                <w:bCs/>
                <w:kern w:val="0"/>
                <w14:ligatures w14:val="none"/>
              </w:rPr>
            </w:pPr>
            <w:r>
              <w:rPr>
                <w:rFonts w:ascii="Arial" w:hAnsi="Arial" w:cs="Arial"/>
                <w:b/>
                <w:bCs/>
                <w:kern w:val="0"/>
                <w14:ligatures w14:val="none"/>
              </w:rPr>
              <w:t>Agree</w:t>
            </w:r>
          </w:p>
        </w:tc>
        <w:tc>
          <w:tcPr>
            <w:tcW w:w="2013" w:type="dxa"/>
          </w:tcPr>
          <w:p>
            <w:pPr>
              <w:spacing w:after="0" w:line="360" w:lineRule="auto"/>
              <w:ind w:firstLine="0"/>
              <w:rPr>
                <w:rFonts w:ascii="Arial" w:hAnsi="Arial" w:cs="Arial"/>
                <w:b/>
                <w:bCs/>
                <w:kern w:val="0"/>
                <w14:ligatures w14:val="none"/>
              </w:rPr>
            </w:pPr>
            <w:r>
              <w:rPr>
                <w:rFonts w:ascii="Arial" w:hAnsi="Arial" w:cs="Arial"/>
                <w:b/>
                <w:bCs/>
                <w:kern w:val="0"/>
                <w14:ligatures w14:val="none"/>
              </w:rPr>
              <w:t>Strongly Agree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01" w:type="dxa"/>
          </w:tcPr>
          <w:p>
            <w:pPr>
              <w:spacing w:after="0" w:line="360" w:lineRule="auto"/>
              <w:ind w:firstLine="0"/>
              <w:rPr>
                <w:rFonts w:ascii="Arial" w:hAnsi="Arial" w:cs="Arial"/>
                <w:kern w:val="0"/>
                <w14:ligatures w14:val="none"/>
              </w:rPr>
            </w:pPr>
            <w:r>
              <w:rPr>
                <w:rFonts w:ascii="Arial" w:hAnsi="Arial" w:cs="Arial"/>
                <w:kern w:val="0"/>
                <w14:ligatures w14:val="none"/>
              </w:rPr>
              <w:t>Percentage</w:t>
            </w:r>
          </w:p>
        </w:tc>
        <w:tc>
          <w:tcPr>
            <w:tcW w:w="1890" w:type="dxa"/>
          </w:tcPr>
          <w:p>
            <w:pPr>
              <w:spacing w:after="0" w:line="360" w:lineRule="auto"/>
              <w:ind w:firstLine="0"/>
              <w:rPr>
                <w:rFonts w:ascii="Arial" w:hAnsi="Arial" w:cs="Arial"/>
                <w:kern w:val="0"/>
                <w14:ligatures w14:val="none"/>
              </w:rPr>
            </w:pPr>
            <w:r>
              <w:rPr>
                <w:rFonts w:ascii="Arial" w:hAnsi="Arial" w:cs="Arial"/>
                <w:kern w:val="0"/>
                <w14:ligatures w14:val="none"/>
              </w:rPr>
              <w:t>0%</w:t>
            </w:r>
          </w:p>
        </w:tc>
        <w:tc>
          <w:tcPr>
            <w:tcW w:w="1775" w:type="dxa"/>
          </w:tcPr>
          <w:p>
            <w:pPr>
              <w:spacing w:after="0" w:line="360" w:lineRule="auto"/>
              <w:ind w:firstLine="0"/>
              <w:rPr>
                <w:rFonts w:ascii="Arial" w:hAnsi="Arial" w:cs="Arial"/>
                <w:kern w:val="0"/>
                <w14:ligatures w14:val="none"/>
              </w:rPr>
            </w:pPr>
            <w:r>
              <w:rPr>
                <w:rFonts w:ascii="Arial" w:hAnsi="Arial" w:cs="Arial"/>
                <w:kern w:val="0"/>
                <w14:ligatures w14:val="none"/>
              </w:rPr>
              <w:t>0%</w:t>
            </w:r>
          </w:p>
        </w:tc>
        <w:tc>
          <w:tcPr>
            <w:tcW w:w="1084" w:type="dxa"/>
          </w:tcPr>
          <w:p>
            <w:pPr>
              <w:spacing w:after="0" w:line="360" w:lineRule="auto"/>
              <w:ind w:firstLine="0"/>
              <w:rPr>
                <w:rFonts w:ascii="Arial" w:hAnsi="Arial" w:cs="Arial"/>
                <w:kern w:val="0"/>
                <w14:ligatures w14:val="none"/>
              </w:rPr>
            </w:pPr>
            <w:r>
              <w:rPr>
                <w:rFonts w:ascii="Arial" w:hAnsi="Arial" w:cs="Arial"/>
                <w:kern w:val="0"/>
                <w14:ligatures w14:val="none"/>
              </w:rPr>
              <w:t>32%</w:t>
            </w:r>
          </w:p>
        </w:tc>
        <w:tc>
          <w:tcPr>
            <w:tcW w:w="932" w:type="dxa"/>
          </w:tcPr>
          <w:p>
            <w:pPr>
              <w:spacing w:after="0" w:line="360" w:lineRule="auto"/>
              <w:ind w:firstLine="0"/>
              <w:rPr>
                <w:rFonts w:ascii="Arial" w:hAnsi="Arial" w:cs="Arial"/>
                <w:kern w:val="0"/>
                <w14:ligatures w14:val="none"/>
              </w:rPr>
            </w:pPr>
            <w:r>
              <w:rPr>
                <w:rFonts w:ascii="Arial" w:hAnsi="Arial" w:cs="Arial"/>
                <w:kern w:val="0"/>
                <w14:ligatures w14:val="none"/>
              </w:rPr>
              <w:t>50%</w:t>
            </w:r>
          </w:p>
        </w:tc>
        <w:tc>
          <w:tcPr>
            <w:tcW w:w="2013" w:type="dxa"/>
          </w:tcPr>
          <w:p>
            <w:pPr>
              <w:spacing w:after="0" w:line="360" w:lineRule="auto"/>
              <w:ind w:firstLine="0"/>
              <w:rPr>
                <w:rFonts w:ascii="Arial" w:hAnsi="Arial" w:cs="Arial"/>
                <w:kern w:val="0"/>
                <w14:ligatures w14:val="none"/>
              </w:rPr>
            </w:pPr>
            <w:r>
              <w:rPr>
                <w:rFonts w:ascii="Arial" w:hAnsi="Arial" w:cs="Arial"/>
                <w:kern w:val="0"/>
                <w14:ligatures w14:val="none"/>
              </w:rPr>
              <w:t>18%</w:t>
            </w:r>
          </w:p>
        </w:tc>
      </w:tr>
    </w:tbl>
    <w:p>
      <w:pPr>
        <w:spacing w:line="360" w:lineRule="auto"/>
        <w:ind w:firstLine="0"/>
        <w:rPr>
          <w:rFonts w:ascii="Arial" w:hAnsi="Arial" w:cs="Arial"/>
        </w:rPr>
      </w:pPr>
    </w:p>
    <w:p>
      <w:pPr>
        <w:spacing w:line="360" w:lineRule="auto"/>
        <w:ind w:firstLine="0"/>
        <w:rPr>
          <w:rFonts w:ascii="Arial" w:hAnsi="Arial" w:cs="Arial"/>
        </w:rPr>
      </w:pPr>
      <w:r>
        <w:rPr>
          <w:rFonts w:ascii="Arial" w:hAnsi="Arial" w:cs="Arial"/>
        </w:rPr>
        <w:t>Practical teaching did have a positive effect, which was proportional to students’ understanding of their chosen field of employment. The results revealed that 63% of the students agreed (rating score 4 and 5) with the statement in which practical teaching methods facilitate their comprehension of a chosen career specialty. This implies that practices have a significant role to play in closing the gap between theory and its practical application as well as employability.</w:t>
      </w:r>
    </w:p>
    <w:p>
      <w:pPr>
        <w:spacing w:line="360" w:lineRule="auto"/>
        <w:ind w:firstLine="0"/>
        <w:rPr>
          <w:rFonts w:ascii="Arial" w:hAnsi="Arial" w:cs="Arial"/>
        </w:rPr>
      </w:pPr>
      <w:r>
        <w:rPr>
          <w:rFonts w:ascii="Arial" w:hAnsi="Arial" w:cs="Arial"/>
        </w:rPr>
        <w:t>Discussing the role of practical learning and its further implications in advancing professional insight helped uncover stories about heightened self-confidence, better industry understanding, and a stronger connection to one’s professional path. This theme highlights the paramount importance of practical teaching as one of the main tools that help students form their opinion about future professions.</w:t>
      </w:r>
    </w:p>
    <w:p>
      <w:pPr>
        <w:pStyle w:val="11"/>
        <w:spacing w:line="360" w:lineRule="auto"/>
        <w:ind w:firstLine="0"/>
        <w:rPr>
          <w:rFonts w:ascii="Arial" w:hAnsi="Arial" w:cs="Arial"/>
        </w:rPr>
      </w:pPr>
      <w:bookmarkStart w:id="63" w:name="_Toc157480754"/>
      <w:r>
        <w:rPr>
          <w:rFonts w:ascii="Arial" w:hAnsi="Arial" w:cs="Arial"/>
        </w:rPr>
        <w:t xml:space="preserve">Figure </w:t>
      </w:r>
      <w:r>
        <w:rPr>
          <w:rFonts w:ascii="Arial" w:hAnsi="Arial" w:cs="Arial"/>
        </w:rPr>
        <w:fldChar w:fldCharType="begin"/>
      </w:r>
      <w:r>
        <w:rPr>
          <w:rFonts w:ascii="Arial" w:hAnsi="Arial" w:cs="Arial"/>
        </w:rPr>
        <w:instrText xml:space="preserve"> SEQ Figure \* ARABIC </w:instrText>
      </w:r>
      <w:r>
        <w:rPr>
          <w:rFonts w:ascii="Arial" w:hAnsi="Arial" w:cs="Arial"/>
        </w:rPr>
        <w:fldChar w:fldCharType="separate"/>
      </w:r>
      <w:r>
        <w:rPr>
          <w:rFonts w:ascii="Arial" w:hAnsi="Arial" w:cs="Arial"/>
        </w:rPr>
        <w:t>2</w:t>
      </w:r>
      <w:r>
        <w:rPr>
          <w:rFonts w:ascii="Arial" w:hAnsi="Arial" w:cs="Arial"/>
        </w:rPr>
        <w:fldChar w:fldCharType="end"/>
      </w:r>
      <w:r>
        <w:rPr>
          <w:rFonts w:ascii="Arial" w:hAnsi="Arial" w:cs="Arial"/>
        </w:rPr>
        <w:t>:Comparative Analysis of Career Field Understanding</w:t>
      </w:r>
      <w:bookmarkEnd w:id="63"/>
    </w:p>
    <w:p>
      <w:pPr>
        <w:spacing w:line="360" w:lineRule="auto"/>
        <w:ind w:firstLine="0"/>
        <w:rPr>
          <w:rFonts w:ascii="Arial" w:hAnsi="Arial" w:cs="Arial"/>
        </w:rPr>
      </w:pPr>
      <w:r>
        <w:rPr>
          <w:rFonts w:ascii="Arial" w:hAnsi="Arial" w:cs="Arial"/>
        </w:rPr>
        <w:drawing>
          <wp:inline distT="0" distB="0" distL="0" distR="0">
            <wp:extent cx="6032500" cy="3435350"/>
            <wp:effectExtent l="0" t="0" r="6350" b="1270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pPr>
        <w:pStyle w:val="3"/>
        <w:spacing w:line="360" w:lineRule="auto"/>
        <w:rPr>
          <w:rFonts w:cs="Arial"/>
        </w:rPr>
      </w:pPr>
      <w:bookmarkStart w:id="64" w:name="_Toc158819532"/>
      <w:r>
        <w:rPr>
          <w:rFonts w:cs="Arial"/>
        </w:rPr>
        <w:t>Career and Employment Outcomes</w:t>
      </w:r>
      <w:bookmarkEnd w:id="64"/>
    </w:p>
    <w:p>
      <w:pPr>
        <w:spacing w:line="360" w:lineRule="auto"/>
        <w:ind w:firstLine="0"/>
        <w:rPr>
          <w:rFonts w:ascii="Arial" w:hAnsi="Arial" w:cs="Arial"/>
        </w:rPr>
      </w:pPr>
      <w:r>
        <w:rPr>
          <w:rFonts w:ascii="Arial" w:hAnsi="Arial" w:cs="Arial"/>
        </w:rPr>
        <w:t>Detailed analysis of career and employment results give a better comprehension on how an intensive hands-on learning experience affects the vocational choices students take in a private junior vocational college within Mainland China. However, a fundamental critical analysis of the data highlights some words that are highly significant in emphasizing practical experience hereby helping to change students’ views positively and better their results.</w:t>
      </w:r>
    </w:p>
    <w:p>
      <w:pPr>
        <w:spacing w:line="360" w:lineRule="auto"/>
        <w:ind w:firstLine="0"/>
        <w:rPr>
          <w:rFonts w:ascii="Arial" w:hAnsi="Arial" w:cs="Arial"/>
        </w:rPr>
      </w:pPr>
      <w:r>
        <w:rPr>
          <w:rFonts w:ascii="Arial" w:hAnsi="Arial" w:cs="Arial"/>
        </w:rPr>
        <w:t>Of the significant number 79% of informants were willing to promote the positive and practical effect that teaching compliance brought to their career-making processes. This revelation reveals how practical learning is revolutionary whereby students learn to adapt to the realities of their working life before they start practicing. Among the vital components of selective career that proved to be effective through differentiation based on reliable information appeared a number of decision-making factors such as an interplay between real life settings, observations derived from practical/industrial contacts and directions given by instructors.</w:t>
      </w:r>
    </w:p>
    <w:p>
      <w:pPr>
        <w:spacing w:line="360" w:lineRule="auto"/>
        <w:ind w:firstLine="0"/>
        <w:rPr>
          <w:rFonts w:ascii="Arial" w:hAnsi="Arial" w:cs="Arial"/>
        </w:rPr>
      </w:pPr>
      <w:r>
        <w:rPr>
          <w:rFonts w:ascii="Arial" w:hAnsi="Arial" w:cs="Arial"/>
        </w:rPr>
        <w:t>Additionally, 63% of students reported a strong relationship between practical learning and achieving their future career ambitions. This attitude serves to show that the experience of hands-on practice does not only direct students’ aspirations in the short-term academic pursuits but also leaves a lifelong impression on them. Identified as the key drivers of this favourable match were such factors as gaining relevant skills for work in industry, high self-confidence and a sophisticated idea about an ever-changing professional world.</w:t>
      </w:r>
    </w:p>
    <w:p>
      <w:pPr>
        <w:spacing w:line="360" w:lineRule="auto"/>
        <w:ind w:firstLine="0"/>
        <w:rPr>
          <w:rFonts w:ascii="Arial" w:hAnsi="Arial" w:cs="Arial"/>
        </w:rPr>
      </w:pPr>
      <w:r>
        <w:rPr>
          <w:rFonts w:ascii="Arial" w:hAnsi="Arial" w:cs="Arial"/>
        </w:rPr>
        <w:t>The research on students’ adaptability in the work environment resulted in remarkable results, as 69% witness the workers with practical teaching experience having better adaptation skills. It shows that practical learning is a transformative agent that leads to speed adaptation, enabling knowledgeable students who can understand reality in the workplace and solve problems, communicate effectively within a professional environment.</w:t>
      </w:r>
    </w:p>
    <w:p>
      <w:pPr>
        <w:spacing w:line="360" w:lineRule="auto"/>
        <w:ind w:firstLine="0"/>
        <w:rPr>
          <w:rFonts w:ascii="Arial" w:hAnsi="Arial" w:cs="Arial"/>
        </w:rPr>
      </w:pPr>
      <w:r>
        <w:rPr>
          <w:rFonts w:ascii="Arial" w:hAnsi="Arial" w:cs="Arial"/>
        </w:rPr>
        <w:t>However, the fact that about 70% of successful students claim to owe their success to practical methods again emphasizes the instrumental nature of hands-on education as a means of career attainment. Thus, the three dominating aspects that determine student career achievement are practical skills development, use of experiences acquired during vocational training but also an orientation of educational content towards industry needs.</w:t>
      </w:r>
    </w:p>
    <w:p>
      <w:pPr>
        <w:spacing w:line="360" w:lineRule="auto"/>
        <w:ind w:firstLine="0"/>
        <w:rPr>
          <w:rFonts w:ascii="Arial" w:hAnsi="Arial" w:cs="Arial"/>
        </w:rPr>
      </w:pPr>
      <w:r>
        <w:rPr>
          <w:rFonts w:ascii="Arial" w:hAnsi="Arial" w:cs="Arial"/>
        </w:rPr>
        <w:t xml:space="preserve"> </w:t>
      </w:r>
    </w:p>
    <w:p>
      <w:pPr>
        <w:spacing w:line="360" w:lineRule="auto"/>
        <w:ind w:firstLine="0"/>
        <w:rPr>
          <w:rFonts w:ascii="Arial" w:hAnsi="Arial" w:cs="Arial"/>
        </w:rPr>
      </w:pPr>
      <w:r>
        <w:rPr>
          <w:rFonts w:ascii="Arial" w:hAnsi="Arial" w:cs="Arial"/>
        </w:rPr>
        <w:drawing>
          <wp:inline distT="0" distB="0" distL="0" distR="0">
            <wp:extent cx="6153150" cy="3511550"/>
            <wp:effectExtent l="0" t="0" r="0" b="1270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pPr>
        <w:pStyle w:val="11"/>
        <w:spacing w:line="360" w:lineRule="auto"/>
        <w:ind w:firstLine="0"/>
        <w:rPr>
          <w:rFonts w:ascii="Arial" w:hAnsi="Arial" w:cs="Arial"/>
        </w:rPr>
      </w:pPr>
      <w:bookmarkStart w:id="65" w:name="_Toc157480755"/>
      <w:r>
        <w:rPr>
          <w:rFonts w:ascii="Arial" w:hAnsi="Arial" w:cs="Arial"/>
        </w:rPr>
        <w:t xml:space="preserve">Figure </w:t>
      </w:r>
      <w:r>
        <w:rPr>
          <w:rFonts w:ascii="Arial" w:hAnsi="Arial" w:cs="Arial"/>
        </w:rPr>
        <w:fldChar w:fldCharType="begin"/>
      </w:r>
      <w:r>
        <w:rPr>
          <w:rFonts w:ascii="Arial" w:hAnsi="Arial" w:cs="Arial"/>
        </w:rPr>
        <w:instrText xml:space="preserve"> SEQ Figure \* ARABIC </w:instrText>
      </w:r>
      <w:r>
        <w:rPr>
          <w:rFonts w:ascii="Arial" w:hAnsi="Arial" w:cs="Arial"/>
        </w:rPr>
        <w:fldChar w:fldCharType="separate"/>
      </w:r>
      <w:r>
        <w:rPr>
          <w:rFonts w:ascii="Arial" w:hAnsi="Arial" w:cs="Arial"/>
        </w:rPr>
        <w:t>3</w:t>
      </w:r>
      <w:r>
        <w:rPr>
          <w:rFonts w:ascii="Arial" w:hAnsi="Arial" w:cs="Arial"/>
        </w:rPr>
        <w:fldChar w:fldCharType="end"/>
      </w:r>
      <w:r>
        <w:rPr>
          <w:rFonts w:ascii="Arial" w:hAnsi="Arial" w:cs="Arial"/>
        </w:rPr>
        <w:t>:Career and Employment Outcomes in %</w:t>
      </w:r>
      <w:bookmarkEnd w:id="65"/>
    </w:p>
    <w:p>
      <w:pPr>
        <w:spacing w:line="360" w:lineRule="auto"/>
        <w:ind w:firstLine="0"/>
        <w:rPr>
          <w:rFonts w:ascii="Arial" w:hAnsi="Arial" w:cs="Arial"/>
        </w:rPr>
      </w:pPr>
      <w:r>
        <w:rPr>
          <w:rFonts w:ascii="Arial" w:hAnsi="Arial" w:cs="Arial"/>
        </w:rPr>
        <w:t>The image above depicts how the results cover all aspects of a functional practice scenario that guides informed career decisions, long-term goal achievement, higher professional adaptability and eventually providing career success. This appreciation illuminates the centrality of concrete learning practices that are intended to equip students with skills relevant in a dynamic and changing environment, which is their chosen profession entails. As a proof of the effectiveness of practical education, there have been empirical research results that show symbiotic relation between hands-on experience and positive career outcome.</w:t>
      </w:r>
    </w:p>
    <w:p>
      <w:pPr>
        <w:pStyle w:val="3"/>
        <w:spacing w:line="360" w:lineRule="auto"/>
        <w:rPr>
          <w:rFonts w:cs="Arial"/>
        </w:rPr>
      </w:pPr>
      <w:bookmarkStart w:id="66" w:name="_Toc158819533"/>
      <w:r>
        <w:rPr>
          <w:rFonts w:cs="Arial"/>
        </w:rPr>
        <w:t>School and Enterprise Perspectives on Recruitment Practices</w:t>
      </w:r>
      <w:bookmarkEnd w:id="66"/>
    </w:p>
    <w:p>
      <w:pPr>
        <w:spacing w:line="360" w:lineRule="auto"/>
        <w:ind w:firstLine="0"/>
        <w:rPr>
          <w:rFonts w:ascii="Arial" w:hAnsi="Arial" w:cs="Arial"/>
        </w:rPr>
      </w:pPr>
      <w:r>
        <w:rPr>
          <w:rFonts w:ascii="Arial" w:hAnsi="Arial" w:cs="Arial"/>
        </w:rPr>
        <w:t>This analysis of the viability of college support regarding internships and practical experiences is a valuable resource in understanding how educational establishments place students into real-world interactions. It gets clear from the analysis that a significant portion of the respondents (64%) considered that support provided by the college to internships was effective. This positive view reflects that the efforts the college puts in by building and maintaining ties with industries, obtaining internships positions, and assisting throughout their period negatively impact students. Of great importance is the efficacy of the college in providing a suitable environment for practical experiences because this helps to ensure students are prepared for the workforce.</w:t>
      </w:r>
    </w:p>
    <w:p>
      <w:pPr>
        <w:spacing w:line="360" w:lineRule="auto"/>
        <w:ind w:firstLine="0"/>
        <w:rPr>
          <w:rFonts w:ascii="Arial" w:hAnsi="Arial" w:cs="Arial"/>
        </w:rPr>
      </w:pPr>
      <w:r>
        <w:rPr>
          <w:rFonts w:ascii="Arial" w:hAnsi="Arial" w:cs="Arial"/>
        </w:rPr>
        <w:t>This acceptance of the enterprises is to hire students with practical teaching that has been a critical factor in understanding the trend of job search. It is also evident that 82% of respondents recognized how enterprises preferred hiring learners with a practical knowledge background. This inclination is very well a reflection of the pragmatic relevance and worth as perceived by employers to practical experiences that could be gained in the structural process of learning pursuant to an individual’s journey through his or her education. The connection between the way of teaching and industry needs in the following sentence becomes clear, highlighting a utilitarian impact on students’ future satisfaction as competitive job candidates.</w:t>
      </w:r>
    </w:p>
    <w:p>
      <w:pPr>
        <w:pStyle w:val="11"/>
        <w:spacing w:line="360" w:lineRule="auto"/>
        <w:ind w:firstLine="0"/>
        <w:rPr>
          <w:rFonts w:ascii="Arial" w:hAnsi="Arial" w:cs="Arial"/>
        </w:rPr>
      </w:pPr>
      <w:bookmarkStart w:id="67" w:name="_Toc157480569"/>
      <w:r>
        <w:rPr>
          <w:rFonts w:ascii="Arial" w:hAnsi="Arial" w:cs="Arial"/>
        </w:rPr>
        <w:t xml:space="preserve">Table </w:t>
      </w:r>
      <w:r>
        <w:rPr>
          <w:rFonts w:ascii="Arial" w:hAnsi="Arial" w:cs="Arial"/>
        </w:rPr>
        <w:fldChar w:fldCharType="begin"/>
      </w:r>
      <w:r>
        <w:rPr>
          <w:rFonts w:ascii="Arial" w:hAnsi="Arial" w:cs="Arial"/>
        </w:rPr>
        <w:instrText xml:space="preserve"> SEQ Table \* ARABIC </w:instrText>
      </w:r>
      <w:r>
        <w:rPr>
          <w:rFonts w:ascii="Arial" w:hAnsi="Arial" w:cs="Arial"/>
        </w:rPr>
        <w:fldChar w:fldCharType="separate"/>
      </w:r>
      <w:r>
        <w:rPr>
          <w:rFonts w:ascii="Arial" w:hAnsi="Arial" w:cs="Arial"/>
        </w:rPr>
        <w:t>2</w:t>
      </w:r>
      <w:r>
        <w:rPr>
          <w:rFonts w:ascii="Arial" w:hAnsi="Arial" w:cs="Arial"/>
        </w:rPr>
        <w:fldChar w:fldCharType="end"/>
      </w:r>
      <w:r>
        <w:rPr>
          <w:rFonts w:ascii="Arial" w:hAnsi="Arial" w:cs="Arial"/>
        </w:rPr>
        <w:t>:Comparative Analysis of School and Enterprise Perspectives</w:t>
      </w:r>
      <w:bookmarkEnd w:id="67"/>
    </w:p>
    <w:tbl>
      <w:tblPr>
        <w:tblStyle w:val="22"/>
        <w:tblW w:w="8333"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307"/>
        <w:gridCol w:w="3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18" w:hRule="atLeast"/>
        </w:trPr>
        <w:tc>
          <w:tcPr>
            <w:tcW w:w="0" w:type="auto"/>
          </w:tcPr>
          <w:p>
            <w:pPr>
              <w:spacing w:after="0" w:line="360" w:lineRule="auto"/>
              <w:ind w:firstLine="0"/>
              <w:rPr>
                <w:rFonts w:ascii="Arial" w:hAnsi="Arial" w:cs="Arial"/>
                <w:b/>
                <w:bCs/>
                <w:kern w:val="0"/>
                <w14:ligatures w14:val="none"/>
              </w:rPr>
            </w:pPr>
            <w:r>
              <w:rPr>
                <w:rFonts w:ascii="Arial" w:hAnsi="Arial" w:cs="Arial"/>
                <w:b/>
                <w:bCs/>
                <w:kern w:val="0"/>
                <w14:ligatures w14:val="none"/>
              </w:rPr>
              <w:t>Themes</w:t>
            </w:r>
          </w:p>
        </w:tc>
        <w:tc>
          <w:tcPr>
            <w:tcW w:w="0" w:type="auto"/>
          </w:tcPr>
          <w:p>
            <w:pPr>
              <w:spacing w:after="0" w:line="360" w:lineRule="auto"/>
              <w:ind w:firstLine="0"/>
              <w:rPr>
                <w:rFonts w:ascii="Arial" w:hAnsi="Arial" w:cs="Arial"/>
                <w:b/>
                <w:bCs/>
                <w:kern w:val="0"/>
                <w14:ligatures w14:val="none"/>
              </w:rPr>
            </w:pPr>
            <w:r>
              <w:rPr>
                <w:rFonts w:ascii="Arial" w:hAnsi="Arial" w:cs="Arial"/>
                <w:b/>
                <w:bCs/>
                <w:kern w:val="0"/>
                <w14:ligatures w14:val="none"/>
              </w:rPr>
              <w:t>Positive Perception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18" w:hRule="atLeast"/>
        </w:trPr>
        <w:tc>
          <w:tcPr>
            <w:tcW w:w="0" w:type="auto"/>
          </w:tcPr>
          <w:p>
            <w:pPr>
              <w:spacing w:after="0" w:line="360" w:lineRule="auto"/>
              <w:ind w:firstLine="0"/>
              <w:rPr>
                <w:rFonts w:ascii="Arial" w:hAnsi="Arial" w:cs="Arial"/>
                <w:kern w:val="0"/>
                <w14:ligatures w14:val="none"/>
              </w:rPr>
            </w:pPr>
            <w:r>
              <w:rPr>
                <w:rFonts w:ascii="Arial" w:hAnsi="Arial" w:cs="Arial"/>
                <w:kern w:val="0"/>
                <w14:ligatures w14:val="none"/>
              </w:rPr>
              <w:t>College Support for Internships</w:t>
            </w:r>
          </w:p>
        </w:tc>
        <w:tc>
          <w:tcPr>
            <w:tcW w:w="0" w:type="auto"/>
          </w:tcPr>
          <w:p>
            <w:pPr>
              <w:spacing w:after="0" w:line="360" w:lineRule="auto"/>
              <w:ind w:firstLine="0"/>
              <w:rPr>
                <w:rFonts w:ascii="Arial" w:hAnsi="Arial" w:cs="Arial"/>
                <w:kern w:val="0"/>
                <w14:ligatures w14:val="none"/>
              </w:rPr>
            </w:pPr>
            <w:r>
              <w:rPr>
                <w:rFonts w:ascii="Arial" w:hAnsi="Arial" w:cs="Arial"/>
                <w:kern w:val="0"/>
                <w14:ligatures w14:val="none"/>
              </w:rPr>
              <w:t>64%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7" w:hRule="atLeast"/>
        </w:trPr>
        <w:tc>
          <w:tcPr>
            <w:tcW w:w="0" w:type="auto"/>
          </w:tcPr>
          <w:p>
            <w:pPr>
              <w:spacing w:after="0" w:line="360" w:lineRule="auto"/>
              <w:ind w:firstLine="0"/>
              <w:rPr>
                <w:rFonts w:ascii="Arial" w:hAnsi="Arial" w:cs="Arial"/>
                <w:kern w:val="0"/>
                <w14:ligatures w14:val="none"/>
              </w:rPr>
            </w:pPr>
            <w:r>
              <w:rPr>
                <w:rFonts w:ascii="Arial" w:hAnsi="Arial" w:cs="Arial"/>
                <w:kern w:val="0"/>
                <w14:ligatures w14:val="none"/>
              </w:rPr>
              <w:t>Enterprise Preferences for Practical Teaching</w:t>
            </w:r>
          </w:p>
        </w:tc>
        <w:tc>
          <w:tcPr>
            <w:tcW w:w="0" w:type="auto"/>
          </w:tcPr>
          <w:p>
            <w:pPr>
              <w:spacing w:after="0" w:line="360" w:lineRule="auto"/>
              <w:ind w:firstLine="0"/>
              <w:rPr>
                <w:rFonts w:ascii="Arial" w:hAnsi="Arial" w:cs="Arial"/>
                <w:kern w:val="0"/>
                <w14:ligatures w14:val="none"/>
              </w:rPr>
            </w:pPr>
            <w:r>
              <w:rPr>
                <w:rFonts w:ascii="Arial" w:hAnsi="Arial" w:cs="Arial"/>
                <w:kern w:val="0"/>
                <w14:ligatures w14:val="none"/>
              </w:rPr>
              <w:t>82%</w:t>
            </w:r>
          </w:p>
        </w:tc>
      </w:tr>
    </w:tbl>
    <w:p>
      <w:pPr>
        <w:spacing w:line="360" w:lineRule="auto"/>
        <w:ind w:firstLine="0"/>
        <w:rPr>
          <w:rFonts w:ascii="Arial" w:hAnsi="Arial" w:cs="Arial"/>
        </w:rPr>
      </w:pPr>
    </w:p>
    <w:p>
      <w:pPr>
        <w:spacing w:line="360" w:lineRule="auto"/>
        <w:ind w:firstLine="0"/>
        <w:rPr>
          <w:rFonts w:ascii="Arial" w:hAnsi="Arial" w:cs="Arial"/>
        </w:rPr>
      </w:pPr>
      <w:r>
        <w:rPr>
          <w:rFonts w:ascii="Arial" w:hAnsi="Arial" w:cs="Arial"/>
        </w:rPr>
        <w:t>In this comparative analysis, the symbiotic dependence of educational establishments and businesses on each other represents the realm of practical education. This, therefore, leaves room for a positive perception about the college support to internships and with massive approval from enterprises for students who have practiced teaching background solves the fact that all parties are in harmony. Colleges, through the progressive support of internships, are essential in closing the gap between academic institutions and industry thereby ensuring students are ready and well received by potential employers.</w:t>
      </w:r>
    </w:p>
    <w:p>
      <w:pPr>
        <w:pStyle w:val="3"/>
        <w:spacing w:line="360" w:lineRule="auto"/>
        <w:rPr>
          <w:rFonts w:cs="Arial"/>
        </w:rPr>
      </w:pPr>
      <w:bookmarkStart w:id="68" w:name="_Toc158819534"/>
      <w:r>
        <w:rPr>
          <w:rFonts w:cs="Arial"/>
        </w:rPr>
        <w:t>Teacher and Enterprise Perspectives on Practical Teaching Impact</w:t>
      </w:r>
      <w:bookmarkEnd w:id="68"/>
    </w:p>
    <w:p>
      <w:pPr>
        <w:spacing w:line="360" w:lineRule="auto"/>
        <w:ind w:firstLine="0"/>
        <w:rPr>
          <w:rFonts w:ascii="Arial" w:hAnsi="Arial" w:cs="Arial"/>
        </w:rPr>
      </w:pPr>
      <w:r>
        <w:rPr>
          <w:rFonts w:ascii="Arial" w:hAnsi="Arial" w:cs="Arial"/>
        </w:rPr>
        <w:t>The information gained from the interview with a single teacher is quite useful; however, it should be considered in consideration of limited input from only one participant, and thus, the potential of a single person to influence overall findings should be weakened. From the teacher’s point of view, lay an understanding that practical teaching improves player skills with their hands, thus shedding a light on whether teaching methods involving practice are effective in building tangible skills. Nevertheless, it is important to be careful while generalizing such results across an entire teaching staff as individual people and perceptions are likely to differ.</w:t>
      </w:r>
    </w:p>
    <w:p>
      <w:pPr>
        <w:spacing w:line="360" w:lineRule="auto"/>
        <w:ind w:firstLine="0"/>
        <w:rPr>
          <w:rFonts w:ascii="Arial" w:hAnsi="Arial" w:cs="Arial"/>
        </w:rPr>
      </w:pPr>
      <w:r>
        <w:rPr>
          <w:rFonts w:ascii="Arial" w:hAnsi="Arial" w:cs="Arial"/>
        </w:rPr>
        <w:t>The results of the survey reveal that teachers unanimously supported one particular improvement, which is related to increasing students’ hands-on skills via practical learning; moreover, one can see that this claim corresponds with the overall goals behind vocational education. The desire to develop problem-solving skills, critical thinking capacities, and technical expertise as top areas for improvement is consistent with a goal of preparing students with practical skills essential for their careers. Although this teacher’s understanding is insightful, future researchers should consider including a wider range of teachers in order to obtain more representative data on both experience and opinion throughout the institution.</w:t>
      </w:r>
    </w:p>
    <w:p>
      <w:pPr>
        <w:spacing w:line="360" w:lineRule="auto"/>
        <w:ind w:firstLine="0"/>
        <w:rPr>
          <w:rFonts w:ascii="Arial" w:hAnsi="Arial" w:cs="Arial"/>
        </w:rPr>
      </w:pPr>
      <w:r>
        <w:rPr>
          <w:rFonts w:ascii="Arial" w:hAnsi="Arial" w:cs="Arial"/>
        </w:rPr>
        <w:t>The fact that 76% of the respondents have admitted a significant investment in courses and resources for teaching implies the commitment of an institution to offer really practical environment. This particular commitment, depicted by the interviewed teacher, speaks out that they have recognized the importance of providing quality educational courses and resources in ensuring a successful practice education. On the contrary, research based on a broader scope of participants that is including more than one teacher would provide an overall comprehension about the allocation of resources and practical teaching infrastructure in different subjects or departments.</w:t>
      </w:r>
    </w:p>
    <w:p>
      <w:pPr>
        <w:spacing w:line="360" w:lineRule="auto"/>
        <w:ind w:firstLine="0"/>
        <w:rPr>
          <w:rFonts w:ascii="Arial" w:hAnsi="Arial" w:cs="Arial"/>
        </w:rPr>
      </w:pPr>
      <w:r>
        <w:rPr>
          <w:rFonts w:ascii="Arial" w:hAnsi="Arial" w:cs="Arial"/>
        </w:rPr>
        <w:t>One of the most important findings is that all teachers agreed 100% on the positive implications of introducing enterprises in professional courses. This connection between the educators and industry shares a vision that can improve the practical outcome of education by providing students with an opportunity to learn some of the authentic activities that take place in industries. The focus on real-world industry integration is an enabling aspect that attempts to bridge the existing gap between academia and industry offering students a more valid and direct educational experience as they interact directly with industry.</w:t>
      </w:r>
    </w:p>
    <w:p>
      <w:pPr>
        <w:pStyle w:val="3"/>
        <w:spacing w:line="360" w:lineRule="auto"/>
        <w:rPr>
          <w:rFonts w:cs="Arial"/>
        </w:rPr>
      </w:pPr>
      <w:bookmarkStart w:id="69" w:name="_Toc158819535"/>
      <w:r>
        <w:rPr>
          <w:rFonts w:cs="Arial"/>
        </w:rPr>
        <w:t>Student Experiences and Career Goals</w:t>
      </w:r>
      <w:bookmarkEnd w:id="69"/>
    </w:p>
    <w:p>
      <w:pPr>
        <w:spacing w:line="360" w:lineRule="auto"/>
        <w:ind w:firstLine="0"/>
        <w:rPr>
          <w:rFonts w:ascii="Arial" w:hAnsi="Arial" w:cs="Arial"/>
        </w:rPr>
      </w:pPr>
      <w:r>
        <w:rPr>
          <w:rFonts w:ascii="Arial" w:hAnsi="Arial" w:cs="Arial"/>
        </w:rPr>
        <w:t>So, the majority of students confirmed, that practical teaching has an accompanying effect on mastering professional knowledge. Since the conclusion of all 100 respondents that practical teaching is constantly strengthening their understanding of theoretical knowledge, it confirms hands-on experiences’ high effectiveness at reinforcing classroom education. The knowledge attributed to the students is in line with other literature regarding a practical and rational relationship between theory and practice in vocational education. Theoretical truths, when used in practical application are grounds for more meaningful and productive comprehension of professional knowledge.</w:t>
      </w:r>
    </w:p>
    <w:p>
      <w:pPr>
        <w:spacing w:line="360" w:lineRule="auto"/>
        <w:ind w:firstLine="0"/>
        <w:rPr>
          <w:rFonts w:ascii="Arial" w:hAnsi="Arial" w:cs="Arial"/>
        </w:rPr>
      </w:pPr>
      <w:r>
        <w:rPr>
          <w:rFonts w:ascii="Arial" w:hAnsi="Arial" w:cs="Arial"/>
        </w:rPr>
        <w:t>The discussion of the challenges students face while practising a practical skill presented a unique and deep perspective on these difficulties in real-life situations. The listed hardships, such as coping with unknown knowledge and problematizing exceptions in testing, explain the changing nature of practical learning. On the other hand, the students’ resilience in traversing and conquering these obstacles deserve to be celebrated. The results emphasize the importance of creating a supportive learning environment, which addresses the challenges and negative experiences that learners may encounter.</w:t>
      </w:r>
    </w:p>
    <w:p>
      <w:pPr>
        <w:spacing w:line="360" w:lineRule="auto"/>
        <w:ind w:firstLine="0"/>
        <w:rPr>
          <w:rFonts w:ascii="Arial" w:hAnsi="Arial" w:cs="Arial"/>
        </w:rPr>
      </w:pPr>
      <w:r>
        <w:rPr>
          <w:rFonts w:ascii="Arial" w:hAnsi="Arial" w:cs="Arial"/>
        </w:rPr>
        <w:t>The analysis of the support instruments for students who are in difficulty showed that, above all, teachers and corporate mentors played key roles in helping problem-solving. The varied nature of the tactics employed, from striking inspiration to guided efforts through direct communication, emphasizes the diverse approaches designed towards supporting education. This partnership between the teachers and corporate mentors is in line with the concept of symbiosis between academics and industry whereby both parties help students to gain all rounded synergy.</w:t>
      </w:r>
    </w:p>
    <w:p>
      <w:pPr>
        <w:spacing w:line="360" w:lineRule="auto"/>
        <w:ind w:firstLine="0"/>
        <w:rPr>
          <w:rFonts w:ascii="Arial" w:hAnsi="Arial" w:cs="Arial"/>
        </w:rPr>
      </w:pPr>
      <w:r>
        <w:rPr>
          <w:rFonts w:ascii="Arial" w:hAnsi="Arial" w:cs="Arial"/>
        </w:rPr>
        <w:t>The effectiveness of vocational education outcomes concerning the role of practical education in molding the career goals as reported by students is very important. The conclusion that practical teaching allows students to adjust the social surroundings and learn how to work in the real world with regards to 100% of respondents can be considered as a reflexive reflection upon establishing the common goal for vocational education: assisting students in transitioning into their professions without much effort. The information gained reveals first-hand evidence of employable teaching techniques that do not just impart skills but also influence students’ global ambitions.</w:t>
      </w:r>
    </w:p>
    <w:p>
      <w:pPr>
        <w:spacing w:line="360" w:lineRule="auto"/>
        <w:ind w:firstLine="0"/>
        <w:rPr>
          <w:rFonts w:ascii="Arial" w:hAnsi="Arial" w:cs="Arial"/>
        </w:rPr>
      </w:pPr>
    </w:p>
    <w:tbl>
      <w:tblPr>
        <w:tblStyle w:val="22"/>
        <w:tblW w:w="919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267"/>
        <w:gridCol w:w="292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0" w:type="auto"/>
          </w:tcPr>
          <w:p>
            <w:pPr>
              <w:spacing w:line="360" w:lineRule="auto"/>
              <w:ind w:firstLine="0"/>
              <w:rPr>
                <w:rFonts w:ascii="Arial" w:hAnsi="Arial" w:cs="Arial"/>
                <w:b/>
                <w:bCs/>
                <w:kern w:val="0"/>
                <w14:ligatures w14:val="none"/>
              </w:rPr>
            </w:pPr>
            <w:r>
              <w:rPr>
                <w:rFonts w:ascii="Arial" w:hAnsi="Arial" w:cs="Arial"/>
                <w:b/>
                <w:bCs/>
                <w:kern w:val="0"/>
                <w14:ligatures w14:val="none"/>
              </w:rPr>
              <w:t>Themes</w:t>
            </w:r>
          </w:p>
        </w:tc>
        <w:tc>
          <w:tcPr>
            <w:tcW w:w="0" w:type="auto"/>
          </w:tcPr>
          <w:p>
            <w:pPr>
              <w:spacing w:line="360" w:lineRule="auto"/>
              <w:ind w:firstLine="0"/>
              <w:rPr>
                <w:rFonts w:ascii="Arial" w:hAnsi="Arial" w:cs="Arial"/>
                <w:b/>
                <w:bCs/>
                <w:kern w:val="0"/>
                <w14:ligatures w14:val="none"/>
              </w:rPr>
            </w:pPr>
            <w:r>
              <w:rPr>
                <w:rFonts w:ascii="Arial" w:hAnsi="Arial" w:cs="Arial"/>
                <w:b/>
                <w:bCs/>
                <w:kern w:val="0"/>
                <w14:ligatures w14:val="none"/>
              </w:rPr>
              <w:t>Positive Perception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pPr>
              <w:spacing w:line="360" w:lineRule="auto"/>
              <w:ind w:firstLine="0"/>
              <w:rPr>
                <w:rFonts w:ascii="Arial" w:hAnsi="Arial" w:cs="Arial"/>
                <w:kern w:val="0"/>
                <w14:ligatures w14:val="none"/>
              </w:rPr>
            </w:pPr>
            <w:r>
              <w:rPr>
                <w:rFonts w:ascii="Arial" w:hAnsi="Arial" w:cs="Arial"/>
                <w:kern w:val="0"/>
                <w14:ligatures w14:val="none"/>
              </w:rPr>
              <w:t>Impact on Learning Professional Knowledge</w:t>
            </w:r>
          </w:p>
        </w:tc>
        <w:tc>
          <w:tcPr>
            <w:tcW w:w="0" w:type="auto"/>
          </w:tcPr>
          <w:p>
            <w:pPr>
              <w:spacing w:line="360" w:lineRule="auto"/>
              <w:ind w:firstLine="0"/>
              <w:rPr>
                <w:rFonts w:ascii="Arial" w:hAnsi="Arial" w:cs="Arial"/>
                <w:kern w:val="0"/>
                <w14:ligatures w14:val="none"/>
              </w:rPr>
            </w:pPr>
            <w:r>
              <w:rPr>
                <w:rFonts w:ascii="Arial" w:hAnsi="Arial" w:cs="Arial"/>
                <w:kern w:val="0"/>
                <w14:ligatures w14:val="none"/>
              </w:rPr>
              <w:t>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pPr>
              <w:spacing w:line="360" w:lineRule="auto"/>
              <w:ind w:firstLine="0"/>
              <w:rPr>
                <w:rFonts w:ascii="Arial" w:hAnsi="Arial" w:cs="Arial"/>
                <w:kern w:val="0"/>
                <w14:ligatures w14:val="none"/>
              </w:rPr>
            </w:pPr>
            <w:r>
              <w:rPr>
                <w:rFonts w:ascii="Arial" w:hAnsi="Arial" w:cs="Arial"/>
                <w:kern w:val="0"/>
                <w14:ligatures w14:val="none"/>
              </w:rPr>
              <w:t>Difficulties Encountered in the Practice Process</w:t>
            </w:r>
          </w:p>
        </w:tc>
        <w:tc>
          <w:tcPr>
            <w:tcW w:w="0" w:type="auto"/>
          </w:tcPr>
          <w:p>
            <w:pPr>
              <w:spacing w:line="360" w:lineRule="auto"/>
              <w:ind w:firstLine="0"/>
              <w:rPr>
                <w:rFonts w:ascii="Arial" w:hAnsi="Arial" w:cs="Arial"/>
                <w:kern w:val="0"/>
                <w14:ligatures w14:val="none"/>
              </w:rPr>
            </w:pPr>
            <w:r>
              <w:rPr>
                <w:rFonts w:ascii="Arial" w:hAnsi="Arial" w:cs="Arial"/>
                <w:kern w:val="0"/>
                <w14:ligatures w14:val="none"/>
              </w:rPr>
              <w:t>Varied Challenges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pPr>
              <w:spacing w:line="360" w:lineRule="auto"/>
              <w:ind w:firstLine="0"/>
              <w:rPr>
                <w:rFonts w:ascii="Arial" w:hAnsi="Arial" w:cs="Arial"/>
                <w:kern w:val="0"/>
                <w14:ligatures w14:val="none"/>
              </w:rPr>
            </w:pPr>
            <w:r>
              <w:rPr>
                <w:rFonts w:ascii="Arial" w:hAnsi="Arial" w:cs="Arial"/>
                <w:kern w:val="0"/>
                <w14:ligatures w14:val="none"/>
              </w:rPr>
              <w:t>Guidance and Support from Teachers and Corporate Mentors</w:t>
            </w:r>
          </w:p>
        </w:tc>
        <w:tc>
          <w:tcPr>
            <w:tcW w:w="0" w:type="auto"/>
          </w:tcPr>
          <w:p>
            <w:pPr>
              <w:spacing w:line="360" w:lineRule="auto"/>
              <w:ind w:firstLine="0"/>
              <w:rPr>
                <w:rFonts w:ascii="Arial" w:hAnsi="Arial" w:cs="Arial"/>
                <w:kern w:val="0"/>
                <w14:ligatures w14:val="none"/>
              </w:rPr>
            </w:pPr>
            <w:r>
              <w:rPr>
                <w:rFonts w:ascii="Arial" w:hAnsi="Arial" w:cs="Arial"/>
                <w:kern w:val="0"/>
                <w14:ligatures w14:val="none"/>
              </w:rPr>
              <w:t>Diverse Support Strategies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pPr>
              <w:spacing w:line="360" w:lineRule="auto"/>
              <w:ind w:firstLine="0"/>
              <w:rPr>
                <w:rFonts w:ascii="Arial" w:hAnsi="Arial" w:cs="Arial"/>
                <w:kern w:val="0"/>
                <w14:ligatures w14:val="none"/>
              </w:rPr>
            </w:pPr>
            <w:r>
              <w:rPr>
                <w:rFonts w:ascii="Arial" w:hAnsi="Arial" w:cs="Arial"/>
                <w:kern w:val="0"/>
                <w14:ligatures w14:val="none"/>
              </w:rPr>
              <w:t>Shaping Career Goals</w:t>
            </w:r>
          </w:p>
        </w:tc>
        <w:tc>
          <w:tcPr>
            <w:tcW w:w="0" w:type="auto"/>
          </w:tcPr>
          <w:p>
            <w:pPr>
              <w:spacing w:line="360" w:lineRule="auto"/>
              <w:ind w:firstLine="0"/>
              <w:rPr>
                <w:rFonts w:ascii="Arial" w:hAnsi="Arial" w:cs="Arial"/>
                <w:kern w:val="0"/>
                <w14:ligatures w14:val="none"/>
              </w:rPr>
            </w:pPr>
            <w:r>
              <w:rPr>
                <w:rFonts w:ascii="Arial" w:hAnsi="Arial" w:cs="Arial"/>
                <w:kern w:val="0"/>
                <w14:ligatures w14:val="none"/>
              </w:rPr>
              <w:t>100%</w:t>
            </w:r>
          </w:p>
        </w:tc>
      </w:tr>
    </w:tbl>
    <w:p>
      <w:pPr>
        <w:pStyle w:val="11"/>
        <w:spacing w:line="360" w:lineRule="auto"/>
        <w:ind w:firstLine="0"/>
        <w:rPr>
          <w:rFonts w:ascii="Arial" w:hAnsi="Arial" w:cs="Arial"/>
        </w:rPr>
      </w:pPr>
    </w:p>
    <w:p>
      <w:pPr>
        <w:pStyle w:val="11"/>
        <w:spacing w:line="360" w:lineRule="auto"/>
        <w:ind w:firstLine="0"/>
        <w:rPr>
          <w:rFonts w:ascii="Arial" w:hAnsi="Arial" w:cs="Arial"/>
        </w:rPr>
      </w:pPr>
      <w:bookmarkStart w:id="70" w:name="_Toc157480570"/>
      <w:r>
        <w:rPr>
          <w:rFonts w:ascii="Arial" w:hAnsi="Arial" w:cs="Arial"/>
        </w:rPr>
        <w:t xml:space="preserve">Table </w:t>
      </w:r>
      <w:r>
        <w:rPr>
          <w:rFonts w:ascii="Arial" w:hAnsi="Arial" w:cs="Arial"/>
        </w:rPr>
        <w:fldChar w:fldCharType="begin"/>
      </w:r>
      <w:r>
        <w:rPr>
          <w:rFonts w:ascii="Arial" w:hAnsi="Arial" w:cs="Arial"/>
        </w:rPr>
        <w:instrText xml:space="preserve"> SEQ Table \* ARABIC </w:instrText>
      </w:r>
      <w:r>
        <w:rPr>
          <w:rFonts w:ascii="Arial" w:hAnsi="Arial" w:cs="Arial"/>
        </w:rPr>
        <w:fldChar w:fldCharType="separate"/>
      </w:r>
      <w:r>
        <w:rPr>
          <w:rFonts w:ascii="Arial" w:hAnsi="Arial" w:cs="Arial"/>
        </w:rPr>
        <w:t>3</w:t>
      </w:r>
      <w:r>
        <w:rPr>
          <w:rFonts w:ascii="Arial" w:hAnsi="Arial" w:cs="Arial"/>
        </w:rPr>
        <w:fldChar w:fldCharType="end"/>
      </w:r>
      <w:r>
        <w:rPr>
          <w:rFonts w:ascii="Arial" w:hAnsi="Arial" w:cs="Arial"/>
        </w:rPr>
        <w:t>:Student Experiences and Career Goals Overview</w:t>
      </w:r>
      <w:bookmarkEnd w:id="70"/>
    </w:p>
    <w:p>
      <w:pPr>
        <w:spacing w:line="360" w:lineRule="auto"/>
        <w:ind w:firstLine="0"/>
        <w:rPr>
          <w:rFonts w:ascii="Arial" w:hAnsi="Arial" w:cs="Arial"/>
        </w:rPr>
      </w:pPr>
      <w:r>
        <w:rPr>
          <w:rFonts w:ascii="Arial" w:hAnsi="Arial" w:cs="Arial"/>
        </w:rPr>
        <w:t>It is important to emphasize the paramount role of practical teaching methods in building positive learning environments and providing learners with means of addressing challenges and managing career aspirations. The supporting ecosystem includes the cooperative activity of teachers and corporate mentors who can accompany the learners through obstacles but also to enable them to enjoy successful professional lives not only due to the achieved technical skills during the process but also the acquired ability to adapt, resilience, and empathy throughout the process.</w:t>
      </w:r>
    </w:p>
    <w:p>
      <w:pPr>
        <w:spacing w:line="360" w:lineRule="auto"/>
        <w:ind w:firstLine="0"/>
        <w:rPr>
          <w:rFonts w:ascii="Arial" w:hAnsi="Arial" w:cs="Arial"/>
        </w:rPr>
      </w:pPr>
      <w:r>
        <w:rPr>
          <w:rFonts w:ascii="Arial" w:hAnsi="Arial" w:cs="Arial"/>
        </w:rPr>
        <w:t>The integration of themes from student, teacher, and enterprise viewpoints provides a comprehensive understanding of the effectiveness of practical teaching methods applied in vocational education. The comparative analysis of the patterns and variations presents a clear picture of interdependence among various strata within the above-discussed educational ecosphere.</w:t>
      </w:r>
    </w:p>
    <w:p>
      <w:pPr>
        <w:spacing w:line="360" w:lineRule="auto"/>
        <w:ind w:firstLine="0"/>
        <w:rPr>
          <w:rFonts w:ascii="Arial" w:hAnsi="Arial" w:cs="Arial"/>
        </w:rPr>
      </w:pPr>
      <w:r>
        <w:rPr>
          <w:rFonts w:ascii="Arial" w:hAnsi="Arial" w:cs="Arial"/>
        </w:rPr>
        <w:t>The similarity in student experiences, teacher perceptions, and business preferences regarding practical teaching methods reinforce a common view of the long-term effects of such pedagogy. The fact that stakeholders shared a vision of consistency in proclaiming the value of hands-on skills improvement, the relevance of an industry perspective, and the benefits with respect to career goals speaks volumes on behalf.</w:t>
      </w:r>
    </w:p>
    <w:p>
      <w:pPr>
        <w:spacing w:line="360" w:lineRule="auto"/>
        <w:ind w:firstLine="0"/>
        <w:rPr>
          <w:rFonts w:ascii="Arial" w:hAnsi="Arial" w:cs="Arial"/>
        </w:rPr>
      </w:pPr>
      <w:r>
        <w:rPr>
          <w:rFonts w:ascii="Arial" w:hAnsi="Arial" w:cs="Arial"/>
        </w:rPr>
        <w:t>The differences in challenges that students encounter, as reported by teachers and the sources themselves- students draw a picture of practical learning as being changed constantly. Although students enumerate their unique challenges which they face during the practicals, teachers provide different support systems. This relationship between threats and supportive mechanisms mirrors the adaptive aspect of vocational education, prompting a teaching approach that works well with this context.</w:t>
      </w:r>
    </w:p>
    <w:p>
      <w:pPr>
        <w:spacing w:line="360" w:lineRule="auto"/>
        <w:ind w:firstLine="0"/>
        <w:rPr>
          <w:rFonts w:ascii="Arial" w:hAnsi="Arial" w:cs="Arial"/>
        </w:rPr>
      </w:pPr>
      <w:r>
        <w:rPr>
          <w:rFonts w:ascii="Arial" w:hAnsi="Arial" w:cs="Arial"/>
        </w:rPr>
        <w:t>Analysing the cross-thematic patterns provides an insight into how academy and industry rely on one another. The combination of teacher and corporate mentor efforts as depicted from both the student vantage point and that of a teacher, plays an important role in creating a comprehensive educational experience. The two aspects such as real projects integration with curriculum and industry aligned courses determine the merger of theoretical and practical knowledge.</w:t>
      </w:r>
    </w:p>
    <w:p>
      <w:pPr>
        <w:pStyle w:val="11"/>
        <w:spacing w:line="360" w:lineRule="auto"/>
        <w:ind w:firstLine="0"/>
        <w:rPr>
          <w:rFonts w:ascii="Arial" w:hAnsi="Arial" w:cs="Arial"/>
        </w:rPr>
      </w:pPr>
      <w:bookmarkStart w:id="71" w:name="_Toc157480571"/>
      <w:r>
        <w:rPr>
          <w:rFonts w:ascii="Arial" w:hAnsi="Arial" w:cs="Arial"/>
        </w:rPr>
        <w:t xml:space="preserve">Table </w:t>
      </w:r>
      <w:r>
        <w:rPr>
          <w:rFonts w:ascii="Arial" w:hAnsi="Arial" w:cs="Arial"/>
        </w:rPr>
        <w:fldChar w:fldCharType="begin"/>
      </w:r>
      <w:r>
        <w:rPr>
          <w:rFonts w:ascii="Arial" w:hAnsi="Arial" w:cs="Arial"/>
        </w:rPr>
        <w:instrText xml:space="preserve"> SEQ Table \* ARABIC </w:instrText>
      </w:r>
      <w:r>
        <w:rPr>
          <w:rFonts w:ascii="Arial" w:hAnsi="Arial" w:cs="Arial"/>
        </w:rPr>
        <w:fldChar w:fldCharType="separate"/>
      </w:r>
      <w:r>
        <w:rPr>
          <w:rFonts w:ascii="Arial" w:hAnsi="Arial" w:cs="Arial"/>
        </w:rPr>
        <w:t>4</w:t>
      </w:r>
      <w:r>
        <w:rPr>
          <w:rFonts w:ascii="Arial" w:hAnsi="Arial" w:cs="Arial"/>
        </w:rPr>
        <w:fldChar w:fldCharType="end"/>
      </w:r>
      <w:r>
        <w:rPr>
          <w:rFonts w:ascii="Arial" w:hAnsi="Arial" w:cs="Arial"/>
        </w:rPr>
        <w:t>:Cross-Thematic Synthesis</w:t>
      </w:r>
      <w:bookmarkEnd w:id="71"/>
    </w:p>
    <w:tbl>
      <w:tblPr>
        <w:tblStyle w:val="22"/>
        <w:tblW w:w="919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50"/>
        <w:gridCol w:w="454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pPr>
              <w:spacing w:line="360" w:lineRule="auto"/>
              <w:ind w:firstLine="0"/>
              <w:rPr>
                <w:rFonts w:ascii="Arial" w:hAnsi="Arial" w:cs="Arial"/>
                <w:b/>
                <w:bCs/>
                <w:kern w:val="0"/>
                <w14:ligatures w14:val="none"/>
              </w:rPr>
            </w:pPr>
            <w:r>
              <w:rPr>
                <w:rFonts w:ascii="Arial" w:hAnsi="Arial" w:cs="Arial"/>
                <w:b/>
                <w:bCs/>
                <w:kern w:val="0"/>
                <w14:ligatures w14:val="none"/>
              </w:rPr>
              <w:t>Cross-Thematic Patterns</w:t>
            </w:r>
          </w:p>
        </w:tc>
        <w:tc>
          <w:tcPr>
            <w:tcW w:w="0" w:type="auto"/>
          </w:tcPr>
          <w:p>
            <w:pPr>
              <w:spacing w:line="360" w:lineRule="auto"/>
              <w:ind w:firstLine="0"/>
              <w:rPr>
                <w:rFonts w:ascii="Arial" w:hAnsi="Arial" w:cs="Arial"/>
                <w:b/>
                <w:bCs/>
                <w:kern w:val="0"/>
                <w14:ligatures w14:val="none"/>
              </w:rPr>
            </w:pPr>
            <w:r>
              <w:rPr>
                <w:rFonts w:ascii="Arial" w:hAnsi="Arial" w:cs="Arial"/>
                <w:b/>
                <w:bCs/>
                <w:kern w:val="0"/>
                <w14:ligatures w14:val="none"/>
              </w:rPr>
              <w:t>Key Observations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pPr>
              <w:spacing w:line="360" w:lineRule="auto"/>
              <w:ind w:firstLine="0"/>
              <w:rPr>
                <w:rFonts w:ascii="Arial" w:hAnsi="Arial" w:cs="Arial"/>
                <w:kern w:val="0"/>
                <w14:ligatures w14:val="none"/>
              </w:rPr>
            </w:pPr>
            <w:r>
              <w:rPr>
                <w:rFonts w:ascii="Arial" w:hAnsi="Arial" w:cs="Arial"/>
                <w:kern w:val="0"/>
                <w14:ligatures w14:val="none"/>
              </w:rPr>
              <w:t>Consistent Positive Impact on Hands-on Abilities</w:t>
            </w:r>
          </w:p>
        </w:tc>
        <w:tc>
          <w:tcPr>
            <w:tcW w:w="0" w:type="auto"/>
          </w:tcPr>
          <w:p>
            <w:pPr>
              <w:spacing w:line="360" w:lineRule="auto"/>
              <w:ind w:firstLine="0"/>
              <w:rPr>
                <w:rFonts w:ascii="Arial" w:hAnsi="Arial" w:cs="Arial"/>
                <w:kern w:val="0"/>
                <w14:ligatures w14:val="none"/>
              </w:rPr>
            </w:pPr>
            <w:r>
              <w:rPr>
                <w:rFonts w:ascii="Arial" w:hAnsi="Arial" w:cs="Arial"/>
                <w:kern w:val="0"/>
                <w14:ligatures w14:val="none"/>
              </w:rPr>
              <w:t>Aligned perceptions among students, teachers, and industry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pPr>
              <w:spacing w:line="360" w:lineRule="auto"/>
              <w:ind w:firstLine="0"/>
              <w:rPr>
                <w:rFonts w:ascii="Arial" w:hAnsi="Arial" w:cs="Arial"/>
                <w:kern w:val="0"/>
                <w14:ligatures w14:val="none"/>
              </w:rPr>
            </w:pPr>
            <w:r>
              <w:rPr>
                <w:rFonts w:ascii="Arial" w:hAnsi="Arial" w:cs="Arial"/>
                <w:kern w:val="0"/>
                <w14:ligatures w14:val="none"/>
              </w:rPr>
              <w:t>Dynamic Nature of Challenges and Support Mechanisms</w:t>
            </w:r>
          </w:p>
        </w:tc>
        <w:tc>
          <w:tcPr>
            <w:tcW w:w="0" w:type="auto"/>
          </w:tcPr>
          <w:p>
            <w:pPr>
              <w:spacing w:line="360" w:lineRule="auto"/>
              <w:ind w:firstLine="0"/>
              <w:rPr>
                <w:rFonts w:ascii="Arial" w:hAnsi="Arial" w:cs="Arial"/>
                <w:kern w:val="0"/>
                <w14:ligatures w14:val="none"/>
              </w:rPr>
            </w:pPr>
            <w:r>
              <w:rPr>
                <w:rFonts w:ascii="Arial" w:hAnsi="Arial" w:cs="Arial"/>
                <w:kern w:val="0"/>
                <w14:ligatures w14:val="none"/>
              </w:rPr>
              <w:t>Varied challenges faced by students, diverse teacher support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pPr>
              <w:spacing w:line="360" w:lineRule="auto"/>
              <w:ind w:firstLine="0"/>
              <w:rPr>
                <w:rFonts w:ascii="Arial" w:hAnsi="Arial" w:cs="Arial"/>
                <w:kern w:val="0"/>
                <w14:ligatures w14:val="none"/>
              </w:rPr>
            </w:pPr>
            <w:r>
              <w:rPr>
                <w:rFonts w:ascii="Arial" w:hAnsi="Arial" w:cs="Arial"/>
                <w:kern w:val="0"/>
                <w14:ligatures w14:val="none"/>
              </w:rPr>
              <w:t>Symbiotic Relationship Between Academia and Industry</w:t>
            </w:r>
          </w:p>
        </w:tc>
        <w:tc>
          <w:tcPr>
            <w:tcW w:w="0" w:type="auto"/>
          </w:tcPr>
          <w:p>
            <w:pPr>
              <w:spacing w:line="360" w:lineRule="auto"/>
              <w:ind w:firstLine="0"/>
              <w:rPr>
                <w:rFonts w:ascii="Arial" w:hAnsi="Arial" w:cs="Arial"/>
                <w:kern w:val="0"/>
                <w14:ligatures w14:val="none"/>
              </w:rPr>
            </w:pPr>
            <w:r>
              <w:rPr>
                <w:rFonts w:ascii="Arial" w:hAnsi="Arial" w:cs="Arial"/>
                <w:kern w:val="0"/>
                <w14:ligatures w14:val="none"/>
              </w:rPr>
              <w:t>Collaborative efforts in curriculum design and support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tcPr>
          <w:p>
            <w:pPr>
              <w:spacing w:line="360" w:lineRule="auto"/>
              <w:ind w:firstLine="0"/>
              <w:rPr>
                <w:rFonts w:ascii="Arial" w:hAnsi="Arial" w:cs="Arial"/>
                <w:kern w:val="0"/>
                <w14:ligatures w14:val="none"/>
              </w:rPr>
            </w:pPr>
            <w:r>
              <w:rPr>
                <w:rFonts w:ascii="Arial" w:hAnsi="Arial" w:cs="Arial"/>
                <w:kern w:val="0"/>
                <w14:ligatures w14:val="none"/>
              </w:rPr>
              <w:t>Integration of Real-World Projects and Industry-Aligned Courses</w:t>
            </w:r>
          </w:p>
        </w:tc>
        <w:tc>
          <w:tcPr>
            <w:tcW w:w="0" w:type="auto"/>
          </w:tcPr>
          <w:p>
            <w:pPr>
              <w:spacing w:line="360" w:lineRule="auto"/>
              <w:ind w:firstLine="0"/>
              <w:rPr>
                <w:rFonts w:ascii="Arial" w:hAnsi="Arial" w:cs="Arial"/>
                <w:kern w:val="0"/>
                <w14:ligatures w14:val="none"/>
              </w:rPr>
            </w:pPr>
            <w:r>
              <w:rPr>
                <w:rFonts w:ascii="Arial" w:hAnsi="Arial" w:cs="Arial"/>
                <w:kern w:val="0"/>
                <w14:ligatures w14:val="none"/>
              </w:rPr>
              <w:t>Convergence of theoretical and practical knowledge</w:t>
            </w:r>
          </w:p>
        </w:tc>
      </w:tr>
    </w:tbl>
    <w:p>
      <w:pPr>
        <w:spacing w:line="360" w:lineRule="auto"/>
        <w:ind w:firstLine="0"/>
        <w:rPr>
          <w:rFonts w:ascii="Arial" w:hAnsi="Arial" w:cs="Arial"/>
        </w:rPr>
      </w:pPr>
    </w:p>
    <w:p>
      <w:pPr>
        <w:pStyle w:val="2"/>
        <w:spacing w:line="360" w:lineRule="auto"/>
        <w:rPr>
          <w:rFonts w:ascii="Arial" w:hAnsi="Arial" w:cs="Arial"/>
        </w:rPr>
      </w:pPr>
      <w:bookmarkStart w:id="72" w:name="_Toc158819536"/>
      <w:r>
        <w:rPr>
          <w:rFonts w:ascii="Arial" w:hAnsi="Arial" w:cs="Arial"/>
        </w:rPr>
        <w:t>Analysis</w:t>
      </w:r>
      <w:bookmarkEnd w:id="72"/>
      <w:r>
        <w:rPr>
          <w:rFonts w:ascii="Arial" w:hAnsi="Arial" w:cs="Arial"/>
        </w:rPr>
        <w:t xml:space="preserve"> </w:t>
      </w:r>
    </w:p>
    <w:p>
      <w:pPr>
        <w:pStyle w:val="3"/>
        <w:spacing w:line="360" w:lineRule="auto"/>
        <w:rPr>
          <w:rFonts w:cs="Arial"/>
        </w:rPr>
      </w:pPr>
      <w:r>
        <w:rPr>
          <w:rFonts w:cs="Arial"/>
        </w:rPr>
        <w:t xml:space="preserve"> </w:t>
      </w:r>
      <w:bookmarkStart w:id="73" w:name="_Toc158819537"/>
      <w:r>
        <w:rPr>
          <w:rFonts w:cs="Arial"/>
        </w:rPr>
        <w:t>Positive Impact on Hands-on Abilities</w:t>
      </w:r>
      <w:bookmarkEnd w:id="73"/>
    </w:p>
    <w:p>
      <w:pPr>
        <w:spacing w:line="360" w:lineRule="auto"/>
        <w:ind w:firstLine="0"/>
        <w:rPr>
          <w:rFonts w:ascii="Arial" w:hAnsi="Arial" w:cs="Arial"/>
        </w:rPr>
      </w:pPr>
      <w:r>
        <w:rPr>
          <w:rFonts w:ascii="Arial" w:hAnsi="Arial" w:cs="Arial"/>
        </w:rPr>
        <w:t>The positive significant effect the perceived on the manual aptitudes in the private junior vocational college is supported by known principles of vocational training. The vocational education is known to focus on the practical skills that are real world applications and prepares students with needed competencies in a measure of job market (Horton, 2016). Hands-on experiences in vocational training is a critical topic benchmarked on the significance of practical learning that fosters real skills required to succeed in their fields (Kuczera, 2017).</w:t>
      </w:r>
    </w:p>
    <w:p>
      <w:pPr>
        <w:spacing w:line="360" w:lineRule="auto"/>
        <w:ind w:firstLine="0"/>
        <w:rPr>
          <w:rFonts w:ascii="Arial" w:hAnsi="Arial" w:cs="Arial"/>
        </w:rPr>
      </w:pPr>
      <w:r>
        <w:rPr>
          <w:rFonts w:ascii="Arial" w:hAnsi="Arial" w:cs="Arial"/>
        </w:rPr>
        <w:t>Additionally, of the positive effects corresponds with conceptual frameworks that confirm pragmatic learning success. There are numerous theoretical perspectives based on the beliefs that individuals learn most effectively through concrete experiences, reflective observation, abstraction conceptualization and active experimentation Kolb (1984). In the case of vocational education, bringing more into play real life situation in designing its curriculum is what comes close to Kolb’s model because it provides students with a comprehensive learning process that goes beyond classroom teaching and embraces practical application.</w:t>
      </w:r>
    </w:p>
    <w:p>
      <w:pPr>
        <w:spacing w:line="360" w:lineRule="auto"/>
        <w:ind w:firstLine="0"/>
        <w:rPr>
          <w:rFonts w:ascii="Arial" w:hAnsi="Arial" w:cs="Arial"/>
        </w:rPr>
      </w:pPr>
      <w:r>
        <w:rPr>
          <w:rFonts w:ascii="Arial" w:hAnsi="Arial" w:cs="Arial"/>
        </w:rPr>
        <w:t>The symbiosis of theoretical knowledge and practical implementation is a frequent idea in scientific literature devoted to the theory of education. One of the leading authorities within the field of educational philosophy, Dewey (1938) championed the marriage between theory and practice; he asserted that effective learning is achieved only when practical applications are added to theoretical concepts. The positive effects on practical skills are an illustration of this synergy, which is evident within the private junior vocational college as students improve such missing links between mere theory and its application.</w:t>
      </w:r>
    </w:p>
    <w:p>
      <w:pPr>
        <w:spacing w:line="360" w:lineRule="auto"/>
        <w:ind w:firstLine="0"/>
        <w:rPr>
          <w:rFonts w:ascii="Arial" w:hAnsi="Arial" w:cs="Arial"/>
        </w:rPr>
      </w:pPr>
      <w:r>
        <w:rPr>
          <w:rFonts w:ascii="Arial" w:hAnsi="Arial" w:cs="Arial"/>
        </w:rPr>
        <w:t>The international discourse on education reveals the global recognition of practical learning experiences because it is at the core of competency-based training. Various reports from the Organisation of Economic Co-operation and Development (OECD) have repeatedly highlighted the importance of education systems that produce students with hands-on skills for use in the industries. This view of practical education by a previous private junior vocational college is supported in the global perspective that hands-on skills development translates to effective educational practices.</w:t>
      </w:r>
    </w:p>
    <w:p>
      <w:pPr>
        <w:pStyle w:val="3"/>
        <w:spacing w:line="360" w:lineRule="auto"/>
        <w:rPr>
          <w:rFonts w:cs="Arial"/>
        </w:rPr>
      </w:pPr>
      <w:bookmarkStart w:id="74" w:name="_Toc158819538"/>
      <w:r>
        <w:rPr>
          <w:rFonts w:cs="Arial"/>
        </w:rPr>
        <w:t>Dynamic Nature of Challenges and Support Mechanisms</w:t>
      </w:r>
      <w:bookmarkEnd w:id="74"/>
    </w:p>
    <w:p>
      <w:pPr>
        <w:spacing w:line="360" w:lineRule="auto"/>
        <w:ind w:firstLine="0"/>
        <w:rPr>
          <w:rFonts w:ascii="Arial" w:hAnsi="Arial" w:cs="Arial"/>
        </w:rPr>
      </w:pPr>
      <w:r>
        <w:rPr>
          <w:rFonts w:ascii="Arial" w:hAnsi="Arial" w:cs="Arial"/>
        </w:rPr>
        <w:t>The changes in challenges and support tools that are seen to be present within the private junior vocational college enhances the amount of resilience and adaptiveness needed in practical learning atmosphere. These results harmonize with the already existing literature that stresses on acquiring these qualities in students; they draw significant relevance to rising professional spheres (Duckworth, 2016; Pellegrino &amp; Hilton, 2012). Being directly involved in solving challenges and overcoming obstacles is intrinsic to practical learning, generating resilience as students cope with real-world complexities.</w:t>
      </w:r>
    </w:p>
    <w:p>
      <w:pPr>
        <w:spacing w:line="360" w:lineRule="auto"/>
        <w:ind w:firstLine="0"/>
        <w:rPr>
          <w:rFonts w:ascii="Arial" w:hAnsi="Arial" w:cs="Arial"/>
        </w:rPr>
      </w:pPr>
      <w:r>
        <w:rPr>
          <w:rFonts w:ascii="Arial" w:hAnsi="Arial" w:cs="Arial"/>
        </w:rPr>
        <w:t>The field of literature on resilience, however, identifies the significance of this concept in schools since it evidences its contribution to perseverance, positive adaptation and appropriate coping strategies (Bonanno, 2004; Masten, 2014). The problems reported by the students in a private junior vocational college with regard to challenges of facing knowledge gaps and exceptions in the testing process can be seen as typical issues that are encountered during practical training. On the contrary, active undertakings carried out by teachers and mentors of industry to lead students on how to deal with these challenges match approaches for resilience building proposed in literature.</w:t>
      </w:r>
    </w:p>
    <w:p>
      <w:pPr>
        <w:pStyle w:val="3"/>
        <w:spacing w:line="360" w:lineRule="auto"/>
        <w:rPr>
          <w:rFonts w:cs="Arial"/>
        </w:rPr>
      </w:pPr>
      <w:bookmarkStart w:id="75" w:name="_Toc158819539"/>
      <w:r>
        <w:rPr>
          <w:rFonts w:cs="Arial"/>
        </w:rPr>
        <w:t>Symbiotic Relationship Between Academia and Industry</w:t>
      </w:r>
      <w:bookmarkEnd w:id="75"/>
    </w:p>
    <w:p>
      <w:pPr>
        <w:spacing w:line="360" w:lineRule="auto"/>
        <w:ind w:firstLine="0"/>
        <w:rPr>
          <w:rFonts w:ascii="Arial" w:hAnsi="Arial" w:cs="Arial"/>
        </w:rPr>
      </w:pPr>
      <w:r>
        <w:rPr>
          <w:rFonts w:ascii="Arial" w:hAnsi="Arial" w:cs="Arial"/>
        </w:rPr>
        <w:t>However, one of the structures upon which practical learning experiences are founded is on the symbiotic relationship between academia and industry in which real-world projects are integrated into the curriculum. The coined cooperation between the teachers and industrious representatives as reported in this section captures a paradigm shift to a more dynamic education that is responsive to industrial needs. This integration is consistently supported in the literature, which stresses the importance of matching educational curricula with demands on industry (Bates, 2019; Mulder et al., 2017). This approach is suitable for the private junior vocational college that can expose the students to real-life working situations which provides them with a genuine experience, thus forming bases on which they can build their future.</w:t>
      </w:r>
    </w:p>
    <w:p>
      <w:pPr>
        <w:spacing w:line="360" w:lineRule="auto"/>
        <w:ind w:firstLine="0"/>
        <w:rPr>
          <w:rFonts w:ascii="Arial" w:hAnsi="Arial" w:cs="Arial"/>
        </w:rPr>
      </w:pPr>
      <w:r>
        <w:rPr>
          <w:rFonts w:ascii="Arial" w:hAnsi="Arial" w:cs="Arial"/>
        </w:rPr>
        <w:t>The importance assigned to courses linked with the industry and projects that involve the collaboration with other people is a related issue, as it attempts to deal with the problem of dissonance between theoretical knowledge and its practical implementation. The use of such methods that are suitable in a real sense, as it is the case with private junior vocational college, perfectly coincides with works on experiential learning literatures and their influence on skill development among students’ skills and employment opportunities (Hmelo-Silver et al., 2007; Kolb, 2014). In fact, real life projects introduce immersive aspects of learning whereby students are able to put into practice the practical knowledge that is needed in most practical scenarios.</w:t>
      </w:r>
    </w:p>
    <w:p>
      <w:pPr>
        <w:spacing w:line="360" w:lineRule="auto"/>
        <w:ind w:firstLine="0"/>
        <w:rPr>
          <w:rFonts w:ascii="Arial" w:hAnsi="Arial" w:cs="Arial"/>
        </w:rPr>
      </w:pPr>
      <w:r>
        <w:rPr>
          <w:rFonts w:ascii="Arial" w:hAnsi="Arial" w:cs="Arial"/>
        </w:rPr>
        <w:t>Moreover, comparative analysis carried out in the section regarding international vocational education systems is a valuable source of information on best practices and deviations. As individual work has become international and goes cross-border, the approach to vocational training of recognizing the international dimension complies with how work should be viewed beyond nation-states (European Commission, 2017). By analysing this comparison of the two disparate nations, several cross-cultural insights come to light that add value in terms of efficacious practical teaching methods, which acknowledge the variations seen in educational systems worldwide.</w:t>
      </w:r>
    </w:p>
    <w:p>
      <w:pPr>
        <w:spacing w:line="360" w:lineRule="auto"/>
        <w:ind w:firstLine="0"/>
        <w:rPr>
          <w:rFonts w:ascii="Arial" w:hAnsi="Arial" w:cs="Arial"/>
        </w:rPr>
      </w:pPr>
      <w:r>
        <w:rPr>
          <w:rFonts w:ascii="Arial" w:hAnsi="Arial" w:cs="Arial"/>
        </w:rPr>
        <w:t>The results suggest that consideration of global perspective is a necessary element in the evaluation of any practical teaching approach. The literature supports this approach, indicating that educators and policymakers should be drawing lessons from different for learning how to best deal with common issues. The private junior vocational college’s participation in a comparative analysis follows overall objectives of readying the students to join an open job market, and so it includes some features that sound familiar to international standards and practices.</w:t>
      </w:r>
    </w:p>
    <w:p>
      <w:pPr>
        <w:pStyle w:val="3"/>
        <w:spacing w:line="360" w:lineRule="auto"/>
        <w:rPr>
          <w:rFonts w:cs="Arial"/>
        </w:rPr>
      </w:pPr>
      <w:bookmarkStart w:id="76" w:name="_Toc158819540"/>
      <w:r>
        <w:rPr>
          <w:rFonts w:cs="Arial"/>
        </w:rPr>
        <w:t>Integration of Real-World Projects and Industry-Aligned Courses</w:t>
      </w:r>
      <w:bookmarkEnd w:id="76"/>
    </w:p>
    <w:p>
      <w:pPr>
        <w:spacing w:line="360" w:lineRule="auto"/>
        <w:ind w:firstLine="0"/>
        <w:rPr>
          <w:rFonts w:ascii="Arial" w:hAnsi="Arial" w:cs="Arial"/>
        </w:rPr>
      </w:pPr>
      <w:r>
        <w:rPr>
          <w:rFonts w:ascii="Arial" w:hAnsi="Arial" w:cs="Arial"/>
        </w:rPr>
        <w:t>The achievement of this has a very profound effect in determining students’ future careers and academic lives. The effect on students’ career dreams is consistent with research that emphasizes the broader and longer-term effects of vocational training. Practical teaching has a long-term effect on the career goals of students, and there is little doubt about this when you consider that almost all claim to have been positively influenced by it. Throughout the literature on vocational education emphasis is made to incorporate educational experiences with broader view of career aspirations (Hart Research Associates, 2018). The results fit with this approach, stating that pragmatic education not only teaches a person to work in some places immediately but also helps create the vision of what kind of career he or she will have.</w:t>
      </w:r>
    </w:p>
    <w:p>
      <w:pPr>
        <w:spacing w:line="360" w:lineRule="auto"/>
        <w:ind w:firstLine="0"/>
        <w:rPr>
          <w:rFonts w:ascii="Arial" w:hAnsi="Arial" w:cs="Arial"/>
        </w:rPr>
      </w:pPr>
      <w:r>
        <w:rPr>
          <w:rFonts w:ascii="Arial" w:hAnsi="Arial" w:cs="Arial"/>
        </w:rPr>
        <w:t>The reported cases reflect that the practical methods of teaching create a meaningful understanding of the chosen field and, as a result, students can make conscious decisions about their career. This reflects the literature on the efficiency of experiential learning to help students have a preview of their future career life by making them aware and yet not fully involved (Kolb, 2014). The introduction of industry-driven courses in the private junior vocational college also reflects the rise of education that emphasizes practicality when discussing knowledge as it is found in other parts of the world (European Commission, 2017).</w:t>
      </w:r>
    </w:p>
    <w:p>
      <w:pPr>
        <w:spacing w:line="360" w:lineRule="auto"/>
        <w:ind w:firstLine="0"/>
        <w:rPr>
          <w:rFonts w:ascii="Arial" w:hAnsi="Arial" w:cs="Arial"/>
        </w:rPr>
      </w:pPr>
      <w:r>
        <w:rPr>
          <w:rFonts w:ascii="Arial" w:hAnsi="Arial" w:cs="Arial"/>
        </w:rPr>
        <w:t>Indeed, the acknowledgment of activity-oriented formats as tools leading to career triumphs agrees with extant literature where hands-on experiences are seen in a long-term perspective (Hmelo-Silver et al., 2007). The focus on the value of practical education as a crucial aspect of career success is also consistent with broader arguments regarding changing patterns in work that emphasize the importance of transferable skills and competencies developed through experiential learning at sustaining successful professional development (Bates, 2019).</w:t>
      </w:r>
    </w:p>
    <w:p>
      <w:pPr>
        <w:spacing w:line="360" w:lineRule="auto"/>
        <w:ind w:firstLine="0"/>
        <w:rPr>
          <w:rFonts w:ascii="Arial" w:hAnsi="Arial" w:cs="Arial"/>
        </w:rPr>
      </w:pPr>
      <w:r>
        <w:rPr>
          <w:rFonts w:ascii="Arial" w:hAnsi="Arial" w:cs="Arial"/>
        </w:rPr>
        <w:t>In the same way as literature stresses on the practicality of experiential learning, in its correlation with the career success of students (Bell, 2010), they underline their successes claim on real-world teaching methods. These experiences of the students match well explaining that a practical experience serves to improve general education background, making them better prepared for workforce challenges (Kolb, 2014).</w:t>
      </w:r>
    </w:p>
    <w:p>
      <w:pPr>
        <w:pStyle w:val="2"/>
        <w:spacing w:line="360" w:lineRule="auto"/>
        <w:rPr>
          <w:rFonts w:ascii="Arial" w:hAnsi="Arial" w:cs="Arial"/>
        </w:rPr>
      </w:pPr>
      <w:bookmarkStart w:id="77" w:name="_Toc158819541"/>
      <w:r>
        <w:rPr>
          <w:rFonts w:ascii="Arial" w:hAnsi="Arial" w:cs="Arial"/>
        </w:rPr>
        <w:t>Conclusion</w:t>
      </w:r>
      <w:bookmarkEnd w:id="77"/>
    </w:p>
    <w:p>
      <w:pPr>
        <w:spacing w:line="360" w:lineRule="auto"/>
        <w:ind w:firstLine="0"/>
        <w:rPr>
          <w:rFonts w:ascii="Arial" w:hAnsi="Arial" w:cs="Arial"/>
        </w:rPr>
      </w:pPr>
      <w:r>
        <w:rPr>
          <w:rFonts w:ascii="Arial" w:hAnsi="Arial" w:cs="Arial"/>
        </w:rPr>
        <w:t>The study in this discussion delved into the practical mechanism of teaching methods used in a private junior vocational college located in China, aiming to achieve certain objectives.</w:t>
      </w:r>
    </w:p>
    <w:p>
      <w:pPr>
        <w:spacing w:line="360" w:lineRule="auto"/>
        <w:ind w:firstLine="0"/>
        <w:rPr>
          <w:rFonts w:ascii="Arial" w:hAnsi="Arial" w:cs="Arial"/>
        </w:rPr>
      </w:pPr>
      <w:r>
        <w:rPr>
          <w:rFonts w:ascii="Arial" w:hAnsi="Arial" w:cs="Arial"/>
        </w:rPr>
        <w:t>This aim was formulated to assess the influence of practical teaching methods on education within the context of a private junior vocational school. Finally, the three data triangulation sources that are student feedback, teacher interviews and enterprise perspectives unify into a whole picture. The great majority of students demonstrated a readiness to engage in practical teaching reflected upon the beneficial effect it had on their comprehensive educational picture. The applied teaching tools that were considered facilitate an improvement in students’ understanding of their selected fields and reinforcement of professional knowledge. The teacher interview further reinforced these revelations whereby practical teaching facilitates the acquisition of both perceptual and pragmatic skills.</w:t>
      </w:r>
    </w:p>
    <w:p>
      <w:pPr>
        <w:spacing w:line="360" w:lineRule="auto"/>
        <w:ind w:firstLine="0"/>
        <w:rPr>
          <w:rFonts w:ascii="Arial" w:hAnsi="Arial" w:cs="Arial"/>
        </w:rPr>
      </w:pPr>
      <w:r>
        <w:rPr>
          <w:rFonts w:ascii="Arial" w:hAnsi="Arial" w:cs="Arial"/>
        </w:rPr>
        <w:t>The latter objective sought to explore the interplay between employability skills and students’ career development and employment. The results shed some light on a strong effect, wherein most of the students were aware of the influence provided by practical learning towards their career planning. Among the highlights that were identified as the catalyst to realize long-term career goals, faster adaptation of work environment and success of graduates in their careers was practical learning. On this, the enterprises responded in one accord that they would prefer students with practical teaching experience. The collaborative model between colleges and enterprises was seen to be one of the main enablers of being able to meet the recruitment demands for technical talents.</w:t>
      </w:r>
    </w:p>
    <w:p>
      <w:pPr>
        <w:spacing w:line="360" w:lineRule="auto"/>
        <w:ind w:firstLine="0"/>
        <w:rPr>
          <w:rFonts w:ascii="Arial" w:hAnsi="Arial" w:cs="Arial"/>
        </w:rPr>
      </w:pPr>
      <w:r>
        <w:rPr>
          <w:rFonts w:ascii="Arial" w:hAnsi="Arial" w:cs="Arial"/>
        </w:rPr>
        <w:t>The third goal focused on the analysis of dissection recruiting methods and preferences by companies in relation to practical teaching approaches. In the end, both questionnaires and the enterprise interviews coincide in observing that colleges help their students well enough to obtain internships and practical experience. In addition, companies; have a desire of employing students who have practical teaching experience they give reasons such as explore knowledge through hands being the way to get knowledge. By then, the college-enterprise cooperation became a core factor in responding to technological talents’ recruitment needs creating an eminent need for integrating industry practices into professional courses.</w:t>
      </w:r>
    </w:p>
    <w:p>
      <w:pPr>
        <w:spacing w:line="360" w:lineRule="auto"/>
        <w:ind w:firstLine="0"/>
        <w:rPr>
          <w:rFonts w:ascii="Arial" w:hAnsi="Arial" w:cs="Arial"/>
        </w:rPr>
      </w:pPr>
      <w:r>
        <w:rPr>
          <w:rFonts w:ascii="Arial" w:hAnsi="Arial" w:cs="Arial"/>
        </w:rPr>
        <w:t>The fourth objective aimed to investigate the reflections of learners who used practical models and how their career aspirations are informed by those experiences. The stories from the interviews about the students reveal a dynamic background. The effect on learning professional knowledge was found to be significant due to practical teaching methods which offered more specific and concrete learning experience. When students encountered challenges during the practice process, teachers’ and corporate mentors’ guidance was of vital importance to cope with those difficulties. The usefulness of practical education in influencing career goals was spotlighted, with the students saying that they became lovers of adopting into society.</w:t>
      </w:r>
    </w:p>
    <w:p>
      <w:pPr>
        <w:pStyle w:val="2"/>
        <w:spacing w:line="360" w:lineRule="auto"/>
        <w:rPr>
          <w:rFonts w:ascii="Arial" w:hAnsi="Arial" w:cs="Arial"/>
        </w:rPr>
      </w:pPr>
      <w:bookmarkStart w:id="78" w:name="_Toc158819542"/>
      <w:r>
        <w:rPr>
          <w:rFonts w:ascii="Arial" w:hAnsi="Arial" w:cs="Arial"/>
        </w:rPr>
        <w:t>Future recommendations</w:t>
      </w:r>
      <w:bookmarkEnd w:id="78"/>
      <w:r>
        <w:rPr>
          <w:rFonts w:ascii="Arial" w:hAnsi="Arial" w:cs="Arial"/>
        </w:rPr>
        <w:t xml:space="preserve"> </w:t>
      </w:r>
    </w:p>
    <w:p>
      <w:pPr>
        <w:spacing w:line="360" w:lineRule="auto"/>
        <w:ind w:firstLine="0"/>
        <w:rPr>
          <w:rFonts w:ascii="Arial" w:hAnsi="Arial" w:cs="Arial"/>
        </w:rPr>
      </w:pPr>
      <w:r>
        <w:rPr>
          <w:rFonts w:ascii="Arial" w:hAnsi="Arial" w:cs="Arial"/>
        </w:rPr>
        <w:t>Articulating the future path for applied learning in Chinese junior vocational colleges, the combined knowledge from data, interviews and questionnaires in this study n     provides a holistic picture of recommendations. Based on the symbiotic bond between education and industry, these recommendations fuse to form a lucid blueprint for navigating the future.</w:t>
      </w:r>
    </w:p>
    <w:p>
      <w:pPr>
        <w:pStyle w:val="28"/>
        <w:numPr>
          <w:ilvl w:val="0"/>
          <w:numId w:val="3"/>
        </w:numPr>
        <w:spacing w:line="360" w:lineRule="auto"/>
        <w:rPr>
          <w:rFonts w:ascii="Arial" w:hAnsi="Arial" w:cs="Arial"/>
        </w:rPr>
      </w:pPr>
      <w:r>
        <w:rPr>
          <w:rFonts w:ascii="Arial" w:hAnsi="Arial" w:cs="Arial"/>
        </w:rPr>
        <w:t>Strengthening Collaboration and Internship Opportunities</w:t>
      </w:r>
    </w:p>
    <w:p>
      <w:pPr>
        <w:spacing w:line="360" w:lineRule="auto"/>
        <w:ind w:firstLine="0"/>
        <w:rPr>
          <w:rFonts w:ascii="Arial" w:hAnsi="Arial" w:cs="Arial"/>
        </w:rPr>
      </w:pPr>
      <w:r>
        <w:rPr>
          <w:rFonts w:ascii="Arial" w:hAnsi="Arial" w:cs="Arial"/>
        </w:rPr>
        <w:t>The future setting requires the collaboration among the educating establishment and individual associations that is duly prepared. The need to develop strong internship programs and industry linkages becomes then a viable path for students to provide practical application of the theoretical frameworks. As an example of the above, a collaborative model, close to what enterprise staff outline for structuring the blueprint for further integration. The attention to the structure of the support for internships is an important component, since it allows students to receive diverse and deep immersion.</w:t>
      </w:r>
    </w:p>
    <w:p>
      <w:pPr>
        <w:pStyle w:val="28"/>
        <w:numPr>
          <w:ilvl w:val="0"/>
          <w:numId w:val="3"/>
        </w:numPr>
        <w:spacing w:line="360" w:lineRule="auto"/>
        <w:rPr>
          <w:rFonts w:ascii="Arial" w:hAnsi="Arial" w:cs="Arial"/>
        </w:rPr>
      </w:pPr>
      <w:r>
        <w:rPr>
          <w:rFonts w:ascii="Arial" w:hAnsi="Arial" w:cs="Arial"/>
        </w:rPr>
        <w:t>Tailoring Practical Teaching Models to Disciplinary Needs</w:t>
      </w:r>
    </w:p>
    <w:p>
      <w:pPr>
        <w:spacing w:line="360" w:lineRule="auto"/>
        <w:ind w:firstLine="0"/>
        <w:rPr>
          <w:rFonts w:ascii="Arial" w:hAnsi="Arial" w:cs="Arial"/>
        </w:rPr>
      </w:pPr>
      <w:r>
        <w:rPr>
          <w:rFonts w:ascii="Arial" w:hAnsi="Arial" w:cs="Arial"/>
        </w:rPr>
        <w:t>Conscious of the heterogeneity that exists within vocational education, future endeavours ought to embrace differentiated practical models oriented around specialized needs peculiar to individual disciplines. The study highlights differences in the effect of applied teaching on the different majors, where a refined approach should be taken to achieve optimum efficacy. Practical learning experiences, although manifold, should be combined into a unitary framework that is tailored to the needs of each field specifically and thus creates substantial impacts on these fields.</w:t>
      </w:r>
    </w:p>
    <w:p>
      <w:pPr>
        <w:pStyle w:val="28"/>
        <w:numPr>
          <w:ilvl w:val="0"/>
          <w:numId w:val="3"/>
        </w:numPr>
        <w:spacing w:line="360" w:lineRule="auto"/>
        <w:rPr>
          <w:rFonts w:ascii="Arial" w:hAnsi="Arial" w:cs="Arial"/>
        </w:rPr>
      </w:pPr>
      <w:r>
        <w:rPr>
          <w:rFonts w:ascii="Arial" w:hAnsi="Arial" w:cs="Arial"/>
        </w:rPr>
        <w:t>Investing in Continuous Professional Development for Educators</w:t>
      </w:r>
    </w:p>
    <w:p>
      <w:pPr>
        <w:spacing w:line="360" w:lineRule="auto"/>
        <w:ind w:firstLine="0"/>
        <w:rPr>
          <w:rFonts w:ascii="Arial" w:hAnsi="Arial" w:cs="Arial"/>
        </w:rPr>
      </w:pPr>
      <w:r>
        <w:rPr>
          <w:rFonts w:ascii="Arial" w:hAnsi="Arial" w:cs="Arial"/>
        </w:rPr>
        <w:t>The longevity of practical teaching methodology is dependent on the relevant focus to protect the continuous professional growth in educators. The various training programs, workshop and the sustained support that are provided to most of the teachers in this area can be able to equip them with all skills that would enable them incorporate practical teaching into just about every lesson. Emphasizing the need to keep updated on what is happening in the industry ensures that educators remain at the centre of helping students acquire necessary skills and knowledge for their job market needs.</w:t>
      </w:r>
    </w:p>
    <w:p>
      <w:pPr>
        <w:pStyle w:val="28"/>
        <w:numPr>
          <w:ilvl w:val="0"/>
          <w:numId w:val="3"/>
        </w:numPr>
        <w:spacing w:line="360" w:lineRule="auto"/>
        <w:rPr>
          <w:rFonts w:ascii="Arial" w:hAnsi="Arial" w:cs="Arial"/>
        </w:rPr>
      </w:pPr>
      <w:r>
        <w:rPr>
          <w:rFonts w:ascii="Arial" w:hAnsi="Arial" w:cs="Arial"/>
        </w:rPr>
        <w:t>Fostering Innovation in Teaching Methods</w:t>
      </w:r>
    </w:p>
    <w:p>
      <w:pPr>
        <w:spacing w:line="360" w:lineRule="auto"/>
        <w:ind w:firstLine="0"/>
        <w:rPr>
          <w:rFonts w:ascii="Arial" w:hAnsi="Arial" w:cs="Arial"/>
        </w:rPr>
      </w:pPr>
      <w:r>
        <w:rPr>
          <w:rFonts w:ascii="Arial" w:hAnsi="Arial" w:cs="Arial"/>
        </w:rPr>
        <w:t>Industries are constantly changing and with this realization, a revolutionary method of teaching is vital. Further proposals might focus on approaching new technologies, virtual reality and simulation to improve the practice of learning. These technologies promote the idea of a balanced development and integrate well into vocational education by merging theory with practice, which creates an advanced learning environment for students.</w:t>
      </w:r>
    </w:p>
    <w:p>
      <w:pPr>
        <w:pStyle w:val="2"/>
        <w:spacing w:line="360" w:lineRule="auto"/>
        <w:rPr>
          <w:rFonts w:ascii="Arial" w:hAnsi="Arial" w:eastAsia="Times New Roman" w:cs="Arial"/>
        </w:rPr>
      </w:pPr>
      <w:bookmarkStart w:id="79" w:name="_Toc158819543"/>
      <w:bookmarkStart w:id="80" w:name="_Toc156776224"/>
      <w:r>
        <w:rPr>
          <w:rFonts w:ascii="Arial" w:hAnsi="Arial" w:cs="Arial"/>
        </w:rPr>
        <w:t>References</w:t>
      </w:r>
      <w:bookmarkEnd w:id="79"/>
      <w:bookmarkEnd w:id="80"/>
    </w:p>
    <w:p>
      <w:pPr>
        <w:spacing w:line="360" w:lineRule="auto"/>
        <w:ind w:left="720" w:hanging="720"/>
        <w:rPr>
          <w:rFonts w:ascii="Arial" w:hAnsi="Arial" w:cs="Arial"/>
        </w:rPr>
      </w:pPr>
      <w:r>
        <w:rPr>
          <w:rFonts w:ascii="Arial" w:hAnsi="Arial" w:cs="Arial"/>
        </w:rPr>
        <w:t>Bates, R. (2019). The impact of new technologies on teaching and learning in higher education. In The International Handbook of Learning and Teaching (pp. 1-28). Springer.</w:t>
      </w:r>
    </w:p>
    <w:p>
      <w:pPr>
        <w:spacing w:line="360" w:lineRule="auto"/>
        <w:ind w:left="720" w:hanging="720"/>
        <w:rPr>
          <w:rFonts w:ascii="Arial" w:hAnsi="Arial" w:cs="Arial"/>
        </w:rPr>
      </w:pPr>
      <w:r>
        <w:rPr>
          <w:rFonts w:ascii="Arial" w:hAnsi="Arial" w:cs="Arial"/>
        </w:rPr>
        <w:t>Bell, F. (2010). Connectivism: Its place in theory-informed research and innovation in technology-enabled learning. International Review of Research in Open and Distributed Learning, 12(3), 98-118.</w:t>
      </w:r>
    </w:p>
    <w:p>
      <w:pPr>
        <w:spacing w:line="360" w:lineRule="auto"/>
        <w:ind w:left="720" w:hanging="720"/>
        <w:rPr>
          <w:rFonts w:ascii="Arial" w:hAnsi="Arial" w:cs="Arial"/>
          <w:lang w:val="en-US"/>
        </w:rPr>
      </w:pPr>
      <w:r>
        <w:rPr>
          <w:rFonts w:ascii="Arial" w:hAnsi="Arial" w:cs="Arial"/>
          <w:lang w:val="en-US"/>
        </w:rPr>
        <w:t>Bell, F. (2010). Connectivism: Its place in theory-informed research and innovation in technology-enabled learning. International Review of Research in Open and Distributed Learning, 12(3), 98-118.</w:t>
      </w:r>
    </w:p>
    <w:p>
      <w:pPr>
        <w:spacing w:after="0" w:line="360" w:lineRule="auto"/>
        <w:ind w:left="709" w:hanging="720"/>
        <w:rPr>
          <w:rFonts w:ascii="Arial" w:hAnsi="Arial" w:eastAsia="Times New Roman" w:cs="Arial"/>
          <w:kern w:val="0"/>
          <w14:ligatures w14:val="none"/>
        </w:rPr>
      </w:pPr>
      <w:r>
        <w:rPr>
          <w:rFonts w:ascii="Arial" w:hAnsi="Arial" w:eastAsia="Times New Roman" w:cs="Arial"/>
          <w:kern w:val="0"/>
          <w14:ligatures w14:val="none"/>
        </w:rPr>
        <w:t xml:space="preserve">Biermann, H. (1999). China’s Vocational Education System Facing the Twenty-First Century. </w:t>
      </w:r>
      <w:r>
        <w:rPr>
          <w:rFonts w:ascii="Arial" w:hAnsi="Arial" w:eastAsia="Times New Roman" w:cs="Arial"/>
          <w:i/>
          <w:iCs/>
          <w:kern w:val="0"/>
          <w14:ligatures w14:val="none"/>
        </w:rPr>
        <w:t>International Journal of Sociology</w:t>
      </w:r>
      <w:r>
        <w:rPr>
          <w:rFonts w:ascii="Arial" w:hAnsi="Arial" w:eastAsia="Times New Roman" w:cs="Arial"/>
          <w:kern w:val="0"/>
          <w14:ligatures w14:val="none"/>
        </w:rPr>
        <w:t xml:space="preserve">, </w:t>
      </w:r>
      <w:r>
        <w:rPr>
          <w:rFonts w:ascii="Arial" w:hAnsi="Arial" w:eastAsia="Times New Roman" w:cs="Arial"/>
          <w:i/>
          <w:iCs/>
          <w:kern w:val="0"/>
          <w14:ligatures w14:val="none"/>
        </w:rPr>
        <w:t>29</w:t>
      </w:r>
      <w:r>
        <w:rPr>
          <w:rFonts w:ascii="Arial" w:hAnsi="Arial" w:eastAsia="Times New Roman" w:cs="Arial"/>
          <w:kern w:val="0"/>
          <w14:ligatures w14:val="none"/>
        </w:rPr>
        <w:t>(1), 21–41. https://www.jstor.org/stable/20628550</w:t>
      </w:r>
    </w:p>
    <w:p>
      <w:pPr>
        <w:spacing w:line="360" w:lineRule="auto"/>
        <w:ind w:left="720" w:hanging="720"/>
        <w:rPr>
          <w:rFonts w:ascii="Arial" w:hAnsi="Arial" w:cs="Arial"/>
          <w:lang w:val="en-US"/>
        </w:rPr>
      </w:pPr>
      <w:r>
        <w:rPr>
          <w:rFonts w:ascii="Arial" w:hAnsi="Arial" w:cs="Arial"/>
          <w:lang w:val="en-US"/>
        </w:rPr>
        <w:t>Bonanno, G. A. (2004). Loss, trauma, and human resilience: Have we underestimated the human capacity to thrive after extremely aversive events? American Psychologist, 59(1), 20-28.</w:t>
      </w:r>
    </w:p>
    <w:p>
      <w:pPr>
        <w:spacing w:line="360" w:lineRule="auto"/>
        <w:ind w:left="720" w:hanging="720"/>
        <w:rPr>
          <w:rFonts w:ascii="Arial" w:hAnsi="Arial" w:cs="Arial"/>
        </w:rPr>
      </w:pPr>
      <w:r>
        <w:rPr>
          <w:rFonts w:ascii="Arial" w:hAnsi="Arial" w:cs="Arial"/>
        </w:rPr>
        <w:t>Braun, V., &amp; Clarke, V. (2006). Using thematic analysis in psychology. Qualitative Research in Psychology, 3(2), 77-101.</w:t>
      </w:r>
    </w:p>
    <w:p>
      <w:pPr>
        <w:spacing w:line="360" w:lineRule="auto"/>
        <w:ind w:left="720" w:hanging="720"/>
        <w:rPr>
          <w:rFonts w:ascii="Arial" w:hAnsi="Arial" w:cs="Arial"/>
        </w:rPr>
      </w:pPr>
      <w:r>
        <w:rPr>
          <w:rFonts w:ascii="Arial" w:hAnsi="Arial" w:cs="Arial"/>
        </w:rPr>
        <w:t>Creswell, J. W. (2013). Qualitative inquiry and research design: Choosing among five approaches. Sage Publications.</w:t>
      </w:r>
    </w:p>
    <w:p>
      <w:pPr>
        <w:spacing w:line="360" w:lineRule="auto"/>
        <w:ind w:left="720" w:hanging="720"/>
        <w:rPr>
          <w:rFonts w:ascii="Arial" w:hAnsi="Arial" w:cs="Arial"/>
        </w:rPr>
      </w:pPr>
      <w:r>
        <w:rPr>
          <w:rFonts w:ascii="Arial" w:hAnsi="Arial" w:cs="Arial"/>
        </w:rPr>
        <w:t>Creswell, J. W., &amp; Creswell, J. D. (2017). Research design: Qualitative, quantitative, and mixed methods approaches. Sage Publications.</w:t>
      </w:r>
    </w:p>
    <w:p>
      <w:pPr>
        <w:spacing w:line="360" w:lineRule="auto"/>
        <w:ind w:left="720" w:hanging="720"/>
        <w:rPr>
          <w:rFonts w:ascii="Arial" w:hAnsi="Arial" w:cs="Arial"/>
          <w:lang w:val="en-US"/>
        </w:rPr>
      </w:pPr>
      <w:r>
        <w:rPr>
          <w:rFonts w:ascii="Arial" w:hAnsi="Arial" w:cs="Arial"/>
          <w:lang w:val="en-US"/>
        </w:rPr>
        <w:t>Dewey, J. (1938). Experience and education. Kappa Delta Pi.</w:t>
      </w:r>
    </w:p>
    <w:p>
      <w:pPr>
        <w:spacing w:line="360" w:lineRule="auto"/>
        <w:ind w:left="720" w:hanging="720"/>
        <w:rPr>
          <w:rFonts w:ascii="Arial" w:hAnsi="Arial" w:cs="Arial"/>
        </w:rPr>
      </w:pPr>
      <w:r>
        <w:rPr>
          <w:rFonts w:ascii="Arial" w:hAnsi="Arial" w:cs="Arial"/>
        </w:rPr>
        <w:t>Dillman, D. A., Smyth, J. D., &amp; Christian, L. M. (2014). Internet, phone, mail, and mixed-mode surveys: The tailored design method. John Wiley &amp; Sons.</w:t>
      </w:r>
    </w:p>
    <w:p>
      <w:pPr>
        <w:spacing w:line="360" w:lineRule="auto"/>
        <w:ind w:left="720" w:hanging="720"/>
        <w:rPr>
          <w:rFonts w:ascii="Arial" w:hAnsi="Arial" w:cs="Arial"/>
          <w:lang w:val="en-US"/>
        </w:rPr>
      </w:pPr>
      <w:r>
        <w:rPr>
          <w:rFonts w:ascii="Arial" w:hAnsi="Arial" w:cs="Arial"/>
          <w:lang w:val="en-US"/>
        </w:rPr>
        <w:t>Duckworth, A. L. (2016). Grit: The power of passion and perseverance. Scribner.</w:t>
      </w:r>
    </w:p>
    <w:p>
      <w:pPr>
        <w:spacing w:line="360" w:lineRule="auto"/>
        <w:ind w:left="720" w:hanging="720"/>
        <w:rPr>
          <w:rFonts w:ascii="Arial" w:hAnsi="Arial" w:cs="Arial"/>
        </w:rPr>
      </w:pPr>
      <w:r>
        <w:rPr>
          <w:rFonts w:ascii="Arial" w:hAnsi="Arial" w:cs="Arial"/>
        </w:rPr>
        <w:t>European Commission. (2017). Working together for education: A European approach to school policy. Publications Office of the European Union.</w:t>
      </w:r>
    </w:p>
    <w:p>
      <w:pPr>
        <w:spacing w:line="360" w:lineRule="auto"/>
        <w:ind w:left="720" w:hanging="720"/>
        <w:rPr>
          <w:rFonts w:ascii="Arial" w:hAnsi="Arial" w:cs="Arial"/>
        </w:rPr>
      </w:pPr>
      <w:r>
        <w:rPr>
          <w:rFonts w:ascii="Arial" w:hAnsi="Arial" w:cs="Arial"/>
        </w:rPr>
        <w:t>Hart Research Associates. (2018). Fulfilling the American Dream: Liberal Education and the Future of Work. Association of American Colleges and Universities.</w:t>
      </w:r>
    </w:p>
    <w:p>
      <w:pPr>
        <w:spacing w:line="360" w:lineRule="auto"/>
        <w:ind w:left="720" w:hanging="720"/>
        <w:rPr>
          <w:rFonts w:ascii="Arial" w:hAnsi="Arial" w:cs="Arial"/>
          <w:lang w:val="en-US"/>
        </w:rPr>
      </w:pPr>
      <w:r>
        <w:rPr>
          <w:rFonts w:ascii="Arial" w:hAnsi="Arial" w:cs="Arial"/>
          <w:lang w:val="en-US"/>
        </w:rPr>
        <w:t>Hmelo-Silver, C. E., Duncan, R. G., &amp; Chinn, C. A. (2007). Scaffolding and achievement in problem-based and inquiry learning: A response to Kirschner, Sweller, and Clark (2006). Educational psychologist, 42(2), 99-107.</w:t>
      </w:r>
    </w:p>
    <w:p>
      <w:pPr>
        <w:spacing w:after="0" w:line="360" w:lineRule="auto"/>
        <w:ind w:left="709" w:hanging="720"/>
        <w:rPr>
          <w:rFonts w:ascii="Arial" w:hAnsi="Arial" w:eastAsia="Times New Roman" w:cs="Arial"/>
          <w:kern w:val="0"/>
          <w14:ligatures w14:val="none"/>
        </w:rPr>
      </w:pPr>
      <w:r>
        <w:rPr>
          <w:rFonts w:ascii="Arial" w:hAnsi="Arial" w:eastAsia="Times New Roman" w:cs="Arial"/>
          <w:kern w:val="0"/>
          <w14:ligatures w14:val="none"/>
        </w:rPr>
        <w:t xml:space="preserve">Ho, T. T. H., Le, V. H., Nguyen, D. T., Nguyen, C. T. P., &amp; Nguyen, H. T. T. (2022). Effects of career development learning on students’ perceived employability: a longitudinal study. </w:t>
      </w:r>
      <w:r>
        <w:rPr>
          <w:rFonts w:ascii="Arial" w:hAnsi="Arial" w:eastAsia="Times New Roman" w:cs="Arial"/>
          <w:i/>
          <w:iCs/>
          <w:kern w:val="0"/>
          <w14:ligatures w14:val="none"/>
        </w:rPr>
        <w:t>Higher Education</w:t>
      </w:r>
      <w:r>
        <w:rPr>
          <w:rFonts w:ascii="Arial" w:hAnsi="Arial" w:eastAsia="Times New Roman" w:cs="Arial"/>
          <w:kern w:val="0"/>
          <w14:ligatures w14:val="none"/>
        </w:rPr>
        <w:t xml:space="preserve">, </w:t>
      </w:r>
      <w:r>
        <w:rPr>
          <w:rFonts w:ascii="Arial" w:hAnsi="Arial" w:eastAsia="Times New Roman" w:cs="Arial"/>
          <w:i/>
          <w:iCs/>
          <w:kern w:val="0"/>
          <w14:ligatures w14:val="none"/>
        </w:rPr>
        <w:t>86</w:t>
      </w:r>
      <w:r>
        <w:rPr>
          <w:rFonts w:ascii="Arial" w:hAnsi="Arial" w:eastAsia="Times New Roman" w:cs="Arial"/>
          <w:kern w:val="0"/>
          <w14:ligatures w14:val="none"/>
        </w:rPr>
        <w:t>. https://doi.org/10.1007/s10734-022-00933-6</w:t>
      </w:r>
    </w:p>
    <w:p>
      <w:pPr>
        <w:spacing w:line="360" w:lineRule="auto"/>
        <w:ind w:left="720" w:hanging="720"/>
        <w:rPr>
          <w:rFonts w:ascii="Arial" w:hAnsi="Arial" w:cs="Arial"/>
          <w:lang w:val="en-US"/>
        </w:rPr>
      </w:pPr>
      <w:r>
        <w:rPr>
          <w:rFonts w:ascii="Arial" w:hAnsi="Arial" w:cs="Arial"/>
          <w:lang w:val="en-US"/>
        </w:rPr>
        <w:t>Horton, M. (2016). The vocational education and training sector. In Education, skills, and technical change (pp. 131-156). Routledge.</w:t>
      </w:r>
    </w:p>
    <w:p>
      <w:pPr>
        <w:spacing w:after="0" w:line="360" w:lineRule="auto"/>
        <w:ind w:left="709" w:hanging="720"/>
        <w:rPr>
          <w:rFonts w:ascii="Arial" w:hAnsi="Arial" w:eastAsia="Times New Roman" w:cs="Arial"/>
          <w:kern w:val="0"/>
          <w14:ligatures w14:val="none"/>
        </w:rPr>
      </w:pPr>
      <w:r>
        <w:rPr>
          <w:rFonts w:ascii="Arial" w:hAnsi="Arial" w:eastAsia="Times New Roman" w:cs="Arial"/>
          <w:kern w:val="0"/>
          <w14:ligatures w14:val="none"/>
        </w:rPr>
        <w:t xml:space="preserve">HUMA, A., Rizwan, S., &amp; Rafique, R. (2022). A Comparative Analysis of Policy Perspective for Technical and Vocational Education at Secondary School Level. </w:t>
      </w:r>
      <w:r>
        <w:rPr>
          <w:rFonts w:ascii="Arial" w:hAnsi="Arial" w:eastAsia="Times New Roman" w:cs="Arial"/>
          <w:i/>
          <w:iCs/>
          <w:kern w:val="0"/>
          <w14:ligatures w14:val="none"/>
        </w:rPr>
        <w:t>Journal of Education and Educational Development</w:t>
      </w:r>
      <w:r>
        <w:rPr>
          <w:rFonts w:ascii="Arial" w:hAnsi="Arial" w:eastAsia="Times New Roman" w:cs="Arial"/>
          <w:kern w:val="0"/>
          <w14:ligatures w14:val="none"/>
        </w:rPr>
        <w:t xml:space="preserve">, </w:t>
      </w:r>
      <w:r>
        <w:rPr>
          <w:rFonts w:ascii="Arial" w:hAnsi="Arial" w:eastAsia="Times New Roman" w:cs="Arial"/>
          <w:i/>
          <w:iCs/>
          <w:kern w:val="0"/>
          <w14:ligatures w14:val="none"/>
        </w:rPr>
        <w:t>9</w:t>
      </w:r>
      <w:r>
        <w:rPr>
          <w:rFonts w:ascii="Arial" w:hAnsi="Arial" w:eastAsia="Times New Roman" w:cs="Arial"/>
          <w:kern w:val="0"/>
          <w14:ligatures w14:val="none"/>
        </w:rPr>
        <w:t>(1). https://doi.org/10.22555/joeed.v9i1.568</w:t>
      </w:r>
    </w:p>
    <w:p>
      <w:pPr>
        <w:spacing w:after="0" w:line="360" w:lineRule="auto"/>
        <w:ind w:left="709" w:hanging="720"/>
        <w:rPr>
          <w:rFonts w:ascii="Arial" w:hAnsi="Arial" w:eastAsia="Times New Roman" w:cs="Arial"/>
          <w:kern w:val="0"/>
          <w14:ligatures w14:val="none"/>
        </w:rPr>
      </w:pPr>
      <w:r>
        <w:rPr>
          <w:rFonts w:ascii="Arial" w:hAnsi="Arial" w:eastAsia="Times New Roman" w:cs="Arial"/>
          <w:kern w:val="0"/>
          <w14:ligatures w14:val="none"/>
        </w:rPr>
        <w:t xml:space="preserve">Jiang, L. (2022). Factors influencing EFL teachers’ implementation of SPOC-based blended learning in higher vocational colleges in China: A study based on grounded theory. </w:t>
      </w:r>
      <w:r>
        <w:rPr>
          <w:rFonts w:ascii="Arial" w:hAnsi="Arial" w:eastAsia="Times New Roman" w:cs="Arial"/>
          <w:i/>
          <w:iCs/>
          <w:kern w:val="0"/>
          <w14:ligatures w14:val="none"/>
        </w:rPr>
        <w:t>Interactive Learning Environments</w:t>
      </w:r>
      <w:r>
        <w:rPr>
          <w:rFonts w:ascii="Arial" w:hAnsi="Arial" w:eastAsia="Times New Roman" w:cs="Arial"/>
          <w:kern w:val="0"/>
          <w14:ligatures w14:val="none"/>
        </w:rPr>
        <w:t>, 1–20. https://doi.org/10.1080/10494820.2022.2100428</w:t>
      </w:r>
    </w:p>
    <w:p>
      <w:pPr>
        <w:spacing w:after="0" w:line="360" w:lineRule="auto"/>
        <w:ind w:left="709" w:hanging="720"/>
        <w:rPr>
          <w:rFonts w:ascii="Arial" w:hAnsi="Arial" w:eastAsia="Times New Roman" w:cs="Arial"/>
          <w:kern w:val="0"/>
          <w14:ligatures w14:val="none"/>
        </w:rPr>
      </w:pPr>
      <w:r>
        <w:rPr>
          <w:rFonts w:ascii="Arial" w:hAnsi="Arial" w:eastAsia="Times New Roman" w:cs="Arial"/>
          <w:kern w:val="0"/>
          <w14:ligatures w14:val="none"/>
        </w:rPr>
        <w:t xml:space="preserve">Kap, H. (n.d.). </w:t>
      </w:r>
      <w:r>
        <w:rPr>
          <w:rFonts w:ascii="Arial" w:hAnsi="Arial" w:eastAsia="Times New Roman" w:cs="Arial"/>
          <w:i/>
          <w:iCs/>
          <w:kern w:val="0"/>
          <w14:ligatures w14:val="none"/>
        </w:rPr>
        <w:t>Comparative Studies of Vocational Education and Training</w:t>
      </w:r>
      <w:r>
        <w:rPr>
          <w:rFonts w:ascii="Arial" w:hAnsi="Arial" w:eastAsia="Times New Roman" w:cs="Arial"/>
          <w:kern w:val="0"/>
          <w14:ligatures w14:val="none"/>
        </w:rPr>
        <w:t>. https://www.diva-portal.org/smash/get/diva2:846255/FULLTEXT01.pdf</w:t>
      </w:r>
    </w:p>
    <w:p>
      <w:pPr>
        <w:spacing w:after="0" w:line="360" w:lineRule="auto"/>
        <w:ind w:left="709" w:hanging="720"/>
        <w:rPr>
          <w:rFonts w:ascii="Arial" w:hAnsi="Arial" w:eastAsia="Times New Roman" w:cs="Arial"/>
          <w:kern w:val="0"/>
          <w14:ligatures w14:val="none"/>
        </w:rPr>
      </w:pPr>
      <w:r>
        <w:rPr>
          <w:rFonts w:ascii="Arial" w:hAnsi="Arial" w:eastAsia="Times New Roman" w:cs="Arial"/>
          <w:kern w:val="0"/>
          <w14:ligatures w14:val="none"/>
        </w:rPr>
        <w:t xml:space="preserve">Kenton, W. (2023, March 16). </w:t>
      </w:r>
      <w:r>
        <w:rPr>
          <w:rFonts w:ascii="Arial" w:hAnsi="Arial" w:eastAsia="Times New Roman" w:cs="Arial"/>
          <w:i/>
          <w:iCs/>
          <w:kern w:val="0"/>
          <w14:ligatures w14:val="none"/>
        </w:rPr>
        <w:t>Organizational structure for companies with examples and benefits</w:t>
      </w:r>
      <w:r>
        <w:rPr>
          <w:rFonts w:ascii="Arial" w:hAnsi="Arial" w:eastAsia="Times New Roman" w:cs="Arial"/>
          <w:kern w:val="0"/>
          <w14:ligatures w14:val="none"/>
        </w:rPr>
        <w:t>. Investopedia. https://www.investopedia.com/terms/o/organizational-structure.asp</w:t>
      </w:r>
    </w:p>
    <w:p>
      <w:pPr>
        <w:spacing w:line="360" w:lineRule="auto"/>
        <w:ind w:left="720" w:hanging="720"/>
        <w:rPr>
          <w:rFonts w:ascii="Arial" w:hAnsi="Arial" w:cs="Arial"/>
          <w:lang w:val="en-US"/>
        </w:rPr>
      </w:pPr>
      <w:r>
        <w:rPr>
          <w:rFonts w:ascii="Arial" w:hAnsi="Arial" w:cs="Arial"/>
          <w:lang w:val="en-US"/>
        </w:rPr>
        <w:t>Kolb, D. A. (1984). Experiential learning: Experience as the source of learning and development. Prentice Hall.</w:t>
      </w:r>
    </w:p>
    <w:p>
      <w:pPr>
        <w:spacing w:line="360" w:lineRule="auto"/>
        <w:ind w:left="720" w:hanging="720"/>
        <w:rPr>
          <w:rFonts w:ascii="Arial" w:hAnsi="Arial" w:cs="Arial"/>
        </w:rPr>
      </w:pPr>
      <w:r>
        <w:rPr>
          <w:rFonts w:ascii="Arial" w:hAnsi="Arial" w:cs="Arial"/>
        </w:rPr>
        <w:t>Kolb, D. A. (2014). Experiential learning: Experience as the source of learning and development. FT press.</w:t>
      </w:r>
    </w:p>
    <w:p>
      <w:pPr>
        <w:spacing w:line="360" w:lineRule="auto"/>
        <w:ind w:left="720" w:hanging="720"/>
        <w:rPr>
          <w:rFonts w:ascii="Arial" w:hAnsi="Arial" w:cs="Arial"/>
          <w:lang w:val="en-US"/>
        </w:rPr>
      </w:pPr>
      <w:r>
        <w:rPr>
          <w:rFonts w:ascii="Arial" w:hAnsi="Arial" w:cs="Arial"/>
          <w:lang w:val="en-US"/>
        </w:rPr>
        <w:t>Kuczera, M. (2017). Skills for a digital world: 2016 OECD PISA results in focus. OECD Publishing.</w:t>
      </w:r>
    </w:p>
    <w:p>
      <w:pPr>
        <w:spacing w:after="0" w:line="360" w:lineRule="auto"/>
        <w:ind w:left="709" w:hanging="720"/>
        <w:rPr>
          <w:rFonts w:ascii="Arial" w:hAnsi="Arial" w:eastAsia="Times New Roman" w:cs="Arial"/>
          <w:kern w:val="0"/>
          <w14:ligatures w14:val="none"/>
        </w:rPr>
      </w:pPr>
      <w:r>
        <w:rPr>
          <w:rFonts w:ascii="Arial" w:hAnsi="Arial" w:eastAsia="Times New Roman" w:cs="Arial"/>
          <w:kern w:val="0"/>
          <w14:ligatures w14:val="none"/>
        </w:rPr>
        <w:t xml:space="preserve">Li, Z. (2023). Research on school enterprise cooperation mode under the mechanism of “craftsman leading and collaborative education.” </w:t>
      </w:r>
      <w:r>
        <w:rPr>
          <w:rFonts w:ascii="Arial" w:hAnsi="Arial" w:eastAsia="Times New Roman" w:cs="Arial"/>
          <w:i/>
          <w:iCs/>
          <w:kern w:val="0"/>
          <w14:ligatures w14:val="none"/>
        </w:rPr>
        <w:t>SHS Web of Conferences</w:t>
      </w:r>
      <w:r>
        <w:rPr>
          <w:rFonts w:ascii="Arial" w:hAnsi="Arial" w:eastAsia="Times New Roman" w:cs="Arial"/>
          <w:kern w:val="0"/>
          <w14:ligatures w14:val="none"/>
        </w:rPr>
        <w:t xml:space="preserve">, </w:t>
      </w:r>
      <w:r>
        <w:rPr>
          <w:rFonts w:ascii="Arial" w:hAnsi="Arial" w:eastAsia="Times New Roman" w:cs="Arial"/>
          <w:i/>
          <w:iCs/>
          <w:kern w:val="0"/>
          <w14:ligatures w14:val="none"/>
        </w:rPr>
        <w:t>157</w:t>
      </w:r>
      <w:r>
        <w:rPr>
          <w:rFonts w:ascii="Arial" w:hAnsi="Arial" w:eastAsia="Times New Roman" w:cs="Arial"/>
          <w:kern w:val="0"/>
          <w14:ligatures w14:val="none"/>
        </w:rPr>
        <w:t>, 02019. https://doi.org/10.1051/shsconf/202315702019</w:t>
      </w:r>
    </w:p>
    <w:p>
      <w:pPr>
        <w:spacing w:after="0" w:line="360" w:lineRule="auto"/>
        <w:ind w:left="709" w:hanging="720"/>
        <w:rPr>
          <w:rFonts w:ascii="Arial" w:hAnsi="Arial" w:eastAsia="Times New Roman" w:cs="Arial"/>
          <w:kern w:val="0"/>
          <w14:ligatures w14:val="none"/>
        </w:rPr>
      </w:pPr>
      <w:r>
        <w:rPr>
          <w:rFonts w:ascii="Arial" w:hAnsi="Arial" w:eastAsia="Times New Roman" w:cs="Arial"/>
          <w:kern w:val="0"/>
          <w14:ligatures w14:val="none"/>
        </w:rPr>
        <w:t xml:space="preserve">Liang, J. (2020). </w:t>
      </w:r>
      <w:r>
        <w:rPr>
          <w:rFonts w:ascii="Arial" w:hAnsi="Arial" w:eastAsia="Times New Roman" w:cs="Arial"/>
          <w:i/>
          <w:iCs/>
          <w:kern w:val="0"/>
          <w14:ligatures w14:val="none"/>
        </w:rPr>
        <w:t>Discussion on Practical Teaching Mode from the Perspective of Virtual Reality</w:t>
      </w:r>
      <w:r>
        <w:rPr>
          <w:rFonts w:ascii="Arial" w:hAnsi="Arial" w:eastAsia="Times New Roman" w:cs="Arial"/>
          <w:kern w:val="0"/>
          <w14:ligatures w14:val="none"/>
        </w:rPr>
        <w:t>. https://doi.org/10.1145/3439133.3439137</w:t>
      </w:r>
    </w:p>
    <w:p>
      <w:pPr>
        <w:spacing w:line="360" w:lineRule="auto"/>
        <w:ind w:left="720" w:hanging="720"/>
        <w:rPr>
          <w:rFonts w:ascii="Arial" w:hAnsi="Arial" w:cs="Arial"/>
        </w:rPr>
      </w:pPr>
      <w:r>
        <w:rPr>
          <w:rFonts w:ascii="Arial" w:hAnsi="Arial" w:cs="Arial"/>
        </w:rPr>
        <w:t>Likert, R. (1932). A technique for the measurement of attitudes. Archives of Psychology, 22(140), 1-55.</w:t>
      </w:r>
    </w:p>
    <w:p>
      <w:pPr>
        <w:spacing w:line="360" w:lineRule="auto"/>
        <w:ind w:left="720" w:hanging="720"/>
        <w:rPr>
          <w:rFonts w:ascii="Arial" w:hAnsi="Arial" w:cs="Arial"/>
        </w:rPr>
      </w:pPr>
      <w:r>
        <w:rPr>
          <w:rFonts w:ascii="Arial" w:hAnsi="Arial" w:cs="Arial"/>
        </w:rPr>
        <w:t>Lincoln, Y. S., &amp; Guba, E. G. (1985). Naturalistic inquiry. Sage Publications.</w:t>
      </w:r>
    </w:p>
    <w:p>
      <w:pPr>
        <w:spacing w:line="360" w:lineRule="auto"/>
        <w:ind w:left="720" w:hanging="720"/>
        <w:rPr>
          <w:rFonts w:ascii="Arial" w:hAnsi="Arial" w:cs="Arial"/>
          <w:lang w:val="en-US"/>
        </w:rPr>
      </w:pPr>
      <w:r>
        <w:rPr>
          <w:rFonts w:ascii="Arial" w:hAnsi="Arial" w:cs="Arial"/>
          <w:lang w:val="en-US"/>
        </w:rPr>
        <w:t>Masten, A. S. (2014). Global perspectives on resilience in children and youth. Child Development, 85(1), 6-20.</w:t>
      </w:r>
    </w:p>
    <w:p>
      <w:pPr>
        <w:spacing w:line="360" w:lineRule="auto"/>
        <w:ind w:left="720" w:hanging="720"/>
        <w:rPr>
          <w:rFonts w:ascii="Arial" w:hAnsi="Arial" w:cs="Arial"/>
        </w:rPr>
      </w:pPr>
      <w:r>
        <w:rPr>
          <w:rFonts w:ascii="Arial" w:hAnsi="Arial" w:cs="Arial"/>
        </w:rPr>
        <w:t>Merriam, S. B. (2009). Qualitative research: A guide to design and implementation. Jossey-Bass.</w:t>
      </w:r>
    </w:p>
    <w:p>
      <w:pPr>
        <w:spacing w:after="0" w:line="360" w:lineRule="auto"/>
        <w:ind w:left="709" w:hanging="720"/>
        <w:rPr>
          <w:rFonts w:ascii="Arial" w:hAnsi="Arial" w:eastAsia="Times New Roman" w:cs="Arial"/>
          <w:kern w:val="0"/>
          <w14:ligatures w14:val="none"/>
        </w:rPr>
      </w:pPr>
      <w:r>
        <w:rPr>
          <w:rFonts w:ascii="Arial" w:hAnsi="Arial" w:eastAsia="Times New Roman" w:cs="Arial"/>
          <w:kern w:val="0"/>
          <w14:ligatures w14:val="none"/>
        </w:rPr>
        <w:t xml:space="preserve">Mueller, A. (2022, October 17). </w:t>
      </w:r>
      <w:r>
        <w:rPr>
          <w:rFonts w:ascii="Arial" w:hAnsi="Arial" w:eastAsia="Times New Roman" w:cs="Arial"/>
          <w:i/>
          <w:iCs/>
          <w:kern w:val="0"/>
          <w14:ligatures w14:val="none"/>
        </w:rPr>
        <w:t>Work Experience Vs Education: What’s the Difference?</w:t>
      </w:r>
      <w:r>
        <w:rPr>
          <w:rFonts w:ascii="Arial" w:hAnsi="Arial" w:eastAsia="Times New Roman" w:cs="Arial"/>
          <w:kern w:val="0"/>
          <w14:ligatures w14:val="none"/>
        </w:rPr>
        <w:t xml:space="preserve"> Investopedia. https://www.investopedia.com/financial-edge/0511/work-experience-vs.-education-which-lands-you-the-best-job.aspx</w:t>
      </w:r>
    </w:p>
    <w:p>
      <w:pPr>
        <w:spacing w:line="360" w:lineRule="auto"/>
        <w:ind w:left="720" w:hanging="720"/>
        <w:rPr>
          <w:rFonts w:ascii="Arial" w:hAnsi="Arial" w:cs="Arial"/>
          <w:lang w:val="en-US"/>
        </w:rPr>
      </w:pPr>
      <w:r>
        <w:rPr>
          <w:rFonts w:ascii="Arial" w:hAnsi="Arial" w:cs="Arial"/>
          <w:lang w:val="en-US"/>
        </w:rPr>
        <w:t>Mulder, M., Weigel, T., Collins, K., Harteis, C., &amp; Drane, C. (2017). Global knowledge workers: Diversity and relational perspectives. Springer.</w:t>
      </w:r>
    </w:p>
    <w:p>
      <w:pPr>
        <w:spacing w:line="360" w:lineRule="auto"/>
        <w:ind w:left="720" w:hanging="720"/>
        <w:rPr>
          <w:rFonts w:ascii="Arial" w:hAnsi="Arial" w:cs="Arial"/>
          <w:lang w:val="en-US"/>
        </w:rPr>
      </w:pPr>
      <w:r>
        <w:rPr>
          <w:rFonts w:ascii="Arial" w:hAnsi="Arial" w:cs="Arial"/>
          <w:lang w:val="en-US"/>
        </w:rPr>
        <w:t>OECD. (2020). Preparing our youth for an inclusive and sustainable world: The role of education in achieving the Sustainable Development Goals. OECD Publishing.</w:t>
      </w:r>
    </w:p>
    <w:p>
      <w:pPr>
        <w:spacing w:line="360" w:lineRule="auto"/>
        <w:ind w:left="720" w:hanging="720"/>
        <w:rPr>
          <w:rFonts w:ascii="Arial" w:hAnsi="Arial" w:cs="Arial"/>
        </w:rPr>
      </w:pPr>
      <w:r>
        <w:rPr>
          <w:rFonts w:ascii="Arial" w:hAnsi="Arial" w:cs="Arial"/>
        </w:rPr>
        <w:t>Patton, M. Q. (2015). Qualitative research &amp; evaluation methods: Integrating theory and practice. Sage Publications.</w:t>
      </w:r>
    </w:p>
    <w:p>
      <w:pPr>
        <w:spacing w:line="360" w:lineRule="auto"/>
        <w:ind w:left="720" w:hanging="720"/>
        <w:rPr>
          <w:rFonts w:ascii="Arial" w:hAnsi="Arial" w:cs="Arial"/>
          <w:lang w:val="en-US"/>
        </w:rPr>
      </w:pPr>
      <w:r>
        <w:rPr>
          <w:rFonts w:ascii="Arial" w:hAnsi="Arial" w:cs="Arial"/>
          <w:lang w:val="en-US"/>
        </w:rPr>
        <w:t>Pellegrino, J. W., &amp; Hilton, M. L. (2012). Education for life and work: Developing transferable knowledge and skills in the 21st century. National Academies Press.</w:t>
      </w:r>
    </w:p>
    <w:p>
      <w:pPr>
        <w:spacing w:line="360" w:lineRule="auto"/>
        <w:ind w:left="720" w:hanging="720"/>
        <w:rPr>
          <w:rFonts w:ascii="Arial" w:hAnsi="Arial" w:cs="Arial"/>
        </w:rPr>
      </w:pPr>
      <w:r>
        <w:rPr>
          <w:rFonts w:ascii="Arial" w:hAnsi="Arial" w:cs="Arial"/>
        </w:rPr>
        <w:t>Polit, D. F., &amp; Beck, C. T. (2017). Nursing research: Generating and assessing evidence for nursing practice. Wolters Kluwer.</w:t>
      </w:r>
    </w:p>
    <w:p>
      <w:pPr>
        <w:spacing w:after="0" w:line="360" w:lineRule="auto"/>
        <w:ind w:left="709" w:hanging="720"/>
        <w:rPr>
          <w:rFonts w:ascii="Arial" w:hAnsi="Arial" w:eastAsia="Times New Roman" w:cs="Arial"/>
          <w:kern w:val="0"/>
          <w14:ligatures w14:val="none"/>
        </w:rPr>
      </w:pPr>
      <w:r>
        <w:rPr>
          <w:rFonts w:ascii="Arial" w:hAnsi="Arial" w:eastAsia="Times New Roman" w:cs="Arial"/>
          <w:kern w:val="0"/>
          <w14:ligatures w14:val="none"/>
        </w:rPr>
        <w:t xml:space="preserve">White, D. (2019, May 13). </w:t>
      </w:r>
      <w:r>
        <w:rPr>
          <w:rFonts w:ascii="Arial" w:hAnsi="Arial" w:eastAsia="Times New Roman" w:cs="Arial"/>
          <w:i/>
          <w:iCs/>
          <w:kern w:val="0"/>
          <w14:ligatures w14:val="none"/>
        </w:rPr>
        <w:t>The necessity for practical work-based learning</w:t>
      </w:r>
      <w:r>
        <w:rPr>
          <w:rFonts w:ascii="Arial" w:hAnsi="Arial" w:eastAsia="Times New Roman" w:cs="Arial"/>
          <w:kern w:val="0"/>
          <w14:ligatures w14:val="none"/>
        </w:rPr>
        <w:t>. College.jobs.ac.uk. https://college.jobs.ac.uk/article/the-necessity-for-practical-work-based-learning/</w:t>
      </w:r>
    </w:p>
    <w:p>
      <w:pPr>
        <w:spacing w:after="0" w:line="360" w:lineRule="auto"/>
        <w:ind w:left="709" w:hanging="720"/>
        <w:rPr>
          <w:rFonts w:ascii="Arial" w:hAnsi="Arial" w:eastAsia="Times New Roman" w:cs="Arial"/>
          <w:kern w:val="0"/>
          <w14:ligatures w14:val="none"/>
        </w:rPr>
      </w:pPr>
      <w:r>
        <w:rPr>
          <w:rFonts w:ascii="Arial" w:hAnsi="Arial" w:eastAsia="Times New Roman" w:cs="Arial"/>
          <w:kern w:val="0"/>
          <w14:ligatures w14:val="none"/>
        </w:rPr>
        <w:t xml:space="preserve">Wu, J., &amp; Sun, H. (2022). </w:t>
      </w:r>
      <w:r>
        <w:rPr>
          <w:rFonts w:ascii="Arial" w:hAnsi="Arial" w:eastAsia="Times New Roman" w:cs="Arial"/>
          <w:i/>
          <w:iCs/>
          <w:kern w:val="0"/>
          <w14:ligatures w14:val="none"/>
        </w:rPr>
        <w:t xml:space="preserve">Research </w:t>
      </w:r>
      <w:r>
        <w:rPr>
          <w:rFonts w:ascii="Arial" w:hAnsi="Arial" w:eastAsia="Times New Roman" w:cs="Arial"/>
          <w:i/>
          <w:iCs/>
          <w:kern w:val="0"/>
          <w:lang w:val="en-US"/>
          <w14:ligatures w14:val="none"/>
        </w:rPr>
        <w:t>on</w:t>
      </w:r>
      <w:r>
        <w:rPr>
          <w:rFonts w:ascii="Arial" w:hAnsi="Arial" w:eastAsia="Times New Roman" w:cs="Arial"/>
          <w:i/>
          <w:iCs/>
          <w:kern w:val="0"/>
          <w14:ligatures w14:val="none"/>
        </w:rPr>
        <w:t xml:space="preserve"> </w:t>
      </w:r>
      <w:r>
        <w:rPr>
          <w:rFonts w:ascii="Arial" w:hAnsi="Arial" w:eastAsia="Times New Roman" w:cs="Arial"/>
          <w:i/>
          <w:iCs/>
          <w:kern w:val="0"/>
          <w:lang w:val="en-US"/>
          <w14:ligatures w14:val="none"/>
        </w:rPr>
        <w:t>t</w:t>
      </w:r>
      <w:r>
        <w:rPr>
          <w:rFonts w:ascii="Arial" w:hAnsi="Arial" w:eastAsia="Times New Roman" w:cs="Arial"/>
          <w:i/>
          <w:iCs/>
          <w:kern w:val="0"/>
          <w14:ligatures w14:val="none"/>
        </w:rPr>
        <w:t xml:space="preserve">he Impact </w:t>
      </w:r>
      <w:r>
        <w:rPr>
          <w:rFonts w:ascii="Arial" w:hAnsi="Arial" w:eastAsia="Times New Roman" w:cs="Arial"/>
          <w:i/>
          <w:iCs/>
          <w:kern w:val="0"/>
          <w:lang w:val="en-US"/>
          <w14:ligatures w14:val="none"/>
        </w:rPr>
        <w:t>o</w:t>
      </w:r>
      <w:r>
        <w:rPr>
          <w:rFonts w:ascii="Arial" w:hAnsi="Arial" w:eastAsia="Times New Roman" w:cs="Arial"/>
          <w:i/>
          <w:iCs/>
          <w:kern w:val="0"/>
          <w14:ligatures w14:val="none"/>
        </w:rPr>
        <w:t xml:space="preserve">f Industry Education Integration Model </w:t>
      </w:r>
      <w:r>
        <w:rPr>
          <w:rFonts w:ascii="Arial" w:hAnsi="Arial" w:eastAsia="Times New Roman" w:cs="Arial"/>
          <w:i/>
          <w:iCs/>
          <w:kern w:val="0"/>
          <w:lang w:val="en-US"/>
          <w14:ligatures w14:val="none"/>
        </w:rPr>
        <w:t>o</w:t>
      </w:r>
      <w:r>
        <w:rPr>
          <w:rFonts w:ascii="Arial" w:hAnsi="Arial" w:eastAsia="Times New Roman" w:cs="Arial"/>
          <w:i/>
          <w:iCs/>
          <w:kern w:val="0"/>
          <w14:ligatures w14:val="none"/>
        </w:rPr>
        <w:t>n College Students’ Psychological Ecology From The Perspective Of Educational Psychology</w:t>
      </w:r>
      <w:r>
        <w:rPr>
          <w:rFonts w:ascii="Arial" w:hAnsi="Arial" w:eastAsia="Times New Roman" w:cs="Arial"/>
          <w:kern w:val="0"/>
          <w14:ligatures w14:val="none"/>
        </w:rPr>
        <w:t>. https://hrcak.srce.hr/file/408962</w:t>
      </w:r>
    </w:p>
    <w:p>
      <w:pPr>
        <w:spacing w:after="0" w:line="360" w:lineRule="auto"/>
        <w:ind w:left="709" w:hanging="720"/>
        <w:rPr>
          <w:rFonts w:ascii="Arial" w:hAnsi="Arial" w:eastAsia="Times New Roman" w:cs="Arial"/>
          <w:kern w:val="0"/>
          <w14:ligatures w14:val="none"/>
        </w:rPr>
      </w:pPr>
      <w:r>
        <w:rPr>
          <w:rFonts w:ascii="Arial" w:hAnsi="Arial" w:eastAsia="Times New Roman" w:cs="Arial"/>
          <w:kern w:val="0"/>
          <w14:ligatures w14:val="none"/>
        </w:rPr>
        <w:t xml:space="preserve">Xing, X., Huerta, M., &amp; Garza, T. (2019). College and Career Preparation Activities and Their Influence on Post-High School Education and Work Attainment. </w:t>
      </w:r>
      <w:r>
        <w:rPr>
          <w:rFonts w:ascii="Arial" w:hAnsi="Arial" w:eastAsia="Times New Roman" w:cs="Arial"/>
          <w:i/>
          <w:iCs/>
          <w:kern w:val="0"/>
          <w14:ligatures w14:val="none"/>
        </w:rPr>
        <w:t>Journal of Career and Technical Education</w:t>
      </w:r>
      <w:r>
        <w:rPr>
          <w:rFonts w:ascii="Arial" w:hAnsi="Arial" w:eastAsia="Times New Roman" w:cs="Arial"/>
          <w:kern w:val="0"/>
          <w14:ligatures w14:val="none"/>
        </w:rPr>
        <w:t xml:space="preserve">, </w:t>
      </w:r>
      <w:r>
        <w:rPr>
          <w:rFonts w:ascii="Arial" w:hAnsi="Arial" w:eastAsia="Times New Roman" w:cs="Arial"/>
          <w:i/>
          <w:iCs/>
          <w:kern w:val="0"/>
          <w14:ligatures w14:val="none"/>
        </w:rPr>
        <w:t>34</w:t>
      </w:r>
      <w:r>
        <w:rPr>
          <w:rFonts w:ascii="Arial" w:hAnsi="Arial" w:eastAsia="Times New Roman" w:cs="Arial"/>
          <w:kern w:val="0"/>
          <w14:ligatures w14:val="none"/>
        </w:rPr>
        <w:t>(1), 8. https://doi.org/10.21061/jcte.v34i1.a1</w:t>
      </w:r>
    </w:p>
    <w:p>
      <w:pPr>
        <w:spacing w:line="360" w:lineRule="auto"/>
        <w:ind w:left="720" w:hanging="720"/>
        <w:rPr>
          <w:rFonts w:ascii="Arial" w:hAnsi="Arial" w:cs="Arial"/>
        </w:rPr>
      </w:pPr>
      <w:r>
        <w:rPr>
          <w:rFonts w:ascii="Arial" w:hAnsi="Arial" w:cs="Arial"/>
        </w:rPr>
        <w:t>Yin, R. K. (2018). Case study research and applications: Design and methods. Sage Publications.</w:t>
      </w:r>
    </w:p>
    <w:p>
      <w:pPr>
        <w:spacing w:after="0" w:line="360" w:lineRule="auto"/>
        <w:ind w:left="709" w:hanging="720"/>
        <w:rPr>
          <w:rFonts w:ascii="Arial" w:hAnsi="Arial" w:eastAsia="Times New Roman" w:cs="Arial"/>
          <w:kern w:val="0"/>
          <w14:ligatures w14:val="none"/>
        </w:rPr>
      </w:pPr>
      <w:r>
        <w:rPr>
          <w:rFonts w:ascii="Arial" w:hAnsi="Arial" w:eastAsia="Times New Roman" w:cs="Arial"/>
          <w:kern w:val="0"/>
          <w14:ligatures w14:val="none"/>
        </w:rPr>
        <w:t xml:space="preserve">Zhang, M. (2014). Study on Enterprise Education System for Undergraduates in Universities. </w:t>
      </w:r>
      <w:r>
        <w:rPr>
          <w:rFonts w:ascii="Arial" w:hAnsi="Arial" w:eastAsia="Times New Roman" w:cs="Arial"/>
          <w:i/>
          <w:iCs/>
          <w:kern w:val="0"/>
          <w14:ligatures w14:val="none"/>
        </w:rPr>
        <w:t>Higher Education Studies</w:t>
      </w:r>
      <w:r>
        <w:rPr>
          <w:rFonts w:ascii="Arial" w:hAnsi="Arial" w:eastAsia="Times New Roman" w:cs="Arial"/>
          <w:kern w:val="0"/>
          <w14:ligatures w14:val="none"/>
        </w:rPr>
        <w:t xml:space="preserve">, </w:t>
      </w:r>
      <w:r>
        <w:rPr>
          <w:rFonts w:ascii="Arial" w:hAnsi="Arial" w:eastAsia="Times New Roman" w:cs="Arial"/>
          <w:i/>
          <w:iCs/>
          <w:kern w:val="0"/>
          <w14:ligatures w14:val="none"/>
        </w:rPr>
        <w:t>4</w:t>
      </w:r>
      <w:r>
        <w:rPr>
          <w:rFonts w:ascii="Arial" w:hAnsi="Arial" w:eastAsia="Times New Roman" w:cs="Arial"/>
          <w:kern w:val="0"/>
          <w14:ligatures w14:val="none"/>
        </w:rPr>
        <w:t>(6). https://doi.org/10.5539/hes.v4n6p58</w:t>
      </w:r>
    </w:p>
    <w:p>
      <w:pPr>
        <w:spacing w:after="0" w:line="360" w:lineRule="auto"/>
        <w:ind w:left="709" w:hanging="720"/>
        <w:rPr>
          <w:rFonts w:ascii="Arial" w:hAnsi="Arial" w:eastAsia="Times New Roman" w:cs="Arial"/>
          <w:kern w:val="0"/>
          <w14:ligatures w14:val="none"/>
        </w:rPr>
      </w:pPr>
      <w:r>
        <w:rPr>
          <w:rFonts w:ascii="Arial" w:hAnsi="Arial" w:eastAsia="Times New Roman" w:cs="Arial"/>
          <w:kern w:val="0"/>
          <w14:ligatures w14:val="none"/>
        </w:rPr>
        <w:t xml:space="preserve">Zhang, M., &amp; Wang, Y. (2021, April 8). </w:t>
      </w:r>
      <w:r>
        <w:rPr>
          <w:rFonts w:ascii="Arial" w:hAnsi="Arial" w:eastAsia="Times New Roman" w:cs="Arial"/>
          <w:i/>
          <w:iCs/>
          <w:kern w:val="0"/>
          <w14:ligatures w14:val="none"/>
        </w:rPr>
        <w:t>The Problems of Developing School-Enterprise Cooperation in Vocational Education Under the Background of Deepening the Integration of Industry and Education</w:t>
      </w:r>
      <w:r>
        <w:rPr>
          <w:rFonts w:ascii="Arial" w:hAnsi="Arial" w:eastAsia="Times New Roman" w:cs="Arial"/>
          <w:kern w:val="0"/>
          <w14:ligatures w14:val="none"/>
        </w:rPr>
        <w:t>. Www.atlantis-Press.com; Atlantis Press. https://doi.org/10.2991/assehr.k.210407.162</w:t>
      </w:r>
    </w:p>
    <w:p>
      <w:pPr>
        <w:spacing w:after="0" w:line="360" w:lineRule="auto"/>
        <w:ind w:left="709" w:hanging="720"/>
        <w:rPr>
          <w:rFonts w:ascii="Arial" w:hAnsi="Arial" w:eastAsia="Times New Roman" w:cs="Arial"/>
          <w:kern w:val="0"/>
          <w14:ligatures w14:val="none"/>
        </w:rPr>
      </w:pPr>
      <w:r>
        <w:rPr>
          <w:rFonts w:ascii="Arial" w:hAnsi="Arial" w:eastAsia="Times New Roman" w:cs="Arial"/>
          <w:kern w:val="0"/>
          <w14:ligatures w14:val="none"/>
        </w:rPr>
        <w:t xml:space="preserve">Zheng, J. (2019). The Exploration and Practice for the Mode of School-Enterprise Cooperative Education of “Promoting Education through Industry and Integrating Industry and Education”—A Case Study of Shanghai Publishing and Printing College. </w:t>
      </w:r>
      <w:r>
        <w:rPr>
          <w:rFonts w:ascii="Arial" w:hAnsi="Arial" w:eastAsia="Times New Roman" w:cs="Arial"/>
          <w:i/>
          <w:iCs/>
          <w:kern w:val="0"/>
          <w14:ligatures w14:val="none"/>
        </w:rPr>
        <w:t>Journal of Service Science and Management</w:t>
      </w:r>
      <w:r>
        <w:rPr>
          <w:rFonts w:ascii="Arial" w:hAnsi="Arial" w:eastAsia="Times New Roman" w:cs="Arial"/>
          <w:kern w:val="0"/>
          <w14:ligatures w14:val="none"/>
        </w:rPr>
        <w:t xml:space="preserve">, </w:t>
      </w:r>
      <w:r>
        <w:rPr>
          <w:rFonts w:ascii="Arial" w:hAnsi="Arial" w:eastAsia="Times New Roman" w:cs="Arial"/>
          <w:i/>
          <w:iCs/>
          <w:kern w:val="0"/>
          <w14:ligatures w14:val="none"/>
        </w:rPr>
        <w:t>12</w:t>
      </w:r>
      <w:r>
        <w:rPr>
          <w:rFonts w:ascii="Arial" w:hAnsi="Arial" w:eastAsia="Times New Roman" w:cs="Arial"/>
          <w:kern w:val="0"/>
          <w14:ligatures w14:val="none"/>
        </w:rPr>
        <w:t xml:space="preserve">(03), 464–474. </w:t>
      </w:r>
      <w:r>
        <w:fldChar w:fldCharType="begin"/>
      </w:r>
      <w:r>
        <w:instrText xml:space="preserve"> HYPERLINK "https://doi.org/10.4236/jssm.2019.123032" </w:instrText>
      </w:r>
      <w:r>
        <w:fldChar w:fldCharType="separate"/>
      </w:r>
      <w:r>
        <w:rPr>
          <w:rStyle w:val="25"/>
          <w:rFonts w:ascii="Arial" w:hAnsi="Arial" w:eastAsia="Times New Roman" w:cs="Arial"/>
          <w:kern w:val="0"/>
          <w14:ligatures w14:val="none"/>
        </w:rPr>
        <w:t>https://doi.org/10.4236/jssm.2019.123032</w:t>
      </w:r>
      <w:r>
        <w:rPr>
          <w:rStyle w:val="25"/>
          <w:rFonts w:ascii="Arial" w:hAnsi="Arial" w:eastAsia="Times New Roman" w:cs="Arial"/>
          <w:kern w:val="0"/>
          <w14:ligatures w14:val="none"/>
        </w:rPr>
        <w:fldChar w:fldCharType="end"/>
      </w:r>
    </w:p>
    <w:p>
      <w:pPr>
        <w:spacing w:line="360" w:lineRule="auto"/>
        <w:ind w:firstLine="0"/>
        <w:rPr>
          <w:rFonts w:ascii="Arial" w:hAnsi="Arial" w:cs="Arial"/>
        </w:rPr>
      </w:pPr>
    </w:p>
    <w:p>
      <w:pPr>
        <w:pStyle w:val="2"/>
        <w:rPr>
          <w:rFonts w:hint="eastAsia"/>
        </w:rPr>
      </w:pPr>
      <w:bookmarkStart w:id="81" w:name="_Toc158819544"/>
      <w:r>
        <w:t>Appendix</w:t>
      </w:r>
      <w:bookmarkEnd w:id="81"/>
      <w:r>
        <w:t xml:space="preserve"> </w:t>
      </w:r>
    </w:p>
    <w:p>
      <w:pPr>
        <w:pStyle w:val="3"/>
      </w:pPr>
      <w:bookmarkStart w:id="82" w:name="_Toc158819545"/>
      <w:r>
        <w:t>Appendix 1: Questionnaire Survey Questions</w:t>
      </w:r>
      <w:bookmarkEnd w:id="82"/>
      <w:r>
        <w:t xml:space="preserve"> </w:t>
      </w:r>
    </w:p>
    <w:p>
      <w:pPr>
        <w:widowControl w:val="0"/>
        <w:spacing w:after="0" w:line="276" w:lineRule="auto"/>
        <w:ind w:firstLine="0"/>
        <w:jc w:val="both"/>
        <w:rPr>
          <w:rFonts w:ascii="Calibri" w:hAnsi="Calibri" w:eastAsia="宋体"/>
          <w:sz w:val="21"/>
          <w:lang w:val="en-US" w:eastAsia="zh-CN"/>
          <w14:ligatures w14:val="none"/>
        </w:rPr>
      </w:pPr>
    </w:p>
    <w:p>
      <w:pPr>
        <w:widowControl w:val="0"/>
        <w:spacing w:after="0" w:line="276" w:lineRule="auto"/>
        <w:ind w:firstLine="0"/>
        <w:jc w:val="center"/>
        <w:rPr>
          <w:rFonts w:ascii="Calibri" w:hAnsi="Calibri" w:eastAsia="宋体"/>
          <w:b/>
          <w:bCs/>
          <w:sz w:val="21"/>
          <w:lang w:val="en-US" w:eastAsia="zh-CN"/>
          <w14:ligatures w14:val="none"/>
        </w:rPr>
      </w:pPr>
      <w:r>
        <w:rPr>
          <w:rFonts w:hint="eastAsia" w:ascii="Calibri" w:hAnsi="Calibri" w:eastAsia="宋体"/>
          <w:b/>
          <w:bCs/>
          <w:sz w:val="21"/>
          <w:lang w:val="en-US" w:eastAsia="zh-CN"/>
          <w14:ligatures w14:val="none"/>
        </w:rPr>
        <w:t>Questionnaire survey questions</w:t>
      </w:r>
    </w:p>
    <w:p>
      <w:pPr>
        <w:widowControl w:val="0"/>
        <w:spacing w:after="0" w:line="276" w:lineRule="auto"/>
        <w:ind w:firstLine="0"/>
        <w:jc w:val="center"/>
        <w:rPr>
          <w:rFonts w:ascii="Calibri" w:hAnsi="Calibri" w:eastAsia="宋体"/>
          <w:sz w:val="21"/>
          <w:lang w:val="en-US" w:eastAsia="zh-CN"/>
          <w14:ligatures w14:val="none"/>
        </w:rPr>
      </w:pPr>
      <w:r>
        <w:rPr>
          <w:rFonts w:hint="eastAsia" w:ascii="Calibri" w:hAnsi="Calibri" w:eastAsia="宋体"/>
          <w:sz w:val="21"/>
          <w:lang w:val="en-US" w:eastAsia="zh-CN"/>
          <w14:ligatures w14:val="none"/>
        </w:rPr>
        <w:t>问卷调查的问题</w:t>
      </w:r>
    </w:p>
    <w:p>
      <w:pPr>
        <w:widowControl w:val="0"/>
        <w:spacing w:after="0" w:line="276" w:lineRule="auto"/>
        <w:ind w:firstLine="0"/>
        <w:jc w:val="center"/>
        <w:rPr>
          <w:rFonts w:ascii="Calibri" w:hAnsi="Calibri" w:eastAsia="宋体"/>
          <w:b/>
          <w:bCs/>
          <w:sz w:val="21"/>
          <w:lang w:val="en-US" w:eastAsia="zh-CN"/>
          <w14:ligatures w14:val="none"/>
        </w:rPr>
      </w:pP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Please indicate your level of agreement with the following statement by selecting the appropriate answer.</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请通过选择适当的回答来表明你对以下陈述的同意程度。</w:t>
      </w:r>
    </w:p>
    <w:p>
      <w:pPr>
        <w:widowControl w:val="0"/>
        <w:spacing w:after="0" w:line="276" w:lineRule="auto"/>
        <w:ind w:firstLine="0"/>
        <w:jc w:val="both"/>
        <w:rPr>
          <w:rFonts w:ascii="Calibri" w:hAnsi="Calibri" w:eastAsia="宋体"/>
          <w:sz w:val="21"/>
          <w:lang w:val="en-US" w:eastAsia="zh-CN"/>
          <w14:ligatures w14:val="none"/>
        </w:rPr>
      </w:pPr>
    </w:p>
    <w:p>
      <w:pPr>
        <w:widowControl w:val="0"/>
        <w:spacing w:after="0" w:line="276" w:lineRule="auto"/>
        <w:ind w:firstLine="0"/>
        <w:jc w:val="both"/>
        <w:rPr>
          <w:rFonts w:ascii="Calibri" w:hAnsi="Calibri" w:eastAsia="宋体"/>
          <w:b/>
          <w:bCs/>
          <w:sz w:val="21"/>
          <w:lang w:val="en-US" w:eastAsia="zh-CN"/>
          <w14:ligatures w14:val="none"/>
        </w:rPr>
      </w:pPr>
      <w:r>
        <w:rPr>
          <w:rFonts w:hint="eastAsia" w:ascii="Calibri" w:hAnsi="Calibri" w:eastAsia="宋体"/>
          <w:b/>
          <w:bCs/>
          <w:sz w:val="21"/>
          <w:lang w:val="en-US" w:eastAsia="zh-CN"/>
          <w14:ligatures w14:val="none"/>
        </w:rPr>
        <w:t>Demographic information:</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人口统计信息:</w:t>
      </w:r>
    </w:p>
    <w:p>
      <w:pPr>
        <w:widowControl w:val="0"/>
        <w:spacing w:after="0" w:line="276" w:lineRule="auto"/>
        <w:ind w:firstLine="0"/>
        <w:jc w:val="both"/>
        <w:rPr>
          <w:rFonts w:ascii="Calibri" w:hAnsi="Calibri" w:eastAsia="宋体"/>
          <w:b/>
          <w:bCs/>
          <w:sz w:val="21"/>
          <w:lang w:val="en-US" w:eastAsia="zh-CN"/>
          <w14:ligatures w14:val="none"/>
        </w:rPr>
      </w:pPr>
    </w:p>
    <w:p>
      <w:pPr>
        <w:widowControl w:val="0"/>
        <w:numPr>
          <w:ilvl w:val="0"/>
          <w:numId w:val="4"/>
        </w:numPr>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Professional:____________________</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专业 : ____________________</w:t>
      </w:r>
      <w:bookmarkStart w:id="96" w:name="_GoBack"/>
      <w:bookmarkEnd w:id="96"/>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2. Grade:___________</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年级：___________</w:t>
      </w:r>
    </w:p>
    <w:p>
      <w:pPr>
        <w:widowControl w:val="0"/>
        <w:spacing w:after="0" w:line="276" w:lineRule="auto"/>
        <w:ind w:firstLine="0"/>
        <w:jc w:val="both"/>
        <w:rPr>
          <w:rFonts w:ascii="Calibri" w:hAnsi="Calibri" w:eastAsia="宋体"/>
          <w:sz w:val="21"/>
          <w:lang w:val="en-US" w:eastAsia="zh-CN"/>
          <w14:ligatures w14:val="none"/>
        </w:rPr>
      </w:pPr>
    </w:p>
    <w:p>
      <w:pPr>
        <w:widowControl w:val="0"/>
        <w:spacing w:after="0" w:line="276" w:lineRule="auto"/>
        <w:ind w:firstLine="0"/>
        <w:jc w:val="both"/>
        <w:rPr>
          <w:rFonts w:ascii="Calibri" w:hAnsi="Calibri" w:eastAsia="宋体"/>
          <w:b/>
          <w:bCs/>
          <w:sz w:val="21"/>
          <w:lang w:val="en-US" w:eastAsia="zh-CN"/>
          <w14:ligatures w14:val="none"/>
        </w:rPr>
      </w:pPr>
      <w:r>
        <w:rPr>
          <w:rFonts w:hint="eastAsia" w:ascii="Calibri" w:hAnsi="Calibri" w:eastAsia="宋体"/>
          <w:b/>
          <w:bCs/>
          <w:sz w:val="21"/>
          <w:lang w:val="en-US" w:eastAsia="zh-CN"/>
          <w14:ligatures w14:val="none"/>
        </w:rPr>
        <w:t>Part 1: Assessing Educational Impact</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第1部分:评估教育影响</w:t>
      </w:r>
    </w:p>
    <w:p>
      <w:pPr>
        <w:widowControl w:val="0"/>
        <w:spacing w:after="0" w:line="276" w:lineRule="auto"/>
        <w:ind w:firstLine="0"/>
        <w:jc w:val="both"/>
        <w:rPr>
          <w:rFonts w:ascii="Calibri" w:hAnsi="Calibri" w:eastAsia="宋体"/>
          <w:b/>
          <w:bCs/>
          <w:sz w:val="21"/>
          <w:lang w:val="en-US" w:eastAsia="zh-CN"/>
          <w14:ligatures w14:val="none"/>
        </w:rPr>
      </w:pP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Please rate the following statement regarding the educational impact of practical teaching methods.</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请对以下关于实践教学方法的教育影响的陈述进行评分。</w:t>
      </w:r>
    </w:p>
    <w:p>
      <w:pPr>
        <w:widowControl w:val="0"/>
        <w:spacing w:after="0" w:line="276" w:lineRule="auto"/>
        <w:ind w:firstLine="0"/>
        <w:jc w:val="both"/>
        <w:rPr>
          <w:rFonts w:ascii="Calibri" w:hAnsi="Calibri" w:eastAsia="宋体"/>
          <w:sz w:val="21"/>
          <w:lang w:val="en-US" w:eastAsia="zh-CN"/>
          <w14:ligatures w14:val="none"/>
        </w:rPr>
      </w:pP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1. You are willing to participate in practical teaching and learning during your school years.</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1 (strongly opposed)</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2 (Disagree)</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3 (neutral)</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4 (Agreed)</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5 (Strongly agree)</w:t>
      </w:r>
    </w:p>
    <w:p>
      <w:pPr>
        <w:widowControl w:val="0"/>
        <w:numPr>
          <w:ilvl w:val="0"/>
          <w:numId w:val="5"/>
        </w:numPr>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你愿意在校期间参加实践教学学习。</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1(强烈反对)</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2(不同意)</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3(中性)</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4(同意)</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5(强烈同意)</w:t>
      </w:r>
    </w:p>
    <w:p>
      <w:pPr>
        <w:widowControl w:val="0"/>
        <w:spacing w:after="0" w:line="276" w:lineRule="auto"/>
        <w:ind w:firstLine="0"/>
        <w:jc w:val="both"/>
        <w:rPr>
          <w:rFonts w:ascii="Calibri" w:hAnsi="Calibri" w:eastAsia="宋体"/>
          <w:sz w:val="21"/>
          <w:lang w:val="en-US" w:eastAsia="zh-CN"/>
          <w14:ligatures w14:val="none"/>
        </w:rPr>
      </w:pP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2. Practical learning enhances students' overall educational experience.</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1 (strongly opposed)</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2 (Disagree)</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3 (neutral)</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4 (Agreed)</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5 (Strongly agree)</w:t>
      </w:r>
    </w:p>
    <w:p>
      <w:pPr>
        <w:widowControl w:val="0"/>
        <w:numPr>
          <w:ilvl w:val="0"/>
          <w:numId w:val="5"/>
        </w:numPr>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实践学习增强了学生的整体教育体验。</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1(强烈反对)</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2(不同意)</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3(中性)</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4(同意)</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5(强烈同意)</w:t>
      </w:r>
    </w:p>
    <w:p>
      <w:pPr>
        <w:widowControl w:val="0"/>
        <w:spacing w:after="0" w:line="276" w:lineRule="auto"/>
        <w:ind w:firstLine="0"/>
        <w:jc w:val="both"/>
        <w:rPr>
          <w:rFonts w:ascii="Calibri" w:hAnsi="Calibri" w:eastAsia="宋体"/>
          <w:sz w:val="21"/>
          <w:lang w:val="en-US" w:eastAsia="zh-CN"/>
          <w14:ligatures w14:val="none"/>
        </w:rPr>
      </w:pP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3. Practical teaching methods have a positive impact on students' understanding of the chosen career field.</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1 (strongly opposed)</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2 (Disagree)</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3 (neutral)</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4 (Agreed)</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5 (Strongly agree)</w:t>
      </w:r>
    </w:p>
    <w:p>
      <w:pPr>
        <w:widowControl w:val="0"/>
        <w:numPr>
          <w:ilvl w:val="0"/>
          <w:numId w:val="5"/>
        </w:numPr>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实践教学方法对学生对所选职业领域的理解产生了积极的影响。</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1(强烈反对)</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2(不同意)</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3(中性)</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4(同意)</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5(强烈同意)</w:t>
      </w:r>
    </w:p>
    <w:p>
      <w:pPr>
        <w:widowControl w:val="0"/>
        <w:spacing w:after="0" w:line="276" w:lineRule="auto"/>
        <w:ind w:firstLine="0"/>
        <w:jc w:val="both"/>
        <w:rPr>
          <w:rFonts w:ascii="Calibri" w:hAnsi="Calibri" w:eastAsia="宋体"/>
          <w:sz w:val="21"/>
          <w:lang w:val="en-US" w:eastAsia="zh-CN"/>
          <w14:ligatures w14:val="none"/>
        </w:rPr>
      </w:pP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4. Practical teaching can help students better understand the professional knowledge they have learned.</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1 (strongly opposed)</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2 (Disagree)</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3 (neutral)</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4 (Agreed)</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5 (Strongly agree)</w:t>
      </w:r>
    </w:p>
    <w:p>
      <w:pPr>
        <w:widowControl w:val="0"/>
        <w:numPr>
          <w:ilvl w:val="0"/>
          <w:numId w:val="5"/>
        </w:numPr>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实践教学能让学生更好的理解所学专业知识。</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1(强烈反对)</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2(不同意)</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3(中性)</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4(同意)</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5(强烈同意)</w:t>
      </w:r>
    </w:p>
    <w:p>
      <w:pPr>
        <w:widowControl w:val="0"/>
        <w:spacing w:after="0" w:line="276" w:lineRule="auto"/>
        <w:ind w:firstLine="420" w:firstLineChars="200"/>
        <w:jc w:val="both"/>
        <w:rPr>
          <w:rFonts w:ascii="Calibri" w:hAnsi="Calibri" w:eastAsia="宋体"/>
          <w:sz w:val="21"/>
          <w:lang w:val="en-US" w:eastAsia="zh-CN"/>
          <w14:ligatures w14:val="none"/>
        </w:rPr>
      </w:pP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5. Practical teaching can enable students to learn the latest professional knowledge required by the market.</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1 (strongly opposed)</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2 (Disagree)</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3 (neutral)</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4 (Agreed)</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5 (Strongly agree)</w:t>
      </w:r>
    </w:p>
    <w:p>
      <w:pPr>
        <w:widowControl w:val="0"/>
        <w:numPr>
          <w:ilvl w:val="0"/>
          <w:numId w:val="5"/>
        </w:numPr>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实践教学能让学生学习到市场所需最新的专业知识。</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1(强烈反对)</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2(不同意)</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3(中性)</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4(同意)</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5(强烈同意)</w:t>
      </w:r>
    </w:p>
    <w:p>
      <w:pPr>
        <w:widowControl w:val="0"/>
        <w:spacing w:after="0" w:line="276" w:lineRule="auto"/>
        <w:ind w:firstLine="0"/>
        <w:jc w:val="both"/>
        <w:rPr>
          <w:rFonts w:ascii="Calibri" w:hAnsi="Calibri" w:eastAsia="宋体"/>
          <w:sz w:val="21"/>
          <w:lang w:val="en-US" w:eastAsia="zh-CN"/>
          <w14:ligatures w14:val="none"/>
        </w:rPr>
      </w:pPr>
    </w:p>
    <w:p>
      <w:pPr>
        <w:widowControl w:val="0"/>
        <w:spacing w:after="0" w:line="276" w:lineRule="auto"/>
        <w:ind w:firstLine="0"/>
        <w:jc w:val="both"/>
        <w:rPr>
          <w:rFonts w:ascii="Calibri" w:hAnsi="Calibri" w:eastAsia="宋体"/>
          <w:b/>
          <w:bCs/>
          <w:sz w:val="21"/>
          <w:lang w:val="en-US" w:eastAsia="zh-CN"/>
          <w14:ligatures w14:val="none"/>
        </w:rPr>
      </w:pPr>
      <w:r>
        <w:rPr>
          <w:rFonts w:hint="eastAsia" w:ascii="Calibri" w:hAnsi="Calibri" w:eastAsia="宋体"/>
          <w:b/>
          <w:bCs/>
          <w:sz w:val="21"/>
          <w:lang w:val="en-US" w:eastAsia="zh-CN"/>
          <w14:ligatures w14:val="none"/>
        </w:rPr>
        <w:t>Part 2: Analyzing Career and Employment Results</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第二部分:分析职业和就业结果</w:t>
      </w:r>
    </w:p>
    <w:p>
      <w:pPr>
        <w:widowControl w:val="0"/>
        <w:spacing w:after="0" w:line="276" w:lineRule="auto"/>
        <w:ind w:firstLine="0"/>
        <w:jc w:val="both"/>
        <w:rPr>
          <w:rFonts w:ascii="Calibri" w:hAnsi="Calibri" w:eastAsia="宋体"/>
          <w:sz w:val="21"/>
          <w:lang w:val="en-US" w:eastAsia="zh-CN"/>
          <w14:ligatures w14:val="none"/>
        </w:rPr>
      </w:pP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Please evaluate your level of agreement with the following statements regarding career and employment outcomes.</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请评价你对以下关于职业和就业结果的陈述的同意程度。</w:t>
      </w:r>
    </w:p>
    <w:p>
      <w:pPr>
        <w:widowControl w:val="0"/>
        <w:spacing w:after="0" w:line="276" w:lineRule="auto"/>
        <w:ind w:firstLine="0"/>
        <w:jc w:val="both"/>
        <w:rPr>
          <w:rFonts w:ascii="Calibri" w:hAnsi="Calibri" w:eastAsia="宋体"/>
          <w:sz w:val="21"/>
          <w:lang w:val="en-US" w:eastAsia="zh-CN"/>
          <w14:ligatures w14:val="none"/>
        </w:rPr>
      </w:pP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6. Practical learning significantly affects students' career planning and decision-making.</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1 (strongly opposed)</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2 (Disagree)</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3 (neutral)</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4 (Agreed)</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5 (Strongly agree)</w:t>
      </w:r>
    </w:p>
    <w:p>
      <w:pPr>
        <w:widowControl w:val="0"/>
        <w:numPr>
          <w:ilvl w:val="0"/>
          <w:numId w:val="5"/>
        </w:numPr>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实践学习显著影响学生的职业规划和决策。</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1(强烈反对)</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2(不同意)</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3(中性)</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4(同意)</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5(强烈同意)</w:t>
      </w:r>
    </w:p>
    <w:p>
      <w:pPr>
        <w:widowControl w:val="0"/>
        <w:spacing w:after="0" w:line="276" w:lineRule="auto"/>
        <w:ind w:firstLine="0"/>
        <w:jc w:val="both"/>
        <w:rPr>
          <w:rFonts w:ascii="Calibri" w:hAnsi="Calibri" w:eastAsia="宋体"/>
          <w:sz w:val="21"/>
          <w:lang w:val="en-US" w:eastAsia="zh-CN"/>
          <w14:ligatures w14:val="none"/>
        </w:rPr>
      </w:pP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7.Students who have experienced practical teaching methods are more likely to achieve long-term career goals.</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1 (strongly opposed)</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2 (Disagree)</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3 (neutral)</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4 (Agreed)</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5 (Strongly agree)</w:t>
      </w:r>
    </w:p>
    <w:p>
      <w:pPr>
        <w:widowControl w:val="0"/>
        <w:numPr>
          <w:ilvl w:val="0"/>
          <w:numId w:val="5"/>
        </w:numPr>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体验过实践教学方法的学生更有可能实现长期的职业目标。</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1(强烈反对)</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2(不同意)</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3(中性)</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4(同意)</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5(强烈同意)</w:t>
      </w:r>
    </w:p>
    <w:p>
      <w:pPr>
        <w:widowControl w:val="0"/>
        <w:spacing w:after="0" w:line="276" w:lineRule="auto"/>
        <w:ind w:firstLine="0"/>
        <w:jc w:val="both"/>
        <w:rPr>
          <w:rFonts w:ascii="Calibri" w:hAnsi="Calibri" w:eastAsia="宋体"/>
          <w:sz w:val="21"/>
          <w:lang w:val="en-US" w:eastAsia="zh-CN"/>
          <w14:ligatures w14:val="none"/>
        </w:rPr>
      </w:pP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8.Students who have experienced practical teaching methods can adapt to the work environment faster.</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1 (strongly opposed)</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2 (Disagree)</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3 (neutral)</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4 (Agreed)</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5 (Strongly agree)</w:t>
      </w:r>
    </w:p>
    <w:p>
      <w:pPr>
        <w:widowControl w:val="0"/>
        <w:numPr>
          <w:ilvl w:val="0"/>
          <w:numId w:val="5"/>
        </w:numPr>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体验过实践教学方法的学生能更快适应工作环境。</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1(强烈反对)</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2(不同意)</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3(中性)</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4(同意)</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5(强烈同意)</w:t>
      </w:r>
    </w:p>
    <w:p>
      <w:pPr>
        <w:widowControl w:val="0"/>
        <w:spacing w:after="0" w:line="276" w:lineRule="auto"/>
        <w:ind w:firstLine="420" w:firstLineChars="200"/>
        <w:jc w:val="both"/>
        <w:rPr>
          <w:rFonts w:ascii="Calibri" w:hAnsi="Calibri" w:eastAsia="宋体"/>
          <w:sz w:val="21"/>
          <w:lang w:val="en-US" w:eastAsia="zh-CN"/>
          <w14:ligatures w14:val="none"/>
        </w:rPr>
      </w:pP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9.Many successful students attribute their career success to practical teaching methods.</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1 (strongly opposed)</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2 (Disagree)</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3 (neutral)</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4 (Agreed)</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5 (Strongly agree)</w:t>
      </w:r>
    </w:p>
    <w:p>
      <w:pPr>
        <w:widowControl w:val="0"/>
        <w:numPr>
          <w:ilvl w:val="0"/>
          <w:numId w:val="5"/>
        </w:numPr>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许多成功的学生把他们事业上的成功归功于实用的教学方法。</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1(强烈反对)</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2(不同意)</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3(中性)</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4(同意)</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5(强烈同意)</w:t>
      </w:r>
    </w:p>
    <w:p>
      <w:pPr>
        <w:widowControl w:val="0"/>
        <w:spacing w:after="0" w:line="276" w:lineRule="auto"/>
        <w:ind w:firstLine="0"/>
        <w:jc w:val="both"/>
        <w:rPr>
          <w:rFonts w:ascii="Calibri" w:hAnsi="Calibri" w:eastAsia="宋体"/>
          <w:sz w:val="21"/>
          <w:lang w:val="en-US" w:eastAsia="zh-CN"/>
          <w14:ligatures w14:val="none"/>
        </w:rPr>
      </w:pPr>
    </w:p>
    <w:p>
      <w:pPr>
        <w:widowControl w:val="0"/>
        <w:spacing w:after="0" w:line="276" w:lineRule="auto"/>
        <w:ind w:firstLine="0"/>
        <w:jc w:val="both"/>
        <w:rPr>
          <w:rFonts w:ascii="Calibri" w:hAnsi="Calibri" w:eastAsia="宋体"/>
          <w:b/>
          <w:bCs/>
          <w:sz w:val="21"/>
          <w:lang w:val="en-US" w:eastAsia="zh-CN"/>
          <w14:ligatures w14:val="none"/>
        </w:rPr>
      </w:pPr>
      <w:r>
        <w:rPr>
          <w:rFonts w:hint="eastAsia" w:ascii="Calibri" w:hAnsi="Calibri" w:eastAsia="宋体"/>
          <w:b/>
          <w:bCs/>
          <w:sz w:val="21"/>
          <w:lang w:val="en-US" w:eastAsia="zh-CN"/>
          <w14:ligatures w14:val="none"/>
        </w:rPr>
        <w:t>Part 3: Review of Recruitment Practices</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第三部分:审查招聘惯例</w:t>
      </w:r>
    </w:p>
    <w:p>
      <w:pPr>
        <w:widowControl w:val="0"/>
        <w:spacing w:after="0" w:line="276" w:lineRule="auto"/>
        <w:ind w:firstLine="0"/>
        <w:jc w:val="both"/>
        <w:rPr>
          <w:rFonts w:ascii="Calibri" w:hAnsi="Calibri" w:eastAsia="宋体"/>
          <w:b/>
          <w:bCs/>
          <w:sz w:val="21"/>
          <w:lang w:val="en-US" w:eastAsia="zh-CN"/>
          <w14:ligatures w14:val="none"/>
        </w:rPr>
      </w:pP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Please evaluate whether you agree with the following statements regarding recruitment practices.</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请评价你是否同意以下关于招聘实践的陈述。</w:t>
      </w:r>
    </w:p>
    <w:p>
      <w:pPr>
        <w:widowControl w:val="0"/>
        <w:spacing w:after="0" w:line="276" w:lineRule="auto"/>
        <w:ind w:firstLine="0"/>
        <w:jc w:val="both"/>
        <w:rPr>
          <w:rFonts w:ascii="Calibri" w:hAnsi="Calibri" w:eastAsia="宋体"/>
          <w:sz w:val="21"/>
          <w:lang w:val="en-US" w:eastAsia="zh-CN"/>
          <w14:ligatures w14:val="none"/>
        </w:rPr>
      </w:pP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10. The college effectively supports students in obtaining internships and practical experience.</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1 (strongly opposed)</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2 (Disagree)</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3 (neutral)</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4 (Agreed)</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5 (Strongly agree)</w:t>
      </w:r>
    </w:p>
    <w:p>
      <w:pPr>
        <w:widowControl w:val="0"/>
        <w:numPr>
          <w:ilvl w:val="0"/>
          <w:numId w:val="5"/>
        </w:numPr>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学院有效地支持学生获得实习和实践经验。</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1(强烈反对)</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2(不同意)</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3(中性)</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4(同意)</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5(强烈同意)</w:t>
      </w:r>
    </w:p>
    <w:p>
      <w:pPr>
        <w:widowControl w:val="0"/>
        <w:spacing w:after="0" w:line="276" w:lineRule="auto"/>
        <w:ind w:firstLine="420" w:firstLineChars="200"/>
        <w:jc w:val="both"/>
        <w:rPr>
          <w:rFonts w:ascii="Calibri" w:hAnsi="Calibri" w:eastAsia="宋体"/>
          <w:sz w:val="21"/>
          <w:lang w:val="en-US" w:eastAsia="zh-CN"/>
          <w14:ligatures w14:val="none"/>
        </w:rPr>
      </w:pP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11. Enterprises are more willing to hire students who have experienced practical teaching methods.</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1 (strongly opposed)</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2 (Disagree)</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3 (neutral)</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4 (Agreed)</w:t>
      </w:r>
    </w:p>
    <w:p>
      <w:pPr>
        <w:widowControl w:val="0"/>
        <w:spacing w:after="0" w:line="276" w:lineRule="auto"/>
        <w:ind w:firstLine="420" w:firstLineChars="20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5 (Strongly agree)</w:t>
      </w:r>
    </w:p>
    <w:p>
      <w:pPr>
        <w:widowControl w:val="0"/>
        <w:numPr>
          <w:ilvl w:val="0"/>
          <w:numId w:val="5"/>
        </w:numPr>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企业更愿意雇佣经历过实践教学方法的学生。</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1(强烈反对)</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2(不同意)</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3(中性)</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4(同意)</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5(强烈同意)</w:t>
      </w:r>
    </w:p>
    <w:p>
      <w:pPr>
        <w:widowControl w:val="0"/>
        <w:spacing w:after="0" w:line="276" w:lineRule="auto"/>
        <w:ind w:firstLine="420" w:firstLineChars="200"/>
        <w:jc w:val="both"/>
        <w:rPr>
          <w:rFonts w:ascii="Calibri" w:hAnsi="Calibri" w:eastAsia="宋体"/>
          <w:sz w:val="21"/>
          <w:lang w:val="en-US" w:eastAsia="zh-CN"/>
          <w14:ligatures w14:val="none"/>
        </w:rPr>
      </w:pPr>
    </w:p>
    <w:p>
      <w:pPr>
        <w:spacing w:line="276" w:lineRule="auto"/>
        <w:ind w:firstLine="0"/>
        <w:rPr>
          <w:rFonts w:ascii="Arial" w:hAnsi="Arial" w:cs="Arial"/>
        </w:rPr>
      </w:pPr>
    </w:p>
    <w:p>
      <w:pPr>
        <w:pStyle w:val="3"/>
        <w:spacing w:line="276" w:lineRule="auto"/>
        <w:rPr>
          <w:rFonts w:eastAsia="宋体"/>
          <w:lang w:val="en-US" w:eastAsia="zh-CN"/>
        </w:rPr>
      </w:pPr>
      <w:bookmarkStart w:id="83" w:name="OLE_LINK1"/>
      <w:bookmarkStart w:id="84" w:name="_Toc158819546"/>
      <w:r>
        <w:rPr>
          <w:rFonts w:hint="eastAsia" w:eastAsia="宋体"/>
          <w:lang w:val="en-US" w:eastAsia="zh-CN"/>
        </w:rPr>
        <w:t>Questionnaire for enterprise</w:t>
      </w:r>
      <w:bookmarkEnd w:id="83"/>
      <w:bookmarkEnd w:id="84"/>
    </w:p>
    <w:p>
      <w:pPr>
        <w:widowControl w:val="0"/>
        <w:tabs>
          <w:tab w:val="left" w:pos="312"/>
        </w:tabs>
        <w:spacing w:after="0" w:line="276" w:lineRule="auto"/>
        <w:ind w:firstLine="0"/>
        <w:jc w:val="both"/>
        <w:rPr>
          <w:rFonts w:ascii="Calibri" w:hAnsi="Calibri" w:eastAsia="宋体"/>
          <w:b/>
          <w:bCs/>
          <w:sz w:val="21"/>
          <w:lang w:val="en-US" w:eastAsia="zh-CN"/>
          <w14:ligatures w14:val="none"/>
        </w:rPr>
      </w:pPr>
    </w:p>
    <w:p>
      <w:pPr>
        <w:widowControl w:val="0"/>
        <w:tabs>
          <w:tab w:val="left" w:pos="312"/>
        </w:tabs>
        <w:spacing w:after="0" w:line="276" w:lineRule="auto"/>
        <w:ind w:firstLine="0"/>
        <w:jc w:val="both"/>
        <w:rPr>
          <w:rFonts w:ascii="Calibri" w:hAnsi="Calibri" w:eastAsia="宋体"/>
          <w:b/>
          <w:bCs/>
          <w:sz w:val="21"/>
          <w:lang w:val="en-US" w:eastAsia="zh-CN"/>
          <w14:ligatures w14:val="none"/>
        </w:rPr>
      </w:pPr>
      <w:r>
        <w:rPr>
          <w:rFonts w:hint="eastAsia" w:ascii="Calibri" w:hAnsi="Calibri" w:eastAsia="宋体"/>
          <w:b/>
          <w:bCs/>
          <w:sz w:val="21"/>
          <w:lang w:val="en-US" w:eastAsia="zh-CN"/>
          <w14:ligatures w14:val="none"/>
        </w:rPr>
        <w:t>Demographic information:</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人口统计信息:</w:t>
      </w:r>
    </w:p>
    <w:p>
      <w:pPr>
        <w:widowControl w:val="0"/>
        <w:tabs>
          <w:tab w:val="left" w:pos="312"/>
        </w:tabs>
        <w:spacing w:after="0" w:line="276" w:lineRule="auto"/>
        <w:ind w:firstLine="0"/>
        <w:jc w:val="both"/>
        <w:rPr>
          <w:rFonts w:ascii="Calibri" w:hAnsi="Calibri" w:eastAsia="宋体"/>
          <w:b/>
          <w:bCs/>
          <w:sz w:val="21"/>
          <w:lang w:val="en-US" w:eastAsia="zh-CN"/>
          <w14:ligatures w14:val="none"/>
        </w:rPr>
      </w:pPr>
    </w:p>
    <w:p>
      <w:pPr>
        <w:widowControl w:val="0"/>
        <w:numPr>
          <w:ilvl w:val="0"/>
          <w:numId w:val="6"/>
        </w:numPr>
        <w:tabs>
          <w:tab w:val="left" w:pos="312"/>
        </w:tabs>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Position:__________________</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职位: __________________</w:t>
      </w:r>
    </w:p>
    <w:p>
      <w:pPr>
        <w:widowControl w:val="0"/>
        <w:tabs>
          <w:tab w:val="left" w:pos="312"/>
        </w:tabs>
        <w:spacing w:after="0" w:line="276" w:lineRule="auto"/>
        <w:ind w:firstLine="0"/>
        <w:jc w:val="both"/>
        <w:rPr>
          <w:rFonts w:ascii="Calibri" w:hAnsi="Calibri" w:eastAsia="宋体"/>
          <w:sz w:val="21"/>
          <w:lang w:val="en-US" w:eastAsia="zh-CN"/>
          <w14:ligatures w14:val="none"/>
        </w:rPr>
      </w:pPr>
    </w:p>
    <w:p>
      <w:pPr>
        <w:widowControl w:val="0"/>
        <w:tabs>
          <w:tab w:val="left" w:pos="312"/>
        </w:tabs>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 xml:space="preserve">2. </w:t>
      </w:r>
      <w:bookmarkStart w:id="85" w:name="OLE_LINK2"/>
      <w:r>
        <w:rPr>
          <w:rFonts w:hint="eastAsia" w:ascii="Calibri" w:hAnsi="Calibri" w:eastAsia="宋体"/>
          <w:sz w:val="21"/>
          <w:lang w:val="en-US" w:eastAsia="zh-CN"/>
          <w14:ligatures w14:val="none"/>
        </w:rPr>
        <w:t>Work experience (years):___________</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工作经验（多少年）</w:t>
      </w:r>
      <w:bookmarkEnd w:id="85"/>
      <w:r>
        <w:rPr>
          <w:rFonts w:hint="eastAsia" w:ascii="Calibri" w:hAnsi="Calibri" w:eastAsia="宋体"/>
          <w:sz w:val="21"/>
          <w:lang w:val="en-US" w:eastAsia="zh-CN"/>
          <w14:ligatures w14:val="none"/>
        </w:rPr>
        <w:t>:___________</w:t>
      </w:r>
    </w:p>
    <w:p>
      <w:pPr>
        <w:widowControl w:val="0"/>
        <w:tabs>
          <w:tab w:val="left" w:pos="312"/>
        </w:tabs>
        <w:spacing w:after="0" w:line="276" w:lineRule="auto"/>
        <w:ind w:firstLine="0"/>
        <w:jc w:val="both"/>
        <w:rPr>
          <w:rFonts w:ascii="Calibri" w:hAnsi="Calibri" w:eastAsia="宋体"/>
          <w:sz w:val="21"/>
          <w:lang w:val="en-US" w:eastAsia="zh-CN"/>
          <w14:ligatures w14:val="none"/>
        </w:rPr>
      </w:pPr>
    </w:p>
    <w:p>
      <w:pPr>
        <w:widowControl w:val="0"/>
        <w:tabs>
          <w:tab w:val="left" w:pos="312"/>
        </w:tabs>
        <w:spacing w:after="0" w:line="276" w:lineRule="auto"/>
        <w:ind w:firstLine="0"/>
        <w:jc w:val="both"/>
        <w:rPr>
          <w:rFonts w:ascii="Calibri" w:hAnsi="Calibri" w:eastAsia="宋体"/>
          <w:b/>
          <w:bCs/>
          <w:sz w:val="21"/>
          <w:lang w:val="en-US" w:eastAsia="zh-CN"/>
          <w14:ligatures w14:val="none"/>
        </w:rPr>
      </w:pPr>
      <w:r>
        <w:rPr>
          <w:rFonts w:hint="eastAsia" w:ascii="Calibri" w:hAnsi="Calibri" w:eastAsia="宋体"/>
          <w:b/>
          <w:bCs/>
          <w:sz w:val="21"/>
          <w:lang w:val="en-US" w:eastAsia="zh-CN"/>
          <w14:ligatures w14:val="none"/>
        </w:rPr>
        <w:t>Questionnaire survey questions</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问卷调查的问题</w:t>
      </w:r>
    </w:p>
    <w:p>
      <w:pPr>
        <w:widowControl w:val="0"/>
        <w:tabs>
          <w:tab w:val="left" w:pos="312"/>
        </w:tabs>
        <w:spacing w:after="0" w:line="276" w:lineRule="auto"/>
        <w:ind w:firstLine="0"/>
        <w:jc w:val="both"/>
        <w:rPr>
          <w:rFonts w:ascii="Calibri" w:hAnsi="Calibri" w:eastAsia="宋体"/>
          <w:sz w:val="21"/>
          <w:lang w:val="en-US" w:eastAsia="zh-CN"/>
          <w14:ligatures w14:val="none"/>
        </w:rPr>
      </w:pPr>
    </w:p>
    <w:p>
      <w:pPr>
        <w:widowControl w:val="0"/>
        <w:tabs>
          <w:tab w:val="left" w:pos="312"/>
        </w:tabs>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General questions</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一般的问题</w:t>
      </w:r>
    </w:p>
    <w:p>
      <w:pPr>
        <w:widowControl w:val="0"/>
        <w:tabs>
          <w:tab w:val="left" w:pos="312"/>
        </w:tabs>
        <w:spacing w:after="0" w:line="276" w:lineRule="auto"/>
        <w:ind w:firstLine="0"/>
        <w:jc w:val="both"/>
        <w:rPr>
          <w:rFonts w:ascii="Calibri" w:hAnsi="Calibri" w:eastAsia="宋体"/>
          <w:sz w:val="21"/>
          <w:lang w:val="en-US" w:eastAsia="zh-CN"/>
          <w14:ligatures w14:val="none"/>
        </w:rPr>
      </w:pPr>
    </w:p>
    <w:p>
      <w:pPr>
        <w:widowControl w:val="0"/>
        <w:numPr>
          <w:ilvl w:val="0"/>
          <w:numId w:val="7"/>
        </w:numPr>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Can you briefly introduce the cooperation model between your company and the school?</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可以简单介绍一下贵公司与学校的合作模式吗？</w:t>
      </w:r>
    </w:p>
    <w:p>
      <w:pPr>
        <w:widowControl w:val="0"/>
        <w:spacing w:after="0" w:line="276" w:lineRule="auto"/>
        <w:ind w:firstLine="0"/>
        <w:jc w:val="both"/>
        <w:rPr>
          <w:rFonts w:ascii="Calibri" w:hAnsi="Calibri" w:eastAsia="宋体"/>
          <w:sz w:val="21"/>
          <w:lang w:val="en-US" w:eastAsia="zh-CN"/>
          <w14:ligatures w14:val="none"/>
        </w:rPr>
      </w:pPr>
    </w:p>
    <w:p>
      <w:pPr>
        <w:widowControl w:val="0"/>
        <w:numPr>
          <w:ilvl w:val="0"/>
          <w:numId w:val="7"/>
        </w:numPr>
        <w:spacing w:after="0" w:line="276" w:lineRule="auto"/>
        <w:ind w:firstLine="0"/>
        <w:jc w:val="both"/>
        <w:rPr>
          <w:rFonts w:ascii="Calibri" w:hAnsi="Calibri" w:eastAsia="宋体"/>
          <w:sz w:val="21"/>
          <w:lang w:val="en-US" w:eastAsia="zh-CN"/>
          <w14:ligatures w14:val="none"/>
        </w:rPr>
      </w:pPr>
      <w:bookmarkStart w:id="86" w:name="OLE_LINK3"/>
      <w:r>
        <w:rPr>
          <w:rFonts w:hint="eastAsia" w:ascii="Calibri" w:hAnsi="Calibri" w:eastAsia="宋体"/>
          <w:sz w:val="21"/>
          <w:lang w:val="en-US" w:eastAsia="zh-CN"/>
          <w14:ligatures w14:val="none"/>
        </w:rPr>
        <w:t>Can you briefly introduce your company, cooperation projects, and corresponding talent needs?</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可否简单介绍一下贵公司，合作项目和相应的人才需求?</w:t>
      </w:r>
    </w:p>
    <w:bookmarkEnd w:id="86"/>
    <w:p>
      <w:pPr>
        <w:widowControl w:val="0"/>
        <w:spacing w:after="0" w:line="276" w:lineRule="auto"/>
        <w:ind w:firstLine="0"/>
        <w:jc w:val="both"/>
        <w:rPr>
          <w:rFonts w:ascii="Calibri" w:hAnsi="Calibri" w:eastAsia="宋体"/>
          <w:sz w:val="21"/>
          <w:lang w:val="en-US" w:eastAsia="zh-CN"/>
          <w14:ligatures w14:val="none"/>
        </w:rPr>
      </w:pPr>
    </w:p>
    <w:p>
      <w:pPr>
        <w:widowControl w:val="0"/>
        <w:tabs>
          <w:tab w:val="left" w:pos="312"/>
        </w:tabs>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3. What were the main difficulties encountered by your company in the past recruitment process?</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贵公司过往招聘过程中遇到的难题主要有哪些？</w:t>
      </w:r>
    </w:p>
    <w:p>
      <w:pPr>
        <w:widowControl w:val="0"/>
        <w:spacing w:after="0" w:line="276" w:lineRule="auto"/>
        <w:ind w:firstLine="0"/>
        <w:jc w:val="both"/>
        <w:rPr>
          <w:rFonts w:ascii="Calibri" w:hAnsi="Calibri" w:eastAsia="宋体"/>
          <w:sz w:val="21"/>
          <w:lang w:val="en-US" w:eastAsia="zh-CN"/>
          <w14:ligatures w14:val="none"/>
        </w:rPr>
      </w:pPr>
    </w:p>
    <w:p>
      <w:pPr>
        <w:widowControl w:val="0"/>
        <w:tabs>
          <w:tab w:val="left" w:pos="312"/>
        </w:tabs>
        <w:spacing w:after="0" w:line="276" w:lineRule="auto"/>
        <w:ind w:firstLine="0"/>
        <w:jc w:val="both"/>
        <w:rPr>
          <w:rFonts w:ascii="Calibri" w:hAnsi="Calibri" w:eastAsia="宋体"/>
          <w:sz w:val="21"/>
          <w:lang w:val="en-US" w:eastAsia="zh-CN"/>
          <w14:ligatures w14:val="none"/>
        </w:rPr>
      </w:pPr>
    </w:p>
    <w:p>
      <w:pPr>
        <w:widowControl w:val="0"/>
        <w:tabs>
          <w:tab w:val="left" w:pos="312"/>
        </w:tabs>
        <w:spacing w:after="0" w:line="276" w:lineRule="auto"/>
        <w:ind w:firstLine="0"/>
        <w:jc w:val="both"/>
        <w:rPr>
          <w:rFonts w:ascii="Calibri" w:hAnsi="Calibri" w:eastAsia="宋体"/>
          <w:sz w:val="21"/>
          <w:lang w:val="en-US" w:eastAsia="zh-CN"/>
          <w14:ligatures w14:val="none"/>
        </w:rPr>
      </w:pPr>
      <w:bookmarkStart w:id="87" w:name="OLE_LINK4"/>
      <w:r>
        <w:rPr>
          <w:rFonts w:hint="eastAsia" w:ascii="Calibri" w:hAnsi="Calibri" w:eastAsia="宋体"/>
          <w:sz w:val="21"/>
          <w:lang w:val="en-US" w:eastAsia="zh-CN"/>
          <w14:ligatures w14:val="none"/>
        </w:rPr>
        <w:t>Cost impact</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成本的影响</w:t>
      </w:r>
    </w:p>
    <w:p>
      <w:pPr>
        <w:widowControl w:val="0"/>
        <w:tabs>
          <w:tab w:val="left" w:pos="312"/>
        </w:tabs>
        <w:spacing w:after="0" w:line="276" w:lineRule="auto"/>
        <w:ind w:firstLine="0"/>
        <w:jc w:val="both"/>
        <w:rPr>
          <w:rFonts w:ascii="Calibri" w:hAnsi="Calibri" w:eastAsia="宋体"/>
          <w:sz w:val="21"/>
          <w:lang w:val="en-US" w:eastAsia="zh-CN"/>
          <w14:ligatures w14:val="none"/>
        </w:rPr>
      </w:pPr>
    </w:p>
    <w:p>
      <w:pPr>
        <w:widowControl w:val="0"/>
        <w:numPr>
          <w:ilvl w:val="0"/>
          <w:numId w:val="8"/>
        </w:numPr>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Can you provide an example of how practical teaching methods affect your company's operating costs?</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你能举例说明实践教学方法是如何影响贵公司的经营成本的？</w:t>
      </w:r>
    </w:p>
    <w:bookmarkEnd w:id="87"/>
    <w:p>
      <w:pPr>
        <w:widowControl w:val="0"/>
        <w:spacing w:after="0" w:line="276" w:lineRule="auto"/>
        <w:ind w:firstLine="0"/>
        <w:jc w:val="both"/>
        <w:rPr>
          <w:rFonts w:ascii="Calibri" w:hAnsi="Calibri" w:eastAsia="宋体"/>
          <w:sz w:val="21"/>
          <w:lang w:val="en-US" w:eastAsia="zh-CN"/>
          <w14:ligatures w14:val="none"/>
        </w:rPr>
      </w:pPr>
    </w:p>
    <w:p>
      <w:pPr>
        <w:widowControl w:val="0"/>
        <w:tabs>
          <w:tab w:val="left" w:pos="312"/>
        </w:tabs>
        <w:spacing w:after="0" w:line="276" w:lineRule="auto"/>
        <w:ind w:firstLine="0"/>
        <w:jc w:val="both"/>
        <w:rPr>
          <w:rFonts w:ascii="Calibri" w:hAnsi="Calibri" w:eastAsia="宋体"/>
          <w:sz w:val="21"/>
          <w:lang w:val="en-US" w:eastAsia="zh-CN"/>
          <w14:ligatures w14:val="none"/>
        </w:rPr>
      </w:pPr>
      <w:bookmarkStart w:id="88" w:name="OLE_LINK5"/>
      <w:r>
        <w:rPr>
          <w:rFonts w:hint="eastAsia" w:ascii="Calibri" w:hAnsi="Calibri" w:eastAsia="宋体"/>
          <w:sz w:val="21"/>
          <w:lang w:val="en-US" w:eastAsia="zh-CN"/>
          <w14:ligatures w14:val="none"/>
        </w:rPr>
        <w:t>The impact of talent cultivation</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人才培养的影响</w:t>
      </w:r>
    </w:p>
    <w:p>
      <w:pPr>
        <w:widowControl w:val="0"/>
        <w:tabs>
          <w:tab w:val="left" w:pos="312"/>
        </w:tabs>
        <w:spacing w:after="0" w:line="276" w:lineRule="auto"/>
        <w:ind w:firstLine="0"/>
        <w:jc w:val="both"/>
        <w:rPr>
          <w:rFonts w:ascii="Calibri" w:hAnsi="Calibri" w:eastAsia="宋体"/>
          <w:sz w:val="21"/>
          <w:lang w:val="en-US" w:eastAsia="zh-CN"/>
          <w14:ligatures w14:val="none"/>
        </w:rPr>
      </w:pPr>
    </w:p>
    <w:p>
      <w:pPr>
        <w:widowControl w:val="0"/>
        <w:numPr>
          <w:ilvl w:val="0"/>
          <w:numId w:val="8"/>
        </w:numPr>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What teaching courses and resources have your company invested in the practical teaching process?</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贵公司在实践教学过程中投入了哪些教学课程和资源？</w:t>
      </w:r>
    </w:p>
    <w:bookmarkEnd w:id="88"/>
    <w:p>
      <w:pPr>
        <w:widowControl w:val="0"/>
        <w:spacing w:after="0" w:line="276" w:lineRule="auto"/>
        <w:ind w:firstLine="0"/>
        <w:jc w:val="both"/>
        <w:rPr>
          <w:rFonts w:ascii="Calibri" w:hAnsi="Calibri" w:eastAsia="宋体"/>
          <w:sz w:val="21"/>
          <w:lang w:val="en-US" w:eastAsia="zh-CN"/>
          <w14:ligatures w14:val="none"/>
        </w:rPr>
      </w:pPr>
    </w:p>
    <w:p>
      <w:pPr>
        <w:widowControl w:val="0"/>
        <w:numPr>
          <w:ilvl w:val="0"/>
          <w:numId w:val="8"/>
        </w:numPr>
        <w:spacing w:after="0" w:line="276" w:lineRule="auto"/>
        <w:ind w:firstLine="0"/>
        <w:jc w:val="both"/>
        <w:rPr>
          <w:rFonts w:ascii="Calibri" w:hAnsi="Calibri" w:eastAsia="宋体"/>
          <w:sz w:val="21"/>
          <w:lang w:val="en-US" w:eastAsia="zh-CN"/>
          <w14:ligatures w14:val="none"/>
        </w:rPr>
      </w:pPr>
      <w:bookmarkStart w:id="89" w:name="OLE_LINK6"/>
      <w:r>
        <w:rPr>
          <w:rFonts w:hint="eastAsia" w:ascii="Calibri" w:hAnsi="Calibri" w:eastAsia="宋体"/>
          <w:sz w:val="21"/>
          <w:lang w:val="en-US" w:eastAsia="zh-CN"/>
          <w14:ligatures w14:val="none"/>
        </w:rPr>
        <w:t>What is the difference between students who have participated in the practical teaching mode among your company's employees and those who have not? What are the advantages or disadvantages?</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贵公司员工中参与过实践教学模式的学生与未参与过的学生有什么区别？有什么优势或劣势?</w:t>
      </w:r>
    </w:p>
    <w:bookmarkEnd w:id="89"/>
    <w:p>
      <w:pPr>
        <w:widowControl w:val="0"/>
        <w:spacing w:after="0" w:line="276" w:lineRule="auto"/>
        <w:ind w:firstLine="0"/>
        <w:jc w:val="both"/>
        <w:rPr>
          <w:rFonts w:ascii="Calibri" w:hAnsi="Calibri" w:eastAsia="宋体"/>
          <w:sz w:val="21"/>
          <w:lang w:val="en-US" w:eastAsia="zh-CN"/>
          <w14:ligatures w14:val="none"/>
        </w:rPr>
      </w:pPr>
    </w:p>
    <w:p>
      <w:pPr>
        <w:widowControl w:val="0"/>
        <w:tabs>
          <w:tab w:val="left" w:pos="312"/>
        </w:tabs>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7.Based on your experience, could you briefly introduce the role of practical teaching in achieving long-term career goals for students?</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根据你的经验，可否简单介绍一下实践教学对学生的长期职业目标的作用?</w:t>
      </w:r>
    </w:p>
    <w:p>
      <w:pPr>
        <w:widowControl w:val="0"/>
        <w:spacing w:after="0" w:line="276" w:lineRule="auto"/>
        <w:ind w:firstLine="0"/>
        <w:jc w:val="both"/>
        <w:rPr>
          <w:rFonts w:ascii="Calibri" w:hAnsi="Calibri" w:eastAsia="宋体"/>
          <w:sz w:val="21"/>
          <w:lang w:val="en-US" w:eastAsia="zh-CN"/>
          <w14:ligatures w14:val="none"/>
        </w:rPr>
      </w:pPr>
    </w:p>
    <w:p>
      <w:pPr>
        <w:widowControl w:val="0"/>
        <w:tabs>
          <w:tab w:val="left" w:pos="312"/>
        </w:tabs>
        <w:spacing w:after="0" w:line="276" w:lineRule="auto"/>
        <w:ind w:firstLine="0"/>
        <w:jc w:val="both"/>
        <w:rPr>
          <w:rFonts w:ascii="Calibri" w:hAnsi="Calibri" w:eastAsia="宋体"/>
          <w:sz w:val="21"/>
          <w:lang w:val="en-US" w:eastAsia="zh-CN"/>
          <w14:ligatures w14:val="none"/>
        </w:rPr>
      </w:pPr>
    </w:p>
    <w:p>
      <w:pPr>
        <w:widowControl w:val="0"/>
        <w:tabs>
          <w:tab w:val="left" w:pos="312"/>
        </w:tabs>
        <w:spacing w:after="0" w:line="276" w:lineRule="auto"/>
        <w:ind w:firstLine="0"/>
        <w:jc w:val="both"/>
        <w:rPr>
          <w:rFonts w:ascii="Calibri" w:hAnsi="Calibri" w:eastAsia="宋体"/>
          <w:sz w:val="21"/>
          <w:lang w:val="en-US" w:eastAsia="zh-CN"/>
          <w14:ligatures w14:val="none"/>
        </w:rPr>
      </w:pPr>
      <w:bookmarkStart w:id="90" w:name="OLE_LINK7"/>
      <w:r>
        <w:rPr>
          <w:rFonts w:hint="eastAsia" w:ascii="Calibri" w:hAnsi="Calibri" w:eastAsia="宋体"/>
          <w:sz w:val="21"/>
          <w:lang w:val="en-US" w:eastAsia="zh-CN"/>
          <w14:ligatures w14:val="none"/>
        </w:rPr>
        <w:t>Recruitment Practice</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招聘实践</w:t>
      </w:r>
    </w:p>
    <w:p>
      <w:pPr>
        <w:widowControl w:val="0"/>
        <w:tabs>
          <w:tab w:val="left" w:pos="312"/>
        </w:tabs>
        <w:spacing w:after="0" w:line="276" w:lineRule="auto"/>
        <w:ind w:firstLine="0"/>
        <w:jc w:val="both"/>
        <w:rPr>
          <w:rFonts w:ascii="Calibri" w:hAnsi="Calibri" w:eastAsia="宋体"/>
          <w:sz w:val="21"/>
          <w:lang w:val="en-US" w:eastAsia="zh-CN"/>
          <w14:ligatures w14:val="none"/>
        </w:rPr>
      </w:pPr>
    </w:p>
    <w:p>
      <w:pPr>
        <w:widowControl w:val="0"/>
        <w:numPr>
          <w:ilvl w:val="0"/>
          <w:numId w:val="8"/>
        </w:numPr>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What are the traits that your company values the most when recruiting candidates?</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贵公司在招聘时最看重应聘者的特质有哪些？</w:t>
      </w:r>
    </w:p>
    <w:bookmarkEnd w:id="90"/>
    <w:p>
      <w:pPr>
        <w:widowControl w:val="0"/>
        <w:spacing w:after="0" w:line="276" w:lineRule="auto"/>
        <w:ind w:firstLine="0"/>
        <w:jc w:val="both"/>
        <w:rPr>
          <w:rFonts w:ascii="Calibri" w:hAnsi="Calibri" w:eastAsia="宋体"/>
          <w:sz w:val="21"/>
          <w:lang w:val="en-US" w:eastAsia="zh-CN"/>
          <w14:ligatures w14:val="none"/>
        </w:rPr>
      </w:pPr>
    </w:p>
    <w:p>
      <w:pPr>
        <w:widowControl w:val="0"/>
        <w:numPr>
          <w:ilvl w:val="0"/>
          <w:numId w:val="8"/>
        </w:numPr>
        <w:spacing w:after="0" w:line="276" w:lineRule="auto"/>
        <w:ind w:firstLine="0"/>
        <w:jc w:val="both"/>
        <w:rPr>
          <w:rFonts w:ascii="Calibri" w:hAnsi="Calibri" w:eastAsia="宋体"/>
          <w:sz w:val="21"/>
          <w:lang w:val="en-US" w:eastAsia="zh-CN"/>
          <w14:ligatures w14:val="none"/>
        </w:rPr>
      </w:pPr>
      <w:bookmarkStart w:id="91" w:name="OLE_LINK8"/>
      <w:r>
        <w:rPr>
          <w:rFonts w:hint="eastAsia" w:ascii="Calibri" w:hAnsi="Calibri" w:eastAsia="宋体"/>
          <w:sz w:val="21"/>
          <w:lang w:val="en-US" w:eastAsia="zh-CN"/>
          <w14:ligatures w14:val="none"/>
        </w:rPr>
        <w:t>Can you provide some insights on how the cooperative relationship between colleges and enterprises can help meet the recruitment needs of technical talents?</w:t>
      </w:r>
    </w:p>
    <w:p>
      <w:pPr>
        <w:widowControl w:val="0"/>
        <w:spacing w:after="0" w:line="276"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可否就学院和企业之间的合作关系如何有助于满足技术人才的招聘需求提供一些见解?</w:t>
      </w:r>
      <w:bookmarkEnd w:id="91"/>
    </w:p>
    <w:p>
      <w:pPr>
        <w:widowControl w:val="0"/>
        <w:spacing w:after="0" w:line="240" w:lineRule="auto"/>
        <w:ind w:firstLine="0"/>
        <w:jc w:val="both"/>
        <w:rPr>
          <w:rFonts w:ascii="Calibri" w:hAnsi="Calibri" w:eastAsia="宋体"/>
          <w:sz w:val="21"/>
          <w:lang w:val="en-US" w:eastAsia="zh-CN"/>
          <w14:ligatures w14:val="none"/>
        </w:rPr>
      </w:pPr>
    </w:p>
    <w:p>
      <w:pPr>
        <w:spacing w:line="360" w:lineRule="auto"/>
        <w:ind w:firstLine="0"/>
        <w:rPr>
          <w:rFonts w:ascii="Arial" w:hAnsi="Arial" w:cs="Arial"/>
        </w:rPr>
      </w:pPr>
    </w:p>
    <w:p>
      <w:pPr>
        <w:spacing w:line="360" w:lineRule="auto"/>
        <w:ind w:firstLine="0"/>
        <w:rPr>
          <w:rFonts w:ascii="Arial" w:hAnsi="Arial" w:cs="Arial"/>
        </w:rPr>
      </w:pPr>
    </w:p>
    <w:p>
      <w:pPr>
        <w:spacing w:line="360" w:lineRule="auto"/>
        <w:ind w:firstLine="0"/>
        <w:rPr>
          <w:rFonts w:ascii="Arial" w:hAnsi="Arial" w:cs="Arial"/>
        </w:rPr>
      </w:pPr>
    </w:p>
    <w:p>
      <w:pPr>
        <w:spacing w:line="360" w:lineRule="auto"/>
        <w:ind w:firstLine="0"/>
        <w:rPr>
          <w:rFonts w:ascii="Arial" w:hAnsi="Arial" w:cs="Arial"/>
        </w:rPr>
      </w:pPr>
    </w:p>
    <w:p>
      <w:pPr>
        <w:spacing w:line="360" w:lineRule="auto"/>
        <w:ind w:firstLine="0"/>
        <w:rPr>
          <w:rFonts w:ascii="Arial" w:hAnsi="Arial" w:cs="Arial"/>
        </w:rPr>
      </w:pPr>
    </w:p>
    <w:p>
      <w:pPr>
        <w:spacing w:line="360" w:lineRule="auto"/>
        <w:ind w:firstLine="0"/>
        <w:rPr>
          <w:rFonts w:ascii="Arial" w:hAnsi="Arial" w:cs="Arial"/>
        </w:rPr>
      </w:pPr>
    </w:p>
    <w:p>
      <w:pPr>
        <w:spacing w:line="360" w:lineRule="auto"/>
        <w:ind w:firstLine="0"/>
        <w:rPr>
          <w:rFonts w:ascii="Arial" w:hAnsi="Arial" w:cs="Arial"/>
        </w:rPr>
      </w:pPr>
    </w:p>
    <w:p>
      <w:pPr>
        <w:spacing w:line="360" w:lineRule="auto"/>
        <w:ind w:firstLine="0"/>
        <w:rPr>
          <w:rFonts w:ascii="Arial" w:hAnsi="Arial" w:cs="Arial"/>
        </w:rPr>
      </w:pPr>
    </w:p>
    <w:p>
      <w:pPr>
        <w:spacing w:line="360" w:lineRule="auto"/>
        <w:ind w:firstLine="0"/>
        <w:rPr>
          <w:rFonts w:ascii="Arial" w:hAnsi="Arial" w:cs="Arial"/>
        </w:rPr>
      </w:pPr>
    </w:p>
    <w:p>
      <w:pPr>
        <w:spacing w:line="360" w:lineRule="auto"/>
        <w:ind w:firstLine="0"/>
        <w:rPr>
          <w:rFonts w:ascii="Arial" w:hAnsi="Arial" w:cs="Arial"/>
        </w:rPr>
      </w:pPr>
    </w:p>
    <w:p>
      <w:pPr>
        <w:spacing w:line="360" w:lineRule="auto"/>
        <w:ind w:firstLine="0"/>
        <w:rPr>
          <w:rFonts w:ascii="Arial" w:hAnsi="Arial" w:cs="Arial"/>
        </w:rPr>
      </w:pPr>
    </w:p>
    <w:p>
      <w:pPr>
        <w:spacing w:line="360" w:lineRule="auto"/>
        <w:ind w:firstLine="0"/>
        <w:rPr>
          <w:rFonts w:ascii="Arial" w:hAnsi="Arial" w:cs="Arial"/>
        </w:rPr>
      </w:pPr>
    </w:p>
    <w:p>
      <w:pPr>
        <w:spacing w:line="360" w:lineRule="auto"/>
        <w:ind w:firstLine="0"/>
        <w:rPr>
          <w:rFonts w:ascii="Arial" w:hAnsi="Arial" w:cs="Arial"/>
        </w:rPr>
      </w:pPr>
    </w:p>
    <w:p>
      <w:pPr>
        <w:spacing w:line="360" w:lineRule="auto"/>
        <w:ind w:firstLine="0"/>
        <w:rPr>
          <w:rFonts w:ascii="Arial" w:hAnsi="Arial" w:cs="Arial"/>
        </w:rPr>
      </w:pPr>
    </w:p>
    <w:p>
      <w:pPr>
        <w:spacing w:line="360" w:lineRule="auto"/>
        <w:ind w:firstLine="0"/>
        <w:rPr>
          <w:rFonts w:ascii="Arial" w:hAnsi="Arial" w:cs="Arial"/>
        </w:rPr>
      </w:pPr>
    </w:p>
    <w:p>
      <w:pPr>
        <w:spacing w:line="360" w:lineRule="auto"/>
        <w:ind w:firstLine="0"/>
        <w:rPr>
          <w:rFonts w:ascii="Arial" w:hAnsi="Arial" w:cs="Arial"/>
        </w:rPr>
      </w:pPr>
    </w:p>
    <w:p>
      <w:pPr>
        <w:spacing w:line="360" w:lineRule="auto"/>
        <w:ind w:firstLine="0"/>
        <w:rPr>
          <w:rFonts w:ascii="Arial" w:hAnsi="Arial" w:cs="Arial"/>
        </w:rPr>
      </w:pPr>
    </w:p>
    <w:p>
      <w:pPr>
        <w:pStyle w:val="3"/>
        <w:rPr>
          <w:rFonts w:eastAsia="宋体"/>
          <w:lang w:val="en-US" w:eastAsia="zh-CN"/>
        </w:rPr>
      </w:pPr>
      <w:bookmarkStart w:id="92" w:name="_Toc158819547"/>
      <w:r>
        <w:rPr>
          <w:rFonts w:hint="eastAsia" w:eastAsia="宋体"/>
          <w:lang w:val="en-US" w:eastAsia="zh-CN"/>
        </w:rPr>
        <w:t>Questionnaire for Student</w:t>
      </w:r>
      <w:bookmarkEnd w:id="92"/>
    </w:p>
    <w:p>
      <w:pPr>
        <w:widowControl w:val="0"/>
        <w:spacing w:after="0" w:line="240" w:lineRule="auto"/>
        <w:ind w:firstLine="0"/>
        <w:jc w:val="both"/>
        <w:rPr>
          <w:rFonts w:ascii="Calibri" w:hAnsi="Calibri" w:eastAsia="宋体"/>
          <w:b/>
          <w:bCs/>
          <w:sz w:val="21"/>
          <w:lang w:val="en-US" w:eastAsia="zh-CN"/>
          <w14:ligatures w14:val="none"/>
        </w:rPr>
      </w:pPr>
    </w:p>
    <w:p>
      <w:pPr>
        <w:widowControl w:val="0"/>
        <w:spacing w:after="0" w:line="240" w:lineRule="auto"/>
        <w:ind w:firstLine="0"/>
        <w:jc w:val="both"/>
        <w:rPr>
          <w:rFonts w:ascii="Calibri" w:hAnsi="Calibri" w:eastAsia="宋体"/>
          <w:b/>
          <w:bCs/>
          <w:sz w:val="21"/>
          <w:lang w:val="en-US" w:eastAsia="zh-CN"/>
          <w14:ligatures w14:val="none"/>
        </w:rPr>
      </w:pPr>
      <w:r>
        <w:rPr>
          <w:rFonts w:hint="eastAsia" w:ascii="Calibri" w:hAnsi="Calibri" w:eastAsia="宋体"/>
          <w:b/>
          <w:bCs/>
          <w:sz w:val="21"/>
          <w:lang w:val="en-US" w:eastAsia="zh-CN"/>
          <w14:ligatures w14:val="none"/>
        </w:rPr>
        <w:t>Demographic information:</w:t>
      </w: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人口统计信息:</w:t>
      </w:r>
    </w:p>
    <w:p>
      <w:pPr>
        <w:widowControl w:val="0"/>
        <w:spacing w:after="0" w:line="240" w:lineRule="auto"/>
        <w:ind w:firstLine="0"/>
        <w:jc w:val="both"/>
        <w:rPr>
          <w:rFonts w:ascii="Calibri" w:hAnsi="Calibri" w:eastAsia="宋体"/>
          <w:b/>
          <w:bCs/>
          <w:sz w:val="21"/>
          <w:lang w:val="en-US" w:eastAsia="zh-CN"/>
          <w14:ligatures w14:val="none"/>
        </w:rPr>
      </w:pPr>
    </w:p>
    <w:p>
      <w:pPr>
        <w:widowControl w:val="0"/>
        <w:numPr>
          <w:ilvl w:val="0"/>
          <w:numId w:val="9"/>
        </w:numPr>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Professional:__________________</w:t>
      </w: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专业: __________________</w:t>
      </w: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2. Grade:___________</w:t>
      </w: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年级:___________</w:t>
      </w:r>
    </w:p>
    <w:p>
      <w:pPr>
        <w:widowControl w:val="0"/>
        <w:spacing w:after="0" w:line="240" w:lineRule="auto"/>
        <w:ind w:firstLine="0"/>
        <w:jc w:val="both"/>
        <w:rPr>
          <w:rFonts w:ascii="Calibri" w:hAnsi="Calibri" w:eastAsia="宋体"/>
          <w:sz w:val="21"/>
          <w:lang w:val="en-US" w:eastAsia="zh-CN"/>
          <w14:ligatures w14:val="none"/>
        </w:rPr>
      </w:pPr>
    </w:p>
    <w:p>
      <w:pPr>
        <w:widowControl w:val="0"/>
        <w:spacing w:after="0" w:line="240" w:lineRule="auto"/>
        <w:ind w:firstLine="0"/>
        <w:jc w:val="both"/>
        <w:rPr>
          <w:rFonts w:ascii="Calibri" w:hAnsi="Calibri" w:eastAsia="宋体"/>
          <w:sz w:val="21"/>
          <w:lang w:val="en-US" w:eastAsia="zh-CN"/>
          <w14:ligatures w14:val="none"/>
        </w:rPr>
      </w:pPr>
    </w:p>
    <w:p>
      <w:pPr>
        <w:widowControl w:val="0"/>
        <w:spacing w:after="0" w:line="240" w:lineRule="auto"/>
        <w:ind w:firstLine="0"/>
        <w:jc w:val="both"/>
        <w:rPr>
          <w:rFonts w:ascii="Calibri" w:hAnsi="Calibri" w:eastAsia="宋体"/>
          <w:b/>
          <w:bCs/>
          <w:sz w:val="21"/>
          <w:lang w:val="en-US" w:eastAsia="zh-CN"/>
          <w14:ligatures w14:val="none"/>
        </w:rPr>
      </w:pPr>
      <w:r>
        <w:rPr>
          <w:rFonts w:hint="eastAsia" w:ascii="Calibri" w:hAnsi="Calibri" w:eastAsia="宋体"/>
          <w:b/>
          <w:bCs/>
          <w:sz w:val="21"/>
          <w:lang w:val="en-US" w:eastAsia="zh-CN"/>
          <w14:ligatures w14:val="none"/>
        </w:rPr>
        <w:t>Questionnaire survey questions</w:t>
      </w: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问卷调查的问题</w:t>
      </w:r>
    </w:p>
    <w:p>
      <w:pPr>
        <w:widowControl w:val="0"/>
        <w:spacing w:after="0" w:line="240" w:lineRule="auto"/>
        <w:ind w:firstLine="0"/>
        <w:jc w:val="both"/>
        <w:rPr>
          <w:rFonts w:ascii="Calibri" w:hAnsi="Calibri" w:eastAsia="宋体"/>
          <w:b/>
          <w:bCs/>
          <w:sz w:val="21"/>
          <w:lang w:val="en-US" w:eastAsia="zh-CN"/>
          <w14:ligatures w14:val="none"/>
        </w:rPr>
      </w:pP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General questions</w:t>
      </w: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一般的问题</w:t>
      </w:r>
    </w:p>
    <w:p>
      <w:pPr>
        <w:widowControl w:val="0"/>
        <w:spacing w:after="0" w:line="240" w:lineRule="auto"/>
        <w:ind w:firstLine="0"/>
        <w:jc w:val="both"/>
        <w:rPr>
          <w:rFonts w:ascii="Calibri" w:hAnsi="Calibri" w:eastAsia="宋体"/>
          <w:sz w:val="21"/>
          <w:lang w:val="en-US" w:eastAsia="zh-CN"/>
          <w14:ligatures w14:val="none"/>
        </w:rPr>
      </w:pPr>
    </w:p>
    <w:p>
      <w:pPr>
        <w:widowControl w:val="0"/>
        <w:numPr>
          <w:ilvl w:val="0"/>
          <w:numId w:val="10"/>
        </w:numPr>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How long have you been involved in practical teaching methods courses?</w:t>
      </w: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你参与实践教学方法课程有多久了?</w:t>
      </w:r>
    </w:p>
    <w:p>
      <w:pPr>
        <w:widowControl w:val="0"/>
        <w:spacing w:after="0" w:line="240" w:lineRule="auto"/>
        <w:ind w:firstLine="0"/>
        <w:jc w:val="both"/>
        <w:rPr>
          <w:rFonts w:ascii="Calibri" w:hAnsi="Calibri" w:eastAsia="宋体"/>
          <w:sz w:val="21"/>
          <w:lang w:val="en-US" w:eastAsia="zh-CN"/>
          <w14:ligatures w14:val="none"/>
        </w:rPr>
      </w:pPr>
    </w:p>
    <w:p>
      <w:pPr>
        <w:widowControl w:val="0"/>
        <w:numPr>
          <w:ilvl w:val="0"/>
          <w:numId w:val="10"/>
        </w:numPr>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What work have you done in the process of enterprise practice?</w:t>
      </w: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你在企业实践过程中做了哪些工作？</w:t>
      </w:r>
    </w:p>
    <w:p>
      <w:pPr>
        <w:widowControl w:val="0"/>
        <w:spacing w:after="0" w:line="240" w:lineRule="auto"/>
        <w:ind w:firstLine="0"/>
        <w:jc w:val="both"/>
        <w:rPr>
          <w:rFonts w:ascii="Calibri" w:hAnsi="Calibri" w:eastAsia="宋体"/>
          <w:sz w:val="21"/>
          <w:lang w:val="en-US" w:eastAsia="zh-CN"/>
          <w14:ligatures w14:val="none"/>
        </w:rPr>
      </w:pP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3. What courses did you learn in the process of enterprise practice?</w:t>
      </w: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你在企业实践过程中学了哪几门课程？</w:t>
      </w:r>
    </w:p>
    <w:p>
      <w:pPr>
        <w:widowControl w:val="0"/>
        <w:spacing w:after="0" w:line="240" w:lineRule="auto"/>
        <w:ind w:firstLine="0"/>
        <w:jc w:val="both"/>
        <w:rPr>
          <w:rFonts w:ascii="Calibri" w:hAnsi="Calibri" w:eastAsia="宋体"/>
          <w:sz w:val="21"/>
          <w:lang w:val="en-US" w:eastAsia="zh-CN"/>
          <w14:ligatures w14:val="none"/>
        </w:rPr>
      </w:pP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The impact of learning</w:t>
      </w: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学习的影响</w:t>
      </w:r>
    </w:p>
    <w:p>
      <w:pPr>
        <w:widowControl w:val="0"/>
        <w:spacing w:after="0" w:line="240" w:lineRule="auto"/>
        <w:ind w:firstLine="0"/>
        <w:jc w:val="both"/>
        <w:rPr>
          <w:rFonts w:ascii="Calibri" w:hAnsi="Calibri" w:eastAsia="宋体"/>
          <w:sz w:val="21"/>
          <w:lang w:val="en-US" w:eastAsia="zh-CN"/>
          <w14:ligatures w14:val="none"/>
        </w:rPr>
      </w:pPr>
    </w:p>
    <w:p>
      <w:pPr>
        <w:widowControl w:val="0"/>
        <w:numPr>
          <w:ilvl w:val="0"/>
          <w:numId w:val="10"/>
        </w:numPr>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Can you provide an example of how practical teaching methods have influenced your learning of professional knowledge?</w:t>
      </w: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你能举例说明实践教学方法是如何影响你学习专业知识的吗?</w:t>
      </w:r>
    </w:p>
    <w:p>
      <w:pPr>
        <w:widowControl w:val="0"/>
        <w:spacing w:after="0" w:line="240" w:lineRule="auto"/>
        <w:ind w:firstLine="0"/>
        <w:jc w:val="both"/>
        <w:rPr>
          <w:rFonts w:ascii="Calibri" w:hAnsi="Calibri" w:eastAsia="宋体"/>
          <w:sz w:val="21"/>
          <w:lang w:val="en-US" w:eastAsia="zh-CN"/>
          <w14:ligatures w14:val="none"/>
        </w:rPr>
      </w:pPr>
    </w:p>
    <w:p>
      <w:pPr>
        <w:widowControl w:val="0"/>
        <w:numPr>
          <w:ilvl w:val="0"/>
          <w:numId w:val="10"/>
        </w:numPr>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What difficulties or difficulties have you encountered in the practice process?</w:t>
      </w: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你在实践过程中有遇到过哪些困难或难题？</w:t>
      </w:r>
    </w:p>
    <w:p>
      <w:pPr>
        <w:widowControl w:val="0"/>
        <w:spacing w:after="0" w:line="240" w:lineRule="auto"/>
        <w:ind w:firstLine="0"/>
        <w:jc w:val="both"/>
        <w:rPr>
          <w:rFonts w:ascii="Calibri" w:hAnsi="Calibri" w:eastAsia="宋体"/>
          <w:sz w:val="21"/>
          <w:lang w:val="en-US" w:eastAsia="zh-CN"/>
          <w14:ligatures w14:val="none"/>
        </w:rPr>
      </w:pP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6. How do college teachers and corporate mentors guide you to solve difficulties and difficulties?</w:t>
      </w: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在遇到困难和难题时，学院老师和企业导师是如何指导你去解决的？</w:t>
      </w:r>
    </w:p>
    <w:p>
      <w:pPr>
        <w:widowControl w:val="0"/>
        <w:spacing w:after="0" w:line="240" w:lineRule="auto"/>
        <w:ind w:firstLine="0"/>
        <w:jc w:val="both"/>
        <w:rPr>
          <w:rFonts w:ascii="Calibri" w:hAnsi="Calibri" w:eastAsia="宋体"/>
          <w:sz w:val="21"/>
          <w:lang w:val="en-US" w:eastAsia="zh-CN"/>
          <w14:ligatures w14:val="none"/>
        </w:rPr>
      </w:pP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Career goals and employment direction</w:t>
      </w: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职业目标及就业方向</w:t>
      </w:r>
    </w:p>
    <w:p>
      <w:pPr>
        <w:widowControl w:val="0"/>
        <w:spacing w:after="0" w:line="240" w:lineRule="auto"/>
        <w:ind w:firstLine="0"/>
        <w:jc w:val="both"/>
        <w:rPr>
          <w:rFonts w:ascii="Calibri" w:hAnsi="Calibri" w:eastAsia="宋体"/>
          <w:sz w:val="21"/>
          <w:lang w:val="en-US" w:eastAsia="zh-CN"/>
          <w14:ligatures w14:val="none"/>
        </w:rPr>
      </w:pPr>
    </w:p>
    <w:p>
      <w:pPr>
        <w:widowControl w:val="0"/>
        <w:numPr>
          <w:ilvl w:val="0"/>
          <w:numId w:val="11"/>
        </w:numPr>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How do you view the role of practical education in shaping career goals?</w:t>
      </w: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你如何看待实践教育在塑造职业目标中的作用?</w:t>
      </w:r>
    </w:p>
    <w:p>
      <w:pPr>
        <w:widowControl w:val="0"/>
        <w:spacing w:after="0" w:line="240" w:lineRule="auto"/>
        <w:ind w:firstLine="0"/>
        <w:jc w:val="both"/>
        <w:rPr>
          <w:rFonts w:ascii="Calibri" w:hAnsi="Calibri" w:eastAsia="宋体"/>
          <w:sz w:val="21"/>
          <w:lang w:val="en-US" w:eastAsia="zh-CN"/>
          <w14:ligatures w14:val="none"/>
        </w:rPr>
      </w:pPr>
    </w:p>
    <w:p>
      <w:pPr>
        <w:widowControl w:val="0"/>
        <w:numPr>
          <w:ilvl w:val="0"/>
          <w:numId w:val="11"/>
        </w:numPr>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What is your career direction after graduation?</w:t>
      </w: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你毕业后的就业方向是什么？</w:t>
      </w:r>
    </w:p>
    <w:p>
      <w:pPr>
        <w:widowControl w:val="0"/>
        <w:spacing w:after="0" w:line="240" w:lineRule="auto"/>
        <w:ind w:firstLine="0"/>
        <w:jc w:val="both"/>
        <w:rPr>
          <w:rFonts w:ascii="Calibri" w:hAnsi="Calibri" w:eastAsia="宋体"/>
          <w:sz w:val="21"/>
          <w:lang w:val="en-US" w:eastAsia="zh-CN"/>
          <w14:ligatures w14:val="none"/>
        </w:rPr>
      </w:pP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9.What do you think are your strengths when applying for a job after graduation?</w:t>
      </w: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你觉得你在毕业后应聘时的优势是什么？</w:t>
      </w:r>
    </w:p>
    <w:p>
      <w:pPr>
        <w:widowControl w:val="0"/>
        <w:spacing w:after="0" w:line="240" w:lineRule="auto"/>
        <w:ind w:firstLine="0"/>
        <w:jc w:val="both"/>
        <w:rPr>
          <w:rFonts w:ascii="Calibri" w:hAnsi="Calibri" w:eastAsia="宋体"/>
          <w:sz w:val="21"/>
          <w:lang w:val="en-US" w:eastAsia="zh-CN"/>
          <w14:ligatures w14:val="none"/>
        </w:rPr>
      </w:pPr>
    </w:p>
    <w:p>
      <w:pPr>
        <w:pStyle w:val="3"/>
        <w:rPr>
          <w:rFonts w:eastAsia="宋体"/>
          <w:lang w:val="en-US" w:eastAsia="zh-CN"/>
        </w:rPr>
      </w:pPr>
      <w:bookmarkStart w:id="93" w:name="_Toc158819548"/>
      <w:r>
        <w:rPr>
          <w:rFonts w:hint="eastAsia" w:eastAsia="宋体"/>
          <w:lang w:val="en-US" w:eastAsia="zh-CN"/>
        </w:rPr>
        <w:t>Questionnaire for teacher</w:t>
      </w:r>
      <w:bookmarkEnd w:id="93"/>
    </w:p>
    <w:p>
      <w:pPr>
        <w:widowControl w:val="0"/>
        <w:spacing w:after="0" w:line="240" w:lineRule="auto"/>
        <w:ind w:firstLine="0"/>
        <w:jc w:val="both"/>
        <w:rPr>
          <w:rFonts w:ascii="Calibri" w:hAnsi="Calibri" w:eastAsia="宋体"/>
          <w:b/>
          <w:bCs/>
          <w:sz w:val="21"/>
          <w:lang w:val="en-US" w:eastAsia="zh-CN"/>
          <w14:ligatures w14:val="none"/>
        </w:rPr>
      </w:pPr>
    </w:p>
    <w:p>
      <w:pPr>
        <w:widowControl w:val="0"/>
        <w:spacing w:after="0" w:line="240" w:lineRule="auto"/>
        <w:ind w:firstLine="0"/>
        <w:jc w:val="both"/>
        <w:rPr>
          <w:rFonts w:ascii="Calibri" w:hAnsi="Calibri" w:eastAsia="宋体"/>
          <w:b/>
          <w:bCs/>
          <w:sz w:val="21"/>
          <w:lang w:val="en-US" w:eastAsia="zh-CN"/>
          <w14:ligatures w14:val="none"/>
        </w:rPr>
      </w:pPr>
      <w:r>
        <w:rPr>
          <w:rFonts w:hint="eastAsia" w:ascii="Calibri" w:hAnsi="Calibri" w:eastAsia="宋体"/>
          <w:b/>
          <w:bCs/>
          <w:sz w:val="21"/>
          <w:lang w:val="en-US" w:eastAsia="zh-CN"/>
          <w14:ligatures w14:val="none"/>
        </w:rPr>
        <w:t>Demographic information:</w:t>
      </w: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人口统计信息:</w:t>
      </w:r>
    </w:p>
    <w:p>
      <w:pPr>
        <w:widowControl w:val="0"/>
        <w:spacing w:after="0" w:line="240" w:lineRule="auto"/>
        <w:ind w:firstLine="0"/>
        <w:jc w:val="both"/>
        <w:rPr>
          <w:rFonts w:ascii="Calibri" w:hAnsi="Calibri" w:eastAsia="宋体"/>
          <w:b/>
          <w:bCs/>
          <w:sz w:val="21"/>
          <w:lang w:val="en-US" w:eastAsia="zh-CN"/>
          <w14:ligatures w14:val="none"/>
        </w:rPr>
      </w:pPr>
    </w:p>
    <w:p>
      <w:pPr>
        <w:widowControl w:val="0"/>
        <w:numPr>
          <w:ilvl w:val="0"/>
          <w:numId w:val="12"/>
        </w:numPr>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Position:__________________</w:t>
      </w: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职位: __________________</w:t>
      </w:r>
    </w:p>
    <w:p>
      <w:pPr>
        <w:widowControl w:val="0"/>
        <w:spacing w:after="0" w:line="240" w:lineRule="auto"/>
        <w:ind w:firstLine="0"/>
        <w:jc w:val="both"/>
        <w:rPr>
          <w:rFonts w:ascii="Calibri" w:hAnsi="Calibri" w:eastAsia="宋体"/>
          <w:sz w:val="21"/>
          <w:lang w:val="en-US" w:eastAsia="zh-CN"/>
          <w14:ligatures w14:val="none"/>
        </w:rPr>
      </w:pP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2. Education experience (years):___________</w:t>
      </w: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教育经验（多少年）:___________</w:t>
      </w:r>
    </w:p>
    <w:p>
      <w:pPr>
        <w:widowControl w:val="0"/>
        <w:spacing w:after="0" w:line="240" w:lineRule="auto"/>
        <w:ind w:firstLine="0"/>
        <w:jc w:val="both"/>
        <w:rPr>
          <w:rFonts w:ascii="Calibri" w:hAnsi="Calibri" w:eastAsia="宋体"/>
          <w:sz w:val="21"/>
          <w:lang w:val="en-US" w:eastAsia="zh-CN"/>
          <w14:ligatures w14:val="none"/>
        </w:rPr>
      </w:pPr>
    </w:p>
    <w:p>
      <w:pPr>
        <w:widowControl w:val="0"/>
        <w:spacing w:after="0" w:line="240" w:lineRule="auto"/>
        <w:ind w:firstLine="0"/>
        <w:jc w:val="both"/>
        <w:rPr>
          <w:rFonts w:ascii="Calibri" w:hAnsi="Calibri" w:eastAsia="宋体"/>
          <w:b/>
          <w:bCs/>
          <w:sz w:val="21"/>
          <w:lang w:val="en-US" w:eastAsia="zh-CN"/>
          <w14:ligatures w14:val="none"/>
        </w:rPr>
      </w:pPr>
      <w:r>
        <w:rPr>
          <w:rFonts w:hint="eastAsia" w:ascii="Calibri" w:hAnsi="Calibri" w:eastAsia="宋体"/>
          <w:b/>
          <w:bCs/>
          <w:sz w:val="21"/>
          <w:lang w:val="en-US" w:eastAsia="zh-CN"/>
          <w14:ligatures w14:val="none"/>
        </w:rPr>
        <w:t>Questionnaire survey questions</w:t>
      </w: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问卷调查的问题</w:t>
      </w:r>
    </w:p>
    <w:p>
      <w:pPr>
        <w:widowControl w:val="0"/>
        <w:spacing w:after="0" w:line="240" w:lineRule="auto"/>
        <w:ind w:firstLine="0"/>
        <w:jc w:val="both"/>
        <w:rPr>
          <w:rFonts w:ascii="Calibri" w:hAnsi="Calibri" w:eastAsia="宋体"/>
          <w:sz w:val="21"/>
          <w:lang w:val="en-US" w:eastAsia="zh-CN"/>
          <w14:ligatures w14:val="none"/>
        </w:rPr>
      </w:pP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General questions</w:t>
      </w:r>
    </w:p>
    <w:p>
      <w:pPr>
        <w:widowControl w:val="0"/>
        <w:spacing w:after="0" w:line="240" w:lineRule="auto"/>
        <w:ind w:firstLine="0"/>
        <w:jc w:val="both"/>
        <w:rPr>
          <w:rFonts w:ascii="Calibri" w:hAnsi="Calibri" w:eastAsia="宋体"/>
          <w:b/>
          <w:bCs/>
          <w:sz w:val="21"/>
          <w:lang w:val="en-US" w:eastAsia="zh-CN"/>
          <w14:ligatures w14:val="none"/>
        </w:rPr>
      </w:pPr>
      <w:r>
        <w:rPr>
          <w:rFonts w:hint="eastAsia" w:ascii="Calibri" w:hAnsi="Calibri" w:eastAsia="宋体"/>
          <w:sz w:val="21"/>
          <w:lang w:val="en-US" w:eastAsia="zh-CN"/>
          <w14:ligatures w14:val="none"/>
        </w:rPr>
        <w:t>一般的问题</w:t>
      </w:r>
    </w:p>
    <w:p>
      <w:pPr>
        <w:widowControl w:val="0"/>
        <w:spacing w:after="0" w:line="240" w:lineRule="auto"/>
        <w:ind w:firstLine="0"/>
        <w:jc w:val="both"/>
        <w:rPr>
          <w:rFonts w:ascii="Calibri" w:hAnsi="Calibri" w:eastAsia="宋体"/>
          <w:sz w:val="21"/>
          <w:lang w:val="en-US" w:eastAsia="zh-CN"/>
          <w14:ligatures w14:val="none"/>
        </w:rPr>
      </w:pPr>
    </w:p>
    <w:p>
      <w:pPr>
        <w:widowControl w:val="0"/>
        <w:numPr>
          <w:ilvl w:val="0"/>
          <w:numId w:val="13"/>
        </w:numPr>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How long has it been since the integration of practical teaching methods into your school's curriculum?</w:t>
      </w: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实践教学方法融入贵校课程有多久了?</w:t>
      </w:r>
    </w:p>
    <w:p>
      <w:pPr>
        <w:widowControl w:val="0"/>
        <w:spacing w:after="0" w:line="240" w:lineRule="auto"/>
        <w:ind w:firstLine="0"/>
        <w:jc w:val="both"/>
        <w:rPr>
          <w:rFonts w:ascii="Calibri" w:hAnsi="Calibri" w:eastAsia="宋体"/>
          <w:sz w:val="21"/>
          <w:lang w:val="en-US" w:eastAsia="zh-CN"/>
          <w14:ligatures w14:val="none"/>
        </w:rPr>
      </w:pPr>
    </w:p>
    <w:p>
      <w:pPr>
        <w:widowControl w:val="0"/>
        <w:numPr>
          <w:ilvl w:val="0"/>
          <w:numId w:val="13"/>
        </w:numPr>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What is the proportion of students in your major participating in practical teaching in 2023?</w:t>
      </w: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2023年你所在专业的学生参与实践教学的比例是多少？</w:t>
      </w:r>
    </w:p>
    <w:p>
      <w:pPr>
        <w:widowControl w:val="0"/>
        <w:spacing w:after="0" w:line="240" w:lineRule="auto"/>
        <w:ind w:firstLine="0"/>
        <w:jc w:val="both"/>
        <w:rPr>
          <w:rFonts w:ascii="Calibri" w:hAnsi="Calibri" w:eastAsia="宋体"/>
          <w:sz w:val="21"/>
          <w:lang w:val="en-US" w:eastAsia="zh-CN"/>
          <w14:ligatures w14:val="none"/>
        </w:rPr>
      </w:pP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3.Can you briefly introduce the cooperation model between schools and enterprises?</w:t>
      </w: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可以简单介绍一下学校与企业的合作模式吗？</w:t>
      </w:r>
    </w:p>
    <w:p>
      <w:pPr>
        <w:widowControl w:val="0"/>
        <w:spacing w:after="0" w:line="240" w:lineRule="auto"/>
        <w:ind w:firstLine="0"/>
        <w:jc w:val="both"/>
        <w:rPr>
          <w:rFonts w:ascii="Calibri" w:hAnsi="Calibri" w:eastAsia="宋体"/>
          <w:sz w:val="21"/>
          <w:lang w:val="en-US" w:eastAsia="zh-CN"/>
          <w14:ligatures w14:val="none"/>
        </w:rPr>
      </w:pP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The impact of education</w:t>
      </w: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教育的影响</w:t>
      </w:r>
    </w:p>
    <w:p>
      <w:pPr>
        <w:widowControl w:val="0"/>
        <w:spacing w:after="0" w:line="240" w:lineRule="auto"/>
        <w:ind w:firstLine="0"/>
        <w:jc w:val="both"/>
        <w:rPr>
          <w:rFonts w:ascii="Calibri" w:hAnsi="Calibri" w:eastAsia="宋体"/>
          <w:sz w:val="21"/>
          <w:lang w:val="en-US" w:eastAsia="zh-CN"/>
          <w14:ligatures w14:val="none"/>
        </w:rPr>
      </w:pPr>
    </w:p>
    <w:p>
      <w:pPr>
        <w:widowControl w:val="0"/>
        <w:numPr>
          <w:ilvl w:val="0"/>
          <w:numId w:val="13"/>
        </w:numPr>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Can you provide an example of how practical teaching methods affect students' learning of professional knowledge?</w:t>
      </w: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你能举例说明实践教学方法是如何影响学生学习专业知识的吗?</w:t>
      </w:r>
    </w:p>
    <w:p>
      <w:pPr>
        <w:widowControl w:val="0"/>
        <w:spacing w:after="0" w:line="240" w:lineRule="auto"/>
        <w:ind w:firstLine="0"/>
        <w:jc w:val="both"/>
        <w:rPr>
          <w:rFonts w:ascii="Calibri" w:hAnsi="Calibri" w:eastAsia="宋体"/>
          <w:sz w:val="21"/>
          <w:lang w:val="en-US" w:eastAsia="zh-CN"/>
          <w14:ligatures w14:val="none"/>
        </w:rPr>
      </w:pP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5.What teaching courses and resources have the college invested in the practical teaching process?</w:t>
      </w: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学院在实践教学过程中投入了哪些教学课程和资源？</w:t>
      </w:r>
    </w:p>
    <w:p>
      <w:pPr>
        <w:widowControl w:val="0"/>
        <w:spacing w:after="0" w:line="240" w:lineRule="auto"/>
        <w:ind w:firstLine="0"/>
        <w:jc w:val="both"/>
        <w:rPr>
          <w:rFonts w:ascii="Calibri" w:hAnsi="Calibri" w:eastAsia="宋体"/>
          <w:sz w:val="21"/>
          <w:lang w:val="en-US" w:eastAsia="zh-CN"/>
          <w14:ligatures w14:val="none"/>
        </w:rPr>
      </w:pP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Career and employment outcomes</w:t>
      </w: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职业及就业结果</w:t>
      </w:r>
    </w:p>
    <w:p>
      <w:pPr>
        <w:widowControl w:val="0"/>
        <w:spacing w:after="0" w:line="240" w:lineRule="auto"/>
        <w:ind w:firstLine="0"/>
        <w:jc w:val="both"/>
        <w:rPr>
          <w:rFonts w:ascii="Calibri" w:hAnsi="Calibri" w:eastAsia="宋体"/>
          <w:sz w:val="21"/>
          <w:lang w:val="en-US" w:eastAsia="zh-CN"/>
          <w14:ligatures w14:val="none"/>
        </w:rPr>
      </w:pPr>
    </w:p>
    <w:p>
      <w:pPr>
        <w:widowControl w:val="0"/>
        <w:numPr>
          <w:ilvl w:val="0"/>
          <w:numId w:val="14"/>
        </w:numPr>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Based on your experience, how do students view the role of practical education in shaping their long-term career goals?</w:t>
      </w: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根据你的经验，学生如何看待实践教育在塑造他们长期职业目标中的作用?</w:t>
      </w:r>
    </w:p>
    <w:p>
      <w:pPr>
        <w:widowControl w:val="0"/>
        <w:spacing w:after="0" w:line="240" w:lineRule="auto"/>
        <w:ind w:firstLine="0"/>
        <w:jc w:val="both"/>
        <w:rPr>
          <w:rFonts w:ascii="Calibri" w:hAnsi="Calibri" w:eastAsia="宋体"/>
          <w:sz w:val="21"/>
          <w:lang w:val="en-US" w:eastAsia="zh-CN"/>
          <w14:ligatures w14:val="none"/>
        </w:rPr>
      </w:pPr>
    </w:p>
    <w:p>
      <w:pPr>
        <w:widowControl w:val="0"/>
        <w:spacing w:after="0" w:line="240" w:lineRule="auto"/>
        <w:ind w:firstLine="0"/>
        <w:jc w:val="both"/>
        <w:rPr>
          <w:rFonts w:ascii="Calibri" w:hAnsi="Calibri" w:eastAsia="宋体"/>
          <w:sz w:val="21"/>
          <w:lang w:val="en-US" w:eastAsia="zh-CN"/>
          <w14:ligatures w14:val="none"/>
        </w:rPr>
      </w:pPr>
    </w:p>
    <w:p>
      <w:pPr>
        <w:widowControl w:val="0"/>
        <w:spacing w:after="0" w:line="240" w:lineRule="auto"/>
        <w:ind w:firstLine="0"/>
        <w:jc w:val="both"/>
        <w:rPr>
          <w:rFonts w:ascii="Calibri" w:hAnsi="Calibri" w:eastAsia="宋体"/>
          <w:sz w:val="21"/>
          <w:lang w:val="en-US" w:eastAsia="zh-CN"/>
          <w14:ligatures w14:val="none"/>
        </w:rPr>
      </w:pPr>
      <w:bookmarkStart w:id="94" w:name="OLE_LINK9"/>
      <w:r>
        <w:rPr>
          <w:rFonts w:hint="eastAsia" w:ascii="Calibri" w:hAnsi="Calibri" w:eastAsia="宋体"/>
          <w:sz w:val="21"/>
          <w:lang w:val="en-US" w:eastAsia="zh-CN"/>
          <w14:ligatures w14:val="none"/>
        </w:rPr>
        <w:t>Recruitment Practice</w:t>
      </w: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招聘实践</w:t>
      </w:r>
    </w:p>
    <w:p>
      <w:pPr>
        <w:widowControl w:val="0"/>
        <w:spacing w:after="0" w:line="240" w:lineRule="auto"/>
        <w:ind w:firstLine="0"/>
        <w:jc w:val="both"/>
        <w:rPr>
          <w:rFonts w:ascii="Calibri" w:hAnsi="Calibri" w:eastAsia="宋体"/>
          <w:sz w:val="21"/>
          <w:lang w:val="en-US" w:eastAsia="zh-CN"/>
          <w14:ligatures w14:val="none"/>
        </w:rPr>
      </w:pPr>
    </w:p>
    <w:p>
      <w:pPr>
        <w:widowControl w:val="0"/>
        <w:numPr>
          <w:ilvl w:val="0"/>
          <w:numId w:val="14"/>
        </w:numPr>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Have you noticed any advantages of students who have received practical teaching methods in your interaction with the company?</w:t>
      </w: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在您与企业的互动中，您是否注意到接受过实践教学方法的学生有什么优势?</w:t>
      </w:r>
    </w:p>
    <w:bookmarkEnd w:id="94"/>
    <w:p>
      <w:pPr>
        <w:widowControl w:val="0"/>
        <w:spacing w:after="0" w:line="240" w:lineRule="auto"/>
        <w:ind w:firstLine="0"/>
        <w:jc w:val="both"/>
        <w:rPr>
          <w:rFonts w:ascii="Calibri" w:hAnsi="Calibri" w:eastAsia="宋体"/>
          <w:sz w:val="21"/>
          <w:lang w:val="en-US" w:eastAsia="zh-CN"/>
          <w14:ligatures w14:val="none"/>
        </w:rPr>
      </w:pPr>
    </w:p>
    <w:p>
      <w:pPr>
        <w:widowControl w:val="0"/>
        <w:numPr>
          <w:ilvl w:val="0"/>
          <w:numId w:val="14"/>
        </w:numPr>
        <w:spacing w:after="0" w:line="240" w:lineRule="auto"/>
        <w:ind w:firstLine="0"/>
        <w:jc w:val="both"/>
        <w:rPr>
          <w:rFonts w:ascii="Calibri" w:hAnsi="Calibri" w:eastAsia="宋体"/>
          <w:sz w:val="21"/>
          <w:lang w:val="en-US" w:eastAsia="zh-CN"/>
          <w14:ligatures w14:val="none"/>
        </w:rPr>
      </w:pPr>
      <w:bookmarkStart w:id="95" w:name="OLE_LINK10"/>
      <w:r>
        <w:rPr>
          <w:rFonts w:hint="eastAsia" w:ascii="Calibri" w:hAnsi="Calibri" w:eastAsia="宋体"/>
          <w:sz w:val="21"/>
          <w:lang w:val="en-US" w:eastAsia="zh-CN"/>
          <w14:ligatures w14:val="none"/>
        </w:rPr>
        <w:t>Can you provide some insights on how the cooperative relationship between colleges and enterprises can help meet the recruitment needs of technical talents?</w:t>
      </w:r>
    </w:p>
    <w:p>
      <w:pPr>
        <w:widowControl w:val="0"/>
        <w:spacing w:after="0" w:line="240" w:lineRule="auto"/>
        <w:ind w:firstLine="0"/>
        <w:jc w:val="both"/>
        <w:rPr>
          <w:rFonts w:ascii="Calibri" w:hAnsi="Calibri" w:eastAsia="宋体"/>
          <w:sz w:val="21"/>
          <w:lang w:val="en-US" w:eastAsia="zh-CN"/>
          <w14:ligatures w14:val="none"/>
        </w:rPr>
      </w:pPr>
      <w:r>
        <w:rPr>
          <w:rFonts w:hint="eastAsia" w:ascii="Calibri" w:hAnsi="Calibri" w:eastAsia="宋体"/>
          <w:sz w:val="21"/>
          <w:lang w:val="en-US" w:eastAsia="zh-CN"/>
          <w14:ligatures w14:val="none"/>
        </w:rPr>
        <w:t>可否就学院和企业之间的合作关系如何有助于满足技术人才的招聘需求提供一些见解?</w:t>
      </w:r>
    </w:p>
    <w:bookmarkEnd w:id="95"/>
    <w:p>
      <w:pPr>
        <w:widowControl w:val="0"/>
        <w:spacing w:after="0" w:line="240" w:lineRule="auto"/>
        <w:ind w:firstLine="0"/>
        <w:jc w:val="both"/>
        <w:rPr>
          <w:rFonts w:ascii="Calibri" w:hAnsi="Calibri" w:eastAsia="宋体"/>
          <w:sz w:val="21"/>
          <w:lang w:val="en-US" w:eastAsia="zh-CN"/>
          <w14:ligatures w14:val="none"/>
        </w:rPr>
      </w:pPr>
    </w:p>
    <w:p>
      <w:pPr>
        <w:spacing w:line="360" w:lineRule="auto"/>
        <w:ind w:firstLine="0"/>
        <w:rPr>
          <w:rFonts w:ascii="Arial" w:hAnsi="Arial" w:cs="Arial"/>
        </w:rPr>
      </w:pPr>
    </w:p>
    <w:sectPr>
      <w:headerReference r:id="rId7" w:type="default"/>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Times New Roman Bold">
    <w:altName w:val="Times New Roman"/>
    <w:panose1 w:val="02020803070505020304"/>
    <w:charset w:val="00"/>
    <w:family w:val="roman"/>
    <w:pitch w:val="default"/>
    <w:sig w:usb0="00000000" w:usb1="00000000" w:usb2="00000000" w:usb3="00000000" w:csb0="00000000" w:csb1="00000000"/>
  </w:font>
  <w:font w:name="等线 Light">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Calibri">
    <w:panose1 w:val="020F0502020204030204"/>
    <w:charset w:val="00"/>
    <w:family w:val="auto"/>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4"/>
      <w:framePr w:wrap="around" w:vAnchor="text" w:hAnchor="margin" w:xAlign="center" w:y="1"/>
      <w:rPr>
        <w:rStyle w:val="24"/>
      </w:rPr>
    </w:pPr>
    <w:r>
      <w:rPr>
        <w:rStyle w:val="24"/>
      </w:rPr>
      <w:fldChar w:fldCharType="begin"/>
    </w:r>
    <w:r>
      <w:rPr>
        <w:rStyle w:val="24"/>
      </w:rPr>
      <w:instrText xml:space="preserve">PAGE  </w:instrText>
    </w:r>
    <w:r>
      <w:rPr>
        <w:rStyle w:val="24"/>
      </w:rPr>
      <w:fldChar w:fldCharType="separate"/>
    </w:r>
    <w:r>
      <w:rPr>
        <w:rStyle w:val="24"/>
      </w:rPr>
      <w:t>1</w:t>
    </w:r>
    <w:r>
      <w:rPr>
        <w:rStyle w:val="24"/>
      </w:rPr>
      <w:fldChar w:fldCharType="end"/>
    </w:r>
  </w:p>
  <w:p>
    <w:pPr>
      <w:pStyle w:val="14"/>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4"/>
      <w:framePr w:wrap="around" w:vAnchor="text" w:hAnchor="margin" w:xAlign="center" w:y="1"/>
      <w:rPr>
        <w:rStyle w:val="24"/>
      </w:rPr>
    </w:pPr>
    <w:r>
      <w:rPr>
        <w:rStyle w:val="24"/>
      </w:rPr>
      <w:fldChar w:fldCharType="begin"/>
    </w:r>
    <w:r>
      <w:rPr>
        <w:rStyle w:val="24"/>
      </w:rPr>
      <w:instrText xml:space="preserve">PAGE  </w:instrText>
    </w:r>
    <w:r>
      <w:rPr>
        <w:rStyle w:val="24"/>
      </w:rPr>
      <w:fldChar w:fldCharType="end"/>
    </w:r>
  </w:p>
  <w:p>
    <w:pPr>
      <w:pStyle w:val="1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480" w:lineRule="auto"/>
      </w:pPr>
      <w:r>
        <w:separator/>
      </w:r>
    </w:p>
  </w:footnote>
  <w:footnote w:type="continuationSeparator" w:id="1">
    <w:p>
      <w:pPr>
        <w:spacing w:before="0" w:after="0" w:line="48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515704590"/>
      <w:docPartObj>
        <w:docPartGallery w:val="autotext"/>
      </w:docPartObj>
    </w:sdtPr>
    <w:sdtContent>
      <w:p>
        <w:pPr>
          <w:pStyle w:val="15"/>
          <w:jc w:val="right"/>
        </w:pPr>
        <w:r>
          <w:fldChar w:fldCharType="begin"/>
        </w:r>
        <w:r>
          <w:instrText xml:space="preserve"> PAGE   \* MERGEFORMAT </w:instrText>
        </w:r>
        <w:r>
          <w:fldChar w:fldCharType="separate"/>
        </w:r>
        <w:r>
          <w:t>2</w:t>
        </w:r>
        <w:r>
          <w:fldChar w:fldCharType="end"/>
        </w:r>
      </w:p>
    </w:sdtContent>
  </w:sdt>
  <w:p>
    <w:pPr>
      <w:pStyle w:val="15"/>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939524D"/>
    <w:multiLevelType w:val="singleLevel"/>
    <w:tmpl w:val="A939524D"/>
    <w:lvl w:ilvl="0" w:tentative="0">
      <w:start w:val="1"/>
      <w:numFmt w:val="decimal"/>
      <w:lvlText w:val="%1."/>
      <w:lvlJc w:val="left"/>
      <w:pPr>
        <w:tabs>
          <w:tab w:val="left" w:pos="312"/>
        </w:tabs>
      </w:pPr>
    </w:lvl>
  </w:abstractNum>
  <w:abstractNum w:abstractNumId="1">
    <w:nsid w:val="E8F7CAC0"/>
    <w:multiLevelType w:val="singleLevel"/>
    <w:tmpl w:val="E8F7CAC0"/>
    <w:lvl w:ilvl="0" w:tentative="0">
      <w:start w:val="1"/>
      <w:numFmt w:val="decimal"/>
      <w:suff w:val="space"/>
      <w:lvlText w:val="%1."/>
      <w:lvlJc w:val="left"/>
    </w:lvl>
  </w:abstractNum>
  <w:abstractNum w:abstractNumId="2">
    <w:nsid w:val="F7276962"/>
    <w:multiLevelType w:val="singleLevel"/>
    <w:tmpl w:val="F7276962"/>
    <w:lvl w:ilvl="0" w:tentative="0">
      <w:start w:val="1"/>
      <w:numFmt w:val="decimal"/>
      <w:suff w:val="space"/>
      <w:lvlText w:val="%1."/>
      <w:lvlJc w:val="left"/>
    </w:lvl>
  </w:abstractNum>
  <w:abstractNum w:abstractNumId="3">
    <w:nsid w:val="1163DEB9"/>
    <w:multiLevelType w:val="singleLevel"/>
    <w:tmpl w:val="1163DEB9"/>
    <w:lvl w:ilvl="0" w:tentative="0">
      <w:start w:val="6"/>
      <w:numFmt w:val="decimal"/>
      <w:lvlText w:val="%1."/>
      <w:lvlJc w:val="left"/>
      <w:pPr>
        <w:tabs>
          <w:tab w:val="left" w:pos="312"/>
        </w:tabs>
      </w:pPr>
    </w:lvl>
  </w:abstractNum>
  <w:abstractNum w:abstractNumId="4">
    <w:nsid w:val="14CF3235"/>
    <w:multiLevelType w:val="singleLevel"/>
    <w:tmpl w:val="14CF3235"/>
    <w:lvl w:ilvl="0" w:tentative="0">
      <w:start w:val="1"/>
      <w:numFmt w:val="decimal"/>
      <w:lvlText w:val="%1."/>
      <w:lvlJc w:val="left"/>
      <w:pPr>
        <w:tabs>
          <w:tab w:val="left" w:pos="312"/>
        </w:tabs>
      </w:pPr>
    </w:lvl>
  </w:abstractNum>
  <w:abstractNum w:abstractNumId="5">
    <w:nsid w:val="16F3FAFE"/>
    <w:multiLevelType w:val="singleLevel"/>
    <w:tmpl w:val="16F3FAFE"/>
    <w:lvl w:ilvl="0" w:tentative="0">
      <w:start w:val="1"/>
      <w:numFmt w:val="decimal"/>
      <w:lvlText w:val="%1."/>
      <w:lvlJc w:val="left"/>
      <w:pPr>
        <w:tabs>
          <w:tab w:val="left" w:pos="312"/>
        </w:tabs>
      </w:pPr>
    </w:lvl>
  </w:abstractNum>
  <w:abstractNum w:abstractNumId="6">
    <w:nsid w:val="1CBF71BB"/>
    <w:multiLevelType w:val="multilevel"/>
    <w:tmpl w:val="1CBF71BB"/>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7">
    <w:nsid w:val="1E0A2A17"/>
    <w:multiLevelType w:val="multilevel"/>
    <w:tmpl w:val="1E0A2A17"/>
    <w:lvl w:ilvl="0" w:tentative="0">
      <w:start w:val="1"/>
      <w:numFmt w:val="decimal"/>
      <w:pStyle w:val="2"/>
      <w:lvlText w:val="%1"/>
      <w:lvlJc w:val="left"/>
      <w:pPr>
        <w:ind w:left="432" w:hanging="432"/>
      </w:pPr>
    </w:lvl>
    <w:lvl w:ilvl="1" w:tentative="0">
      <w:start w:val="1"/>
      <w:numFmt w:val="decimal"/>
      <w:pStyle w:val="3"/>
      <w:lvlText w:val="%1.%2"/>
      <w:lvlJc w:val="left"/>
      <w:pPr>
        <w:ind w:left="576" w:hanging="576"/>
      </w:pPr>
    </w:lvl>
    <w:lvl w:ilvl="2" w:tentative="0">
      <w:start w:val="1"/>
      <w:numFmt w:val="decimal"/>
      <w:pStyle w:val="4"/>
      <w:lvlText w:val="%1.%2.%3"/>
      <w:lvlJc w:val="left"/>
      <w:pPr>
        <w:ind w:left="720" w:hanging="720"/>
      </w:pPr>
    </w:lvl>
    <w:lvl w:ilvl="3" w:tentative="0">
      <w:start w:val="1"/>
      <w:numFmt w:val="decimal"/>
      <w:pStyle w:val="5"/>
      <w:lvlText w:val="%1.%2.%3.%4"/>
      <w:lvlJc w:val="left"/>
      <w:pPr>
        <w:ind w:left="864" w:hanging="864"/>
      </w:pPr>
    </w:lvl>
    <w:lvl w:ilvl="4" w:tentative="0">
      <w:start w:val="1"/>
      <w:numFmt w:val="decimal"/>
      <w:pStyle w:val="6"/>
      <w:lvlText w:val="%1.%2.%3.%4.%5"/>
      <w:lvlJc w:val="left"/>
      <w:pPr>
        <w:ind w:left="1008" w:hanging="1008"/>
      </w:pPr>
    </w:lvl>
    <w:lvl w:ilvl="5" w:tentative="0">
      <w:start w:val="1"/>
      <w:numFmt w:val="decimal"/>
      <w:pStyle w:val="7"/>
      <w:lvlText w:val="%1.%2.%3.%4.%5.%6"/>
      <w:lvlJc w:val="left"/>
      <w:pPr>
        <w:ind w:left="1152" w:hanging="1152"/>
      </w:pPr>
    </w:lvl>
    <w:lvl w:ilvl="6" w:tentative="0">
      <w:start w:val="1"/>
      <w:numFmt w:val="decimal"/>
      <w:pStyle w:val="8"/>
      <w:lvlText w:val="%1.%2.%3.%4.%5.%6.%7"/>
      <w:lvlJc w:val="left"/>
      <w:pPr>
        <w:ind w:left="1296" w:hanging="1296"/>
      </w:pPr>
    </w:lvl>
    <w:lvl w:ilvl="7" w:tentative="0">
      <w:start w:val="1"/>
      <w:numFmt w:val="decimal"/>
      <w:pStyle w:val="9"/>
      <w:lvlText w:val="%1.%2.%3.%4.%5.%6.%7.%8"/>
      <w:lvlJc w:val="left"/>
      <w:pPr>
        <w:ind w:left="1440" w:hanging="1440"/>
      </w:pPr>
    </w:lvl>
    <w:lvl w:ilvl="8" w:tentative="0">
      <w:start w:val="1"/>
      <w:numFmt w:val="decimal"/>
      <w:pStyle w:val="10"/>
      <w:lvlText w:val="%1.%2.%3.%4.%5.%6.%7.%8.%9"/>
      <w:lvlJc w:val="left"/>
      <w:pPr>
        <w:ind w:left="1584" w:hanging="1584"/>
      </w:pPr>
    </w:lvl>
  </w:abstractNum>
  <w:abstractNum w:abstractNumId="8">
    <w:nsid w:val="32EEE64A"/>
    <w:multiLevelType w:val="singleLevel"/>
    <w:tmpl w:val="32EEE64A"/>
    <w:lvl w:ilvl="0" w:tentative="0">
      <w:start w:val="1"/>
      <w:numFmt w:val="decimal"/>
      <w:suff w:val="space"/>
      <w:lvlText w:val="%1."/>
      <w:lvlJc w:val="left"/>
    </w:lvl>
  </w:abstractNum>
  <w:abstractNum w:abstractNumId="9">
    <w:nsid w:val="471521FC"/>
    <w:multiLevelType w:val="singleLevel"/>
    <w:tmpl w:val="471521FC"/>
    <w:lvl w:ilvl="0" w:tentative="0">
      <w:start w:val="4"/>
      <w:numFmt w:val="decimal"/>
      <w:lvlText w:val="%1."/>
      <w:lvlJc w:val="left"/>
      <w:pPr>
        <w:tabs>
          <w:tab w:val="left" w:pos="312"/>
        </w:tabs>
      </w:pPr>
    </w:lvl>
  </w:abstractNum>
  <w:abstractNum w:abstractNumId="10">
    <w:nsid w:val="6515AE09"/>
    <w:multiLevelType w:val="singleLevel"/>
    <w:tmpl w:val="6515AE09"/>
    <w:lvl w:ilvl="0" w:tentative="0">
      <w:start w:val="1"/>
      <w:numFmt w:val="decimal"/>
      <w:lvlText w:val="%1."/>
      <w:lvlJc w:val="left"/>
      <w:pPr>
        <w:tabs>
          <w:tab w:val="left" w:pos="312"/>
        </w:tabs>
      </w:pPr>
    </w:lvl>
  </w:abstractNum>
  <w:abstractNum w:abstractNumId="11">
    <w:nsid w:val="7371CD75"/>
    <w:multiLevelType w:val="singleLevel"/>
    <w:tmpl w:val="7371CD75"/>
    <w:lvl w:ilvl="0" w:tentative="0">
      <w:start w:val="1"/>
      <w:numFmt w:val="decimal"/>
      <w:suff w:val="space"/>
      <w:lvlText w:val="%1."/>
      <w:lvlJc w:val="left"/>
    </w:lvl>
  </w:abstractNum>
  <w:abstractNum w:abstractNumId="12">
    <w:nsid w:val="7562FC0F"/>
    <w:multiLevelType w:val="singleLevel"/>
    <w:tmpl w:val="7562FC0F"/>
    <w:lvl w:ilvl="0" w:tentative="0">
      <w:start w:val="7"/>
      <w:numFmt w:val="decimal"/>
      <w:lvlText w:val="%1."/>
      <w:lvlJc w:val="left"/>
      <w:pPr>
        <w:tabs>
          <w:tab w:val="left" w:pos="312"/>
        </w:tabs>
      </w:pPr>
    </w:lvl>
  </w:abstractNum>
  <w:abstractNum w:abstractNumId="13">
    <w:nsid w:val="7F8D1598"/>
    <w:multiLevelType w:val="multilevel"/>
    <w:tmpl w:val="7F8D1598"/>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7"/>
  </w:num>
  <w:num w:numId="2">
    <w:abstractNumId w:val="13"/>
  </w:num>
  <w:num w:numId="3">
    <w:abstractNumId w:val="6"/>
  </w:num>
  <w:num w:numId="4">
    <w:abstractNumId w:val="1"/>
  </w:num>
  <w:num w:numId="5">
    <w:abstractNumId w:val="0"/>
  </w:num>
  <w:num w:numId="6">
    <w:abstractNumId w:val="11"/>
  </w:num>
  <w:num w:numId="7">
    <w:abstractNumId w:val="4"/>
  </w:num>
  <w:num w:numId="8">
    <w:abstractNumId w:val="9"/>
  </w:num>
  <w:num w:numId="9">
    <w:abstractNumId w:val="2"/>
  </w:num>
  <w:num w:numId="10">
    <w:abstractNumId w:val="5"/>
  </w:num>
  <w:num w:numId="11">
    <w:abstractNumId w:val="12"/>
  </w:num>
  <w:num w:numId="12">
    <w:abstractNumId w:val="8"/>
  </w:num>
  <w:num w:numId="13">
    <w:abstractNumId w:val="10"/>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4"/>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GNhMTk3MmUxOWNmYzYzMjE4OTdiZDg1MjQxMTU2YjEifQ=="/>
  </w:docVars>
  <w:rsids>
    <w:rsidRoot w:val="00AF7272"/>
    <w:rsid w:val="00003ACB"/>
    <w:rsid w:val="00014B02"/>
    <w:rsid w:val="0004562A"/>
    <w:rsid w:val="000F1154"/>
    <w:rsid w:val="001335FE"/>
    <w:rsid w:val="00156716"/>
    <w:rsid w:val="0016706F"/>
    <w:rsid w:val="001D3754"/>
    <w:rsid w:val="001E5842"/>
    <w:rsid w:val="00234C16"/>
    <w:rsid w:val="00237988"/>
    <w:rsid w:val="002442D1"/>
    <w:rsid w:val="00250269"/>
    <w:rsid w:val="002827D9"/>
    <w:rsid w:val="002A590F"/>
    <w:rsid w:val="002E2C87"/>
    <w:rsid w:val="00305DE0"/>
    <w:rsid w:val="00332E0D"/>
    <w:rsid w:val="00357EE5"/>
    <w:rsid w:val="00390D40"/>
    <w:rsid w:val="003B472B"/>
    <w:rsid w:val="00416DBB"/>
    <w:rsid w:val="004374AE"/>
    <w:rsid w:val="00441C23"/>
    <w:rsid w:val="00465588"/>
    <w:rsid w:val="00470859"/>
    <w:rsid w:val="004B0B59"/>
    <w:rsid w:val="004C40B2"/>
    <w:rsid w:val="004E5D7C"/>
    <w:rsid w:val="005102D3"/>
    <w:rsid w:val="00527B76"/>
    <w:rsid w:val="005347CB"/>
    <w:rsid w:val="00571F4C"/>
    <w:rsid w:val="0057213C"/>
    <w:rsid w:val="005C6E69"/>
    <w:rsid w:val="00621C48"/>
    <w:rsid w:val="00675CB5"/>
    <w:rsid w:val="00686857"/>
    <w:rsid w:val="00691879"/>
    <w:rsid w:val="006A7BD3"/>
    <w:rsid w:val="006B5042"/>
    <w:rsid w:val="006E3995"/>
    <w:rsid w:val="0071758C"/>
    <w:rsid w:val="007524BF"/>
    <w:rsid w:val="0075BA61"/>
    <w:rsid w:val="007768A9"/>
    <w:rsid w:val="00785482"/>
    <w:rsid w:val="007A6ED5"/>
    <w:rsid w:val="00810984"/>
    <w:rsid w:val="0082176F"/>
    <w:rsid w:val="00855E45"/>
    <w:rsid w:val="00866CA0"/>
    <w:rsid w:val="008A2142"/>
    <w:rsid w:val="008B18E5"/>
    <w:rsid w:val="008C5F66"/>
    <w:rsid w:val="009234F4"/>
    <w:rsid w:val="009B263B"/>
    <w:rsid w:val="009C0F7F"/>
    <w:rsid w:val="009C6E76"/>
    <w:rsid w:val="009E4769"/>
    <w:rsid w:val="009F1E53"/>
    <w:rsid w:val="009F7765"/>
    <w:rsid w:val="00A471F7"/>
    <w:rsid w:val="00A517D4"/>
    <w:rsid w:val="00A711F6"/>
    <w:rsid w:val="00A83877"/>
    <w:rsid w:val="00A83A28"/>
    <w:rsid w:val="00AA10E0"/>
    <w:rsid w:val="00AA4733"/>
    <w:rsid w:val="00AF1E3E"/>
    <w:rsid w:val="00AF7272"/>
    <w:rsid w:val="00B12008"/>
    <w:rsid w:val="00B1357D"/>
    <w:rsid w:val="00B3121C"/>
    <w:rsid w:val="00B5750C"/>
    <w:rsid w:val="00B83157"/>
    <w:rsid w:val="00B9635B"/>
    <w:rsid w:val="00BF43E4"/>
    <w:rsid w:val="00C32B90"/>
    <w:rsid w:val="00C45791"/>
    <w:rsid w:val="00C6109E"/>
    <w:rsid w:val="00CD083A"/>
    <w:rsid w:val="00CF24E3"/>
    <w:rsid w:val="00D055C6"/>
    <w:rsid w:val="00D42A37"/>
    <w:rsid w:val="00D50EB8"/>
    <w:rsid w:val="00D92D4A"/>
    <w:rsid w:val="00DA6820"/>
    <w:rsid w:val="00DA7010"/>
    <w:rsid w:val="00DB5674"/>
    <w:rsid w:val="00E04256"/>
    <w:rsid w:val="00E133FD"/>
    <w:rsid w:val="00E7309A"/>
    <w:rsid w:val="00E738FA"/>
    <w:rsid w:val="00EB5611"/>
    <w:rsid w:val="00EC1996"/>
    <w:rsid w:val="00EE5821"/>
    <w:rsid w:val="00F05992"/>
    <w:rsid w:val="00F86B8B"/>
    <w:rsid w:val="00FB37AF"/>
    <w:rsid w:val="00FE764D"/>
    <w:rsid w:val="025D2AE5"/>
    <w:rsid w:val="02707C46"/>
    <w:rsid w:val="0343A37D"/>
    <w:rsid w:val="03B5FC95"/>
    <w:rsid w:val="04D0FA93"/>
    <w:rsid w:val="05E76E48"/>
    <w:rsid w:val="0797CDAF"/>
    <w:rsid w:val="089BD77F"/>
    <w:rsid w:val="08C6956D"/>
    <w:rsid w:val="0A37A7E0"/>
    <w:rsid w:val="0D6F48A2"/>
    <w:rsid w:val="0E873D73"/>
    <w:rsid w:val="10FFFDAB"/>
    <w:rsid w:val="11208879"/>
    <w:rsid w:val="1184EE31"/>
    <w:rsid w:val="12FD83C5"/>
    <w:rsid w:val="1339EFE8"/>
    <w:rsid w:val="1486EA5F"/>
    <w:rsid w:val="149726DD"/>
    <w:rsid w:val="14B2AD4C"/>
    <w:rsid w:val="14D7D2E1"/>
    <w:rsid w:val="1622BAC0"/>
    <w:rsid w:val="16BE2463"/>
    <w:rsid w:val="1705C4F2"/>
    <w:rsid w:val="176F3F2F"/>
    <w:rsid w:val="18CD4676"/>
    <w:rsid w:val="19744263"/>
    <w:rsid w:val="197A2C18"/>
    <w:rsid w:val="1B0D5B07"/>
    <w:rsid w:val="1B15FC79"/>
    <w:rsid w:val="1BFBCBBD"/>
    <w:rsid w:val="1C8B3DAE"/>
    <w:rsid w:val="1D081CEC"/>
    <w:rsid w:val="1DE0A0F8"/>
    <w:rsid w:val="205686BD"/>
    <w:rsid w:val="209C9B65"/>
    <w:rsid w:val="217039E8"/>
    <w:rsid w:val="22994B8F"/>
    <w:rsid w:val="22FC8303"/>
    <w:rsid w:val="238361A4"/>
    <w:rsid w:val="23DB5E55"/>
    <w:rsid w:val="263606A1"/>
    <w:rsid w:val="28F103E0"/>
    <w:rsid w:val="2B3E8A0A"/>
    <w:rsid w:val="2BBA001A"/>
    <w:rsid w:val="2BD93E3A"/>
    <w:rsid w:val="2C689447"/>
    <w:rsid w:val="2D3C301E"/>
    <w:rsid w:val="3073D0E0"/>
    <w:rsid w:val="320FA141"/>
    <w:rsid w:val="3220967E"/>
    <w:rsid w:val="32F3090D"/>
    <w:rsid w:val="335BCBA1"/>
    <w:rsid w:val="3494FD01"/>
    <w:rsid w:val="37E47E91"/>
    <w:rsid w:val="392883CA"/>
    <w:rsid w:val="39A7A29C"/>
    <w:rsid w:val="39D73A97"/>
    <w:rsid w:val="3A866009"/>
    <w:rsid w:val="3BA419C0"/>
    <w:rsid w:val="3C07DA8E"/>
    <w:rsid w:val="3C139FFC"/>
    <w:rsid w:val="3C251361"/>
    <w:rsid w:val="3C580530"/>
    <w:rsid w:val="3CF2F6CE"/>
    <w:rsid w:val="3DC0E3C2"/>
    <w:rsid w:val="404E569F"/>
    <w:rsid w:val="40CD2708"/>
    <w:rsid w:val="41CE5AEE"/>
    <w:rsid w:val="41E3496B"/>
    <w:rsid w:val="4236395A"/>
    <w:rsid w:val="42864699"/>
    <w:rsid w:val="429E89EE"/>
    <w:rsid w:val="43E0D8BC"/>
    <w:rsid w:val="453A05DC"/>
    <w:rsid w:val="4621FE81"/>
    <w:rsid w:val="476457A2"/>
    <w:rsid w:val="477176D0"/>
    <w:rsid w:val="47D3D0C4"/>
    <w:rsid w:val="47E823C4"/>
    <w:rsid w:val="4856698F"/>
    <w:rsid w:val="48CA563E"/>
    <w:rsid w:val="4A66269F"/>
    <w:rsid w:val="4B968E54"/>
    <w:rsid w:val="4C01F700"/>
    <w:rsid w:val="4D6F063D"/>
    <w:rsid w:val="4DAC9AD7"/>
    <w:rsid w:val="4DB03128"/>
    <w:rsid w:val="4E5C89EA"/>
    <w:rsid w:val="4E91104B"/>
    <w:rsid w:val="4F0AD69E"/>
    <w:rsid w:val="4FBC6CFB"/>
    <w:rsid w:val="507054A4"/>
    <w:rsid w:val="50A7FC22"/>
    <w:rsid w:val="50C68275"/>
    <w:rsid w:val="51B3E0DC"/>
    <w:rsid w:val="52E7592C"/>
    <w:rsid w:val="53CD3CF5"/>
    <w:rsid w:val="56932DFB"/>
    <w:rsid w:val="56F22125"/>
    <w:rsid w:val="5776E404"/>
    <w:rsid w:val="57A778EE"/>
    <w:rsid w:val="588DF186"/>
    <w:rsid w:val="58C81440"/>
    <w:rsid w:val="58F7474B"/>
    <w:rsid w:val="5B2FEEA1"/>
    <w:rsid w:val="5BC758B0"/>
    <w:rsid w:val="5C4384B5"/>
    <w:rsid w:val="5CBEB210"/>
    <w:rsid w:val="5E564C10"/>
    <w:rsid w:val="5E781483"/>
    <w:rsid w:val="5E8E0BB8"/>
    <w:rsid w:val="5EC47ED2"/>
    <w:rsid w:val="604B9DDB"/>
    <w:rsid w:val="60BF519C"/>
    <w:rsid w:val="60C4B84F"/>
    <w:rsid w:val="611DC64A"/>
    <w:rsid w:val="61E3AF96"/>
    <w:rsid w:val="6211893D"/>
    <w:rsid w:val="6221B7E4"/>
    <w:rsid w:val="640A3401"/>
    <w:rsid w:val="664A4BB4"/>
    <w:rsid w:val="67E61C15"/>
    <w:rsid w:val="689D898B"/>
    <w:rsid w:val="68E85758"/>
    <w:rsid w:val="6A3959EC"/>
    <w:rsid w:val="6A978070"/>
    <w:rsid w:val="6AB4429A"/>
    <w:rsid w:val="6B2D3CD9"/>
    <w:rsid w:val="6D104CA7"/>
    <w:rsid w:val="6DB0D231"/>
    <w:rsid w:val="6E0436D8"/>
    <w:rsid w:val="6ED6E3E8"/>
    <w:rsid w:val="70B69A94"/>
    <w:rsid w:val="714EC602"/>
    <w:rsid w:val="71955B20"/>
    <w:rsid w:val="7232EC4D"/>
    <w:rsid w:val="723F1994"/>
    <w:rsid w:val="729C31A0"/>
    <w:rsid w:val="72D7A7FB"/>
    <w:rsid w:val="73B31772"/>
    <w:rsid w:val="74523B3B"/>
    <w:rsid w:val="765EF956"/>
    <w:rsid w:val="76AB00AB"/>
    <w:rsid w:val="77AB9DBF"/>
    <w:rsid w:val="77FAC9B7"/>
    <w:rsid w:val="782B7308"/>
    <w:rsid w:val="7876F5BC"/>
    <w:rsid w:val="79C0670E"/>
    <w:rsid w:val="7AAE0C41"/>
    <w:rsid w:val="7B7486AD"/>
    <w:rsid w:val="7B907436"/>
    <w:rsid w:val="7BA0EF2D"/>
    <w:rsid w:val="7D3F2055"/>
    <w:rsid w:val="7DAA4B98"/>
    <w:rsid w:val="7EAA68E9"/>
    <w:rsid w:val="7F459014"/>
    <w:rsid w:val="7F9ABA28"/>
    <w:rsid w:val="7FE8D3E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heme="minorHAnsi"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semiHidden="0" w:name="annotation text"/>
    <w:lsdException w:uiPriority="99" w:semiHidden="0" w:name="header"/>
    <w:lsdException w:uiPriority="99" w:semiHidden="0" w:name="footer"/>
    <w:lsdException w:uiPriority="99" w:name="index heading"/>
    <w:lsdException w:qFormat="1" w:uiPriority="35" w:semiHidden="0" w:name="caption"/>
    <w:lsdException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nhideWhenUsed="0" w:uiPriority="0"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spacing w:after="160" w:line="480" w:lineRule="auto"/>
      <w:ind w:firstLine="720"/>
    </w:pPr>
    <w:rPr>
      <w:rFonts w:ascii="Times New Roman" w:hAnsi="Times New Roman" w:cs="Times New Roman" w:eastAsiaTheme="minorHAnsi"/>
      <w:kern w:val="2"/>
      <w:sz w:val="24"/>
      <w:szCs w:val="24"/>
      <w:lang w:val="en-GB" w:eastAsia="en-US" w:bidi="ar-SA"/>
      <w14:ligatures w14:val="standardContextual"/>
    </w:rPr>
  </w:style>
  <w:style w:type="paragraph" w:styleId="2">
    <w:name w:val="heading 1"/>
    <w:basedOn w:val="1"/>
    <w:next w:val="1"/>
    <w:link w:val="27"/>
    <w:qFormat/>
    <w:uiPriority w:val="9"/>
    <w:pPr>
      <w:keepNext/>
      <w:keepLines/>
      <w:numPr>
        <w:ilvl w:val="0"/>
        <w:numId w:val="1"/>
      </w:numPr>
      <w:spacing w:before="480" w:after="240"/>
      <w:jc w:val="center"/>
      <w:outlineLvl w:val="0"/>
    </w:pPr>
    <w:rPr>
      <w:rFonts w:ascii="Times New Roman Bold" w:hAnsi="Times New Roman Bold" w:eastAsiaTheme="majorEastAsia" w:cstheme="majorBidi"/>
      <w:b/>
      <w:caps/>
      <w:color w:val="2F5597" w:themeColor="accent1" w:themeShade="BF"/>
      <w:szCs w:val="32"/>
    </w:rPr>
  </w:style>
  <w:style w:type="paragraph" w:styleId="3">
    <w:name w:val="heading 2"/>
    <w:basedOn w:val="1"/>
    <w:next w:val="1"/>
    <w:link w:val="29"/>
    <w:autoRedefine/>
    <w:unhideWhenUsed/>
    <w:qFormat/>
    <w:uiPriority w:val="9"/>
    <w:pPr>
      <w:keepNext/>
      <w:keepLines/>
      <w:numPr>
        <w:ilvl w:val="1"/>
        <w:numId w:val="1"/>
      </w:numPr>
      <w:spacing w:before="160" w:after="120"/>
      <w:outlineLvl w:val="1"/>
    </w:pPr>
    <w:rPr>
      <w:rFonts w:ascii="Arial" w:hAnsi="Arial" w:eastAsiaTheme="majorEastAsia" w:cstheme="majorBidi"/>
      <w:b/>
      <w:szCs w:val="26"/>
    </w:rPr>
  </w:style>
  <w:style w:type="paragraph" w:styleId="4">
    <w:name w:val="heading 3"/>
    <w:basedOn w:val="1"/>
    <w:next w:val="1"/>
    <w:link w:val="31"/>
    <w:unhideWhenUsed/>
    <w:qFormat/>
    <w:uiPriority w:val="9"/>
    <w:pPr>
      <w:keepNext/>
      <w:keepLines/>
      <w:numPr>
        <w:ilvl w:val="2"/>
        <w:numId w:val="1"/>
      </w:numPr>
      <w:spacing w:before="40" w:after="0"/>
      <w:outlineLvl w:val="2"/>
    </w:pPr>
    <w:rPr>
      <w:rFonts w:ascii="Arial" w:hAnsi="Arial" w:eastAsiaTheme="majorEastAsia" w:cstheme="majorBidi"/>
      <w:b/>
      <w:i/>
    </w:rPr>
  </w:style>
  <w:style w:type="paragraph" w:styleId="5">
    <w:name w:val="heading 4"/>
    <w:basedOn w:val="1"/>
    <w:next w:val="1"/>
    <w:link w:val="36"/>
    <w:unhideWhenUsed/>
    <w:qFormat/>
    <w:uiPriority w:val="9"/>
    <w:pPr>
      <w:keepNext/>
      <w:keepLines/>
      <w:numPr>
        <w:ilvl w:val="3"/>
        <w:numId w:val="1"/>
      </w:numPr>
      <w:spacing w:before="40" w:after="0"/>
      <w:outlineLvl w:val="3"/>
    </w:pPr>
    <w:rPr>
      <w:rFonts w:asciiTheme="majorHAnsi" w:hAnsiTheme="majorHAnsi" w:eastAsiaTheme="majorEastAsia" w:cstheme="majorBidi"/>
      <w:i/>
      <w:iCs/>
      <w:color w:val="2F5597" w:themeColor="accent1" w:themeShade="BF"/>
    </w:rPr>
  </w:style>
  <w:style w:type="paragraph" w:styleId="6">
    <w:name w:val="heading 5"/>
    <w:basedOn w:val="1"/>
    <w:next w:val="1"/>
    <w:link w:val="37"/>
    <w:semiHidden/>
    <w:unhideWhenUsed/>
    <w:qFormat/>
    <w:uiPriority w:val="9"/>
    <w:pPr>
      <w:keepNext/>
      <w:keepLines/>
      <w:numPr>
        <w:ilvl w:val="4"/>
        <w:numId w:val="1"/>
      </w:numPr>
      <w:spacing w:before="40" w:after="0"/>
      <w:outlineLvl w:val="4"/>
    </w:pPr>
    <w:rPr>
      <w:rFonts w:asciiTheme="majorHAnsi" w:hAnsiTheme="majorHAnsi" w:eastAsiaTheme="majorEastAsia" w:cstheme="majorBidi"/>
      <w:color w:val="2F5597" w:themeColor="accent1" w:themeShade="BF"/>
    </w:rPr>
  </w:style>
  <w:style w:type="paragraph" w:styleId="7">
    <w:name w:val="heading 6"/>
    <w:basedOn w:val="1"/>
    <w:next w:val="1"/>
    <w:link w:val="38"/>
    <w:semiHidden/>
    <w:unhideWhenUsed/>
    <w:qFormat/>
    <w:uiPriority w:val="9"/>
    <w:pPr>
      <w:keepNext/>
      <w:keepLines/>
      <w:numPr>
        <w:ilvl w:val="5"/>
        <w:numId w:val="1"/>
      </w:numPr>
      <w:spacing w:before="40" w:after="0"/>
      <w:outlineLvl w:val="5"/>
    </w:pPr>
    <w:rPr>
      <w:rFonts w:asciiTheme="majorHAnsi" w:hAnsiTheme="majorHAnsi" w:eastAsiaTheme="majorEastAsia" w:cstheme="majorBidi"/>
      <w:color w:val="203864" w:themeColor="accent1" w:themeShade="80"/>
    </w:rPr>
  </w:style>
  <w:style w:type="paragraph" w:styleId="8">
    <w:name w:val="heading 7"/>
    <w:basedOn w:val="1"/>
    <w:next w:val="1"/>
    <w:link w:val="39"/>
    <w:semiHidden/>
    <w:unhideWhenUsed/>
    <w:qFormat/>
    <w:uiPriority w:val="9"/>
    <w:pPr>
      <w:keepNext/>
      <w:keepLines/>
      <w:numPr>
        <w:ilvl w:val="6"/>
        <w:numId w:val="1"/>
      </w:numPr>
      <w:spacing w:before="40" w:after="0"/>
      <w:outlineLvl w:val="6"/>
    </w:pPr>
    <w:rPr>
      <w:rFonts w:asciiTheme="majorHAnsi" w:hAnsiTheme="majorHAnsi" w:eastAsiaTheme="majorEastAsia" w:cstheme="majorBidi"/>
      <w:i/>
      <w:iCs/>
      <w:color w:val="203864" w:themeColor="accent1" w:themeShade="80"/>
    </w:rPr>
  </w:style>
  <w:style w:type="paragraph" w:styleId="9">
    <w:name w:val="heading 8"/>
    <w:basedOn w:val="1"/>
    <w:next w:val="1"/>
    <w:link w:val="40"/>
    <w:semiHidden/>
    <w:unhideWhenUsed/>
    <w:qFormat/>
    <w:uiPriority w:val="9"/>
    <w:pPr>
      <w:keepNext/>
      <w:keepLines/>
      <w:numPr>
        <w:ilvl w:val="7"/>
        <w:numId w:val="1"/>
      </w:numPr>
      <w:spacing w:before="40" w:after="0"/>
      <w:outlineLvl w:val="7"/>
    </w:pPr>
    <w:rPr>
      <w:rFonts w:asciiTheme="majorHAnsi" w:hAnsiTheme="majorHAnsi" w:eastAsiaTheme="majorEastAsia" w:cstheme="majorBidi"/>
      <w:color w:val="262626" w:themeColor="text1" w:themeTint="D9"/>
      <w:sz w:val="21"/>
      <w:szCs w:val="21"/>
      <w14:textFill>
        <w14:solidFill>
          <w14:schemeClr w14:val="tx1">
            <w14:lumMod w14:val="85000"/>
            <w14:lumOff w14:val="15000"/>
          </w14:schemeClr>
        </w14:solidFill>
      </w14:textFill>
    </w:rPr>
  </w:style>
  <w:style w:type="paragraph" w:styleId="10">
    <w:name w:val="heading 9"/>
    <w:basedOn w:val="1"/>
    <w:next w:val="1"/>
    <w:link w:val="41"/>
    <w:semiHidden/>
    <w:unhideWhenUsed/>
    <w:qFormat/>
    <w:uiPriority w:val="9"/>
    <w:pPr>
      <w:keepNext/>
      <w:keepLines/>
      <w:numPr>
        <w:ilvl w:val="8"/>
        <w:numId w:val="1"/>
      </w:numPr>
      <w:spacing w:before="40" w:after="0"/>
      <w:outlineLvl w:val="8"/>
    </w:pPr>
    <w:rPr>
      <w:rFonts w:asciiTheme="majorHAnsi" w:hAnsiTheme="majorHAnsi" w:eastAsiaTheme="majorEastAsia" w:cstheme="majorBidi"/>
      <w:i/>
      <w:iCs/>
      <w:color w:val="262626" w:themeColor="text1" w:themeTint="D9"/>
      <w:sz w:val="21"/>
      <w:szCs w:val="21"/>
      <w14:textFill>
        <w14:solidFill>
          <w14:schemeClr w14:val="tx1">
            <w14:lumMod w14:val="85000"/>
            <w14:lumOff w14:val="15000"/>
          </w14:schemeClr>
        </w14:solidFill>
      </w14:textFill>
    </w:rPr>
  </w:style>
  <w:style w:type="character" w:default="1" w:styleId="23">
    <w:name w:val="Default Paragraph Font"/>
    <w:semiHidden/>
    <w:unhideWhenUsed/>
    <w:uiPriority w:val="1"/>
  </w:style>
  <w:style w:type="table" w:default="1" w:styleId="21">
    <w:name w:val="Normal Table"/>
    <w:semiHidden/>
    <w:unhideWhenUsed/>
    <w:uiPriority w:val="99"/>
    <w:tblPr>
      <w:tblCellMar>
        <w:top w:w="0" w:type="dxa"/>
        <w:left w:w="108" w:type="dxa"/>
        <w:bottom w:w="0" w:type="dxa"/>
        <w:right w:w="108" w:type="dxa"/>
      </w:tblCellMar>
    </w:tblPr>
  </w:style>
  <w:style w:type="paragraph" w:styleId="11">
    <w:name w:val="caption"/>
    <w:basedOn w:val="1"/>
    <w:next w:val="1"/>
    <w:autoRedefine/>
    <w:unhideWhenUsed/>
    <w:qFormat/>
    <w:uiPriority w:val="35"/>
    <w:pPr>
      <w:spacing w:after="200" w:line="240" w:lineRule="auto"/>
    </w:pPr>
    <w:rPr>
      <w:i/>
      <w:iCs/>
      <w:color w:val="44546A" w:themeColor="text2"/>
      <w:sz w:val="18"/>
      <w:szCs w:val="18"/>
      <w14:textFill>
        <w14:solidFill>
          <w14:schemeClr w14:val="tx2"/>
        </w14:solidFill>
      </w14:textFill>
    </w:rPr>
  </w:style>
  <w:style w:type="paragraph" w:styleId="12">
    <w:name w:val="annotation text"/>
    <w:basedOn w:val="1"/>
    <w:link w:val="35"/>
    <w:unhideWhenUsed/>
    <w:uiPriority w:val="99"/>
    <w:pPr>
      <w:spacing w:line="240" w:lineRule="auto"/>
    </w:pPr>
    <w:rPr>
      <w:sz w:val="20"/>
      <w:szCs w:val="20"/>
    </w:rPr>
  </w:style>
  <w:style w:type="paragraph" w:styleId="13">
    <w:name w:val="toc 3"/>
    <w:basedOn w:val="1"/>
    <w:next w:val="1"/>
    <w:autoRedefine/>
    <w:unhideWhenUsed/>
    <w:uiPriority w:val="39"/>
    <w:pPr>
      <w:spacing w:after="100"/>
      <w:ind w:left="480"/>
    </w:pPr>
  </w:style>
  <w:style w:type="paragraph" w:styleId="14">
    <w:name w:val="footer"/>
    <w:basedOn w:val="1"/>
    <w:link w:val="34"/>
    <w:unhideWhenUsed/>
    <w:uiPriority w:val="99"/>
    <w:pPr>
      <w:tabs>
        <w:tab w:val="center" w:pos="4513"/>
        <w:tab w:val="right" w:pos="9026"/>
      </w:tabs>
      <w:spacing w:after="0" w:line="240" w:lineRule="auto"/>
    </w:pPr>
  </w:style>
  <w:style w:type="paragraph" w:styleId="15">
    <w:name w:val="header"/>
    <w:basedOn w:val="1"/>
    <w:link w:val="33"/>
    <w:unhideWhenUsed/>
    <w:uiPriority w:val="99"/>
    <w:pPr>
      <w:tabs>
        <w:tab w:val="center" w:pos="4513"/>
        <w:tab w:val="right" w:pos="9026"/>
      </w:tabs>
      <w:spacing w:after="0" w:line="240" w:lineRule="auto"/>
    </w:pPr>
  </w:style>
  <w:style w:type="paragraph" w:styleId="16">
    <w:name w:val="toc 1"/>
    <w:basedOn w:val="1"/>
    <w:next w:val="1"/>
    <w:autoRedefine/>
    <w:unhideWhenUsed/>
    <w:uiPriority w:val="39"/>
    <w:pPr>
      <w:spacing w:after="100"/>
    </w:pPr>
  </w:style>
  <w:style w:type="paragraph" w:styleId="17">
    <w:name w:val="Subtitle"/>
    <w:basedOn w:val="1"/>
    <w:next w:val="1"/>
    <w:link w:val="30"/>
    <w:qFormat/>
    <w:uiPriority w:val="11"/>
    <w:rPr>
      <w:rFonts w:eastAsiaTheme="minorEastAsia" w:cstheme="minorBidi"/>
      <w:color w:val="595959" w:themeColor="text1" w:themeTint="A6"/>
      <w:spacing w:val="15"/>
      <w:sz w:val="22"/>
      <w:szCs w:val="22"/>
      <w14:textFill>
        <w14:solidFill>
          <w14:schemeClr w14:val="tx1">
            <w14:lumMod w14:val="65000"/>
            <w14:lumOff w14:val="35000"/>
          </w14:schemeClr>
        </w14:solidFill>
      </w14:textFill>
    </w:rPr>
  </w:style>
  <w:style w:type="paragraph" w:styleId="18">
    <w:name w:val="table of figures"/>
    <w:basedOn w:val="1"/>
    <w:next w:val="1"/>
    <w:unhideWhenUsed/>
    <w:uiPriority w:val="99"/>
    <w:pPr>
      <w:spacing w:after="0"/>
    </w:pPr>
  </w:style>
  <w:style w:type="paragraph" w:styleId="19">
    <w:name w:val="toc 2"/>
    <w:basedOn w:val="1"/>
    <w:next w:val="1"/>
    <w:autoRedefine/>
    <w:unhideWhenUsed/>
    <w:qFormat/>
    <w:uiPriority w:val="39"/>
    <w:pPr>
      <w:spacing w:after="100"/>
      <w:ind w:left="240"/>
    </w:pPr>
  </w:style>
  <w:style w:type="paragraph" w:styleId="20">
    <w:name w:val="annotation subject"/>
    <w:basedOn w:val="12"/>
    <w:next w:val="12"/>
    <w:link w:val="42"/>
    <w:semiHidden/>
    <w:unhideWhenUsed/>
    <w:uiPriority w:val="99"/>
    <w:rPr>
      <w:b/>
      <w:bCs/>
    </w:rPr>
  </w:style>
  <w:style w:type="table" w:styleId="22">
    <w:name w:val="Table Grid"/>
    <w:basedOn w:val="21"/>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24">
    <w:name w:val="page number"/>
    <w:basedOn w:val="23"/>
    <w:uiPriority w:val="0"/>
  </w:style>
  <w:style w:type="character" w:styleId="25">
    <w:name w:val="Hyperlink"/>
    <w:basedOn w:val="23"/>
    <w:unhideWhenUsed/>
    <w:uiPriority w:val="99"/>
    <w:rPr>
      <w:color w:val="0563C1" w:themeColor="hyperlink"/>
      <w:u w:val="single"/>
      <w14:textFill>
        <w14:solidFill>
          <w14:schemeClr w14:val="hlink"/>
        </w14:solidFill>
      </w14:textFill>
    </w:rPr>
  </w:style>
  <w:style w:type="character" w:styleId="26">
    <w:name w:val="annotation reference"/>
    <w:basedOn w:val="23"/>
    <w:semiHidden/>
    <w:unhideWhenUsed/>
    <w:uiPriority w:val="99"/>
    <w:rPr>
      <w:sz w:val="16"/>
      <w:szCs w:val="16"/>
    </w:rPr>
  </w:style>
  <w:style w:type="character" w:customStyle="1" w:styleId="27">
    <w:name w:val="Heading 1 Char"/>
    <w:basedOn w:val="23"/>
    <w:link w:val="2"/>
    <w:uiPriority w:val="9"/>
    <w:rPr>
      <w:rFonts w:ascii="Times New Roman Bold" w:hAnsi="Times New Roman Bold" w:eastAsiaTheme="majorEastAsia" w:cstheme="majorBidi"/>
      <w:b/>
      <w:caps/>
      <w:color w:val="2F5597" w:themeColor="accent1" w:themeShade="BF"/>
      <w:szCs w:val="32"/>
    </w:rPr>
  </w:style>
  <w:style w:type="paragraph" w:styleId="28">
    <w:name w:val="List Paragraph"/>
    <w:basedOn w:val="1"/>
    <w:qFormat/>
    <w:uiPriority w:val="34"/>
    <w:pPr>
      <w:ind w:left="720"/>
      <w:contextualSpacing/>
    </w:pPr>
  </w:style>
  <w:style w:type="character" w:customStyle="1" w:styleId="29">
    <w:name w:val="Heading 2 Char"/>
    <w:basedOn w:val="23"/>
    <w:link w:val="3"/>
    <w:uiPriority w:val="9"/>
    <w:rPr>
      <w:rFonts w:ascii="Arial" w:hAnsi="Arial" w:eastAsiaTheme="majorEastAsia" w:cstheme="majorBidi"/>
      <w:b/>
      <w:szCs w:val="26"/>
    </w:rPr>
  </w:style>
  <w:style w:type="character" w:customStyle="1" w:styleId="30">
    <w:name w:val="Subtitle Char"/>
    <w:basedOn w:val="23"/>
    <w:link w:val="17"/>
    <w:autoRedefine/>
    <w:qFormat/>
    <w:uiPriority w:val="11"/>
    <w:rPr>
      <w:rFonts w:eastAsiaTheme="minorEastAsia" w:cstheme="minorBidi"/>
      <w:color w:val="595959" w:themeColor="text1" w:themeTint="A6"/>
      <w:spacing w:val="15"/>
      <w:sz w:val="22"/>
      <w:szCs w:val="22"/>
      <w14:textFill>
        <w14:solidFill>
          <w14:schemeClr w14:val="tx1">
            <w14:lumMod w14:val="65000"/>
            <w14:lumOff w14:val="35000"/>
          </w14:schemeClr>
        </w14:solidFill>
      </w14:textFill>
    </w:rPr>
  </w:style>
  <w:style w:type="character" w:customStyle="1" w:styleId="31">
    <w:name w:val="Heading 3 Char"/>
    <w:basedOn w:val="23"/>
    <w:link w:val="4"/>
    <w:uiPriority w:val="9"/>
    <w:rPr>
      <w:rFonts w:ascii="Arial" w:hAnsi="Arial" w:eastAsiaTheme="majorEastAsia" w:cstheme="majorBidi"/>
      <w:b/>
      <w:i/>
    </w:rPr>
  </w:style>
  <w:style w:type="paragraph" w:customStyle="1" w:styleId="32">
    <w:name w:val="TOC Heading1"/>
    <w:basedOn w:val="2"/>
    <w:next w:val="1"/>
    <w:unhideWhenUsed/>
    <w:qFormat/>
    <w:uiPriority w:val="39"/>
    <w:pPr>
      <w:spacing w:line="259" w:lineRule="auto"/>
      <w:outlineLvl w:val="9"/>
    </w:pPr>
    <w:rPr>
      <w:rFonts w:asciiTheme="majorHAnsi" w:hAnsiTheme="majorHAnsi"/>
      <w:b w:val="0"/>
      <w:kern w:val="0"/>
      <w:lang w:val="en-US"/>
      <w14:ligatures w14:val="none"/>
    </w:rPr>
  </w:style>
  <w:style w:type="character" w:customStyle="1" w:styleId="33">
    <w:name w:val="Header Char"/>
    <w:basedOn w:val="23"/>
    <w:link w:val="15"/>
    <w:uiPriority w:val="99"/>
  </w:style>
  <w:style w:type="character" w:customStyle="1" w:styleId="34">
    <w:name w:val="Footer Char"/>
    <w:basedOn w:val="23"/>
    <w:link w:val="14"/>
    <w:uiPriority w:val="99"/>
  </w:style>
  <w:style w:type="character" w:customStyle="1" w:styleId="35">
    <w:name w:val="Comment Text Char"/>
    <w:basedOn w:val="23"/>
    <w:link w:val="12"/>
    <w:autoRedefine/>
    <w:qFormat/>
    <w:uiPriority w:val="99"/>
    <w:rPr>
      <w:sz w:val="20"/>
      <w:szCs w:val="20"/>
    </w:rPr>
  </w:style>
  <w:style w:type="character" w:customStyle="1" w:styleId="36">
    <w:name w:val="Heading 4 Char"/>
    <w:basedOn w:val="23"/>
    <w:link w:val="5"/>
    <w:uiPriority w:val="9"/>
    <w:rPr>
      <w:rFonts w:asciiTheme="majorHAnsi" w:hAnsiTheme="majorHAnsi" w:eastAsiaTheme="majorEastAsia" w:cstheme="majorBidi"/>
      <w:i/>
      <w:iCs/>
      <w:color w:val="2F5597" w:themeColor="accent1" w:themeShade="BF"/>
    </w:rPr>
  </w:style>
  <w:style w:type="character" w:customStyle="1" w:styleId="37">
    <w:name w:val="Heading 5 Char"/>
    <w:basedOn w:val="23"/>
    <w:link w:val="6"/>
    <w:autoRedefine/>
    <w:semiHidden/>
    <w:qFormat/>
    <w:uiPriority w:val="9"/>
    <w:rPr>
      <w:rFonts w:asciiTheme="majorHAnsi" w:hAnsiTheme="majorHAnsi" w:eastAsiaTheme="majorEastAsia" w:cstheme="majorBidi"/>
      <w:color w:val="2F5597" w:themeColor="accent1" w:themeShade="BF"/>
    </w:rPr>
  </w:style>
  <w:style w:type="character" w:customStyle="1" w:styleId="38">
    <w:name w:val="Heading 6 Char"/>
    <w:basedOn w:val="23"/>
    <w:link w:val="7"/>
    <w:semiHidden/>
    <w:uiPriority w:val="9"/>
    <w:rPr>
      <w:rFonts w:asciiTheme="majorHAnsi" w:hAnsiTheme="majorHAnsi" w:eastAsiaTheme="majorEastAsia" w:cstheme="majorBidi"/>
      <w:color w:val="203864" w:themeColor="accent1" w:themeShade="80"/>
    </w:rPr>
  </w:style>
  <w:style w:type="character" w:customStyle="1" w:styleId="39">
    <w:name w:val="Heading 7 Char"/>
    <w:basedOn w:val="23"/>
    <w:link w:val="8"/>
    <w:semiHidden/>
    <w:uiPriority w:val="9"/>
    <w:rPr>
      <w:rFonts w:asciiTheme="majorHAnsi" w:hAnsiTheme="majorHAnsi" w:eastAsiaTheme="majorEastAsia" w:cstheme="majorBidi"/>
      <w:i/>
      <w:iCs/>
      <w:color w:val="203864" w:themeColor="accent1" w:themeShade="80"/>
    </w:rPr>
  </w:style>
  <w:style w:type="character" w:customStyle="1" w:styleId="40">
    <w:name w:val="Heading 8 Char"/>
    <w:basedOn w:val="23"/>
    <w:link w:val="9"/>
    <w:semiHidden/>
    <w:uiPriority w:val="9"/>
    <w:rPr>
      <w:rFonts w:asciiTheme="majorHAnsi" w:hAnsiTheme="majorHAnsi" w:eastAsiaTheme="majorEastAsia" w:cstheme="majorBidi"/>
      <w:color w:val="262626" w:themeColor="text1" w:themeTint="D9"/>
      <w:sz w:val="21"/>
      <w:szCs w:val="21"/>
      <w14:textFill>
        <w14:solidFill>
          <w14:schemeClr w14:val="tx1">
            <w14:lumMod w14:val="85000"/>
            <w14:lumOff w14:val="15000"/>
          </w14:schemeClr>
        </w14:solidFill>
      </w14:textFill>
    </w:rPr>
  </w:style>
  <w:style w:type="character" w:customStyle="1" w:styleId="41">
    <w:name w:val="Heading 9 Char"/>
    <w:basedOn w:val="23"/>
    <w:link w:val="10"/>
    <w:semiHidden/>
    <w:uiPriority w:val="9"/>
    <w:rPr>
      <w:rFonts w:asciiTheme="majorHAnsi" w:hAnsiTheme="majorHAnsi" w:eastAsiaTheme="majorEastAsia" w:cstheme="majorBidi"/>
      <w:i/>
      <w:iCs/>
      <w:color w:val="262626" w:themeColor="text1" w:themeTint="D9"/>
      <w:sz w:val="21"/>
      <w:szCs w:val="21"/>
      <w14:textFill>
        <w14:solidFill>
          <w14:schemeClr w14:val="tx1">
            <w14:lumMod w14:val="85000"/>
            <w14:lumOff w14:val="15000"/>
          </w14:schemeClr>
        </w14:solidFill>
      </w14:textFill>
    </w:rPr>
  </w:style>
  <w:style w:type="character" w:customStyle="1" w:styleId="42">
    <w:name w:val="Comment Subject Char"/>
    <w:basedOn w:val="35"/>
    <w:link w:val="20"/>
    <w:semiHidden/>
    <w:uiPriority w:val="99"/>
    <w:rPr>
      <w:b/>
      <w:bCs/>
      <w:kern w:val="2"/>
      <w:sz w:val="20"/>
      <w:szCs w:val="20"/>
      <w:lang w:eastAsia="en-US"/>
      <w14:ligatures w14:val="standardContextual"/>
    </w:rPr>
  </w:style>
</w:styles>
</file>

<file path=word/_rels/document.xml.rels><?xml version="1.0" encoding="UTF-8" standalone="yes"?>
<Relationships xmlns="http://schemas.openxmlformats.org/package/2006/relationships"><Relationship Id="rId9" Type="http://schemas.openxmlformats.org/officeDocument/2006/relationships/image" Target="media/image1.png"/><Relationship Id="rId8" Type="http://schemas.openxmlformats.org/officeDocument/2006/relationships/theme" Target="theme/theme1.xml"/><Relationship Id="rId7" Type="http://schemas.openxmlformats.org/officeDocument/2006/relationships/header" Target="header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1.xml"/><Relationship Id="rId13" Type="http://schemas.openxmlformats.org/officeDocument/2006/relationships/numbering" Target="numbering.xml"/><Relationship Id="rId12" Type="http://schemas.openxmlformats.org/officeDocument/2006/relationships/chart" Target="charts/chart3.xml"/><Relationship Id="rId11" Type="http://schemas.openxmlformats.org/officeDocument/2006/relationships/chart" Target="charts/chart2.xml"/><Relationship Id="rId10" Type="http://schemas.openxmlformats.org/officeDocument/2006/relationships/chart" Target="charts/chart1.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package" Target="../embeddings/Workbook1.xlsx"/></Relationships>
</file>

<file path=word/charts/_rels/chart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package" Target="../embeddings/Workbook2.xlsx"/></Relationships>
</file>

<file path=word/charts/_rels/chart3.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package" Target="../embeddings/Workbook3.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zh-CN" sz="1800" b="1" i="0" u="none" strike="noStrike" kern="1200" baseline="0">
                <a:solidFill>
                  <a:schemeClr val="dk1">
                    <a:lumMod val="75000"/>
                    <a:lumOff val="25000"/>
                  </a:schemeClr>
                </a:solidFill>
                <a:latin typeface="+mn-lt"/>
                <a:ea typeface="+mn-ea"/>
                <a:cs typeface="+mn-cs"/>
              </a:defRPr>
            </a:pPr>
            <a:r>
              <a:rPr lang="en-US"/>
              <a:t>Percentage </a:t>
            </a:r>
            <a:endParaRPr lang="en-US"/>
          </a:p>
        </c:rich>
      </c:tx>
      <c:layout/>
      <c:overlay val="0"/>
      <c:spPr>
        <a:noFill/>
        <a:ln>
          <a:noFill/>
        </a:ln>
        <a:effectLst/>
      </c:spPr>
    </c:title>
    <c:autoTitleDeleted val="0"/>
    <c:plotArea>
      <c:layout/>
      <c:pieChart>
        <c:varyColors val="1"/>
        <c:ser>
          <c:idx val="0"/>
          <c:order val="0"/>
          <c:tx>
            <c:strRef>
              <c:f>Sheet1!$B$1</c:f>
              <c:strCache>
                <c:ptCount val="1"/>
                <c:pt idx="0">
                  <c:v>Sales</c:v>
                </c:pt>
              </c:strCache>
            </c:strRef>
          </c:tx>
          <c:spPr/>
          <c:explosion val="0"/>
          <c:dPt>
            <c:idx val="0"/>
            <c:bubble3D val="0"/>
            <c:spPr>
              <a:solidFill>
                <a:schemeClr val="accent1"/>
              </a:solidFill>
              <a:ln>
                <a:noFill/>
              </a:ln>
              <a:effectLst>
                <a:outerShdw blurRad="254000" sx="102000" sy="102000" algn="ctr" rotWithShape="0">
                  <a:prstClr val="black">
                    <a:alpha val="20000"/>
                  </a:prstClr>
                </a:outerShdw>
              </a:effectLst>
            </c:spPr>
          </c:dPt>
          <c:dPt>
            <c:idx val="1"/>
            <c:bubble3D val="0"/>
            <c:spPr>
              <a:solidFill>
                <a:schemeClr val="accent2"/>
              </a:solidFill>
              <a:ln>
                <a:noFill/>
              </a:ln>
              <a:effectLst>
                <a:outerShdw blurRad="254000" sx="102000" sy="102000" algn="ctr" rotWithShape="0">
                  <a:prstClr val="black">
                    <a:alpha val="20000"/>
                  </a:prstClr>
                </a:outerShdw>
              </a:effectLst>
            </c:spPr>
          </c:dPt>
          <c:dPt>
            <c:idx val="2"/>
            <c:bubble3D val="0"/>
            <c:spPr>
              <a:solidFill>
                <a:schemeClr val="accent3"/>
              </a:solidFill>
              <a:ln>
                <a:noFill/>
              </a:ln>
              <a:effectLst>
                <a:outerShdw blurRad="254000" sx="102000" sy="102000" algn="ctr" rotWithShape="0">
                  <a:prstClr val="black">
                    <a:alpha val="20000"/>
                  </a:prstClr>
                </a:outerShdw>
              </a:effectLst>
            </c:spPr>
          </c:dPt>
          <c:dPt>
            <c:idx val="3"/>
            <c:bubble3D val="0"/>
            <c:spPr>
              <a:solidFill>
                <a:schemeClr val="accent4"/>
              </a:solidFill>
              <a:ln>
                <a:noFill/>
              </a:ln>
              <a:effectLst>
                <a:outerShdw blurRad="254000" sx="102000" sy="102000" algn="ctr" rotWithShape="0">
                  <a:prstClr val="black">
                    <a:alpha val="20000"/>
                  </a:prstClr>
                </a:outerShdw>
              </a:effectLst>
            </c:spPr>
          </c:dPt>
          <c:dPt>
            <c:idx val="4"/>
            <c:bubble3D val="0"/>
            <c:spPr>
              <a:solidFill>
                <a:schemeClr val="accent5"/>
              </a:solidFill>
              <a:ln>
                <a:noFill/>
              </a:ln>
              <a:effectLst>
                <a:outerShdw blurRad="254000" sx="102000" sy="102000" algn="ctr" rotWithShape="0">
                  <a:prstClr val="black">
                    <a:alpha val="20000"/>
                  </a:prstClr>
                </a:outerShdw>
              </a:effectLst>
            </c:spPr>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zh-CN" sz="1000" b="1" i="0" u="none" strike="noStrike" kern="1200" baseline="0">
                    <a:solidFill>
                      <a:schemeClr val="lt1"/>
                    </a:solidFill>
                    <a:latin typeface="+mn-lt"/>
                    <a:ea typeface="+mn-ea"/>
                    <a:cs typeface="+mn-cs"/>
                  </a:defRPr>
                </a:pPr>
              </a:p>
            </c:txPr>
            <c:dLblPos val="ctr"/>
            <c:showLegendKey val="0"/>
            <c:showVal val="1"/>
            <c:showCatName val="0"/>
            <c:showSerName val="0"/>
            <c:showPercent val="1"/>
            <c:showBubbleSize val="0"/>
            <c:showLeaderLines val="1"/>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Sheet1!$A$2:$A$6</c:f>
              <c:strCache>
                <c:ptCount val="5"/>
                <c:pt idx="0">
                  <c:v>strongly Opposed </c:v>
                </c:pt>
                <c:pt idx="1">
                  <c:v>Disagree </c:v>
                </c:pt>
                <c:pt idx="2">
                  <c:v>Neutral </c:v>
                </c:pt>
                <c:pt idx="3">
                  <c:v>Agree</c:v>
                </c:pt>
                <c:pt idx="4">
                  <c:v>Strongly Agree </c:v>
                </c:pt>
              </c:strCache>
            </c:strRef>
          </c:cat>
          <c:val>
            <c:numRef>
              <c:f>Sheet1!$B$2:$B$6</c:f>
              <c:numCache>
                <c:formatCode>General</c:formatCode>
                <c:ptCount val="5"/>
                <c:pt idx="0">
                  <c:v>0</c:v>
                </c:pt>
                <c:pt idx="1">
                  <c:v>0</c:v>
                </c:pt>
                <c:pt idx="2">
                  <c:v>36</c:v>
                </c:pt>
                <c:pt idx="3">
                  <c:v>45</c:v>
                </c:pt>
                <c:pt idx="4">
                  <c:v>19</c:v>
                </c:pt>
              </c:numCache>
            </c:numRef>
          </c:val>
        </c:ser>
        <c:dLbls>
          <c:showLegendKey val="0"/>
          <c:showVal val="1"/>
          <c:showCatName val="0"/>
          <c:showSerName val="0"/>
          <c:showPercent val="0"/>
          <c:showBubbleSize val="0"/>
          <c:showLeaderLines val="1"/>
        </c:dLbls>
        <c:firstSliceAng val="0"/>
      </c:pieChart>
      <c:spPr>
        <a:noFill/>
        <a:ln>
          <a:noFill/>
        </a:ln>
        <a:effectLst/>
      </c:spPr>
    </c:plotArea>
    <c:legend>
      <c:legendPos val="r"/>
      <c:layout/>
      <c:overlay val="0"/>
      <c:spPr>
        <a:solidFill>
          <a:schemeClr val="lt1">
            <a:lumMod val="95000"/>
            <a:alpha val="39000"/>
          </a:schemeClr>
        </a:solidFill>
        <a:ln>
          <a:noFill/>
        </a:ln>
        <a:effectLst/>
      </c:spPr>
      <c:txPr>
        <a:bodyPr rot="0" spcFirstLastPara="1" vertOverflow="ellipsis" vert="horz" wrap="square" anchor="ctr" anchorCtr="1"/>
        <a:lstStyle/>
        <a:p>
          <a:pPr>
            <a:defRPr lang="zh-CN" sz="900" b="0" i="0" u="none" strike="noStrike" kern="1200" baseline="0">
              <a:solidFill>
                <a:schemeClr val="dk1">
                  <a:lumMod val="75000"/>
                  <a:lumOff val="25000"/>
                </a:schemeClr>
              </a:solidFill>
              <a:latin typeface="+mn-lt"/>
              <a:ea typeface="+mn-ea"/>
              <a:cs typeface="+mn-cs"/>
            </a:defRPr>
          </a:pPr>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lang="zh-CN"/>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lang="zh-CN" sz="1400" b="0" i="0" u="none" strike="noStrike" kern="1200" spc="0" baseline="0">
              <a:solidFill>
                <a:schemeClr val="tx1">
                  <a:lumMod val="65000"/>
                  <a:lumOff val="35000"/>
                </a:schemeClr>
              </a:solidFill>
              <a:latin typeface="+mn-lt"/>
              <a:ea typeface="+mn-ea"/>
              <a:cs typeface="+mn-cs"/>
            </a:defRPr>
          </a:pPr>
        </a:p>
      </c:txPr>
    </c:title>
    <c:autoTitleDeleted val="0"/>
    <c:plotArea>
      <c:layout/>
      <c:barChart>
        <c:barDir val="col"/>
        <c:grouping val="clustered"/>
        <c:varyColors val="0"/>
        <c:ser>
          <c:idx val="0"/>
          <c:order val="0"/>
          <c:tx>
            <c:strRef>
              <c:f>Sheet1!$B$1</c:f>
              <c:strCache>
                <c:ptCount val="1"/>
                <c:pt idx="0">
                  <c:v>Comparative Analysis of Career Field Understanding</c:v>
                </c:pt>
              </c:strCache>
            </c:strRef>
          </c:tx>
          <c:spPr>
            <a:solidFill>
              <a:schemeClr val="accent1"/>
            </a:solidFill>
            <a:ln>
              <a:noFill/>
            </a:ln>
            <a:effectLst/>
          </c:spPr>
          <c:invertIfNegative val="0"/>
          <c:dLbls>
            <c:delete val="1"/>
          </c:dLbls>
          <c:cat>
            <c:strRef>
              <c:f>Sheet1!$A$2:$A$6</c:f>
              <c:strCache>
                <c:ptCount val="5"/>
                <c:pt idx="0">
                  <c:v>strongly Opposed </c:v>
                </c:pt>
                <c:pt idx="1">
                  <c:v>Disagree</c:v>
                </c:pt>
                <c:pt idx="2">
                  <c:v>Neutral </c:v>
                </c:pt>
                <c:pt idx="3">
                  <c:v>Agree </c:v>
                </c:pt>
                <c:pt idx="4">
                  <c:v>Strongly Agee </c:v>
                </c:pt>
              </c:strCache>
            </c:strRef>
          </c:cat>
          <c:val>
            <c:numRef>
              <c:f>Sheet1!$B$2:$B$6</c:f>
              <c:numCache>
                <c:formatCode>General</c:formatCode>
                <c:ptCount val="5"/>
                <c:pt idx="0">
                  <c:v>0</c:v>
                </c:pt>
                <c:pt idx="1">
                  <c:v>0</c:v>
                </c:pt>
                <c:pt idx="2">
                  <c:v>37</c:v>
                </c:pt>
                <c:pt idx="3">
                  <c:v>49</c:v>
                </c:pt>
                <c:pt idx="4">
                  <c:v>14</c:v>
                </c:pt>
              </c:numCache>
            </c:numRef>
          </c:val>
        </c:ser>
        <c:dLbls>
          <c:showLegendKey val="0"/>
          <c:showVal val="0"/>
          <c:showCatName val="0"/>
          <c:showSerName val="0"/>
          <c:showPercent val="0"/>
          <c:showBubbleSize val="0"/>
        </c:dLbls>
        <c:gapWidth val="219"/>
        <c:overlap val="-27"/>
        <c:axId val="1140497216"/>
        <c:axId val="1140498048"/>
      </c:barChart>
      <c:catAx>
        <c:axId val="11404972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1140498048"/>
        <c:crosses val="autoZero"/>
        <c:auto val="1"/>
        <c:lblAlgn val="ctr"/>
        <c:lblOffset val="100"/>
        <c:noMultiLvlLbl val="0"/>
      </c:catAx>
      <c:valAx>
        <c:axId val="11404980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1140497216"/>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lang="zh-CN" sz="1800" b="1" i="0" u="none" strike="noStrike" kern="1200" baseline="0">
              <a:solidFill>
                <a:schemeClr val="dk1">
                  <a:lumMod val="75000"/>
                  <a:lumOff val="25000"/>
                </a:schemeClr>
              </a:solidFill>
              <a:latin typeface="+mn-lt"/>
              <a:ea typeface="+mn-ea"/>
              <a:cs typeface="+mn-cs"/>
            </a:defRPr>
          </a:pPr>
        </a:p>
      </c:txPr>
    </c:title>
    <c:autoTitleDeleted val="0"/>
    <c:plotArea>
      <c:layout/>
      <c:barChart>
        <c:barDir val="bar"/>
        <c:grouping val="clustered"/>
        <c:varyColors val="0"/>
        <c:ser>
          <c:idx val="0"/>
          <c:order val="0"/>
          <c:tx>
            <c:strRef>
              <c:f>Sheet1!$B$1</c:f>
              <c:strCache>
                <c:ptCount val="1"/>
                <c:pt idx="0">
                  <c:v>Positive Impact (%)</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zh-CN" sz="900" b="1" i="0" u="none" strike="noStrike" kern="1200" baseline="0">
                    <a:solidFill>
                      <a:schemeClr val="lt1"/>
                    </a:solidFill>
                    <a:latin typeface="+mn-lt"/>
                    <a:ea typeface="+mn-ea"/>
                    <a:cs typeface="+mn-cs"/>
                  </a:defRPr>
                </a:pPr>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Sheet1!$A$2:$A$5</c:f>
              <c:strCache>
                <c:ptCount val="4"/>
                <c:pt idx="0">
                  <c:v>Career Planning and Decision-Making</c:v>
                </c:pt>
                <c:pt idx="1">
                  <c:v>Long-Term Career Goals</c:v>
                </c:pt>
                <c:pt idx="2">
                  <c:v>Adaptation to Work Environment</c:v>
                </c:pt>
                <c:pt idx="3">
                  <c:v>Attribution of Career Success</c:v>
                </c:pt>
              </c:strCache>
            </c:strRef>
          </c:cat>
          <c:val>
            <c:numRef>
              <c:f>Sheet1!$B$2:$B$5</c:f>
              <c:numCache>
                <c:formatCode>0%</c:formatCode>
                <c:ptCount val="4"/>
                <c:pt idx="0">
                  <c:v>0.79</c:v>
                </c:pt>
                <c:pt idx="1">
                  <c:v>0.63</c:v>
                </c:pt>
                <c:pt idx="2">
                  <c:v>0.69</c:v>
                </c:pt>
                <c:pt idx="3">
                  <c:v>0.7</c:v>
                </c:pt>
              </c:numCache>
            </c:numRef>
          </c:val>
        </c:ser>
        <c:dLbls>
          <c:showLegendKey val="0"/>
          <c:showVal val="1"/>
          <c:showCatName val="0"/>
          <c:showSerName val="0"/>
          <c:showPercent val="0"/>
          <c:showBubbleSize val="0"/>
        </c:dLbls>
        <c:gapWidth val="65"/>
        <c:axId val="1306798640"/>
        <c:axId val="1306799888"/>
      </c:barChart>
      <c:catAx>
        <c:axId val="1306798640"/>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lang="zh-CN" sz="900" b="0" i="0" u="none" strike="noStrike" kern="1200" cap="all" baseline="0">
                <a:solidFill>
                  <a:schemeClr val="dk1">
                    <a:lumMod val="75000"/>
                    <a:lumOff val="25000"/>
                  </a:schemeClr>
                </a:solidFill>
                <a:latin typeface="+mn-lt"/>
                <a:ea typeface="+mn-ea"/>
                <a:cs typeface="+mn-cs"/>
              </a:defRPr>
            </a:pPr>
          </a:p>
        </c:txPr>
        <c:crossAx val="1306799888"/>
        <c:crosses val="autoZero"/>
        <c:auto val="1"/>
        <c:lblAlgn val="ctr"/>
        <c:lblOffset val="100"/>
        <c:noMultiLvlLbl val="0"/>
      </c:catAx>
      <c:valAx>
        <c:axId val="1306799888"/>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lang="zh-CN" sz="900" b="0" i="0" u="none" strike="noStrike" kern="1200" baseline="0">
                <a:solidFill>
                  <a:schemeClr val="dk1">
                    <a:lumMod val="75000"/>
                    <a:lumOff val="25000"/>
                  </a:schemeClr>
                </a:solidFill>
                <a:latin typeface="+mn-lt"/>
                <a:ea typeface="+mn-ea"/>
                <a:cs typeface="+mn-cs"/>
              </a:defRPr>
            </a:pPr>
          </a:p>
        </c:txPr>
        <c:crossAx val="1306798640"/>
        <c:crosses val="autoZero"/>
        <c:crossBetween val="between"/>
      </c:valAx>
      <c:spPr>
        <a:noFill/>
        <a:ln>
          <a:noFill/>
        </a:ln>
        <a:effectLst/>
      </c:spPr>
    </c:plotArea>
    <c:legend>
      <c:legendPos val="b"/>
      <c:layout/>
      <c:overlay val="0"/>
      <c:spPr>
        <a:solidFill>
          <a:schemeClr val="lt1">
            <a:lumMod val="95000"/>
            <a:alpha val="39000"/>
          </a:schemeClr>
        </a:solidFill>
        <a:ln>
          <a:noFill/>
        </a:ln>
        <a:effectLst/>
      </c:spPr>
      <c:txPr>
        <a:bodyPr rot="0" spcFirstLastPara="1" vertOverflow="ellipsis" vert="horz" wrap="square" anchor="ctr" anchorCtr="1"/>
        <a:lstStyle/>
        <a:p>
          <a:pPr>
            <a:defRPr lang="zh-CN" sz="900" b="0" i="0" u="none" strike="noStrike" kern="1200" baseline="0">
              <a:solidFill>
                <a:schemeClr val="dk1">
                  <a:lumMod val="75000"/>
                  <a:lumOff val="25000"/>
                </a:schemeClr>
              </a:solidFill>
              <a:latin typeface="+mn-lt"/>
              <a:ea typeface="+mn-ea"/>
              <a:cs typeface="+mn-cs"/>
            </a:defRPr>
          </a:pPr>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lang="zh-CN"/>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9B8F55-0C4D-4985-A35A-69ACC6F22474}">
  <ds:schemaRefs/>
</ds:datastoreItem>
</file>

<file path=docProps/app.xml><?xml version="1.0" encoding="utf-8"?>
<Properties xmlns="http://schemas.openxmlformats.org/officeDocument/2006/extended-properties" xmlns:vt="http://schemas.openxmlformats.org/officeDocument/2006/docPropsVTypes">
  <Template>Normal</Template>
  <Pages>69</Pages>
  <Words>19751</Words>
  <Characters>112583</Characters>
  <Lines>938</Lines>
  <Paragraphs>264</Paragraphs>
  <TotalTime>4</TotalTime>
  <ScaleCrop>false</ScaleCrop>
  <LinksUpToDate>false</LinksUpToDate>
  <CharactersWithSpaces>132070</CharactersWithSpaces>
  <Application>WPS Office_12.1.0.16388_F1E327BC-269C-435d-A152-05C5408002CA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2024-02-10T17:51:00Z</dcterms:created>
  <dc:creator>Keondria Davis</dc:creator>
  <cp:lastModifiedBy>傅博</cp:lastModifiedBy>
  <dcterms:modified xsi:type="dcterms:W3CDTF">2024-02-14T13:34:07Z</dcterms:modified>
  <cp:revision>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2052-12.1.0.16388</vt:lpwstr>
  </property>
  <property fmtid="{D5CDD505-2E9C-101B-9397-08002B2CF9AE}" pid="3" name="ICV">
    <vt:lpwstr>807B4A3EB7784E1485D84E9E056DCC99_12</vt:lpwstr>
  </property>
</Properties>
</file>