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7"/>
      </w:tblGrid>
      <w:tr w:rsidR="00F927A1" w:rsidRPr="005D3F07" w14:paraId="68CAA39D" w14:textId="77777777" w:rsidTr="00B1336D">
        <w:trPr>
          <w:trHeight w:val="3995"/>
        </w:trPr>
        <w:tc>
          <w:tcPr>
            <w:tcW w:w="10847" w:type="dxa"/>
          </w:tcPr>
          <w:p w14:paraId="02F8EE88" w14:textId="0761B4F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85772">
              <w:rPr>
                <w:rFonts w:ascii="Times New Roman" w:hAnsi="Times New Roman" w:cs="Times New Roman"/>
                <w:b/>
                <w:color w:val="auto"/>
                <w:sz w:val="48"/>
              </w:rPr>
              <w:t>Ceri</w:t>
            </w:r>
            <w:r w:rsidR="00B1336D">
              <w:rPr>
                <w:rFonts w:ascii="Times New Roman" w:hAnsi="Times New Roman" w:cs="Times New Roman"/>
                <w:b/>
                <w:color w:val="auto"/>
                <w:sz w:val="48"/>
              </w:rPr>
              <w:t xml:space="preserve"> lewis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25C980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B1336D">
              <w:rPr>
                <w:rFonts w:ascii="Times New Roman" w:hAnsi="Times New Roman" w:cs="Times New Roman"/>
                <w:b/>
                <w:color w:val="auto"/>
                <w:sz w:val="48"/>
              </w:rPr>
              <w:t>Ceri.rees@hotmail.co.uk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241A5C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1336D">
              <w:rPr>
                <w:rFonts w:ascii="Times New Roman" w:hAnsi="Times New Roman" w:cs="Times New Roman"/>
                <w:b/>
                <w:color w:val="auto"/>
                <w:sz w:val="48"/>
              </w:rPr>
              <w:t>2521891</w:t>
            </w:r>
          </w:p>
          <w:p w14:paraId="622FD17A" w14:textId="0325F92E"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E4C30C6" w14:textId="77777777" w:rsidR="00B1336D" w:rsidRPr="00B1336D" w:rsidRDefault="00B1336D" w:rsidP="00B1336D">
            <w:pPr>
              <w:jc w:val="both"/>
              <w:rPr>
                <w:sz w:val="24"/>
                <w:szCs w:val="24"/>
              </w:rPr>
            </w:pPr>
            <w:r w:rsidRPr="00B1336D">
              <w:rPr>
                <w:sz w:val="24"/>
                <w:szCs w:val="24"/>
              </w:rPr>
              <w:t>Safeguarding children  </w:t>
            </w:r>
          </w:p>
          <w:p w14:paraId="5BF7F671" w14:textId="77777777" w:rsidR="00B1336D" w:rsidRPr="00B1336D" w:rsidRDefault="00B1336D" w:rsidP="00B1336D">
            <w:pPr>
              <w:jc w:val="both"/>
              <w:rPr>
                <w:sz w:val="24"/>
                <w:szCs w:val="24"/>
              </w:rPr>
            </w:pPr>
            <w:r w:rsidRPr="00B1336D">
              <w:rPr>
                <w:sz w:val="24"/>
                <w:szCs w:val="24"/>
              </w:rPr>
              <w:t> </w:t>
            </w:r>
          </w:p>
          <w:p w14:paraId="52B63713" w14:textId="77777777" w:rsidR="00B1336D" w:rsidRPr="00B1336D" w:rsidRDefault="00B1336D" w:rsidP="00B1336D">
            <w:pPr>
              <w:jc w:val="both"/>
              <w:rPr>
                <w:sz w:val="24"/>
                <w:szCs w:val="24"/>
              </w:rPr>
            </w:pPr>
            <w:r w:rsidRPr="00B1336D">
              <w:rPr>
                <w:b/>
                <w:bCs/>
                <w:sz w:val="24"/>
                <w:szCs w:val="24"/>
              </w:rPr>
              <w:t>Question a:</w:t>
            </w:r>
            <w:r w:rsidRPr="00B1336D">
              <w:rPr>
                <w:sz w:val="24"/>
                <w:szCs w:val="24"/>
              </w:rPr>
              <w:t> </w:t>
            </w:r>
          </w:p>
          <w:p w14:paraId="336BAE91" w14:textId="77777777" w:rsidR="00B1336D" w:rsidRPr="00B1336D" w:rsidRDefault="00B1336D" w:rsidP="00B1336D">
            <w:pPr>
              <w:jc w:val="both"/>
              <w:rPr>
                <w:sz w:val="24"/>
                <w:szCs w:val="24"/>
              </w:rPr>
            </w:pPr>
            <w:r w:rsidRPr="00B1336D">
              <w:rPr>
                <w:sz w:val="24"/>
                <w:szCs w:val="24"/>
              </w:rPr>
              <w:t xml:space="preserve">In an area </w:t>
            </w:r>
            <w:r w:rsidRPr="00B1336D">
              <w:rPr>
                <w:b/>
                <w:bCs/>
                <w:sz w:val="24"/>
                <w:szCs w:val="24"/>
              </w:rPr>
              <w:t xml:space="preserve">that is not your </w:t>
            </w:r>
            <w:proofErr w:type="gramStart"/>
            <w:r w:rsidRPr="00B1336D">
              <w:rPr>
                <w:b/>
                <w:bCs/>
                <w:sz w:val="24"/>
                <w:szCs w:val="24"/>
              </w:rPr>
              <w:t>main focus</w:t>
            </w:r>
            <w:proofErr w:type="gramEnd"/>
            <w:r w:rsidRPr="00B1336D">
              <w:rPr>
                <w:b/>
                <w:bCs/>
                <w:sz w:val="24"/>
                <w:szCs w:val="24"/>
              </w:rPr>
              <w:t xml:space="preserve"> of work </w:t>
            </w:r>
            <w:r w:rsidRPr="00B1336D">
              <w:rPr>
                <w:sz w:val="24"/>
                <w:szCs w:val="24"/>
              </w:rPr>
              <w:t>(see guidance above), explain the relevant legislation, and the national, local and organisational policies and procedures for safeguarding 500 words plus 10 percent  </w:t>
            </w:r>
          </w:p>
          <w:p w14:paraId="4514C246" w14:textId="77777777" w:rsidR="00B1336D" w:rsidRPr="00B1336D" w:rsidRDefault="00B1336D" w:rsidP="00B1336D">
            <w:pPr>
              <w:jc w:val="both"/>
              <w:rPr>
                <w:sz w:val="24"/>
                <w:szCs w:val="24"/>
              </w:rPr>
            </w:pPr>
            <w:r w:rsidRPr="00B1336D">
              <w:rPr>
                <w:sz w:val="24"/>
                <w:szCs w:val="24"/>
              </w:rPr>
              <w:t> </w:t>
            </w:r>
          </w:p>
          <w:p w14:paraId="486DC9DA" w14:textId="77777777" w:rsidR="00B1336D" w:rsidRPr="00B1336D" w:rsidRDefault="00B1336D" w:rsidP="00B1336D">
            <w:pPr>
              <w:jc w:val="both"/>
              <w:rPr>
                <w:sz w:val="24"/>
                <w:szCs w:val="24"/>
              </w:rPr>
            </w:pPr>
            <w:r w:rsidRPr="00B1336D">
              <w:rPr>
                <w:sz w:val="24"/>
                <w:szCs w:val="24"/>
              </w:rPr>
              <w:t>The primary legislation used to safeguard children in Wales is the Social Services and Well-being (Wales) Act 2014, which places a duty on local authorities and partner agencies to safeguard and promote the wellbeing of children at risk of abuse, neglect, or other forms of harm (Welsh Government, 2014). The Act adopts a child-centred approach, emphasising early intervention, prevention, information sharing, and multi-agency collaboration to improve outcomes for children and families (Welsh Government, 2014). </w:t>
            </w:r>
          </w:p>
          <w:p w14:paraId="36E5828B" w14:textId="77777777" w:rsidR="00B1336D" w:rsidRPr="00B1336D" w:rsidRDefault="00B1336D" w:rsidP="00B1336D">
            <w:pPr>
              <w:jc w:val="both"/>
              <w:rPr>
                <w:sz w:val="24"/>
                <w:szCs w:val="24"/>
              </w:rPr>
            </w:pPr>
            <w:r w:rsidRPr="00B1336D">
              <w:rPr>
                <w:sz w:val="24"/>
                <w:szCs w:val="24"/>
              </w:rPr>
              <w:t>Alongside this, the Children Act 1989 provides a statutory framework for child protection. Section 47 places a duty on local authorities to investigate where there is reasonable cause to suspect that a child is suffering, or is likely to suffer, significant harm (HM Government, 1989). These enquiries enable professionals to assess risk and determine whether protective action is required, often involving collaboration with police, health, and education services (HM Government, 1989). </w:t>
            </w:r>
          </w:p>
          <w:p w14:paraId="1DCDD9E0" w14:textId="77777777" w:rsidR="00B1336D" w:rsidRPr="00B1336D" w:rsidRDefault="00B1336D" w:rsidP="00B1336D">
            <w:pPr>
              <w:jc w:val="both"/>
              <w:rPr>
                <w:sz w:val="24"/>
                <w:szCs w:val="24"/>
              </w:rPr>
            </w:pPr>
            <w:r w:rsidRPr="00B1336D">
              <w:rPr>
                <w:sz w:val="24"/>
                <w:szCs w:val="24"/>
              </w:rPr>
              <w:t>The two pieces of legislation complement each other by providing both the safeguarding duties and statutory powers needed to protect children. Following a Section 47 enquiry, outcomes may include no further action, the provision of early help services, support under Section 17 as a Child in Need, or progression to an Initial Child Protection Conference where consideration is given to placing the child on the Child Protection Register (HM Government, 1989; Welsh Government, 2014). </w:t>
            </w:r>
          </w:p>
          <w:p w14:paraId="7D2C35DF" w14:textId="77777777" w:rsidR="00B1336D" w:rsidRPr="00B1336D" w:rsidRDefault="00B1336D" w:rsidP="00B1336D">
            <w:pPr>
              <w:jc w:val="both"/>
              <w:rPr>
                <w:sz w:val="24"/>
                <w:szCs w:val="24"/>
              </w:rPr>
            </w:pPr>
            <w:r w:rsidRPr="00B1336D">
              <w:rPr>
                <w:sz w:val="24"/>
                <w:szCs w:val="24"/>
              </w:rPr>
              <w:t>Children's rights are further supported through the United Nations Convention on the Rights of the Child (UNCRC</w:t>
            </w:r>
            <w:r w:rsidRPr="00B1336D">
              <w:rPr>
                <w:b/>
                <w:bCs/>
                <w:sz w:val="24"/>
                <w:szCs w:val="24"/>
              </w:rPr>
              <w:t>)</w:t>
            </w:r>
            <w:r w:rsidRPr="00B1336D">
              <w:rPr>
                <w:sz w:val="24"/>
                <w:szCs w:val="24"/>
              </w:rPr>
              <w:t xml:space="preserve">. Article 19 states that children have the right to protection from abuse, neglect, and exploitation, while Article 12 recognises their right to express their views and have those views taken seriously in matters affecting them (United Nations, 1989). Therefore, </w:t>
            </w:r>
            <w:r w:rsidRPr="00B1336D">
              <w:rPr>
                <w:sz w:val="24"/>
                <w:szCs w:val="24"/>
              </w:rPr>
              <w:lastRenderedPageBreak/>
              <w:t>during safeguarding enquiries, it is essential that children's voices are heard and considered when planning interventions. </w:t>
            </w:r>
          </w:p>
          <w:p w14:paraId="241BA180" w14:textId="77777777" w:rsidR="00B1336D" w:rsidRPr="00B1336D" w:rsidRDefault="00B1336D" w:rsidP="00B1336D">
            <w:pPr>
              <w:jc w:val="both"/>
              <w:rPr>
                <w:sz w:val="24"/>
                <w:szCs w:val="24"/>
              </w:rPr>
            </w:pPr>
            <w:r w:rsidRPr="00B1336D">
              <w:rPr>
                <w:sz w:val="24"/>
                <w:szCs w:val="24"/>
              </w:rPr>
              <w:t>Within the safeguarding process, consideration should also be given to Gillick competence. This principle recognises that some children under the age of 16 may have sufficient understanding and maturity to make decisions about matters affecting them (Gillick v West Norfolk and Wisbech Area Health Authority, 1985). Assessing Gillick competence supports a rights-based approach and promotes meaningful participation in decision-making. However, practitioners must balance a child's autonomy with their statutory duty to safeguard and protect children from harm, ensuring that the child's welfare remains paramount (HM Government, 1989). </w:t>
            </w:r>
          </w:p>
          <w:p w14:paraId="3A6F3388" w14:textId="77777777" w:rsidR="00B1336D" w:rsidRPr="00B1336D" w:rsidRDefault="00B1336D" w:rsidP="00B1336D">
            <w:pPr>
              <w:jc w:val="both"/>
              <w:rPr>
                <w:sz w:val="24"/>
                <w:szCs w:val="24"/>
              </w:rPr>
            </w:pPr>
            <w:r w:rsidRPr="00B1336D">
              <w:rPr>
                <w:sz w:val="24"/>
                <w:szCs w:val="24"/>
              </w:rPr>
              <w:t> </w:t>
            </w:r>
          </w:p>
          <w:p w14:paraId="5718AEEA" w14:textId="77777777" w:rsidR="00B1336D" w:rsidRPr="00B1336D" w:rsidRDefault="00B1336D" w:rsidP="00B1336D">
            <w:pPr>
              <w:jc w:val="both"/>
              <w:rPr>
                <w:sz w:val="24"/>
                <w:szCs w:val="24"/>
              </w:rPr>
            </w:pPr>
            <w:r w:rsidRPr="00B1336D">
              <w:rPr>
                <w:sz w:val="24"/>
                <w:szCs w:val="24"/>
              </w:rPr>
              <w:t>Word count 533 </w:t>
            </w:r>
          </w:p>
          <w:p w14:paraId="68FB1DEC" w14:textId="77777777" w:rsidR="00B1336D" w:rsidRPr="00B1336D" w:rsidRDefault="00B1336D" w:rsidP="00B1336D">
            <w:pPr>
              <w:jc w:val="both"/>
              <w:rPr>
                <w:sz w:val="24"/>
                <w:szCs w:val="24"/>
              </w:rPr>
            </w:pPr>
            <w:r w:rsidRPr="00B1336D">
              <w:rPr>
                <w:sz w:val="24"/>
                <w:szCs w:val="24"/>
              </w:rPr>
              <w:t> </w:t>
            </w: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A2AA615" w14:textId="77777777" w:rsidR="00F53B40" w:rsidRPr="00B1336D" w:rsidRDefault="00F53B40" w:rsidP="00F53B40">
            <w:pPr>
              <w:jc w:val="both"/>
              <w:rPr>
                <w:sz w:val="24"/>
                <w:szCs w:val="24"/>
              </w:rPr>
            </w:pPr>
            <w:r w:rsidRPr="00B1336D">
              <w:rPr>
                <w:sz w:val="24"/>
                <w:szCs w:val="24"/>
              </w:rPr>
              <w:t>Question b: </w:t>
            </w:r>
          </w:p>
          <w:p w14:paraId="513264C5" w14:textId="77777777" w:rsidR="00F53B40" w:rsidRPr="00B1336D" w:rsidRDefault="00F53B40" w:rsidP="00F53B40">
            <w:pPr>
              <w:jc w:val="both"/>
              <w:rPr>
                <w:sz w:val="24"/>
                <w:szCs w:val="24"/>
              </w:rPr>
            </w:pPr>
            <w:r w:rsidRPr="00B1336D">
              <w:rPr>
                <w:sz w:val="24"/>
                <w:szCs w:val="24"/>
              </w:rPr>
              <w:t>Reflect on the Difference Between Safeguarding in Adults’ and Children’s Work </w:t>
            </w:r>
          </w:p>
          <w:p w14:paraId="1550BE33" w14:textId="77777777" w:rsidR="00F53B40" w:rsidRPr="00B1336D" w:rsidRDefault="00F53B40" w:rsidP="00F53B40">
            <w:pPr>
              <w:jc w:val="both"/>
              <w:rPr>
                <w:sz w:val="24"/>
                <w:szCs w:val="24"/>
              </w:rPr>
            </w:pPr>
            <w:r w:rsidRPr="00B1336D">
              <w:rPr>
                <w:sz w:val="24"/>
                <w:szCs w:val="24"/>
              </w:rPr>
              <w:t>Although the Social Services and Well-being (Wales) Act 2014 and the Wales Safeguarding Procedures (2019) provide the overarching framework for safeguarding both adults and children in Wales, there are significant differences in how safeguarding responsibilities are applied in practice. The most notable distinction relates to consent, autonomy and decision-making rights. </w:t>
            </w:r>
          </w:p>
          <w:p w14:paraId="559D5BD4" w14:textId="77777777" w:rsidR="00F53B40" w:rsidRPr="00B1336D" w:rsidRDefault="00F53B40" w:rsidP="00F53B40">
            <w:pPr>
              <w:jc w:val="both"/>
              <w:rPr>
                <w:sz w:val="24"/>
                <w:szCs w:val="24"/>
              </w:rPr>
            </w:pPr>
            <w:r w:rsidRPr="00B1336D">
              <w:rPr>
                <w:sz w:val="24"/>
                <w:szCs w:val="24"/>
              </w:rPr>
              <w:t>In adult safeguarding, practitioners are required to adopt a person-centred approach that promotes the individual's rights, wishes and autonomy. Under Part 7 of the Social Services and Well-being (Wales) Act 2014, an adult at risk is entitled to be involved in decisions that affect them, and their consent should generally be obtained before safeguarding enquiries proceed. This reflects the principles of empowerment and self-determination that underpin adult social care practice. Conversely, in children's safeguarding, the local authority has a statutory duty to investigate and protect a child who is suffering, or is at risk of suffering, significant harm. Under Section 47 of the Children Act 1989, safeguarding interventions can continue without parental consent where necessary to protect the child, as the child's welfare is the paramount consideration. </w:t>
            </w:r>
          </w:p>
          <w:p w14:paraId="10D8C1CA" w14:textId="77777777" w:rsidR="00F53B40" w:rsidRPr="00B1336D" w:rsidRDefault="00F53B40" w:rsidP="00F53B40">
            <w:pPr>
              <w:jc w:val="both"/>
              <w:rPr>
                <w:sz w:val="24"/>
                <w:szCs w:val="24"/>
              </w:rPr>
            </w:pPr>
            <w:r w:rsidRPr="00B1336D">
              <w:rPr>
                <w:sz w:val="24"/>
                <w:szCs w:val="24"/>
              </w:rPr>
              <w:t xml:space="preserve">A further key difference is the role of the Mental Capacity Act (MCA) 2005, which applies to adults aged 16 years and over who may have difficulty making specific decisions due to an </w:t>
            </w:r>
            <w:r w:rsidRPr="00B1336D">
              <w:rPr>
                <w:sz w:val="24"/>
                <w:szCs w:val="24"/>
              </w:rPr>
              <w:lastRenderedPageBreak/>
              <w:t>impairment of, or disturbance in, the functioning of the mind or brain. The MCA is guided by five statutory principles, including the presumption of capacity and the recognition that an individual should not be considered incapable merely because they make an unwise decision. Therefore, if an adult at risk has the mental capacity to understand the risks involved and chooses not to engage with safeguarding processes, professionals must respect that decision, even when they disagree with it. </w:t>
            </w:r>
          </w:p>
          <w:p w14:paraId="22F6F995" w14:textId="7D3A583B" w:rsidR="00F53B40" w:rsidRPr="00B1336D" w:rsidRDefault="00F53B40" w:rsidP="00F53B40">
            <w:pPr>
              <w:jc w:val="both"/>
              <w:rPr>
                <w:sz w:val="24"/>
                <w:szCs w:val="24"/>
              </w:rPr>
            </w:pPr>
            <w:r w:rsidRPr="00B1336D">
              <w:rPr>
                <w:sz w:val="24"/>
                <w:szCs w:val="24"/>
              </w:rPr>
              <w:t>In contrast, the MCA does not generally govern safeguarding decisions for younger children. Parents and carers hold parental responsibility and are expected to act in the child's best interests. Where parents are unable or unwilling to protect a child, agencies have a legal duty to intervene. This responsibility is reinforced through the United Nations Convention on the Rights of the Child (UNCRC, 1989), which emphasises children's rights to protection from abuse, neglect and exploitation. </w:t>
            </w:r>
          </w:p>
          <w:p w14:paraId="77D18E6F" w14:textId="39D5DE12" w:rsidR="00F53B40" w:rsidRPr="00B1336D" w:rsidRDefault="00F53B40" w:rsidP="00F53B40">
            <w:pPr>
              <w:jc w:val="both"/>
              <w:rPr>
                <w:sz w:val="24"/>
                <w:szCs w:val="24"/>
              </w:rPr>
            </w:pPr>
            <w:r w:rsidRPr="00B1336D">
              <w:rPr>
                <w:sz w:val="24"/>
                <w:szCs w:val="24"/>
              </w:rPr>
              <w:t xml:space="preserve">Another important difference is how risk is balanced against individual rights. Adult safeguarding requires practitioners to carefully consider an individual's right to make choices, even where those choices may place them at risk. If there are concerns that an adult lacks capacity, a mental capacity assessment should be completed and, where appropriate, a Best Interests decision may be required to ensure the adult is protected from harm. (Mental Cpapctity,2005) Children's safeguarding places greater emphasis on protection, recognising that children are inherently more vulnerable and often unable to safeguard themselves </w:t>
            </w:r>
            <w:proofErr w:type="gramStart"/>
            <w:r w:rsidRPr="00B1336D">
              <w:rPr>
                <w:sz w:val="24"/>
                <w:szCs w:val="24"/>
              </w:rPr>
              <w:t>effectively(</w:t>
            </w:r>
            <w:proofErr w:type="gramEnd"/>
            <w:r w:rsidRPr="00B1336D">
              <w:rPr>
                <w:sz w:val="24"/>
                <w:szCs w:val="24"/>
              </w:rPr>
              <w:t>Children Act,1989) </w:t>
            </w:r>
          </w:p>
          <w:p w14:paraId="53695162" w14:textId="7C18BAA8" w:rsidR="00F53B40" w:rsidRPr="00F53B40" w:rsidRDefault="00F53B40" w:rsidP="00F53B40">
            <w:pPr>
              <w:jc w:val="both"/>
              <w:rPr>
                <w:sz w:val="24"/>
                <w:szCs w:val="24"/>
              </w:rPr>
            </w:pPr>
            <w:r w:rsidRPr="00B1336D">
              <w:rPr>
                <w:sz w:val="24"/>
                <w:szCs w:val="24"/>
              </w:rPr>
              <w:t>Reflecting on my practice, I recognise that listening to and amplifying the voice of both adults and children is essential. However, adult safeguarding often presents additional challenges when an individual refuses support despite ongoing concerns. Whilst respecting autonomy is fundamental, this can create ethical dilemmas for practitioners who are seeking to reduce harm. Children's safeguarding, by comparison, provides clearer statutory powers to intervene. Therefore, although both safeguarding systems share the common aim of preventing abuse and neglect, adult safeguarding prioritises autonomy and consent, whereas children's safeguarding prioritises protection and welfare. </w:t>
            </w:r>
            <w:r>
              <w:rPr>
                <w:sz w:val="24"/>
                <w:szCs w:val="24"/>
              </w:rPr>
              <w:t xml:space="preserve">Furthermore, </w:t>
            </w:r>
            <w:proofErr w:type="gramStart"/>
            <w:r w:rsidRPr="00F53B40">
              <w:rPr>
                <w:sz w:val="24"/>
                <w:szCs w:val="24"/>
              </w:rPr>
              <w:t>Both</w:t>
            </w:r>
            <w:proofErr w:type="gramEnd"/>
            <w:r w:rsidRPr="00F53B40">
              <w:rPr>
                <w:sz w:val="24"/>
                <w:szCs w:val="24"/>
              </w:rPr>
              <w:t xml:space="preserve"> adult and children's safeguarding rely on effective multi-agency working coordinated through Regional Safeguarding Boards, which support the development of local procedures, monitor safeguarding practice and promote continuous improvement (Welsh Government, 2015).</w:t>
            </w:r>
          </w:p>
          <w:p w14:paraId="3D523934" w14:textId="0A6411F1" w:rsidR="00F53B40" w:rsidRPr="00B1336D" w:rsidRDefault="00F53B40" w:rsidP="00F53B40">
            <w:pPr>
              <w:jc w:val="both"/>
              <w:rPr>
                <w:sz w:val="24"/>
                <w:szCs w:val="24"/>
              </w:rPr>
            </w:pPr>
          </w:p>
          <w:p w14:paraId="1669438E" w14:textId="750E524C" w:rsidR="00F53B40" w:rsidRPr="00B1336D" w:rsidRDefault="00F53B40" w:rsidP="00F53B40">
            <w:pPr>
              <w:jc w:val="both"/>
              <w:rPr>
                <w:sz w:val="24"/>
                <w:szCs w:val="24"/>
              </w:rPr>
            </w:pPr>
            <w:r w:rsidRPr="00B1336D">
              <w:rPr>
                <w:sz w:val="24"/>
                <w:szCs w:val="24"/>
              </w:rPr>
              <w:t>Word Count: 4</w:t>
            </w:r>
            <w:r>
              <w:rPr>
                <w:sz w:val="24"/>
                <w:szCs w:val="24"/>
              </w:rPr>
              <w:t>40</w:t>
            </w:r>
          </w:p>
          <w:p w14:paraId="5F5152E2" w14:textId="77777777" w:rsidR="00F53B40" w:rsidRDefault="00F53B40" w:rsidP="00F53B40">
            <w:pPr>
              <w:jc w:val="both"/>
              <w:rPr>
                <w:sz w:val="24"/>
                <w:szCs w:val="24"/>
              </w:rPr>
            </w:pPr>
          </w:p>
          <w:p w14:paraId="795C6051" w14:textId="4DE5A010" w:rsidR="00FC0334" w:rsidRDefault="00FC0334" w:rsidP="00F53B40">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EDEB7" w14:textId="77777777" w:rsidR="00C97DF4" w:rsidRDefault="00C97DF4">
      <w:r>
        <w:separator/>
      </w:r>
    </w:p>
  </w:endnote>
  <w:endnote w:type="continuationSeparator" w:id="0">
    <w:p w14:paraId="2C83D24A" w14:textId="77777777" w:rsidR="00C97DF4" w:rsidRDefault="00C9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3C6A0" w14:textId="77777777" w:rsidR="00C97DF4" w:rsidRDefault="00C97DF4">
      <w:r>
        <w:separator/>
      </w:r>
    </w:p>
  </w:footnote>
  <w:footnote w:type="continuationSeparator" w:id="0">
    <w:p w14:paraId="404688C2" w14:textId="77777777" w:rsidR="00C97DF4" w:rsidRDefault="00C97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AAF"/>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2B3"/>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61E"/>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E9E"/>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5772"/>
    <w:rsid w:val="00986B43"/>
    <w:rsid w:val="00986C0B"/>
    <w:rsid w:val="00986D46"/>
    <w:rsid w:val="00990BDD"/>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36D"/>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0CC"/>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DF4"/>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B40"/>
    <w:rsid w:val="00F53F27"/>
    <w:rsid w:val="00F546D1"/>
    <w:rsid w:val="00F60281"/>
    <w:rsid w:val="00F66272"/>
    <w:rsid w:val="00F709C0"/>
    <w:rsid w:val="00F81FEC"/>
    <w:rsid w:val="00F83407"/>
    <w:rsid w:val="00F927A1"/>
    <w:rsid w:val="00F92E4D"/>
    <w:rsid w:val="00F9546F"/>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Lewis</cp:lastModifiedBy>
  <cp:revision>2</cp:revision>
  <cp:lastPrinted>2020-02-11T19:20:00Z</cp:lastPrinted>
  <dcterms:created xsi:type="dcterms:W3CDTF">2026-10-06T21:41:00Z</dcterms:created>
  <dcterms:modified xsi:type="dcterms:W3CDTF">2026-10-06T21:41:00Z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