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44D44" w14:textId="77777777" w:rsidR="00844583" w:rsidRDefault="00844583" w:rsidP="00844583">
      <w:pPr>
        <w:jc w:val="center"/>
        <w:rPr>
          <w:rFonts w:ascii="Times New Roman" w:hAnsi="Times New Roman" w:cs="Times New Roman"/>
          <w:b/>
          <w:bCs/>
          <w:sz w:val="24"/>
          <w:szCs w:val="24"/>
        </w:rPr>
      </w:pPr>
    </w:p>
    <w:p w14:paraId="3874F502" w14:textId="77777777" w:rsidR="00844583" w:rsidRDefault="00844583" w:rsidP="00844583">
      <w:pPr>
        <w:jc w:val="center"/>
        <w:rPr>
          <w:rFonts w:ascii="Times New Roman" w:hAnsi="Times New Roman" w:cs="Times New Roman"/>
          <w:b/>
          <w:bCs/>
          <w:sz w:val="24"/>
          <w:szCs w:val="24"/>
        </w:rPr>
      </w:pPr>
      <w:r>
        <w:rPr>
          <w:noProof/>
        </w:rPr>
        <w:drawing>
          <wp:inline distT="0" distB="0" distL="0" distR="0" wp14:anchorId="69E76D14" wp14:editId="6E5099D0">
            <wp:extent cx="1809750" cy="723900"/>
            <wp:effectExtent l="0" t="0" r="0" b="0"/>
            <wp:docPr id="1707" name="Picture 170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707" name="Picture 1707"/>
                    <pic:cNvPicPr/>
                  </pic:nvPicPr>
                  <pic:blipFill>
                    <a:blip r:embed="rId4"/>
                    <a:stretch>
                      <a:fillRect/>
                    </a:stretch>
                  </pic:blipFill>
                  <pic:spPr>
                    <a:xfrm>
                      <a:off x="0" y="0"/>
                      <a:ext cx="1809750" cy="723900"/>
                    </a:xfrm>
                    <a:prstGeom prst="rect">
                      <a:avLst/>
                    </a:prstGeom>
                  </pic:spPr>
                </pic:pic>
              </a:graphicData>
            </a:graphic>
          </wp:inline>
        </w:drawing>
      </w:r>
    </w:p>
    <w:p w14:paraId="79E81641" w14:textId="77777777" w:rsidR="00844583" w:rsidRDefault="00844583" w:rsidP="00844583">
      <w:pPr>
        <w:jc w:val="center"/>
        <w:rPr>
          <w:rFonts w:ascii="Times New Roman" w:hAnsi="Times New Roman" w:cs="Times New Roman"/>
          <w:b/>
          <w:bCs/>
          <w:sz w:val="24"/>
          <w:szCs w:val="24"/>
        </w:rPr>
      </w:pPr>
    </w:p>
    <w:p w14:paraId="57AAB539" w14:textId="77777777" w:rsidR="00844583" w:rsidRDefault="00844583" w:rsidP="00844583">
      <w:pPr>
        <w:jc w:val="center"/>
        <w:rPr>
          <w:rFonts w:ascii="Times New Roman" w:hAnsi="Times New Roman" w:cs="Times New Roman"/>
          <w:b/>
          <w:bCs/>
          <w:sz w:val="24"/>
          <w:szCs w:val="24"/>
        </w:rPr>
      </w:pPr>
    </w:p>
    <w:p w14:paraId="4AF71E0E" w14:textId="77777777" w:rsidR="00844583" w:rsidRDefault="00844583" w:rsidP="00844583">
      <w:pPr>
        <w:jc w:val="center"/>
        <w:rPr>
          <w:rFonts w:ascii="Times New Roman" w:hAnsi="Times New Roman" w:cs="Times New Roman"/>
          <w:b/>
          <w:bCs/>
          <w:sz w:val="24"/>
          <w:szCs w:val="24"/>
        </w:rPr>
      </w:pPr>
    </w:p>
    <w:p w14:paraId="0548CA78" w14:textId="77777777" w:rsidR="00844583" w:rsidRPr="00B209BD" w:rsidRDefault="00844583" w:rsidP="00844583">
      <w:pPr>
        <w:rPr>
          <w:rFonts w:ascii="Times New Roman" w:hAnsi="Times New Roman" w:cs="Times New Roman"/>
          <w:b/>
          <w:bCs/>
          <w:sz w:val="24"/>
          <w:szCs w:val="24"/>
        </w:rPr>
      </w:pPr>
    </w:p>
    <w:p w14:paraId="548C06BA" w14:textId="77777777" w:rsidR="00844583" w:rsidRPr="00B209BD" w:rsidRDefault="00844583" w:rsidP="00844583">
      <w:pPr>
        <w:jc w:val="center"/>
        <w:rPr>
          <w:rFonts w:ascii="Times New Roman" w:hAnsi="Times New Roman" w:cs="Times New Roman"/>
          <w:b/>
          <w:bCs/>
          <w:sz w:val="24"/>
          <w:szCs w:val="24"/>
        </w:rPr>
      </w:pPr>
    </w:p>
    <w:p w14:paraId="1AEB030F" w14:textId="77777777" w:rsidR="00844583" w:rsidRPr="00B209BD" w:rsidRDefault="00844583" w:rsidP="00844583">
      <w:pPr>
        <w:jc w:val="center"/>
        <w:rPr>
          <w:rFonts w:ascii="Times New Roman" w:hAnsi="Times New Roman" w:cs="Times New Roman"/>
          <w:b/>
          <w:bCs/>
          <w:sz w:val="24"/>
          <w:szCs w:val="24"/>
        </w:rPr>
      </w:pPr>
    </w:p>
    <w:p w14:paraId="44E12918" w14:textId="77777777" w:rsidR="00844583" w:rsidRPr="00B209BD" w:rsidRDefault="00844583" w:rsidP="00844583">
      <w:pPr>
        <w:jc w:val="center"/>
        <w:rPr>
          <w:rFonts w:ascii="Times New Roman" w:hAnsi="Times New Roman" w:cs="Times New Roman"/>
          <w:b/>
          <w:bCs/>
          <w:sz w:val="24"/>
          <w:szCs w:val="24"/>
        </w:rPr>
      </w:pPr>
    </w:p>
    <w:p w14:paraId="0CF264F9" w14:textId="77777777" w:rsidR="00844583" w:rsidRPr="00B209BD" w:rsidRDefault="00844583" w:rsidP="00844583">
      <w:pPr>
        <w:jc w:val="center"/>
        <w:rPr>
          <w:rFonts w:ascii="Times New Roman" w:hAnsi="Times New Roman" w:cs="Times New Roman"/>
          <w:b/>
          <w:bCs/>
          <w:sz w:val="24"/>
          <w:szCs w:val="24"/>
        </w:rPr>
      </w:pPr>
      <w:r w:rsidRPr="00B209BD">
        <w:rPr>
          <w:rFonts w:ascii="Times New Roman" w:hAnsi="Times New Roman" w:cs="Times New Roman"/>
          <w:b/>
          <w:bCs/>
          <w:sz w:val="24"/>
          <w:szCs w:val="24"/>
        </w:rPr>
        <w:t>Data Security, Governance and Compliance Assignment</w:t>
      </w:r>
      <w:r>
        <w:rPr>
          <w:rFonts w:ascii="Times New Roman" w:hAnsi="Times New Roman" w:cs="Times New Roman"/>
          <w:b/>
          <w:bCs/>
          <w:sz w:val="24"/>
          <w:szCs w:val="24"/>
        </w:rPr>
        <w:t xml:space="preserve"> (</w:t>
      </w:r>
      <w:r>
        <w:rPr>
          <w:rStyle w:val="selectable-text"/>
        </w:rPr>
        <w:t>ACCA7028</w:t>
      </w:r>
      <w:r>
        <w:rPr>
          <w:rFonts w:ascii="Times New Roman" w:hAnsi="Times New Roman" w:cs="Times New Roman"/>
          <w:b/>
          <w:bCs/>
          <w:sz w:val="24"/>
          <w:szCs w:val="24"/>
        </w:rPr>
        <w:t>)</w:t>
      </w:r>
    </w:p>
    <w:p w14:paraId="4A186379" w14:textId="77777777" w:rsidR="00844583" w:rsidRPr="00B209BD" w:rsidRDefault="00844583" w:rsidP="00844583">
      <w:pPr>
        <w:jc w:val="center"/>
        <w:rPr>
          <w:rFonts w:ascii="Times New Roman" w:hAnsi="Times New Roman" w:cs="Times New Roman"/>
          <w:b/>
          <w:bCs/>
          <w:sz w:val="24"/>
          <w:szCs w:val="24"/>
        </w:rPr>
      </w:pPr>
    </w:p>
    <w:p w14:paraId="24ACE995" w14:textId="77777777" w:rsidR="00844583" w:rsidRDefault="00844583" w:rsidP="00844583">
      <w:pPr>
        <w:jc w:val="center"/>
        <w:rPr>
          <w:rFonts w:ascii="Times New Roman" w:hAnsi="Times New Roman" w:cs="Times New Roman"/>
          <w:b/>
          <w:bCs/>
          <w:sz w:val="32"/>
          <w:szCs w:val="32"/>
        </w:rPr>
      </w:pPr>
      <w:r>
        <w:rPr>
          <w:rFonts w:ascii="Times New Roman" w:hAnsi="Times New Roman" w:cs="Times New Roman"/>
          <w:b/>
          <w:bCs/>
          <w:sz w:val="32"/>
          <w:szCs w:val="32"/>
        </w:rPr>
        <w:t>Binoy Thozhukkattu</w:t>
      </w:r>
    </w:p>
    <w:p w14:paraId="1889BDB1" w14:textId="77777777" w:rsidR="00844583" w:rsidRDefault="00844583" w:rsidP="00844583">
      <w:pPr>
        <w:jc w:val="center"/>
        <w:rPr>
          <w:rFonts w:ascii="Times New Roman" w:hAnsi="Times New Roman" w:cs="Times New Roman"/>
          <w:b/>
          <w:bCs/>
          <w:sz w:val="32"/>
          <w:szCs w:val="32"/>
        </w:rPr>
      </w:pPr>
      <w:r>
        <w:rPr>
          <w:rFonts w:ascii="Times New Roman" w:hAnsi="Times New Roman" w:cs="Times New Roman"/>
          <w:b/>
          <w:bCs/>
          <w:sz w:val="32"/>
          <w:szCs w:val="32"/>
        </w:rPr>
        <w:t>Student Number: 2125637</w:t>
      </w:r>
    </w:p>
    <w:p w14:paraId="773EEA7E" w14:textId="77777777" w:rsidR="00844583" w:rsidRPr="000F133F" w:rsidRDefault="00844583" w:rsidP="00844583">
      <w:pPr>
        <w:jc w:val="center"/>
        <w:rPr>
          <w:rFonts w:ascii="Times New Roman" w:hAnsi="Times New Roman" w:cs="Times New Roman"/>
          <w:b/>
          <w:bCs/>
          <w:sz w:val="32"/>
          <w:szCs w:val="32"/>
        </w:rPr>
      </w:pPr>
      <w:r w:rsidRPr="000F133F">
        <w:rPr>
          <w:rFonts w:ascii="Times New Roman" w:hAnsi="Times New Roman" w:cs="Times New Roman"/>
          <w:color w:val="212529"/>
          <w:sz w:val="32"/>
          <w:szCs w:val="32"/>
        </w:rPr>
        <w:t>Master of Science</w:t>
      </w:r>
      <w:r>
        <w:rPr>
          <w:rFonts w:ascii="Times New Roman" w:hAnsi="Times New Roman" w:cs="Times New Roman"/>
          <w:color w:val="212529"/>
          <w:sz w:val="32"/>
          <w:szCs w:val="32"/>
        </w:rPr>
        <w:t>:</w:t>
      </w:r>
      <w:r w:rsidRPr="000F133F">
        <w:rPr>
          <w:rFonts w:ascii="Times New Roman" w:hAnsi="Times New Roman" w:cs="Times New Roman"/>
          <w:color w:val="212529"/>
          <w:sz w:val="32"/>
          <w:szCs w:val="32"/>
        </w:rPr>
        <w:t xml:space="preserve"> Computer Networks and Cyber Security</w:t>
      </w:r>
      <w:r>
        <w:rPr>
          <w:rFonts w:ascii="Times New Roman" w:hAnsi="Times New Roman" w:cs="Times New Roman"/>
          <w:color w:val="212529"/>
          <w:sz w:val="32"/>
          <w:szCs w:val="32"/>
        </w:rPr>
        <w:t xml:space="preserve"> 22/23</w:t>
      </w:r>
    </w:p>
    <w:p w14:paraId="43B6D0A5" w14:textId="77777777" w:rsidR="00844583" w:rsidRPr="00B209BD" w:rsidRDefault="00844583" w:rsidP="00844583">
      <w:pPr>
        <w:jc w:val="both"/>
        <w:rPr>
          <w:rFonts w:ascii="Times New Roman" w:hAnsi="Times New Roman" w:cs="Times New Roman"/>
          <w:b/>
          <w:bCs/>
          <w:sz w:val="24"/>
          <w:szCs w:val="24"/>
        </w:rPr>
      </w:pPr>
      <w:r w:rsidRPr="00B209BD">
        <w:rPr>
          <w:rFonts w:ascii="Times New Roman" w:hAnsi="Times New Roman" w:cs="Times New Roman"/>
          <w:b/>
          <w:bCs/>
          <w:sz w:val="24"/>
          <w:szCs w:val="24"/>
        </w:rPr>
        <w:br w:type="page"/>
      </w:r>
    </w:p>
    <w:p w14:paraId="576F20EF" w14:textId="77777777" w:rsidR="00844583" w:rsidRPr="00B209BD" w:rsidRDefault="00844583" w:rsidP="00844583">
      <w:pPr>
        <w:pStyle w:val="Heading1"/>
        <w:jc w:val="both"/>
        <w:rPr>
          <w:rFonts w:cs="Times New Roman"/>
          <w:szCs w:val="24"/>
        </w:rPr>
      </w:pPr>
      <w:r w:rsidRPr="00B209BD">
        <w:rPr>
          <w:rFonts w:cs="Times New Roman"/>
          <w:szCs w:val="24"/>
        </w:rPr>
        <w:lastRenderedPageBreak/>
        <w:t>Data security, governance and compliance</w:t>
      </w:r>
    </w:p>
    <w:p w14:paraId="5D4F463E"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Because of businesses</w:t>
      </w:r>
      <w:r>
        <w:rPr>
          <w:rFonts w:ascii="Times New Roman" w:hAnsi="Times New Roman" w:cs="Times New Roman"/>
          <w:sz w:val="24"/>
          <w:szCs w:val="24"/>
        </w:rPr>
        <w:t xml:space="preserve"> </w:t>
      </w:r>
      <w:r w:rsidRPr="00B209BD">
        <w:rPr>
          <w:rFonts w:ascii="Times New Roman" w:hAnsi="Times New Roman" w:cs="Times New Roman"/>
          <w:sz w:val="24"/>
          <w:szCs w:val="24"/>
        </w:rPr>
        <w:t>ever-increasing dependence on digital data, this resource has evolved into a valuable commodity that is susceptible to a diverse array of risks. As a result, data security has emerged as one of the most pressing concerns for businesses of all kinds</w:t>
      </w:r>
      <w:r>
        <w:rPr>
          <w:rFonts w:ascii="Times New Roman" w:hAnsi="Times New Roman" w:cs="Times New Roman"/>
          <w:sz w:val="24"/>
          <w:szCs w:val="24"/>
        </w:rPr>
        <w:t xml:space="preserve"> </w:t>
      </w:r>
      <w:r w:rsidRPr="001E5559">
        <w:rPr>
          <w:rFonts w:ascii="Times New Roman" w:hAnsi="Times New Roman" w:cs="Times New Roman"/>
          <w:color w:val="222222"/>
          <w:sz w:val="24"/>
          <w:szCs w:val="24"/>
          <w:shd w:val="clear" w:color="auto" w:fill="FFFFFF"/>
        </w:rPr>
        <w:t>(Stevens et al., 2020</w:t>
      </w:r>
      <w:r w:rsidRPr="001E5559">
        <w:rPr>
          <w:rFonts w:ascii="Times New Roman" w:hAnsi="Times New Roman" w:cs="Times New Roman"/>
          <w:sz w:val="24"/>
          <w:szCs w:val="24"/>
        </w:rPr>
        <w:t>)</w:t>
      </w:r>
      <w:r w:rsidRPr="00B209BD">
        <w:rPr>
          <w:rFonts w:ascii="Times New Roman" w:hAnsi="Times New Roman" w:cs="Times New Roman"/>
          <w:sz w:val="24"/>
          <w:szCs w:val="24"/>
        </w:rPr>
        <w:t>. These dangers may originate from either external sources, like hackers and cybercriminals, or inside ones, such personnel with nefarious intentions or mishaps that result in the loss of data. Access restrictions, network security, and data encryption are a few of the many precautions that businesses need to take in order to ensure the safety of their sensitive information.</w:t>
      </w:r>
      <w:r>
        <w:rPr>
          <w:rFonts w:ascii="Times New Roman" w:hAnsi="Times New Roman" w:cs="Times New Roman"/>
          <w:sz w:val="24"/>
          <w:szCs w:val="24"/>
        </w:rPr>
        <w:t xml:space="preserve"> </w:t>
      </w:r>
      <w:r w:rsidRPr="00B209BD">
        <w:rPr>
          <w:rFonts w:ascii="Times New Roman" w:hAnsi="Times New Roman" w:cs="Times New Roman"/>
          <w:sz w:val="24"/>
          <w:szCs w:val="24"/>
        </w:rPr>
        <w:t>The use of artificial intelligence (AI) and machine learning is one of the most significant breakthroughs in data security to occur in the last few years (ML). Large volumes of data may be analysed using these technologies, and patterns and abnormalities in the data that can point to a potential security risk can be located and identified. AI-based systems, for instance, are able to do traffic analysis on a network in order to detect and prevent unwanted activities, such as attempted cyber assaults. ML may also be used to enhance the accuracy of security systems by learning from previous data to detect and categorise new risks in a more efficient manner. This can be accomplished by "learning" from the data that has already been collected.</w:t>
      </w:r>
    </w:p>
    <w:p w14:paraId="4546950F"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The design and ongoing maintenance of rules, processes, and standards for the collection, storage, use, and distribution of data inside an organisation is an essential component of data governance. Data governance is an additional significant feature of data security. This involves developing protocols for data management and protection, defining roles and duties, and establishing standards for the quality and integrity of data. It is important to have efficient data governance in order to guarantee that data is utilised in an ethical and responsible manner, as well as to reduce the likelihood of data breaches and other types of security issues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 xml:space="preserve">Sperling and </w:t>
      </w:r>
      <w:r w:rsidRPr="001E5559">
        <w:rPr>
          <w:rFonts w:ascii="Times New Roman" w:hAnsi="Times New Roman" w:cs="Times New Roman"/>
          <w:color w:val="222222"/>
          <w:sz w:val="24"/>
          <w:szCs w:val="24"/>
          <w:shd w:val="clear" w:color="auto" w:fill="FFFFFF"/>
        </w:rPr>
        <w:lastRenderedPageBreak/>
        <w:t>Webber, 2019</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Compliance with laws, rules, and standards relating to data privacy and security is another important factor that enterprises need to take into consideration in addition to data security and governance. Included in this is ensuring compliance with legislation such as the General Data Protection Regulation (GDPR) in the European Union and the Health Insurance Portability and Accountability Act (HIPAA) in the United States. Compliance with these requirements may be difficult, and it requires enterprises to employ a variety of steps to safeguard the privacy and security of personal data. These methods might include the use of encryption, access restrictions, and approaches that minimise the amount of data collected.</w:t>
      </w:r>
    </w:p>
    <w:p w14:paraId="3FD146CD"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Blockchain is one example of a technical advancement that has the potential to have a significant influence on data security and governance. Because it is decentralised and immune to manipulation, the technology known as distributed ledgers makes it possible to store and manage data in a manner that is both trustworthy and open to scrutiny. Because of this, it is an appealing choice for a diverse array of applications, including the management of supply chains, the authentication of identities, and the storing of sensitive data such as medical records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Gille, Vayena and Blasimme, 2020</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Computing in the cloud is another emerging technology that has seen rapid growth in recent years and carries with it important implications for the management and protection of user data. Rather of storing and processing data on their own computers, businesses now have the ability to do so remotely thanks to the adoption of cloud-based services. This may have a number of beneficial effects, including a reduction in costs and an improvement in overall efficiency, but it also creates new security threats that need to be controlled very carefully. These dangers may be lessened by using trustworthy cloud service providers and by putting in place stringent safety precautions such as encryption and authorization rules in the cloud environment.</w:t>
      </w:r>
    </w:p>
    <w:p w14:paraId="5A9604F5"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lastRenderedPageBreak/>
        <w:t>The widespread implementation of innovative technologies like 5G and the Internet of Things (IoT), for example, is also anticipated to have a substantial influence on the data security and governance landscape. The massive volumes of data that will be generated as a result of the greater connectedness and automation made possible by these technologies will need the implementation of stringent safety precautions. This will require the development of new technologies and methods to data security, such as the use of secure hardware and software, as well as the implementation of industry-wide standards and recommended procedures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Fothergill et al., 2019</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In conclusion, data security, governance, and compliance are complicated and fast developing fields that need companies to maintain a state of constant awareness of the most recent findings of relevant research and developments in relevant technology. Organizations are able to safeguard their data and remain in compliance with applicable requirements if they use cutting-edge technology, industry standards, and best practices, as well as stringent rules and processes, in order to secure their data.</w:t>
      </w:r>
    </w:p>
    <w:p w14:paraId="484906B7" w14:textId="77777777" w:rsidR="00844583" w:rsidRPr="00B209BD" w:rsidRDefault="00844583" w:rsidP="00844583">
      <w:pPr>
        <w:pStyle w:val="Heading1"/>
        <w:jc w:val="both"/>
        <w:rPr>
          <w:rFonts w:cs="Times New Roman"/>
          <w:szCs w:val="24"/>
        </w:rPr>
      </w:pPr>
      <w:r w:rsidRPr="00B209BD">
        <w:rPr>
          <w:rFonts w:cs="Times New Roman"/>
          <w:szCs w:val="24"/>
        </w:rPr>
        <w:t>Conduct research into various security framework or models example, Information Technology Infrastructure Library (ITIL) and Security model example, International Organization for Standardization; ISO 27000.</w:t>
      </w:r>
    </w:p>
    <w:p w14:paraId="349380E9"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 xml:space="preserve">A framework that is frequently used for controlling and optimising the supply of information technology services is known as the Information Technology Infrastructure Library (ITIL). It offers a collection of best practices and standards for a variety of management facets, including issue management, change management, service level management, and incident management. The IT Infrastructure Library (ITIL) is a model that can be beneficial to organisations because it helps to ensure that information technology services are delivered in a way that is both consistent and effective, and that any issues or changes are managed in a way that is both structured </w:t>
      </w:r>
      <w:r w:rsidRPr="00B209BD">
        <w:rPr>
          <w:rFonts w:ascii="Times New Roman" w:hAnsi="Times New Roman" w:cs="Times New Roman"/>
          <w:sz w:val="24"/>
          <w:szCs w:val="24"/>
        </w:rPr>
        <w:lastRenderedPageBreak/>
        <w:t>and controlled</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Schinagl and Shahim, 2020</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ITIL offers a single language and set of standards for IT service management, which may assist to enhance communication and cooperation inside an organisation. This is one of the primary benefits of using ITIL, and it is also one of its primary advantages. It also encourages a customer-centric approach to the delivery of information technology services by putting the emphasis on the requirements and requirements of the company and the users of the system.</w:t>
      </w:r>
    </w:p>
    <w:p w14:paraId="19C529BD"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Because it needs the establishment of processes, procedures, and tools to support the delivery of IT services, implementing ITIL may be a complicated process. In addition to this, the formation of roles and duties, as well as the training of staff members to ensure that they are able to carry out their activities in an efficient manner, are also necessary components. However, there is the potential for considerable advantages to result from using ITIL, such as enhanced customer satisfaction, decreased instances of outage and interruption, and better efficiency and effectiveness of IT services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Canedo et al., 2022</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The Information Technology Infrastructure Library (ITIL), the International Organization for Standardization (ISO) 27000 series is also a security framework that enterprises may find useful. The recommendations and basic concepts that are provided by the ISO 27000 series may be used in the beginning stages of starting, implementing, maintaining, and enhancing information security management. The International Business for Standardization (ISO) 27001 is a particular standard that describes the standards for the information security management system of an organisation (ISMS). This standard offers a structure for developing, putting into operation, running, monitoring, evaluating, keeping, and upgrading information security.</w:t>
      </w:r>
    </w:p>
    <w:p w14:paraId="3BDEE8E3"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 xml:space="preserve">Because it demands the establishment and recording of policies, processes, and controls to guarantee the confidentiality, integrity, and availability of information, implementing ISO 27001 may be a complicated and time-consuming process. In addition to this, the implementation of a </w:t>
      </w:r>
      <w:r w:rsidRPr="00B209BD">
        <w:rPr>
          <w:rFonts w:ascii="Times New Roman" w:hAnsi="Times New Roman" w:cs="Times New Roman"/>
          <w:sz w:val="24"/>
          <w:szCs w:val="24"/>
        </w:rPr>
        <w:lastRenderedPageBreak/>
        <w:t>risk management strategy that can recognise and evaluate potential threats to information security, as well as the formulation of countermeasures to reduce the impact of such threats, are necessities. The advantages of implementing ISO 27001, on the other hand, may be very considerable. These advantages include greater data security, enhanced compliance with laws and regulations, and improved customer trust and confidence</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Tsohou et al., 2020</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The Cybersecurity Framework (CSF), which was established by the National Institute of Standards and Technology, is another another security framework that businesses may find beneficial (NIST). The Cybersecurity Framework (CSF) is a risk-based framework that offers direction on how to handle cybersecurity risks in a way that is efficient with regard to cost. It offers a standard vocabulary and a set of best practises for the field of cybersecurity, and it is comprised of five fundamental functions: identify, defend, detect, react, and recover.</w:t>
      </w:r>
    </w:p>
    <w:p w14:paraId="71993344"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The CSF was developed to be versatile and malleable in order to meet the requirements of a wide range of businesses. It has applications in many different industries, such as the healthcare industry, the financial services industry, and critical infrastructure. It helps to identify and prioritise cybersecurity threats, and guides the creation of effective risk management strategies, which may be valuable for enterprises as it helps to identify and prioritise such risks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Hina, Selvam and Lowry, 2019</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The establishment of policies, procedures, and technologies to assist the identification, protection, detection, reaction, and recovery from cybersecurity incidents is required in order to successfully implement the CSF. In addition to this, the formation of roles and duties, as well as the training of staff members to ensure that they are able to carry out their activities in an efficient manner, are also necessary components. A better cybersecurity posture, a lower chance of data breaches and other security events, and higher consumer trust and confidence are some of the advantages of the CSF.</w:t>
      </w:r>
    </w:p>
    <w:p w14:paraId="1D5099A3"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lastRenderedPageBreak/>
        <w:t>In conclusion, IT Infrastructure Library (ITIL), ISO 27001, and the Common Security Framework (CSF) are all examples of security frameworks that enterprises that want to enhance their data security and compliance might find valuable</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AlGhamdi, Win and Vlahu-Gjorgievska, 2020</w:t>
      </w:r>
      <w:r w:rsidRPr="001E5559">
        <w:rPr>
          <w:rFonts w:ascii="Times New Roman" w:hAnsi="Times New Roman" w:cs="Times New Roman"/>
          <w:sz w:val="24"/>
          <w:szCs w:val="24"/>
        </w:rPr>
        <w:t>)</w:t>
      </w:r>
      <w:r w:rsidRPr="00B209BD">
        <w:rPr>
          <w:rFonts w:ascii="Times New Roman" w:hAnsi="Times New Roman" w:cs="Times New Roman"/>
          <w:sz w:val="24"/>
          <w:szCs w:val="24"/>
        </w:rPr>
        <w:t>. Although putting these frameworks into place may be a difficult and time-consuming process, doing so can result in considerable advantages, such as increased efficiency and effectiveness, decreased downtime and interruption, and other positive changes.</w:t>
      </w:r>
    </w:p>
    <w:p w14:paraId="3822C547" w14:textId="77777777" w:rsidR="00844583" w:rsidRPr="00B209BD" w:rsidRDefault="00844583" w:rsidP="00844583">
      <w:pPr>
        <w:pStyle w:val="Heading1"/>
        <w:jc w:val="both"/>
        <w:rPr>
          <w:rFonts w:cs="Times New Roman"/>
          <w:szCs w:val="24"/>
        </w:rPr>
      </w:pPr>
      <w:r w:rsidRPr="00B209BD">
        <w:rPr>
          <w:rFonts w:cs="Times New Roman"/>
          <w:szCs w:val="24"/>
        </w:rPr>
        <w:t>Approach to meet the need of the company information system security, governance, and compliance.</w:t>
      </w:r>
    </w:p>
    <w:p w14:paraId="28F6FE13"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Following are some measures that might be performed in order to build an approach that would suit the requirements of the CoffeeB</w:t>
      </w:r>
      <w:r>
        <w:rPr>
          <w:rFonts w:ascii="Times New Roman" w:hAnsi="Times New Roman" w:cs="Times New Roman"/>
          <w:sz w:val="24"/>
          <w:szCs w:val="24"/>
        </w:rPr>
        <w:t>lend</w:t>
      </w:r>
      <w:r w:rsidRPr="00B209BD">
        <w:rPr>
          <w:rFonts w:ascii="Times New Roman" w:hAnsi="Times New Roman" w:cs="Times New Roman"/>
          <w:sz w:val="24"/>
          <w:szCs w:val="24"/>
        </w:rPr>
        <w:t xml:space="preserve"> company's information system in terms of security, governance, and compliance:</w:t>
      </w:r>
    </w:p>
    <w:p w14:paraId="267DEB1B"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Carry out a risk assessment Carrying out a risk assessment is the first thing you need to do in order to build an efficient strategy for information security, governance, and compliance. This includes recognising and evaluating the dangers to the information systems of the firm, which may come from both external sources, such as cyber assaults, and internal sources, such as the loss of data by mistake. The evaluation of risk should take into account not only the possibility that these threats will have an effect on the organisation but also the chance that they will materialise. The organisation is now able to establish a priority list for the implementation of the necessary security measures as a result of this evaluation</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Brous, Janssen and Krans, 2020</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 xml:space="preserve">Once the risks have been identified and evaluated, the organisation should write a security policy that explains its approach to information security. This should be done as soon as possible after the risks have been identified and assessed. The data protection measures that will be put into place, the processes that will be followed in the event of a security breach, and the roles and duties of workers should all be covered </w:t>
      </w:r>
      <w:r w:rsidRPr="00B209BD">
        <w:rPr>
          <w:rFonts w:ascii="Times New Roman" w:hAnsi="Times New Roman" w:cs="Times New Roman"/>
          <w:sz w:val="24"/>
          <w:szCs w:val="24"/>
        </w:rPr>
        <w:lastRenderedPageBreak/>
        <w:t>by the security policy. It is important to ensure that the company's security policy is up to date and that all workers are aware of it. Additionally, the policy needs to be conveyed to all employees on a regular basis.</w:t>
      </w:r>
    </w:p>
    <w:p w14:paraId="47B13A3C"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Implement security controls in light of the risk assessment and the security policy, the organisation needs to put in place suitable security controls in order to safeguard its information systems. Access restrictions, data encryption, and network security are all examples of possible methods that fall under this category. The security controls should be designed to address the specific risks identified in the risk assessment, and they should be implemented in a way that is both cost-effective and does not impact the functionality of the company's information systems. In addition, the security controls should be designed to address the specific risks identified in the risk assessment</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Brandis et al., 2019</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Build a governance structure It is necessary to establish a governance structure in order to guarantee that the information systems of the firm are utilised in an ethical and responsible manner and that the organisation complies with all applicable laws and regulations. This might involve the formation of roles and responsibilities for data governance, as well as the formulation of policies and processes for the administration and protection of data. The corporate governance structure needs to be developed in such a way as to lend assistance to the company's business goals, and it ought to be sufficiently adaptable so as to accommodate evolving prerequisites.</w:t>
      </w:r>
    </w:p>
    <w:p w14:paraId="7513D7F3"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 xml:space="preserve">Conduct regular monitoring and reviews It is essential that the information security and governance processes of the organisation be subjected to consistent monitoring and evaluation in order to guarantee that they are both efficient and current. This might entail the use of techniques like as security audits and penetration testing in order to locate any potential vulnerabilities or weak points. The outcomes of the monitoring and review should be used to locate areas that want </w:t>
      </w:r>
      <w:r w:rsidRPr="00B209BD">
        <w:rPr>
          <w:rFonts w:ascii="Times New Roman" w:hAnsi="Times New Roman" w:cs="Times New Roman"/>
          <w:sz w:val="24"/>
          <w:szCs w:val="24"/>
        </w:rPr>
        <w:lastRenderedPageBreak/>
        <w:t>development, as well as to determine whether or not the security policy and governance structure require any essential revisions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Chhetri, 2022</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If the CoffeeB</w:t>
      </w:r>
      <w:r>
        <w:rPr>
          <w:rFonts w:ascii="Times New Roman" w:hAnsi="Times New Roman" w:cs="Times New Roman"/>
          <w:sz w:val="24"/>
          <w:szCs w:val="24"/>
        </w:rPr>
        <w:t>lend</w:t>
      </w:r>
      <w:r w:rsidRPr="00B209BD">
        <w:rPr>
          <w:rFonts w:ascii="Times New Roman" w:hAnsi="Times New Roman" w:cs="Times New Roman"/>
          <w:sz w:val="24"/>
          <w:szCs w:val="24"/>
        </w:rPr>
        <w:t xml:space="preserve"> firm follows these instructions, it will be able to successfully meet its information system security, governance, and compliance demands, and it will also be able to safeguard its data from attacks. The organisation can protect its information systems from both external and internal dangers by doing a risk assessment and putting in place the proper security policies. The organisation may guarantee that its information systems are utilised in an ethical and responsible manner and that it is in compliance with applicable laws and regulations by creating a governance structure, monitoring and evaluating its activities, and therefore meeting all of these requirements. The firm is able to secure its important data assets and keep the confidence of its clients if it makes these investments and takes these precautions.</w:t>
      </w:r>
    </w:p>
    <w:p w14:paraId="15508269" w14:textId="77777777" w:rsidR="00844583" w:rsidRPr="00B209BD" w:rsidRDefault="00844583" w:rsidP="00844583">
      <w:pPr>
        <w:pStyle w:val="Heading1"/>
        <w:jc w:val="both"/>
        <w:rPr>
          <w:rFonts w:cs="Times New Roman"/>
          <w:szCs w:val="24"/>
        </w:rPr>
      </w:pPr>
      <w:r w:rsidRPr="00B209BD">
        <w:rPr>
          <w:rFonts w:cs="Times New Roman"/>
          <w:szCs w:val="24"/>
        </w:rPr>
        <w:t>Critique, analyse, and discuss why it is good practice to constantly have new or updated regulations and standards.</w:t>
      </w:r>
    </w:p>
    <w:p w14:paraId="4CA7B6CF"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It is considered to be excellent business practise for companies to continually have new or updated laws and standards in place for a variety of reasons.</w:t>
      </w:r>
      <w:r>
        <w:rPr>
          <w:rFonts w:ascii="Times New Roman" w:hAnsi="Times New Roman" w:cs="Times New Roman"/>
          <w:sz w:val="24"/>
          <w:szCs w:val="24"/>
        </w:rPr>
        <w:t xml:space="preserve"> </w:t>
      </w:r>
      <w:r w:rsidRPr="00B209BD">
        <w:rPr>
          <w:rFonts w:ascii="Times New Roman" w:hAnsi="Times New Roman" w:cs="Times New Roman"/>
          <w:sz w:val="24"/>
          <w:szCs w:val="24"/>
        </w:rPr>
        <w:t>To begin, the nature of technology being one that is always in a state of change, along with the ever-increasing risk posed by cyber assaults, necessitates the introduction of new and revised norms and standards in order to guarantee the continued safety of data. It is essential for businesses to remain current with the most recent legislation and standards in order to guarantee that the information systems they use provide a sufficient level of security in light of the proliferation of new technologies and dangers. This is of utmost significance in the modern era of digital technology, when the volume of data that is being produced and stored is growing at an exponential pace, and where data breaches and other types of security events may have severe repercussions for both persons and businesses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 xml:space="preserve">Abidi et al., </w:t>
      </w:r>
      <w:r w:rsidRPr="001E5559">
        <w:rPr>
          <w:rFonts w:ascii="Times New Roman" w:hAnsi="Times New Roman" w:cs="Times New Roman"/>
          <w:color w:val="222222"/>
          <w:sz w:val="24"/>
          <w:szCs w:val="24"/>
          <w:shd w:val="clear" w:color="auto" w:fill="FFFFFF"/>
        </w:rPr>
        <w:lastRenderedPageBreak/>
        <w:t>2019</w:t>
      </w:r>
      <w:r w:rsidRPr="001E5559">
        <w:rPr>
          <w:rFonts w:ascii="Times New Roman" w:hAnsi="Times New Roman" w:cs="Times New Roman"/>
          <w:sz w:val="24"/>
          <w:szCs w:val="24"/>
        </w:rPr>
        <w:t>)</w:t>
      </w:r>
      <w:r w:rsidRPr="00B209BD">
        <w:rPr>
          <w:rFonts w:ascii="Times New Roman" w:hAnsi="Times New Roman" w:cs="Times New Roman"/>
          <w:sz w:val="24"/>
          <w:szCs w:val="24"/>
        </w:rPr>
        <w:t>.</w:t>
      </w:r>
      <w:r>
        <w:rPr>
          <w:rFonts w:ascii="Times New Roman" w:hAnsi="Times New Roman" w:cs="Times New Roman"/>
          <w:sz w:val="24"/>
          <w:szCs w:val="24"/>
        </w:rPr>
        <w:t xml:space="preserve"> </w:t>
      </w:r>
      <w:r w:rsidRPr="00B209BD">
        <w:rPr>
          <w:rFonts w:ascii="Times New Roman" w:hAnsi="Times New Roman" w:cs="Times New Roman"/>
          <w:sz w:val="24"/>
          <w:szCs w:val="24"/>
        </w:rPr>
        <w:t>The internet of things is one example of a kind of technology that undergoes ongoing evolution and necessitates the creation of new and updated rules and standards (IoT). The Internet of Things (IoT) is the expanding network of interconnected devices that are finding applications in many different industries, such as the medical field, the transportation industry, and the industrial sector. Because of the rising interconnectedness of these devices and the massive volumes of data that they create and transfer, a single security flaw in any one of these devices might potentially have far-reaching repercussions. In order to mitigate these dangers, there is a pressing need for newly enacted and revised legislation and standards that will protect the confidentiality of data collected by IoT devices.</w:t>
      </w:r>
    </w:p>
    <w:p w14:paraId="591CF3AC" w14:textId="77777777" w:rsidR="00844583" w:rsidRPr="00B209BD"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Second, the introduction of fresh norms and standards or the revision of existing ones is one way in which an organization's information systems might become more effective and efficient. For instance, the application of new standards or best practises may result in the employment of new technology or the development of more effective procedures, both of which contribute to an increase in the efficiency of the functioning of information systems</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Herring, 2022</w:t>
      </w:r>
      <w:r w:rsidRPr="001E5559">
        <w:rPr>
          <w:rFonts w:ascii="Times New Roman" w:hAnsi="Times New Roman" w:cs="Times New Roman"/>
          <w:sz w:val="24"/>
          <w:szCs w:val="24"/>
        </w:rPr>
        <w:t>)</w:t>
      </w:r>
      <w:r w:rsidRPr="00B209BD">
        <w:rPr>
          <w:rFonts w:ascii="Times New Roman" w:hAnsi="Times New Roman" w:cs="Times New Roman"/>
          <w:sz w:val="24"/>
          <w:szCs w:val="24"/>
        </w:rPr>
        <w:t>. For a company, the implementation of new cybersecurity standards may, for instance, assist in the prevention of data breaches and other security events, which may lead to considerable cost savings. In a similar vein, the implementation of new standards for data management may be able to contribute to an improvement in the data's quality and integrity, which in turn may assist enhanced decision-making and improved business results.</w:t>
      </w:r>
    </w:p>
    <w:p w14:paraId="46BCEA78" w14:textId="77777777" w:rsidR="00844583" w:rsidRDefault="00844583" w:rsidP="00844583">
      <w:pPr>
        <w:spacing w:line="480" w:lineRule="auto"/>
        <w:ind w:firstLine="720"/>
        <w:jc w:val="both"/>
        <w:rPr>
          <w:rFonts w:ascii="Times New Roman" w:hAnsi="Times New Roman" w:cs="Times New Roman"/>
          <w:sz w:val="24"/>
          <w:szCs w:val="24"/>
        </w:rPr>
      </w:pPr>
      <w:r w:rsidRPr="00B209BD">
        <w:rPr>
          <w:rFonts w:ascii="Times New Roman" w:hAnsi="Times New Roman" w:cs="Times New Roman"/>
          <w:sz w:val="24"/>
          <w:szCs w:val="24"/>
        </w:rPr>
        <w:t>Thirdly, adding new norms and standards or revising existing ones may be helpful in ensuring that laws and regulations are followed</w:t>
      </w:r>
      <w:r>
        <w:rPr>
          <w:rFonts w:ascii="Times New Roman" w:hAnsi="Times New Roman" w:cs="Times New Roman"/>
          <w:sz w:val="24"/>
          <w:szCs w:val="24"/>
        </w:rPr>
        <w:t xml:space="preserve"> </w:t>
      </w:r>
      <w:r w:rsidRPr="001E5559">
        <w:rPr>
          <w:rFonts w:ascii="Times New Roman" w:hAnsi="Times New Roman" w:cs="Times New Roman"/>
          <w:sz w:val="24"/>
          <w:szCs w:val="24"/>
        </w:rPr>
        <w:t>(</w:t>
      </w:r>
      <w:r w:rsidRPr="001E5559">
        <w:rPr>
          <w:rFonts w:ascii="Times New Roman" w:hAnsi="Times New Roman" w:cs="Times New Roman"/>
          <w:color w:val="222222"/>
          <w:sz w:val="24"/>
          <w:szCs w:val="24"/>
          <w:shd w:val="clear" w:color="auto" w:fill="FFFFFF"/>
        </w:rPr>
        <w:t>Chapple, 2022</w:t>
      </w:r>
      <w:r w:rsidRPr="001E5559">
        <w:rPr>
          <w:rFonts w:ascii="Times New Roman" w:hAnsi="Times New Roman" w:cs="Times New Roman"/>
          <w:sz w:val="24"/>
          <w:szCs w:val="24"/>
        </w:rPr>
        <w:t>)</w:t>
      </w:r>
      <w:r w:rsidRPr="00B209BD">
        <w:rPr>
          <w:rFonts w:ascii="Times New Roman" w:hAnsi="Times New Roman" w:cs="Times New Roman"/>
          <w:sz w:val="24"/>
          <w:szCs w:val="24"/>
        </w:rPr>
        <w:t xml:space="preserve">. This is of utmost significance for businesses operating in industries such as healthcare and finance, which are subject to stringent </w:t>
      </w:r>
      <w:r w:rsidRPr="00B209BD">
        <w:rPr>
          <w:rFonts w:ascii="Times New Roman" w:hAnsi="Times New Roman" w:cs="Times New Roman"/>
          <w:sz w:val="24"/>
          <w:szCs w:val="24"/>
        </w:rPr>
        <w:lastRenderedPageBreak/>
        <w:t>restrictions regarding the protection of personal information and privacy. Take, for instance, the General Data Protection Regulation.</w:t>
      </w:r>
    </w:p>
    <w:p w14:paraId="587BE764" w14:textId="77777777" w:rsidR="00844583" w:rsidRDefault="00844583" w:rsidP="00844583">
      <w:pPr>
        <w:rPr>
          <w:rFonts w:ascii="Times New Roman" w:hAnsi="Times New Roman" w:cs="Times New Roman"/>
          <w:sz w:val="24"/>
          <w:szCs w:val="24"/>
        </w:rPr>
      </w:pPr>
      <w:r>
        <w:rPr>
          <w:rFonts w:ascii="Times New Roman" w:hAnsi="Times New Roman" w:cs="Times New Roman"/>
          <w:sz w:val="24"/>
          <w:szCs w:val="24"/>
        </w:rPr>
        <w:br w:type="page"/>
      </w:r>
    </w:p>
    <w:p w14:paraId="2468D374" w14:textId="77777777" w:rsidR="00844583" w:rsidRDefault="00844583" w:rsidP="00844583">
      <w:pPr>
        <w:pStyle w:val="Heading1"/>
      </w:pPr>
      <w:r>
        <w:lastRenderedPageBreak/>
        <w:t>References</w:t>
      </w:r>
    </w:p>
    <w:p w14:paraId="6484C0BC"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Abidi, S., Essafi, M., Guegan, C.G., Fakhri, M., Witti, H. and Ghezala, H.H.B., 2019. A web service security governance approach based on dedicated micro-services. </w:t>
      </w:r>
      <w:r w:rsidRPr="00AE0F38">
        <w:rPr>
          <w:rFonts w:ascii="Times New Roman" w:hAnsi="Times New Roman" w:cs="Times New Roman"/>
          <w:i/>
          <w:iCs/>
          <w:color w:val="222222"/>
          <w:sz w:val="24"/>
          <w:szCs w:val="24"/>
          <w:shd w:val="clear" w:color="auto" w:fill="FFFFFF"/>
        </w:rPr>
        <w:t>Procedia Computer Science</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159</w:t>
      </w:r>
      <w:r w:rsidRPr="00AE0F38">
        <w:rPr>
          <w:rFonts w:ascii="Times New Roman" w:hAnsi="Times New Roman" w:cs="Times New Roman"/>
          <w:color w:val="222222"/>
          <w:sz w:val="24"/>
          <w:szCs w:val="24"/>
          <w:shd w:val="clear" w:color="auto" w:fill="FFFFFF"/>
        </w:rPr>
        <w:t>, pp.372-386.</w:t>
      </w:r>
    </w:p>
    <w:p w14:paraId="53E2E3F5" w14:textId="77777777" w:rsidR="00844583" w:rsidRPr="00B54DB0" w:rsidRDefault="00844583" w:rsidP="00844583">
      <w:pPr>
        <w:spacing w:line="480" w:lineRule="auto"/>
        <w:ind w:left="720" w:hanging="720"/>
        <w:jc w:val="both"/>
        <w:rPr>
          <w:rFonts w:ascii="Arial" w:hAnsi="Arial" w:cs="Arial"/>
          <w:color w:val="222222"/>
          <w:sz w:val="20"/>
          <w:szCs w:val="20"/>
          <w:shd w:val="clear" w:color="auto" w:fill="FFFFFF"/>
        </w:rPr>
      </w:pPr>
      <w:r w:rsidRPr="00AE0F38">
        <w:rPr>
          <w:rFonts w:ascii="Times New Roman" w:hAnsi="Times New Roman" w:cs="Times New Roman"/>
          <w:color w:val="222222"/>
          <w:sz w:val="24"/>
          <w:szCs w:val="24"/>
          <w:shd w:val="clear" w:color="auto" w:fill="FFFFFF"/>
        </w:rPr>
        <w:t>AlGhamdi, S., Win, K.T. and Vlahu-Gjorgievska, E., 2020. Information security governance challenges and critical success factors: Systematic review. </w:t>
      </w:r>
      <w:r w:rsidRPr="00AE0F38">
        <w:rPr>
          <w:rFonts w:ascii="Times New Roman" w:hAnsi="Times New Roman" w:cs="Times New Roman"/>
          <w:i/>
          <w:iCs/>
          <w:color w:val="222222"/>
          <w:sz w:val="24"/>
          <w:szCs w:val="24"/>
          <w:shd w:val="clear" w:color="auto" w:fill="FFFFFF"/>
        </w:rPr>
        <w:t>Computers &amp; Security</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99</w:t>
      </w:r>
      <w:r w:rsidRPr="00AE0F38">
        <w:rPr>
          <w:rFonts w:ascii="Times New Roman" w:hAnsi="Times New Roman" w:cs="Times New Roman"/>
          <w:color w:val="222222"/>
          <w:sz w:val="24"/>
          <w:szCs w:val="24"/>
          <w:shd w:val="clear" w:color="auto" w:fill="FFFFFF"/>
        </w:rPr>
        <w:t>, p.102030.</w:t>
      </w:r>
    </w:p>
    <w:p w14:paraId="42500AEA"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Brandis, K., Dzombeta, S., Colomo-Palacios, R. and Stantchev, V., 2019. Governance, risk, and compliance in cloud scenarios. </w:t>
      </w:r>
      <w:r w:rsidRPr="00AE0F38">
        <w:rPr>
          <w:rFonts w:ascii="Times New Roman" w:hAnsi="Times New Roman" w:cs="Times New Roman"/>
          <w:i/>
          <w:iCs/>
          <w:color w:val="222222"/>
          <w:sz w:val="24"/>
          <w:szCs w:val="24"/>
          <w:shd w:val="clear" w:color="auto" w:fill="FFFFFF"/>
        </w:rPr>
        <w:t>Applied Sciences</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9</w:t>
      </w:r>
      <w:r w:rsidRPr="00AE0F38">
        <w:rPr>
          <w:rFonts w:ascii="Times New Roman" w:hAnsi="Times New Roman" w:cs="Times New Roman"/>
          <w:color w:val="222222"/>
          <w:sz w:val="24"/>
          <w:szCs w:val="24"/>
          <w:shd w:val="clear" w:color="auto" w:fill="FFFFFF"/>
        </w:rPr>
        <w:t>(2), p.320.</w:t>
      </w:r>
    </w:p>
    <w:p w14:paraId="13BF95D7"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Brous, P., Janssen, M. and Krans, R., 2020, April. Data governance as success factor for data science. In </w:t>
      </w:r>
      <w:r w:rsidRPr="00AE0F38">
        <w:rPr>
          <w:rFonts w:ascii="Times New Roman" w:hAnsi="Times New Roman" w:cs="Times New Roman"/>
          <w:i/>
          <w:iCs/>
          <w:color w:val="222222"/>
          <w:sz w:val="24"/>
          <w:szCs w:val="24"/>
          <w:shd w:val="clear" w:color="auto" w:fill="FFFFFF"/>
        </w:rPr>
        <w:t>Conference on e-Business, e-Services and e-Society</w:t>
      </w:r>
      <w:r w:rsidRPr="00AE0F38">
        <w:rPr>
          <w:rFonts w:ascii="Times New Roman" w:hAnsi="Times New Roman" w:cs="Times New Roman"/>
          <w:color w:val="222222"/>
          <w:sz w:val="24"/>
          <w:szCs w:val="24"/>
          <w:shd w:val="clear" w:color="auto" w:fill="FFFFFF"/>
        </w:rPr>
        <w:t> (pp. 431-442). Springer, Cham.</w:t>
      </w:r>
    </w:p>
    <w:p w14:paraId="37E422FC"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Canedo, E.D., Ribeiro, V.C., Cerqueira, A.J., Gravina, R.M., Camões, R., dos Reis, V.E., Mendonça, F.L.L. and de Sousa, R.T., 2022. Evaluating and Evolving the Compliance to the Brazilian General Data Protection Law in a Federal Government Agency. In </w:t>
      </w:r>
      <w:r w:rsidRPr="00AE0F38">
        <w:rPr>
          <w:rFonts w:ascii="Times New Roman" w:hAnsi="Times New Roman" w:cs="Times New Roman"/>
          <w:i/>
          <w:iCs/>
          <w:color w:val="222222"/>
          <w:sz w:val="24"/>
          <w:szCs w:val="24"/>
          <w:shd w:val="clear" w:color="auto" w:fill="FFFFFF"/>
        </w:rPr>
        <w:t>International Conference on Enterprise Information Systems</w:t>
      </w:r>
      <w:r w:rsidRPr="00AE0F38">
        <w:rPr>
          <w:rFonts w:ascii="Times New Roman" w:hAnsi="Times New Roman" w:cs="Times New Roman"/>
          <w:color w:val="222222"/>
          <w:sz w:val="24"/>
          <w:szCs w:val="24"/>
          <w:shd w:val="clear" w:color="auto" w:fill="FFFFFF"/>
        </w:rPr>
        <w:t> (pp. 3-27). Springer, Cham.</w:t>
      </w:r>
    </w:p>
    <w:p w14:paraId="461EFB22"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Chapple, M., 2022. Information Security Governance and Compliance.</w:t>
      </w:r>
    </w:p>
    <w:p w14:paraId="2D951C2C"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Chhetri, I.T., 2022. Cybersecurity And Governance, Risk And Compliance (GRC). </w:t>
      </w:r>
      <w:r w:rsidRPr="00AE0F38">
        <w:rPr>
          <w:rFonts w:ascii="Times New Roman" w:hAnsi="Times New Roman" w:cs="Times New Roman"/>
          <w:i/>
          <w:iCs/>
          <w:color w:val="222222"/>
          <w:sz w:val="24"/>
          <w:szCs w:val="24"/>
          <w:shd w:val="clear" w:color="auto" w:fill="FFFFFF"/>
        </w:rPr>
        <w:t>Australian Journal of Wireless Technologies, Mobility and Security</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1</w:t>
      </w:r>
      <w:r w:rsidRPr="00AE0F38">
        <w:rPr>
          <w:rFonts w:ascii="Times New Roman" w:hAnsi="Times New Roman" w:cs="Times New Roman"/>
          <w:color w:val="222222"/>
          <w:sz w:val="24"/>
          <w:szCs w:val="24"/>
          <w:shd w:val="clear" w:color="auto" w:fill="FFFFFF"/>
        </w:rPr>
        <w:t>.</w:t>
      </w:r>
    </w:p>
    <w:p w14:paraId="4C668F23"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lastRenderedPageBreak/>
        <w:t>Fothergill, B.T., Knight, W., Stahl, B.C. and Ulnicane, I., 2019. Responsible data governance of neuroscience big data. </w:t>
      </w:r>
      <w:r w:rsidRPr="00AE0F38">
        <w:rPr>
          <w:rFonts w:ascii="Times New Roman" w:hAnsi="Times New Roman" w:cs="Times New Roman"/>
          <w:i/>
          <w:iCs/>
          <w:color w:val="222222"/>
          <w:sz w:val="24"/>
          <w:szCs w:val="24"/>
          <w:shd w:val="clear" w:color="auto" w:fill="FFFFFF"/>
        </w:rPr>
        <w:t>Frontiers in neuroinformatics</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13</w:t>
      </w:r>
      <w:r w:rsidRPr="00AE0F38">
        <w:rPr>
          <w:rFonts w:ascii="Times New Roman" w:hAnsi="Times New Roman" w:cs="Times New Roman"/>
          <w:color w:val="222222"/>
          <w:sz w:val="24"/>
          <w:szCs w:val="24"/>
          <w:shd w:val="clear" w:color="auto" w:fill="FFFFFF"/>
        </w:rPr>
        <w:t>, p.28.</w:t>
      </w:r>
    </w:p>
    <w:p w14:paraId="158E12AD"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Gille, F., Vayena, E. and Blasimme, A., 2020. Future-proofing biobanks’ governance. </w:t>
      </w:r>
      <w:r w:rsidRPr="00AE0F38">
        <w:rPr>
          <w:rFonts w:ascii="Times New Roman" w:hAnsi="Times New Roman" w:cs="Times New Roman"/>
          <w:i/>
          <w:iCs/>
          <w:color w:val="222222"/>
          <w:sz w:val="24"/>
          <w:szCs w:val="24"/>
          <w:shd w:val="clear" w:color="auto" w:fill="FFFFFF"/>
        </w:rPr>
        <w:t>European Journal of Human Genetics</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28</w:t>
      </w:r>
      <w:r w:rsidRPr="00AE0F38">
        <w:rPr>
          <w:rFonts w:ascii="Times New Roman" w:hAnsi="Times New Roman" w:cs="Times New Roman"/>
          <w:color w:val="222222"/>
          <w:sz w:val="24"/>
          <w:szCs w:val="24"/>
          <w:shd w:val="clear" w:color="auto" w:fill="FFFFFF"/>
        </w:rPr>
        <w:t>(8), pp.989-996.</w:t>
      </w:r>
    </w:p>
    <w:p w14:paraId="066F2BFA"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Herring, A.E., 2022. Data Governance &amp; Compliance.</w:t>
      </w:r>
    </w:p>
    <w:p w14:paraId="71F6C0FA"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Hina, S., Selvam, D.D.D.P. and Lowry, P.B., 2019. Institutional governance and protection motivation: Theoretical insights into shaping employees’ security compliance behavior in higher education institutions in the developing world. </w:t>
      </w:r>
      <w:r w:rsidRPr="00AE0F38">
        <w:rPr>
          <w:rFonts w:ascii="Times New Roman" w:hAnsi="Times New Roman" w:cs="Times New Roman"/>
          <w:i/>
          <w:iCs/>
          <w:color w:val="222222"/>
          <w:sz w:val="24"/>
          <w:szCs w:val="24"/>
          <w:shd w:val="clear" w:color="auto" w:fill="FFFFFF"/>
        </w:rPr>
        <w:t>Computers &amp; Security</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87</w:t>
      </w:r>
      <w:r w:rsidRPr="00AE0F38">
        <w:rPr>
          <w:rFonts w:ascii="Times New Roman" w:hAnsi="Times New Roman" w:cs="Times New Roman"/>
          <w:color w:val="222222"/>
          <w:sz w:val="24"/>
          <w:szCs w:val="24"/>
          <w:shd w:val="clear" w:color="auto" w:fill="FFFFFF"/>
        </w:rPr>
        <w:t>, p.101594.</w:t>
      </w:r>
    </w:p>
    <w:p w14:paraId="225628A3"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Schinagl, S. and Shahim, A., 2020. What do we know about information security governance?“From the basement to the boardroom”: towards digital security governance. </w:t>
      </w:r>
      <w:r w:rsidRPr="00AE0F38">
        <w:rPr>
          <w:rFonts w:ascii="Times New Roman" w:hAnsi="Times New Roman" w:cs="Times New Roman"/>
          <w:i/>
          <w:iCs/>
          <w:color w:val="222222"/>
          <w:sz w:val="24"/>
          <w:szCs w:val="24"/>
          <w:shd w:val="clear" w:color="auto" w:fill="FFFFFF"/>
        </w:rPr>
        <w:t>Information &amp; Computer Security</w:t>
      </w:r>
      <w:r w:rsidRPr="00AE0F38">
        <w:rPr>
          <w:rFonts w:ascii="Times New Roman" w:hAnsi="Times New Roman" w:cs="Times New Roman"/>
          <w:color w:val="222222"/>
          <w:sz w:val="24"/>
          <w:szCs w:val="24"/>
          <w:shd w:val="clear" w:color="auto" w:fill="FFFFFF"/>
        </w:rPr>
        <w:t>.</w:t>
      </w:r>
    </w:p>
    <w:p w14:paraId="5E61CBC1"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Sperling, J. and Webber, M., 2019. The European Union: security governance and collective securitisation. </w:t>
      </w:r>
      <w:r w:rsidRPr="00AE0F38">
        <w:rPr>
          <w:rFonts w:ascii="Times New Roman" w:hAnsi="Times New Roman" w:cs="Times New Roman"/>
          <w:i/>
          <w:iCs/>
          <w:color w:val="222222"/>
          <w:sz w:val="24"/>
          <w:szCs w:val="24"/>
          <w:shd w:val="clear" w:color="auto" w:fill="FFFFFF"/>
        </w:rPr>
        <w:t>West European Politics</w:t>
      </w:r>
      <w:r w:rsidRPr="00AE0F38">
        <w:rPr>
          <w:rFonts w:ascii="Times New Roman" w:hAnsi="Times New Roman" w:cs="Times New Roman"/>
          <w:color w:val="222222"/>
          <w:sz w:val="24"/>
          <w:szCs w:val="24"/>
          <w:shd w:val="clear" w:color="auto" w:fill="FFFFFF"/>
        </w:rPr>
        <w:t>, </w:t>
      </w:r>
      <w:r w:rsidRPr="00AE0F38">
        <w:rPr>
          <w:rFonts w:ascii="Times New Roman" w:hAnsi="Times New Roman" w:cs="Times New Roman"/>
          <w:i/>
          <w:iCs/>
          <w:color w:val="222222"/>
          <w:sz w:val="24"/>
          <w:szCs w:val="24"/>
          <w:shd w:val="clear" w:color="auto" w:fill="FFFFFF"/>
        </w:rPr>
        <w:t>42</w:t>
      </w:r>
      <w:r w:rsidRPr="00AE0F38">
        <w:rPr>
          <w:rFonts w:ascii="Times New Roman" w:hAnsi="Times New Roman" w:cs="Times New Roman"/>
          <w:color w:val="222222"/>
          <w:sz w:val="24"/>
          <w:szCs w:val="24"/>
          <w:shd w:val="clear" w:color="auto" w:fill="FFFFFF"/>
        </w:rPr>
        <w:t>(2), pp.228-260.</w:t>
      </w:r>
    </w:p>
    <w:p w14:paraId="68D2A372"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Stevens, R., Dykstra, J., Everette, W.K., Chapman, J., Bladow, G., Farmer, A., Halliday, K. and Mazurek, M.L., 2020, February. Compliance Cautions: Investigating Security Issues Associated with US Digital-Security Standards. In </w:t>
      </w:r>
      <w:r w:rsidRPr="00AE0F38">
        <w:rPr>
          <w:rFonts w:ascii="Times New Roman" w:hAnsi="Times New Roman" w:cs="Times New Roman"/>
          <w:i/>
          <w:iCs/>
          <w:color w:val="222222"/>
          <w:sz w:val="24"/>
          <w:szCs w:val="24"/>
          <w:shd w:val="clear" w:color="auto" w:fill="FFFFFF"/>
        </w:rPr>
        <w:t>NDSS</w:t>
      </w:r>
      <w:r w:rsidRPr="00AE0F38">
        <w:rPr>
          <w:rFonts w:ascii="Times New Roman" w:hAnsi="Times New Roman" w:cs="Times New Roman"/>
          <w:color w:val="222222"/>
          <w:sz w:val="24"/>
          <w:szCs w:val="24"/>
          <w:shd w:val="clear" w:color="auto" w:fill="FFFFFF"/>
        </w:rPr>
        <w:t>.</w:t>
      </w:r>
    </w:p>
    <w:p w14:paraId="73D541AD" w14:textId="77777777" w:rsidR="00844583" w:rsidRPr="00AE0F38" w:rsidRDefault="00844583" w:rsidP="00844583">
      <w:pPr>
        <w:spacing w:line="480" w:lineRule="auto"/>
        <w:ind w:left="720" w:hanging="720"/>
        <w:jc w:val="both"/>
        <w:rPr>
          <w:rFonts w:ascii="Times New Roman" w:hAnsi="Times New Roman" w:cs="Times New Roman"/>
          <w:color w:val="222222"/>
          <w:sz w:val="24"/>
          <w:szCs w:val="24"/>
          <w:shd w:val="clear" w:color="auto" w:fill="FFFFFF"/>
        </w:rPr>
      </w:pPr>
      <w:r w:rsidRPr="00AE0F38">
        <w:rPr>
          <w:rFonts w:ascii="Times New Roman" w:hAnsi="Times New Roman" w:cs="Times New Roman"/>
          <w:color w:val="222222"/>
          <w:sz w:val="24"/>
          <w:szCs w:val="24"/>
          <w:shd w:val="clear" w:color="auto" w:fill="FFFFFF"/>
        </w:rPr>
        <w:t>Tsohou, A., Magkos, M., Mouratidis, H., Chrysoloras, G., Piras, L., Pavlidis, M., Debussche, J., Rotoloni, M. and Crespo, B.G.N., 2020. Privacy, security, legal and technology acceptance requirements for a GDPR compliance platform. In </w:t>
      </w:r>
      <w:r w:rsidRPr="00AE0F38">
        <w:rPr>
          <w:rFonts w:ascii="Times New Roman" w:hAnsi="Times New Roman" w:cs="Times New Roman"/>
          <w:i/>
          <w:iCs/>
          <w:color w:val="222222"/>
          <w:sz w:val="24"/>
          <w:szCs w:val="24"/>
          <w:shd w:val="clear" w:color="auto" w:fill="FFFFFF"/>
        </w:rPr>
        <w:t xml:space="preserve">International Workshop on the Security of Industrial Control Systems and Cyber-Physical Systems, International Workshop on </w:t>
      </w:r>
      <w:r w:rsidRPr="00AE0F38">
        <w:rPr>
          <w:rFonts w:ascii="Times New Roman" w:hAnsi="Times New Roman" w:cs="Times New Roman"/>
          <w:i/>
          <w:iCs/>
          <w:color w:val="222222"/>
          <w:sz w:val="24"/>
          <w:szCs w:val="24"/>
          <w:shd w:val="clear" w:color="auto" w:fill="FFFFFF"/>
        </w:rPr>
        <w:lastRenderedPageBreak/>
        <w:t>Security and Privacy Requirements Engineering, International Workshop on Security, Privacy, Organizations, and Systems Engineering, International Workshop on Attacks and Defenses for Internet-of-Things</w:t>
      </w:r>
      <w:r w:rsidRPr="00AE0F38">
        <w:rPr>
          <w:rFonts w:ascii="Times New Roman" w:hAnsi="Times New Roman" w:cs="Times New Roman"/>
          <w:color w:val="222222"/>
          <w:sz w:val="24"/>
          <w:szCs w:val="24"/>
          <w:shd w:val="clear" w:color="auto" w:fill="FFFFFF"/>
        </w:rPr>
        <w:t> (pp. 204-223). Springer, Cham.</w:t>
      </w:r>
    </w:p>
    <w:p w14:paraId="57456DF3" w14:textId="77777777" w:rsidR="00844583" w:rsidRDefault="00844583" w:rsidP="00844583"/>
    <w:p w14:paraId="1D97F6E5" w14:textId="77777777" w:rsidR="00844583" w:rsidRDefault="00844583" w:rsidP="00844583"/>
    <w:p w14:paraId="7495FFCA" w14:textId="77777777" w:rsidR="00C82C82" w:rsidRDefault="00C82C82"/>
    <w:sectPr w:rsidR="00C82C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583"/>
    <w:rsid w:val="00191D81"/>
    <w:rsid w:val="004A596F"/>
    <w:rsid w:val="00844583"/>
    <w:rsid w:val="00C82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60A5F5"/>
  <w15:chartTrackingRefBased/>
  <w15:docId w15:val="{C01A7BB2-28B4-6846-AC35-EC5E9A4BC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583"/>
    <w:pPr>
      <w:spacing w:after="160" w:line="259" w:lineRule="auto"/>
    </w:pPr>
    <w:rPr>
      <w:sz w:val="22"/>
      <w:szCs w:val="22"/>
      <w:lang w:val="en-US"/>
    </w:rPr>
  </w:style>
  <w:style w:type="paragraph" w:styleId="Heading1">
    <w:name w:val="heading 1"/>
    <w:basedOn w:val="Normal"/>
    <w:link w:val="Heading1Char"/>
    <w:autoRedefine/>
    <w:uiPriority w:val="9"/>
    <w:qFormat/>
    <w:rsid w:val="00844583"/>
    <w:pPr>
      <w:widowControl w:val="0"/>
      <w:autoSpaceDE w:val="0"/>
      <w:autoSpaceDN w:val="0"/>
      <w:spacing w:after="0" w:line="480" w:lineRule="auto"/>
      <w:outlineLvl w:val="0"/>
    </w:pPr>
    <w:rPr>
      <w:rFonts w:ascii="Times New Roman" w:eastAsia="Calibri" w:hAnsi="Times New Roman" w:cs="Calibri"/>
      <w:b/>
      <w:i/>
      <w:color w:val="000000" w:themeColor="text1"/>
      <w:sz w:val="24"/>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583"/>
    <w:rPr>
      <w:rFonts w:ascii="Times New Roman" w:eastAsia="Calibri" w:hAnsi="Times New Roman" w:cs="Calibri"/>
      <w:b/>
      <w:i/>
      <w:color w:val="000000" w:themeColor="text1"/>
      <w:szCs w:val="48"/>
      <w:lang w:val="en-US"/>
    </w:rPr>
  </w:style>
  <w:style w:type="character" w:customStyle="1" w:styleId="selectable-text">
    <w:name w:val="selectable-text"/>
    <w:basedOn w:val="DefaultParagraphFont"/>
    <w:rsid w:val="008445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3316</Words>
  <Characters>18778</Characters>
  <Application>Microsoft Office Word</Application>
  <DocSecurity>0</DocSecurity>
  <Lines>269</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22054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Binoy</dc:creator>
  <cp:keywords/>
  <dc:description/>
  <cp:lastModifiedBy>Christopher, Namitha</cp:lastModifiedBy>
  <cp:revision>3</cp:revision>
  <dcterms:created xsi:type="dcterms:W3CDTF">2023-01-09T20:48:00Z</dcterms:created>
  <dcterms:modified xsi:type="dcterms:W3CDTF">2023-01-09T20:59:00Z</dcterms:modified>
  <cp:category/>
</cp:coreProperties>
</file>