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Default Extension="png" ContentType="image/png"/>
  <Override PartName="/word/styles.xml" ContentType="application/vnd.openxmlformats-officedocument.wordprocessingml.styles+xml"/>
  <Override PartName="/word/theme/theme1.xml" ContentType="application/vnd.openxmlformats-officedocument.theme+xml"/>
  <Override PartName="/docprops/core.xml" ContentType="application/vnd.openxmlformats-package.core-properties+xml"/>
  <Override PartName="/word/settings.xml" ContentType="application/vnd.openxmlformats-officedocument.wordprocessingml.settings+xml"/>
  <Override PartName="/word/document.xml" ContentType="application/vnd.openxmlformats-officedocument.wordprocessingml.document.main+xml"/>
  <Override PartName="/word/fonttable.xml" ContentType="application/vnd.openxmlformats-officedocument.wordprocessingml.fontTable+xml"/>
  <Override PartName="/docprops/app.xml" ContentType="application/vnd.openxmlformats-officedocument.extended-propertie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http://schemas.openxmlformats.org/wordprocessingml/2006/main"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pi="http://schemas.microsoft.com/office/word/2010/wordprocessingInk" xmlns:aink="http://schemas.microsoft.com/office/drawing/2016/ink" xmlns:dgm="http://schemas.openxmlformats.org/drawingml/2006/diagram">
  <w:body>
    <w:p/>
    <w:p/>
    <w:p/>
    <w:p/>
    <w:p>
      <w:pPr>
        <w:spacing w:before="0" w:after="160" w:line="258"/>
        <w:ind w:left="0" w:right="0" w:firstLine="0"/>
        <w:jc w:val="center"/>
        <w:rPr>
          <w:rFonts w:ascii="Arial" w:cs="Arial" w:hAnsi="Arial"/>
          <w:sz w:val="22"/>
          <w:szCs w:val="22"/>
        </w:rPr>
      </w:pPr>
    </w:p>
    <w:p>
      <w:pPr>
        <w:spacing w:before="0" w:after="160" w:line="258"/>
        <w:ind w:left="0" w:right="0" w:firstLine="0"/>
        <w:jc w:val="center"/>
        <w:rPr>
          <w:rFonts w:ascii="Arial" w:cs="Arial" w:hAnsi="Arial"/>
          <w:sz w:val="22"/>
          <w:szCs w:val="22"/>
        </w:rPr>
      </w:pPr>
    </w:p>
    <w:p>
      <w:pPr>
        <w:spacing w:before="0" w:after="160" w:line="258"/>
        <w:ind w:left="0" w:right="0" w:firstLine="0"/>
        <w:jc w:val="center"/>
        <w:rPr>
          <w:rFonts w:ascii="Arial" w:cs="Arial" w:hAnsi="Arial"/>
          <w:sz w:val="22"/>
          <w:szCs w:val="22"/>
        </w:rPr>
      </w:pPr>
    </w:p>
    <w:p>
      <w:pPr>
        <w:spacing w:before="0" w:after="160" w:line="258"/>
        <w:ind w:left="0" w:right="0" w:firstLine="0"/>
        <w:jc w:val="center"/>
        <w:rPr>
          <w:rFonts w:ascii="Arial" w:cs="Arial" w:hAnsi="Arial"/>
          <w:sz w:val="22"/>
          <w:szCs w:val="22"/>
        </w:rPr>
      </w:pPr>
      <w:r>
        <w:rPr>
          <w:rFonts w:ascii="Arial" w:cs="Arial" w:hAnsi="Arial"/>
          <w:sz w:val="22"/>
          <w:szCs w:val="22"/>
        </w:rPr>
        <w:t>Georgiana Oana(21304</w:t>
      </w:r>
      <w:r>
        <w:rPr>
          <w:rFonts w:ascii="Arial" w:cs="Arial" w:hAnsi="Arial"/>
          <w:sz w:val="22"/>
          <w:szCs w:val="22"/>
          <w:lang w:val="en-GB"/>
        </w:rPr>
        <w:t>62)</w:t>
      </w:r>
    </w:p>
    <w:p>
      <w:pPr>
        <w:spacing w:before="0" w:after="160" w:line="258"/>
        <w:ind w:left="0" w:right="0" w:firstLine="0"/>
        <w:jc w:val="center"/>
        <w:rPr>
          <w:rFonts w:ascii="Arial" w:cs="Arial" w:hAnsi="Arial"/>
        </w:rPr>
      </w:pPr>
    </w:p>
    <w:p>
      <w:pPr>
        <w:spacing w:before="0" w:after="160" w:line="258"/>
        <w:ind w:left="0" w:right="0" w:firstLine="0"/>
        <w:jc w:val="center"/>
        <w:rPr>
          <w:rFonts w:ascii="Arial" w:cs="Arial" w:hAnsi="Arial"/>
        </w:rPr>
      </w:pPr>
      <w:r>
        <w:rPr>
          <w:rFonts w:ascii="Arial" w:cs="Arial" w:hAnsi="Arial"/>
          <w:lang w:val="en-GB"/>
        </w:rPr>
        <w:t>INTODUCTION TO PUBLIC HEALTH</w:t>
      </w:r>
    </w:p>
    <w:p>
      <w:pPr>
        <w:spacing w:before="0" w:after="160" w:line="258"/>
        <w:ind w:left="0" w:right="0" w:firstLine="0"/>
        <w:jc w:val="center"/>
        <w:rPr>
          <w:rFonts w:ascii="Arial" w:cs="Arial" w:hAnsi="Arial"/>
        </w:rPr>
      </w:pPr>
      <w:r>
        <w:rPr>
          <w:rFonts w:ascii="Arial" w:cs="Arial" w:hAnsi="Arial"/>
          <w:lang w:val="en-GB"/>
        </w:rPr>
        <w:t>LCHS4004_LON</w:t>
      </w:r>
    </w:p>
    <w:p>
      <w:pPr>
        <w:spacing w:before="0" w:after="160" w:line="258"/>
        <w:ind w:left="0" w:right="0" w:firstLine="0"/>
        <w:jc w:val="center"/>
        <w:rPr/>
      </w:pPr>
      <w:r>
        <w:rPr>
          <w:rFonts w:ascii="Arial" w:cs="Arial" w:hAnsi="Arial"/>
          <w:lang w:val="en-GB"/>
        </w:rPr>
        <w:t>BIANCA SANFILLIPO</w:t>
      </w:r>
    </w:p>
    <w:p>
      <w:pPr>
        <w:spacing w:before="0" w:after="160" w:line="258"/>
        <w:ind w:left="0" w:right="0" w:firstLine="0"/>
        <w:jc w:val="center"/>
        <w:rPr/>
      </w:pPr>
    </w:p>
    <w:p>
      <w:pPr>
        <w:spacing w:before="0" w:after="160" w:line="258"/>
        <w:ind w:left="0" w:right="0" w:firstLine="0"/>
        <w:jc w:val="center"/>
        <w:rPr>
          <w:rFonts w:ascii="Arial" w:cs="Arial" w:hAnsi="Arial"/>
        </w:rPr>
      </w:pPr>
      <w:r>
        <w:rPr>
          <w:rFonts w:ascii="Arial" w:cs="Arial" w:hAnsi="Arial"/>
          <w:lang w:val="en-GB"/>
        </w:rPr>
        <w:t>SUPORTING PAPER OF CASE OF STUDY.</w:t>
      </w:r>
    </w:p>
    <w:p>
      <w:pPr>
        <w:spacing w:before="0" w:after="160" w:line="258"/>
        <w:ind w:left="0" w:right="0" w:firstLine="0"/>
        <w:jc w:val="center"/>
        <w:rPr>
          <w:rFonts w:ascii="Arial" w:cs="Arial" w:hAnsi="Arial"/>
        </w:rPr>
      </w:pPr>
      <w:r>
        <w:rPr>
          <w:rFonts w:ascii="Arial" w:cs="Arial" w:hAnsi="Arial"/>
          <w:lang w:val="en-GB"/>
        </w:rPr>
        <w:t>MUMPS</w:t>
      </w:r>
    </w:p>
    <w:p>
      <w:pPr>
        <w:spacing w:before="0" w:after="160" w:line="258"/>
        <w:ind w:left="0" w:right="0" w:firstLine="0"/>
        <w:jc w:val="center"/>
        <w:rPr>
          <w:rFonts w:ascii="Arial" w:cs="Arial" w:hAnsi="Arial"/>
        </w:rPr>
      </w:pPr>
    </w:p>
    <w:p>
      <w:pPr>
        <w:spacing w:before="0" w:after="160" w:line="258"/>
        <w:ind w:left="0" w:right="0" w:firstLine="0"/>
        <w:jc w:val="center"/>
        <w:rPr>
          <w:rFonts w:ascii="Arial" w:cs="Arial" w:hAnsi="Arial"/>
        </w:rPr>
      </w:pPr>
    </w:p>
    <w:p>
      <w:pPr>
        <w:spacing w:before="0" w:after="160" w:line="258"/>
        <w:ind w:left="0" w:right="0" w:firstLine="0"/>
        <w:jc w:val="center"/>
        <w:rPr>
          <w:rFonts w:ascii="Arial" w:cs="Arial" w:hAnsi="Arial"/>
        </w:rPr>
      </w:pPr>
    </w:p>
    <w:p>
      <w:pPr>
        <w:spacing w:before="0" w:after="160" w:line="258"/>
        <w:ind w:left="0" w:right="0" w:firstLine="0"/>
        <w:jc w:val="center"/>
        <w:rPr>
          <w:rFonts w:ascii="Arial" w:cs="Arial" w:hAnsi="Arial"/>
        </w:rPr>
      </w:pPr>
    </w:p>
    <w:p>
      <w:pPr>
        <w:spacing w:before="0" w:after="160" w:line="258"/>
        <w:ind w:left="0" w:right="0" w:firstLine="0"/>
        <w:jc w:val="center"/>
        <w:rPr>
          <w:rFonts w:ascii="Arial" w:cs="Arial" w:hAnsi="Arial"/>
        </w:rPr>
      </w:pPr>
    </w:p>
    <w:p>
      <w:pPr>
        <w:spacing w:before="0" w:after="160" w:line="258"/>
        <w:ind w:left="0" w:right="0" w:firstLine="0"/>
        <w:jc w:val="center"/>
        <w:rPr>
          <w:rFonts w:ascii="Arial" w:cs="Arial" w:hAnsi="Arial"/>
        </w:rPr>
      </w:pPr>
    </w:p>
    <w:p>
      <w:pPr>
        <w:spacing w:before="0" w:after="160" w:line="258"/>
        <w:ind w:left="0" w:right="0" w:firstLine="0"/>
        <w:jc w:val="center"/>
        <w:rPr>
          <w:rFonts w:ascii="Arial" w:cs="Arial" w:hAnsi="Arial"/>
        </w:rPr>
      </w:pPr>
    </w:p>
    <w:p>
      <w:pPr>
        <w:spacing w:before="0" w:after="160" w:line="258"/>
        <w:ind w:left="0" w:right="0" w:firstLine="0"/>
        <w:jc w:val="center"/>
        <w:rPr>
          <w:rFonts w:ascii="Arial" w:cs="Arial" w:hAnsi="Arial"/>
        </w:rPr>
      </w:pPr>
      <w:r>
        <w:rPr>
          <w:rFonts w:ascii="Arial" w:cs="Arial" w:hAnsi="Arial"/>
        </w:rPr>
        <w:t xml:space="preserve">                                                                                                                           </w:t>
      </w:r>
    </w:p>
    <w:p>
      <w:pPr>
        <w:spacing w:before="0" w:after="160" w:line="258"/>
        <w:ind w:left="0" w:right="0" w:firstLine="0"/>
        <w:jc w:val="center"/>
        <w:rPr>
          <w:rFonts w:ascii="Arial" w:cs="Arial" w:hAnsi="Arial"/>
        </w:rPr>
      </w:pPr>
    </w:p>
    <w:p>
      <w:pPr>
        <w:spacing w:before="0" w:after="160" w:line="258"/>
        <w:ind w:left="0" w:right="0" w:firstLine="0"/>
        <w:jc w:val="center"/>
        <w:rPr>
          <w:rFonts w:ascii="Arial" w:cs="Arial" w:hAnsi="Arial"/>
        </w:rPr>
      </w:pPr>
    </w:p>
    <w:p>
      <w:pPr>
        <w:spacing w:before="0" w:after="160" w:line="258"/>
        <w:ind w:left="0" w:right="0" w:firstLine="0"/>
        <w:jc w:val="center"/>
        <w:rPr>
          <w:rFonts w:ascii="Arial" w:cs="Arial" w:hAnsi="Arial"/>
        </w:rPr>
      </w:pPr>
    </w:p>
    <w:p>
      <w:pPr>
        <w:spacing w:before="0" w:after="160" w:line="258"/>
        <w:ind w:left="0" w:right="0" w:firstLine="0"/>
        <w:jc w:val="center"/>
        <w:rPr>
          <w:rFonts w:ascii="Arial" w:cs="Arial" w:hAnsi="Arial"/>
        </w:rPr>
      </w:pPr>
    </w:p>
    <w:p>
      <w:pPr>
        <w:spacing w:before="0" w:after="160" w:line="258"/>
        <w:ind w:left="0" w:right="0" w:firstLine="0"/>
        <w:jc w:val="center"/>
        <w:rPr>
          <w:rFonts w:ascii="Arial" w:cs="Arial" w:hAnsi="Arial"/>
        </w:rPr>
      </w:pPr>
    </w:p>
    <w:p>
      <w:pPr>
        <w:spacing w:before="0" w:after="160" w:line="258"/>
        <w:ind w:left="0" w:right="0" w:firstLine="0"/>
        <w:jc w:val="center"/>
        <w:rPr>
          <w:rFonts w:ascii="Arial" w:cs="Arial" w:hAnsi="Arial"/>
        </w:rPr>
      </w:pPr>
    </w:p>
    <w:p>
      <w:pPr>
        <w:spacing w:before="0" w:after="160" w:line="258"/>
        <w:ind w:left="0" w:right="0" w:firstLine="0"/>
        <w:jc w:val="center"/>
        <w:rPr>
          <w:rFonts w:ascii="Arial" w:cs="Arial" w:hAnsi="Arial"/>
          <w:lang w:val="en-GB"/>
        </w:rPr>
      </w:pPr>
    </w:p>
    <w:p>
      <w:pPr>
        <w:spacing w:before="0" w:after="160" w:line="258"/>
        <w:ind w:left="0" w:right="0" w:firstLine="0"/>
        <w:jc w:val="center"/>
        <w:rPr>
          <w:rFonts w:ascii="Arial" w:cs="Arial" w:hAnsi="Arial"/>
        </w:rPr>
      </w:pPr>
    </w:p>
    <w:p>
      <w:pPr>
        <w:spacing w:before="0" w:after="160" w:line="258"/>
        <w:ind w:left="0" w:right="0" w:firstLine="0"/>
        <w:jc w:val="center"/>
        <w:rPr>
          <w:rFonts w:ascii="Arial" w:cs="Arial" w:hAnsi="Arial"/>
        </w:rPr>
      </w:pPr>
    </w:p>
    <w:p/>
    <w:p>
      <w:pPr>
        <w:spacing w:before="0" w:after="160" w:line="258"/>
        <w:ind w:left="0" w:right="0" w:firstLine="0"/>
        <w:jc w:val="center"/>
        <w:rPr>
          <w:rFonts w:ascii="Arial" w:cs="Arial" w:hAnsi="Arial"/>
        </w:rPr>
      </w:pPr>
    </w:p>
    <w:p>
      <w:pPr>
        <w:spacing w:before="0" w:after="160" w:line="258"/>
        <w:ind w:left="0" w:right="0" w:firstLine="0"/>
        <w:jc w:val="center"/>
        <w:rPr>
          <w:rFonts w:ascii="Arial" w:cs="Arial" w:hAnsi="Arial"/>
        </w:rPr>
      </w:pPr>
    </w:p>
    <w:p>
      <w:pPr>
        <w:spacing w:before="0" w:after="160" w:line="258"/>
        <w:ind w:left="0" w:right="0" w:firstLine="0"/>
        <w:jc w:val="center"/>
        <w:rPr>
          <w:rFonts w:ascii="Arial" w:cs="Arial" w:hAnsi="Arial"/>
          <w:b/>
          <w:bCs/>
          <w:lang w:val="en-GB"/>
        </w:rPr>
      </w:pPr>
    </w:p>
    <w:p>
      <w:pPr>
        <w:spacing w:before="0" w:after="160" w:line="258"/>
        <w:ind w:left="0" w:right="0" w:firstLine="0"/>
        <w:jc w:val="center"/>
        <w:rPr>
          <w:rFonts w:ascii="Arial" w:cs="Arial" w:hAnsi="Arial"/>
          <w:b/>
          <w:bCs/>
          <w:lang w:val="en-GB"/>
        </w:rPr>
      </w:pPr>
    </w:p>
    <w:p>
      <w:pPr>
        <w:spacing w:before="0" w:after="160" w:line="258"/>
        <w:ind w:left="0" w:right="0" w:firstLine="0"/>
        <w:jc w:val="center"/>
        <w:rPr>
          <w:rFonts w:ascii="Arial" w:cs="Arial" w:hAnsi="Arial"/>
          <w:b/>
          <w:bCs/>
          <w:lang w:val="en-GB"/>
        </w:rPr>
      </w:pPr>
    </w:p>
    <w:p>
      <w:pPr>
        <w:spacing w:before="0" w:after="160" w:line="258"/>
        <w:ind w:left="0" w:right="0" w:firstLine="0"/>
        <w:jc w:val="center"/>
        <w:rPr>
          <w:rFonts w:ascii="Arial" w:cs="Arial" w:hAnsi="Arial"/>
          <w:b/>
          <w:bCs/>
          <w:lang w:val="en-GB"/>
        </w:rPr>
      </w:pPr>
    </w:p>
    <w:p>
      <w:pPr>
        <w:spacing w:before="0" w:after="160" w:line="258"/>
        <w:ind w:left="0" w:right="0" w:firstLine="0"/>
        <w:jc w:val="center"/>
        <w:rPr>
          <w:rFonts w:ascii="Arial" w:cs="Arial" w:hAnsi="Arial"/>
          <w:b/>
          <w:bCs/>
          <w:lang w:val="en-GB"/>
        </w:rPr>
      </w:pPr>
    </w:p>
    <w:p>
      <w:pPr>
        <w:spacing w:before="0" w:after="160" w:line="258"/>
        <w:ind w:left="0" w:right="0" w:firstLine="0"/>
        <w:jc w:val="center"/>
        <w:rPr>
          <w:rFonts w:ascii="Arial" w:cs="Arial" w:hAnsi="Arial"/>
          <w:b/>
          <w:bCs/>
        </w:rPr>
      </w:pPr>
      <w:r>
        <w:rPr>
          <w:rFonts w:ascii="Arial" w:cs="Arial" w:hAnsi="Arial"/>
          <w:b/>
          <w:bCs/>
          <w:lang w:val="en-GB"/>
        </w:rPr>
        <w:t>Table of content</w:t>
      </w:r>
    </w:p>
    <w:p>
      <w:pPr>
        <w:spacing w:before="0" w:after="160" w:line="258"/>
        <w:ind w:left="0" w:right="0" w:firstLine="0"/>
        <w:jc w:val="center"/>
        <w:rPr>
          <w:rFonts w:ascii="Arial" w:cs="Arial" w:hAnsi="Arial"/>
        </w:rPr>
      </w:pPr>
    </w:p>
    <w:p>
      <w:pPr>
        <w:spacing w:before="0" w:after="160" w:line="258"/>
        <w:ind w:left="0" w:right="0" w:firstLine="0"/>
        <w:jc w:val="center"/>
        <w:rPr>
          <w:rFonts w:ascii="Arial" w:cs="Arial" w:hAnsi="Arial"/>
        </w:rPr>
      </w:pPr>
      <w:r>
        <w:rPr>
          <w:rFonts w:ascii="Arial" w:cs="Arial" w:hAnsi="Arial"/>
          <w:lang w:val="en-GB"/>
        </w:rPr>
        <w:t>1.Introduction..............................................................................</w:t>
      </w:r>
    </w:p>
    <w:p>
      <w:pPr>
        <w:spacing w:before="0" w:after="160" w:line="258"/>
        <w:ind w:left="0" w:right="0" w:firstLine="0"/>
        <w:jc w:val="center"/>
        <w:rPr>
          <w:rFonts w:ascii="Arial" w:cs="Arial" w:hAnsi="Arial"/>
        </w:rPr>
      </w:pPr>
      <w:r>
        <w:rPr>
          <w:rFonts w:ascii="Arial" w:cs="Arial" w:hAnsi="Arial"/>
          <w:lang w:val="en-GB"/>
        </w:rPr>
        <w:t>2.Definition of mumps..................................................................</w:t>
      </w:r>
    </w:p>
    <w:p>
      <w:pPr>
        <w:spacing w:before="0" w:after="160" w:line="258"/>
        <w:ind w:left="0" w:right="0" w:firstLine="0"/>
        <w:jc w:val="center"/>
        <w:rPr>
          <w:rFonts w:ascii="Arial" w:cs="Arial" w:hAnsi="Arial"/>
        </w:rPr>
      </w:pPr>
      <w:r>
        <w:rPr>
          <w:rFonts w:ascii="Arial" w:cs="Arial" w:hAnsi="Arial"/>
          <w:lang w:val="en-GB"/>
        </w:rPr>
        <w:t>3.Level of incidence......................................................................</w:t>
      </w:r>
    </w:p>
    <w:p>
      <w:pPr>
        <w:spacing w:before="0" w:after="160" w:line="258"/>
        <w:ind w:left="0" w:right="0" w:firstLine="0"/>
        <w:jc w:val="center"/>
        <w:rPr>
          <w:rFonts w:ascii="Arial" w:cs="Arial" w:hAnsi="Arial"/>
        </w:rPr>
      </w:pPr>
      <w:r>
        <w:rPr>
          <w:rFonts w:ascii="Arial" w:cs="Arial" w:hAnsi="Arial"/>
          <w:lang w:val="en-GB"/>
        </w:rPr>
        <w:t>4.Strategies to measure...............................................................</w:t>
      </w:r>
    </w:p>
    <w:p>
      <w:pPr>
        <w:spacing w:before="0" w:after="160" w:line="258"/>
        <w:ind w:left="0" w:right="0" w:firstLine="0"/>
        <w:jc w:val="center"/>
        <w:rPr>
          <w:rFonts w:ascii="Arial" w:cs="Arial" w:hAnsi="Arial"/>
        </w:rPr>
      </w:pPr>
      <w:r>
        <w:rPr>
          <w:rFonts w:ascii="Arial" w:cs="Arial" w:hAnsi="Arial"/>
          <w:lang w:val="en-GB"/>
        </w:rPr>
        <w:t>5.Strategies to monitor.................................................................</w:t>
      </w:r>
    </w:p>
    <w:p>
      <w:pPr>
        <w:spacing w:before="0" w:after="160" w:line="258"/>
        <w:ind w:left="0" w:right="0" w:firstLine="0"/>
        <w:jc w:val="center"/>
        <w:rPr>
          <w:rFonts w:ascii="Arial" w:cs="Arial" w:hAnsi="Arial"/>
        </w:rPr>
      </w:pPr>
      <w:r>
        <w:rPr>
          <w:rFonts w:ascii="Arial" w:cs="Arial" w:hAnsi="Arial"/>
          <w:lang w:val="en-GB"/>
        </w:rPr>
        <w:t>6.Strategies to control..................................................................</w:t>
      </w:r>
    </w:p>
    <w:p>
      <w:pPr>
        <w:spacing w:before="0" w:after="160" w:line="258"/>
        <w:ind w:left="0" w:right="0" w:firstLine="0"/>
        <w:jc w:val="center"/>
        <w:rPr>
          <w:rFonts w:ascii="Arial" w:cs="Arial" w:hAnsi="Arial"/>
        </w:rPr>
      </w:pPr>
    </w:p>
    <w:p>
      <w:pPr>
        <w:spacing w:before="0" w:after="160" w:line="258"/>
        <w:ind w:left="0" w:right="0" w:firstLine="0"/>
        <w:jc w:val="center"/>
        <w:rPr>
          <w:rFonts w:ascii="Arial" w:cs="Arial" w:hAnsi="Arial"/>
        </w:rPr>
      </w:pPr>
    </w:p>
    <w:p>
      <w:pPr>
        <w:spacing w:before="0" w:after="160" w:line="258"/>
        <w:ind w:left="0" w:right="0" w:firstLine="0"/>
        <w:jc w:val="center"/>
        <w:rPr>
          <w:rFonts w:ascii="Arial" w:cs="Arial" w:hAnsi="Arial"/>
        </w:rPr>
      </w:pPr>
    </w:p>
    <w:p>
      <w:pPr>
        <w:spacing w:before="0" w:after="160" w:line="258"/>
        <w:ind w:left="0" w:right="0" w:firstLine="0"/>
        <w:jc w:val="center"/>
        <w:rPr>
          <w:rFonts w:ascii="Arial" w:cs="Arial" w:hAnsi="Arial"/>
        </w:rPr>
      </w:pPr>
    </w:p>
    <w:p>
      <w:pPr>
        <w:spacing w:before="0" w:after="160" w:line="258"/>
        <w:ind w:left="0" w:right="0" w:firstLine="0"/>
        <w:jc w:val="center"/>
        <w:rPr>
          <w:rFonts w:ascii="Arial" w:cs="Arial" w:hAnsi="Arial"/>
        </w:rPr>
      </w:pPr>
    </w:p>
    <w:p>
      <w:pPr>
        <w:spacing w:before="0" w:after="160" w:line="258"/>
        <w:ind w:left="0" w:right="0" w:firstLine="0"/>
        <w:jc w:val="center"/>
        <w:rPr>
          <w:rFonts w:ascii="Arial" w:cs="Arial" w:hAnsi="Arial"/>
        </w:rPr>
      </w:pPr>
    </w:p>
    <w:p>
      <w:pPr>
        <w:spacing w:before="0" w:after="160" w:line="258"/>
        <w:ind w:left="0" w:right="0" w:firstLine="0"/>
        <w:jc w:val="center"/>
        <w:rPr>
          <w:rFonts w:ascii="Arial" w:cs="Arial" w:hAnsi="Arial"/>
        </w:rPr>
      </w:pPr>
    </w:p>
    <w:p>
      <w:pPr>
        <w:spacing w:before="0" w:after="160" w:line="258"/>
        <w:ind w:left="0" w:right="0" w:firstLine="0"/>
        <w:jc w:val="center"/>
        <w:rPr>
          <w:rFonts w:ascii="Arial" w:cs="Arial" w:hAnsi="Arial"/>
        </w:rPr>
      </w:pPr>
    </w:p>
    <w:p>
      <w:pPr>
        <w:spacing w:before="0" w:after="160" w:line="258"/>
        <w:ind w:left="0" w:right="0" w:firstLine="0"/>
        <w:jc w:val="center"/>
        <w:rPr>
          <w:rFonts w:ascii="Arial" w:cs="Arial" w:hAnsi="Arial"/>
        </w:rPr>
      </w:pPr>
    </w:p>
    <w:p>
      <w:pPr>
        <w:spacing w:before="0" w:after="160" w:line="258"/>
        <w:ind w:left="0" w:right="0" w:firstLine="0"/>
        <w:jc w:val="center"/>
        <w:rPr>
          <w:rFonts w:ascii="Arial" w:cs="Arial" w:hAnsi="Arial"/>
        </w:rPr>
      </w:pPr>
    </w:p>
    <w:p>
      <w:pPr>
        <w:spacing w:before="0" w:after="160" w:line="258"/>
        <w:ind w:left="0" w:right="0" w:firstLine="0"/>
        <w:jc w:val="center"/>
        <w:rPr>
          <w:rFonts w:ascii="Arial" w:cs="Arial" w:hAnsi="Arial"/>
        </w:rPr>
      </w:pPr>
    </w:p>
    <w:p>
      <w:pPr>
        <w:spacing w:before="0" w:after="160" w:line="258"/>
        <w:ind w:left="0" w:right="0" w:firstLine="0"/>
        <w:jc w:val="center"/>
        <w:rPr>
          <w:rFonts w:ascii="Arial" w:cs="Arial" w:hAnsi="Arial"/>
        </w:rPr>
      </w:pPr>
    </w:p>
    <w:p>
      <w:pPr>
        <w:spacing w:before="0" w:after="160" w:line="258"/>
        <w:ind w:left="0" w:right="0" w:firstLine="0"/>
        <w:jc w:val="center"/>
        <w:rPr>
          <w:rFonts w:ascii="Arial" w:cs="Arial" w:hAnsi="Arial"/>
        </w:rPr>
      </w:pPr>
    </w:p>
    <w:p>
      <w:pPr>
        <w:spacing w:before="0" w:after="160" w:line="258"/>
        <w:ind w:left="0" w:right="0" w:firstLine="0"/>
        <w:jc w:val="center"/>
        <w:rPr>
          <w:rFonts w:ascii="Arial" w:cs="Arial" w:hAnsi="Arial"/>
        </w:rPr>
      </w:pPr>
    </w:p>
    <w:p>
      <w:pPr>
        <w:spacing w:before="0" w:after="160" w:line="258"/>
        <w:ind w:left="0" w:right="0" w:firstLine="0"/>
        <w:jc w:val="center"/>
        <w:rPr>
          <w:rFonts w:ascii="Arial" w:cs="Arial" w:hAnsi="Arial"/>
        </w:rPr>
      </w:pPr>
    </w:p>
    <w:p>
      <w:pPr>
        <w:spacing w:before="0" w:after="160" w:line="258"/>
        <w:ind w:left="0" w:right="0" w:firstLine="0"/>
        <w:jc w:val="center"/>
        <w:rPr>
          <w:rFonts w:ascii="Arial" w:cs="Arial" w:hAnsi="Arial"/>
        </w:rPr>
      </w:pPr>
    </w:p>
    <w:p>
      <w:pPr>
        <w:spacing w:before="0" w:after="160" w:line="258"/>
        <w:ind w:left="0" w:right="0" w:firstLine="0"/>
        <w:jc w:val="center"/>
        <w:rPr>
          <w:rFonts w:ascii="Arial" w:cs="Arial" w:hAnsi="Arial"/>
        </w:rPr>
      </w:pPr>
    </w:p>
    <w:p>
      <w:pPr>
        <w:spacing w:before="0" w:after="160" w:line="258"/>
        <w:ind w:left="0" w:right="0" w:firstLine="0"/>
        <w:jc w:val="center"/>
        <w:rPr>
          <w:rFonts w:ascii="Arial" w:cs="Arial" w:hAnsi="Arial"/>
        </w:rPr>
      </w:pPr>
    </w:p>
    <w:p/>
    <w:p>
      <w:pPr>
        <w:rPr>
          <w:rFonts w:ascii="Arial" w:cs="Arial" w:hAnsi="Arial"/>
          <w:b/>
          <w:bCs/>
          <w:lang w:val="en-GB"/>
        </w:rPr>
      </w:pPr>
    </w:p>
    <w:p>
      <w:pPr>
        <w:rPr>
          <w:rFonts w:ascii="Arial" w:cs="Arial" w:hAnsi="Arial"/>
          <w:b/>
          <w:bCs/>
          <w:lang w:val="en-GB"/>
        </w:rPr>
      </w:pPr>
    </w:p>
    <w:p>
      <w:r>
        <w:rPr>
          <w:rFonts w:ascii="Arial" w:cs="Arial" w:hAnsi="Arial"/>
          <w:b/>
          <w:bCs/>
          <w:lang w:val="en-GB"/>
        </w:rPr>
        <w:t>INTRODUCTION</w:t>
      </w:r>
      <w:r>
        <w:rPr>
          <w:lang w:val="en-GB"/>
        </w:rPr>
        <w:t xml:space="preserve"> </w:t>
      </w:r>
    </w:p>
    <w:p/>
    <w:p>
      <w:pPr>
        <w:spacing w:line="360"/>
        <w:jc w:val="both"/>
        <w:rPr>
          <w:rFonts w:ascii="Arial" w:cs="Arial" w:hAnsi="Arial"/>
          <w:sz w:val="22"/>
          <w:szCs w:val="22"/>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color w:val="000000"/>
          <w:sz w:val="22"/>
          <w:szCs w:val="22"/>
          <w:rtl w:val="off"/>
          <w:lang w:val="en-US"/>
        </w:rPr>
      </w:pPr>
      <w:r>
        <w:rPr>
          <w:rFonts w:ascii="Arial" w:cs="Arial" w:hAnsi="Arial"/>
          <w:sz w:val="22"/>
          <w:szCs w:val="22"/>
          <w:lang w:val="en-GB"/>
        </w:rPr>
        <w:t>An acute viral infection, the mumps.</w:t>
      </w:r>
      <w:r>
        <w:rPr>
          <w:rFonts w:ascii="Arial" w:cs="Arial" w:hAnsi="Arial"/>
          <w:sz w:val="22"/>
          <w:szCs w:val="22"/>
          <w:lang w:val="en-GB"/>
        </w:rPr>
        <w:t>Worldwide, 500,000 cases of mumps are reported on average yearly.In 1935, a virus was discovered to be this agent. Before the development of a vaccine in 1967, mumps was among the most frequent causes of septicemia and sensory hearing loss in c</w:t>
      </w:r>
      <w:r>
        <w:rPr>
          <w:rFonts w:ascii="Arial" w:cs="Arial" w:hAnsi="Arial"/>
          <w:sz w:val="22"/>
          <w:szCs w:val="22"/>
          <w:lang w:val="en-GB"/>
        </w:rPr>
        <w:t>hildren in the United</w:t>
      </w:r>
      <w:r>
        <w:rPr>
          <w:rFonts w:ascii="Arial" w:cs="Arial" w:hAnsi="Arial"/>
          <w:sz w:val="22"/>
          <w:szCs w:val="22"/>
          <w:lang w:val="en-GB"/>
        </w:rPr>
        <w:t xml:space="preserve"> States.</w:t>
      </w:r>
      <w:r>
        <w:rPr>
          <w:rFonts w:ascii="Arial" w:cs="Arial" w:hAnsi="Arial"/>
          <w:color w:val="000000"/>
          <w:sz w:val="22"/>
          <w:szCs w:val="22"/>
          <w:rtl w:val="off"/>
          <w:lang w:val="en-US"/>
        </w:rPr>
        <w:t>(M</w:t>
      </w:r>
      <w:r>
        <w:rPr>
          <w:rFonts w:ascii="Arial" w:cs="Arial" w:hAnsi="Arial"/>
          <w:color w:val="000000"/>
          <w:sz w:val="22"/>
          <w:szCs w:val="22"/>
          <w:rtl w:val="off"/>
          <w:lang w:val="en-US"/>
        </w:rPr>
        <w:t xml:space="preserve">umps, n.d.)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b/>
          <w:bCs/>
          <w:color w:val="000000"/>
          <w:sz w:val="18"/>
          <w:lang w:val="en-US"/>
        </w:rPr>
      </w:pPr>
      <w:r>
        <w:rPr>
          <w:rFonts w:ascii="Arial" w:cs="Arial" w:hAnsi="Arial"/>
          <w:b/>
          <w:bCs/>
          <w:color w:val="000000"/>
          <w:sz w:val="22"/>
          <w:szCs w:val="22"/>
          <w:lang w:val="en-US"/>
        </w:rPr>
        <w:t>DEFINITION OF MUMPS</w:t>
      </w:r>
    </w:p>
    <w:p/>
    <w:p>
      <w:pPr>
        <w:spacing w:before="0" w:after="160" w:line="258"/>
        <w:ind w:left="0" w:right="0" w:firstLine="0"/>
        <w:jc w:val="center"/>
        <w:rPr>
          <w:rFonts w:ascii="Arial" w:cs="Arial" w:hAnsi="Arial"/>
        </w:rPr>
      </w:pPr>
    </w:p>
    <w:p>
      <w:pPr>
        <w:spacing w:before="0" w:after="160" w:line="258"/>
        <w:ind w:left="0" w:right="0" w:firstLine="0"/>
        <w:jc w:val="center"/>
        <w:rPr>
          <w:rFonts w:ascii="Arial" w:cs="Arial" w:hAnsi="Arial"/>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color w:val="000000"/>
          <w:sz w:val="22"/>
          <w:szCs w:val="22"/>
          <w:lang w:val="en-US"/>
        </w:rPr>
      </w:pPr>
      <w:r>
        <w:rPr>
          <w:rFonts w:ascii="Arial" w:cs="Arial" w:hAnsi="Arial"/>
          <w:sz w:val="22"/>
          <w:szCs w:val="22"/>
          <w:lang w:val="en-GB"/>
        </w:rPr>
        <w:t>A virus is to blame for the mumps disease. Both sides of the face's glands are often affected. Saliva is produced by these parotid glands. It may hurt or be sensitive to touch swollen glands.</w:t>
      </w:r>
      <w:r>
        <w:rPr>
          <w:rFonts w:ascii="Arial" w:cs="Arial" w:hAnsi="Arial"/>
          <w:color w:val="000000"/>
          <w:sz w:val="22"/>
          <w:szCs w:val="22"/>
          <w:rtl w:val="off"/>
          <w:lang w:val="en-US"/>
        </w:rPr>
        <w:t xml:space="preserve"> </w:t>
      </w:r>
      <w:r>
        <w:rPr>
          <w:rFonts w:ascii="Arial" w:cs="Arial" w:hAnsi="Arial"/>
          <w:color w:val="000000"/>
          <w:sz w:val="22"/>
          <w:szCs w:val="22"/>
          <w:rtl w:val="off"/>
          <w:lang w:val="en-US"/>
        </w:rPr>
        <w:t>(Mayo Clinic, 2018,</w:t>
      </w:r>
      <w:r>
        <w:rPr>
          <w:rFonts w:ascii="Arial" w:cs="Arial" w:hAnsi="Arial"/>
          <w:color w:val="000000"/>
          <w:sz w:val="22"/>
          <w:szCs w:val="22"/>
          <w:rtl w:val="off"/>
          <w:lang w:val="en-US"/>
        </w:rPr>
        <w:t>European Centre for Disease Prevention and Control, 2018)</w:t>
      </w:r>
      <w:r>
        <w:rPr>
          <w:rFonts w:ascii="Arial" w:cs="Arial" w:hAnsi="Arial"/>
          <w:color w:val="000000"/>
          <w:sz w:val="22"/>
          <w:szCs w:val="22"/>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color w:val="000000"/>
          <w:sz w:val="22"/>
          <w:szCs w:val="22"/>
          <w:lang w:val="en-US"/>
        </w:rPr>
      </w:pPr>
      <w:r>
        <w:rPr>
          <w:rFonts w:ascii="Arial" w:cs="Arial" w:hAnsi="Arial"/>
          <w:color w:val="000000"/>
          <w:sz w:val="22"/>
          <w:szCs w:val="22"/>
          <w:lang w:val="en-GB"/>
        </w:rPr>
        <w:t>A virus is a sort of bacterium that causes the mumps. Saliva contains the virus that causes mumps. The virus can be dispersed into the air in minute droplets by coughing or sneezing.Inhaling microscopic droplets can cause you to contract the virus. Another way to contract the disease is to touch your face after contacting a surface where a droplet has landed. By drinking a water bottle or kissing another person, you can also contract the virus through direct contact.</w:t>
      </w:r>
      <w:r>
        <w:rPr>
          <w:rFonts w:ascii="Arial" w:cs="Arial" w:hAnsi="Arial"/>
          <w:color w:val="000000"/>
          <w:sz w:val="22"/>
          <w:szCs w:val="22"/>
          <w:rtl w:val="off"/>
          <w:lang w:val="en-US"/>
        </w:rPr>
        <w:t xml:space="preserve"> </w:t>
      </w:r>
      <w:r>
        <w:rPr>
          <w:rFonts w:ascii="Arial" w:cs="Arial" w:hAnsi="Arial"/>
          <w:color w:val="000000"/>
          <w:sz w:val="22"/>
          <w:szCs w:val="22"/>
          <w:rtl w:val="off"/>
          <w:lang w:val="en-US"/>
        </w:rPr>
        <w:t>(Mayo Clinic, 2018)</w:t>
      </w:r>
      <w:r>
        <w:rPr>
          <w:rFonts w:ascii="Arial" w:cs="Arial" w:hAnsi="Arial"/>
          <w:color w:val="000000"/>
          <w:sz w:val="22"/>
          <w:szCs w:val="22"/>
          <w:rtl w:val="off"/>
          <w:lang w:val="en-US"/>
        </w:rPr>
        <w:t xml:space="preserve"> </w:t>
      </w:r>
    </w:p>
    <w:p>
      <w:pPr>
        <w:spacing w:before="0" w:after="160" w:line="258"/>
        <w:ind w:left="0" w:right="0" w:firstLine="0"/>
        <w:jc w:val="both"/>
        <w:rPr>
          <w:rFonts w:ascii="Arial" w:cs="Arial" w:hAnsi="Arial"/>
        </w:rPr>
      </w:pPr>
    </w:p>
    <w:p>
      <w:pPr>
        <w:spacing w:before="0" w:after="160" w:line="258"/>
        <w:ind w:left="0" w:right="0" w:firstLine="0"/>
        <w:jc w:val="center"/>
        <w:rPr>
          <w:rFonts w:ascii="Arial" w:cs="Arial" w:hAnsi="Arial"/>
        </w:rPr>
      </w:pPr>
    </w:p>
    <w:p>
      <w:pPr>
        <w:spacing w:before="0" w:after="160" w:line="258"/>
        <w:ind w:left="0" w:right="0" w:firstLine="0"/>
        <w:jc w:val="center"/>
        <w:rPr>
          <w:rFonts w:ascii="Arial" w:cs="Arial" w:hAnsi="Arial"/>
        </w:rPr>
      </w:pPr>
      <w:r>
        <w:rPr>
          <w:rFonts w:ascii="Arial" w:cs="Arial" w:hAnsi="Arial"/>
        </w:rPr>
        <w:drawing xmlns:mc="http://schemas.openxmlformats.org/markup-compatibility/2006">
          <wp:inline distT="0" distB="0" distL="0" distR="0">
            <wp:extent cx="2808605" cy="1759585"/>
            <wp:effectExtent l="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Grp="0" noSelect="0" noChangeAspect="1" noMove="0"/>
                    </pic:cNvPicPr>
                  </pic:nvPicPr>
                  <pic:blipFill>
                    <a:blip r:embed="rId7"/>
                    <a:srcRect/>
                    <a:stretch>
                      <a:fillRect/>
                    </a:stretch>
                  </pic:blipFill>
                  <pic:spPr>
                    <a:xfrm>
                      <a:off x="0" y="0"/>
                      <a:ext cx="2808605" cy="1759585"/>
                    </a:xfrm>
                    <a:prstGeom prst="rect">
                      <a:avLst/>
                    </a:prstGeom>
                  </pic:spPr>
                </pic:pic>
              </a:graphicData>
            </a:graphic>
          </wp:inline>
        </w:drawing>
      </w:r>
    </w:p>
    <w:p>
      <w:pPr>
        <w:spacing w:before="0" w:after="160" w:line="258"/>
        <w:ind w:left="0" w:right="0" w:firstLine="0"/>
        <w:jc w:val="center"/>
        <w:rPr>
          <w:rFonts w:ascii="Arial" w:cs="Arial" w:hAnsi="Arial"/>
          <w:b/>
          <w:bCs/>
          <w:lang w:val="en-GB"/>
        </w:rPr>
      </w:pPr>
    </w:p>
    <w:p>
      <w:pPr>
        <w:spacing w:before="0" w:after="160" w:line="258"/>
        <w:ind w:left="0" w:right="0" w:firstLine="0"/>
        <w:jc w:val="center"/>
        <w:rPr>
          <w:rFonts w:ascii="Arial" w:cs="Arial" w:hAnsi="Arial"/>
          <w:b/>
          <w:bCs/>
          <w:lang w:val="en-GB"/>
        </w:rPr>
      </w:pPr>
    </w:p>
    <w:p>
      <w:pPr>
        <w:spacing w:before="0" w:after="160" w:line="258"/>
        <w:ind w:left="0" w:right="0" w:firstLine="0"/>
        <w:jc w:val="center"/>
        <w:rPr>
          <w:rFonts w:ascii="Arial" w:cs="Arial" w:hAnsi="Arial"/>
          <w:b/>
          <w:bCs/>
          <w:lang w:val="en-GB"/>
        </w:rPr>
      </w:pPr>
    </w:p>
    <w:p>
      <w:pPr>
        <w:spacing w:before="0" w:after="160" w:line="258"/>
        <w:ind w:left="0" w:right="0" w:firstLine="0"/>
        <w:jc w:val="center"/>
        <w:rPr>
          <w:rFonts w:ascii="Arial" w:cs="Arial" w:hAnsi="Arial"/>
          <w:b/>
          <w:bCs/>
          <w:lang w:val="en-GB"/>
        </w:rPr>
      </w:pPr>
    </w:p>
    <w:p>
      <w:pPr>
        <w:spacing w:before="0" w:after="160" w:line="258"/>
        <w:ind w:left="0" w:right="0" w:firstLine="0"/>
        <w:jc w:val="center"/>
        <w:rPr>
          <w:rFonts w:ascii="Arial" w:cs="Arial" w:hAnsi="Arial"/>
          <w:b/>
          <w:bCs/>
          <w:lang w:val="en-GB"/>
        </w:rPr>
      </w:pPr>
    </w:p>
    <w:p>
      <w:pPr>
        <w:spacing w:before="0" w:after="160" w:line="258"/>
        <w:ind w:left="0" w:right="0" w:firstLine="0"/>
        <w:jc w:val="center"/>
        <w:rPr>
          <w:rFonts w:ascii="Arial" w:cs="Arial" w:hAnsi="Arial"/>
          <w:b/>
          <w:bCs/>
          <w:lang w:val="en-GB"/>
        </w:rPr>
      </w:pPr>
    </w:p>
    <w:p>
      <w:pPr>
        <w:spacing w:before="0" w:after="160" w:line="258"/>
        <w:ind w:left="0" w:right="0" w:firstLine="0"/>
        <w:jc w:val="center"/>
        <w:rPr>
          <w:rFonts w:ascii="Arial" w:cs="Arial" w:hAnsi="Arial"/>
          <w:b/>
          <w:bCs/>
          <w:lang w:val="en-GB"/>
        </w:rPr>
      </w:pPr>
    </w:p>
    <w:p>
      <w:pPr>
        <w:spacing w:before="0" w:after="160" w:line="258"/>
        <w:ind w:left="0" w:right="0" w:firstLine="0"/>
        <w:jc w:val="center"/>
        <w:rPr>
          <w:rFonts w:ascii="Arial" w:cs="Arial" w:hAnsi="Arial"/>
          <w:b/>
          <w:bCs/>
          <w:lang w:val="en-GB"/>
        </w:rPr>
      </w:pPr>
    </w:p>
    <w:p>
      <w:pPr>
        <w:spacing w:before="0" w:after="160" w:line="258"/>
        <w:ind w:left="0" w:right="0" w:firstLine="0"/>
        <w:jc w:val="center"/>
        <w:rPr>
          <w:rFonts w:ascii="Arial" w:cs="Arial" w:hAnsi="Arial"/>
          <w:b/>
          <w:bCs/>
        </w:rPr>
      </w:pPr>
      <w:r>
        <w:rPr>
          <w:rFonts w:ascii="Arial" w:cs="Arial" w:hAnsi="Arial"/>
          <w:b/>
          <w:bCs/>
          <w:lang w:val="en-GB"/>
        </w:rPr>
        <w:t xml:space="preserve">LEVEL OF INCIDENCE </w:t>
      </w:r>
    </w:p>
    <w:p>
      <w:pPr>
        <w:spacing w:before="0" w:after="160" w:line="258"/>
        <w:ind w:left="0" w:right="0" w:firstLine="0"/>
        <w:jc w:val="both"/>
        <w:rPr>
          <w:rFonts w:ascii="Arial" w:cs="Arial" w:hAnsi="Arial"/>
        </w:rPr>
      </w:pPr>
    </w:p>
    <w:p>
      <w:pPr>
        <w:spacing w:before="0" w:after="160" w:line="360"/>
        <w:ind w:left="0" w:right="0" w:firstLine="0"/>
        <w:jc w:val="both"/>
        <w:rPr>
          <w:rFonts w:ascii="Arial" w:cs="Arial" w:hAnsi="Arial"/>
        </w:rPr>
      </w:pPr>
      <w:r>
        <w:rPr>
          <w:rFonts w:ascii="Arial" w:cs="Arial" w:hAnsi="Arial"/>
          <w:lang w:val="en-GB"/>
        </w:rPr>
        <w:t>According to studies, most individuals who lived before 1957 were probably exposed to the virus infection and have built-in immunity. Additionally, the risk of contracting the disease is significantly reduced for those who receive the mumps vaccine twice. Young adults, teenagers, and older children are more at risk for infection.</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color w:val="000000"/>
          <w:sz w:val="22"/>
          <w:szCs w:val="22"/>
          <w:lang w:val="en-US"/>
        </w:rPr>
      </w:pPr>
      <w:r>
        <w:rPr>
          <w:rFonts w:ascii="Arial" w:cs="Arial" w:hAnsi="Arial"/>
          <w:sz w:val="22"/>
          <w:szCs w:val="22"/>
          <w:lang w:val="en-GB"/>
        </w:rPr>
        <w:t>Mumps outbreaks continue to happen despite the fact that vaccination rates have dramatically dropped. The majority of outbreaks have happened in groups of individuals who have had extended, close contact with an individual who has the mumps, such as while using plastic cups or cups, kissing, participating in sports collectively, or living close to that person. When they are in contact with the virus, some vaccine recipients could still acquire the mumps. Immunised individuals, however, have milder illness symptoms.</w:t>
      </w:r>
      <w:r>
        <w:rPr>
          <w:rFonts w:ascii="Arial" w:cs="Arial" w:hAnsi="Arial"/>
          <w:color w:val="000000"/>
          <w:sz w:val="22"/>
          <w:szCs w:val="22"/>
          <w:rtl w:val="off"/>
          <w:lang w:val="en-US"/>
        </w:rPr>
        <w:t xml:space="preserve"> </w:t>
      </w:r>
      <w:r>
        <w:rPr>
          <w:rFonts w:ascii="Arial" w:cs="Arial" w:hAnsi="Arial"/>
          <w:color w:val="000000"/>
          <w:sz w:val="22"/>
          <w:szCs w:val="22"/>
          <w:rtl w:val="off"/>
          <w:lang w:val="en-US"/>
        </w:rPr>
        <w:t>(cdc, 2019)</w:t>
      </w:r>
      <w:r>
        <w:rPr>
          <w:rFonts w:ascii="Arial" w:cs="Arial" w:hAnsi="Arial"/>
          <w:color w:val="000000"/>
          <w:sz w:val="22"/>
          <w:szCs w:val="22"/>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color w:val="000000"/>
          <w:sz w:val="22"/>
          <w:szCs w:val="22"/>
          <w:lang w:val="en-US"/>
        </w:rPr>
      </w:pPr>
      <w:r>
        <w:rPr>
          <w:rFonts w:ascii="Arial" w:cs="Arial" w:hAnsi="Arial"/>
          <w:color w:val="000000"/>
          <w:sz w:val="22"/>
          <w:szCs w:val="22"/>
          <w:lang w:val="en-GB"/>
        </w:rPr>
        <w:t>Additionally, there were roughly five times as many confirmed instances of the illness in 2016 as there were in the previous 12 months. 96 cases were confirmed in 1996 ; 2004 show 7625 confirmed cases,especially in comparison with 1529 in 2003.</w:t>
      </w:r>
      <w:r>
        <w:rPr>
          <w:rFonts w:ascii="Arial" w:cs="Arial" w:hAnsi="Arial"/>
          <w:color w:val="000000"/>
          <w:sz w:val="22"/>
          <w:szCs w:val="22"/>
          <w:rtl w:val="off"/>
          <w:lang w:val="en-US"/>
        </w:rPr>
        <w:t>(Dobson, 2005)</w:t>
      </w:r>
      <w:r>
        <w:rPr>
          <w:rFonts w:ascii="Arial" w:cs="Arial" w:hAnsi="Arial"/>
          <w:color w:val="000000"/>
          <w:sz w:val="22"/>
          <w:szCs w:val="22"/>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color w:val="000000"/>
          <w:sz w:val="22"/>
          <w:szCs w:val="22"/>
          <w:lang w:val="en-GB"/>
        </w:rPr>
      </w:pPr>
      <w:r>
        <w:rPr>
          <w:rFonts w:ascii="Arial" w:cs="Arial" w:hAnsi="Arial"/>
          <w:color w:val="000000"/>
          <w:sz w:val="22"/>
          <w:szCs w:val="22"/>
          <w:lang w:val="en-GB"/>
        </w:rPr>
        <w:t>When the diseases, mumps, and rubella (MMR) vaccine was first introduced in the late 1980s, it was only given to children under the age of two. Today, the Public Health Agency reports that this disease is primarily affecting children in this age range.</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color w:val="000000"/>
          <w:sz w:val="22"/>
          <w:szCs w:val="22"/>
          <w:lang w:val="en-GB"/>
        </w:rPr>
      </w:pPr>
      <w:r>
        <w:rPr>
          <w:rFonts w:ascii="Arial" w:cs="Arial" w:hAnsi="Arial"/>
          <w:color w:val="000000"/>
          <w:sz w:val="22"/>
          <w:szCs w:val="22"/>
          <w:lang w:val="en-GB"/>
        </w:rPr>
        <w:t>The likelihood of the influenza virus spreading has increased since more of these young individuals, who range in age from 16 through 24, are now enrolled in higher education.</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color w:val="000000"/>
          <w:sz w:val="22"/>
          <w:szCs w:val="22"/>
          <w:lang w:val="en-US"/>
        </w:rPr>
      </w:pPr>
      <w:r>
        <w:rPr>
          <w:rFonts w:ascii="Arial" w:cs="Arial" w:hAnsi="Arial"/>
          <w:color w:val="000000"/>
          <w:sz w:val="22"/>
          <w:szCs w:val="22"/>
          <w:lang w:val="en-GB"/>
        </w:rPr>
        <w:t>In the initial four weeks of 2005, the Department of Health received notifications of 4891 documented incidents for England and Wales, compared to 358 notifications during the same time period in 2004.</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Segoe UI"/>
          <w:color w:val="000000"/>
          <w:sz w:val="18"/>
          <w:lang w:val="en-GB"/>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Segoe UI"/>
          <w:color w:val="000000"/>
          <w:sz w:val="18"/>
          <w:lang w:val="en-GB"/>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Segoe UI"/>
          <w:color w:val="000000"/>
          <w:sz w:val="18"/>
          <w:lang w:val="en-US"/>
        </w:rPr>
      </w:pPr>
      <w:r>
        <w:rPr>
          <w:rFonts w:ascii="Segoe UI"/>
          <w:color w:val="000000"/>
          <w:sz w:val="18"/>
          <w:lang w:val="en-GB"/>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b/>
          <w:bCs/>
          <w:color w:val="000000"/>
          <w:sz w:val="22"/>
          <w:szCs w:val="22"/>
          <w:lang w:val="en-US"/>
        </w:rPr>
      </w:pPr>
      <w:r>
        <w:rPr>
          <w:rFonts w:ascii="Arial" w:cs="Arial" w:hAnsi="Arial"/>
          <w:b/>
          <w:bCs/>
          <w:color w:val="000000"/>
          <w:sz w:val="22"/>
          <w:szCs w:val="22"/>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b/>
          <w:bCs/>
          <w:color w:val="000000"/>
          <w:sz w:val="22"/>
          <w:szCs w:val="22"/>
          <w:lang w:val="en-US"/>
        </w:rPr>
      </w:pPr>
      <w:r>
        <w:rPr>
          <w:rFonts w:ascii="Arial" w:cs="Arial" w:hAnsi="Arial"/>
          <w:b/>
          <w:bCs/>
          <w:color w:val="000000"/>
          <w:sz w:val="22"/>
          <w:szCs w:val="22"/>
          <w:lang w:val="en-US"/>
        </w:rPr>
        <w:t xml:space="preserve"> STRATEGIES TO MEASURE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b w:val="off"/>
          <w:bCs w:val="off"/>
          <w:color w:val="000000"/>
          <w:sz w:val="22"/>
          <w:szCs w:val="22"/>
          <w:lang w:val="en-GB"/>
        </w:rPr>
      </w:pPr>
      <w:r>
        <w:rPr>
          <w:rFonts w:ascii="Arial" w:cs="Arial" w:hAnsi="Arial"/>
          <w:b w:val="off"/>
          <w:bCs w:val="off"/>
          <w:color w:val="000000"/>
          <w:sz w:val="22"/>
          <w:szCs w:val="22"/>
          <w:lang w:val="en-GB"/>
        </w:rPr>
        <w:t>When certain infectious diseases are detected, registered medical professionals in England and Wales are required by law to alert the local government or Health Protection Team.</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b w:val="off"/>
          <w:bCs w:val="off"/>
          <w:color w:val="000000"/>
          <w:sz w:val="22"/>
          <w:szCs w:val="22"/>
          <w:lang w:val="en-GB"/>
        </w:rPr>
      </w:pPr>
      <w:r>
        <w:rPr>
          <w:rFonts w:ascii="Arial" w:cs="Arial" w:hAnsi="Arial"/>
          <w:b w:val="off"/>
          <w:bCs w:val="off"/>
          <w:color w:val="000000"/>
          <w:sz w:val="22"/>
          <w:szCs w:val="22"/>
          <w:lang w:val="en-GB"/>
        </w:rPr>
        <w:t>Every laboratory in England that serves in a primary diagnostic capacity is required to alert UKHSA when it confirms a notifiable organism.</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Segoe UI"/>
          <w:color w:val="000000"/>
          <w:sz w:val="18"/>
          <w:lang w:val="en-US"/>
        </w:rPr>
      </w:pPr>
      <w:r>
        <w:rPr>
          <w:rFonts w:ascii="Arial" w:cs="Arial" w:hAnsi="Arial"/>
          <w:b w:val="off"/>
          <w:bCs w:val="off"/>
          <w:color w:val="000000"/>
          <w:sz w:val="22"/>
          <w:szCs w:val="22"/>
          <w:lang w:val="en-GB"/>
        </w:rPr>
        <w:t>These notifications are gathered by UKHSA, which then provides weekly analysis of regional and societal trends.</w:t>
      </w:r>
      <w:r>
        <w:rPr>
          <w:rFonts w:ascii="roboto"/>
          <w:color w:val="000000"/>
          <w:sz w:val="22"/>
          <w:rtl w:val="off"/>
          <w:lang w:val="en-US"/>
        </w:rPr>
        <w:t xml:space="preserve"> </w:t>
      </w:r>
      <w:r>
        <w:rPr>
          <w:rFonts w:ascii="roboto"/>
          <w:color w:val="000000"/>
          <w:sz w:val="22"/>
          <w:rtl w:val="off"/>
          <w:lang w:val="en-US"/>
        </w:rPr>
        <w:t>(Public Health England, 2014)</w:t>
      </w:r>
      <w:r>
        <w:rPr>
          <w:rFonts w:ascii="Segoe UI"/>
          <w:color w:val="000000"/>
          <w:sz w:val="18"/>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b/>
          <w:bCs/>
          <w:color w:val="000000"/>
          <w:sz w:val="22"/>
          <w:szCs w:val="22"/>
          <w:lang w:val="en-US"/>
        </w:rPr>
      </w:pPr>
      <w:r>
        <w:rPr>
          <w:rFonts w:ascii="Arial" w:cs="Arial" w:hAnsi="Arial"/>
          <w:b/>
          <w:bCs/>
          <w:color w:val="000000"/>
          <w:sz w:val="22"/>
          <w:szCs w:val="22"/>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b/>
          <w:bCs/>
          <w:color w:val="000000"/>
          <w:sz w:val="22"/>
          <w:szCs w:val="22"/>
          <w:lang w:val="en-US"/>
        </w:rPr>
      </w:pPr>
      <w:r>
        <w:rPr>
          <w:rFonts w:ascii="Arial" w:cs="Arial" w:hAnsi="Arial"/>
          <w:b/>
          <w:bCs/>
          <w:color w:val="000000"/>
          <w:sz w:val="22"/>
          <w:szCs w:val="22"/>
          <w:lang w:val="en-US"/>
        </w:rPr>
        <w:t>STRATEGIES TO MONITOR</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b w:val="off"/>
          <w:bCs w:val="off"/>
          <w:color w:val="000000"/>
          <w:sz w:val="22"/>
          <w:szCs w:val="22"/>
          <w:lang w:val="en-GB"/>
        </w:rPr>
      </w:pPr>
      <w:r>
        <w:rPr>
          <w:rFonts w:ascii="Arial" w:cs="Arial" w:hAnsi="Arial"/>
          <w:b w:val="off"/>
          <w:bCs w:val="off"/>
          <w:color w:val="000000"/>
          <w:sz w:val="22"/>
          <w:szCs w:val="22"/>
          <w:lang w:val="en-GB"/>
        </w:rPr>
        <w:t>The most effective defence against mumps is vaccination. Well before age of 5, children should get two doses of the MMR vaccine (measles, mumps, and rubella).</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b w:val="off"/>
          <w:bCs w:val="off"/>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b w:val="off"/>
          <w:bCs w:val="off"/>
          <w:color w:val="000000"/>
          <w:sz w:val="22"/>
          <w:szCs w:val="22"/>
          <w:lang w:val="en-US"/>
        </w:rPr>
      </w:pPr>
      <w:r>
        <w:rPr>
          <w:rFonts w:ascii="Arial" w:cs="Arial" w:hAnsi="Arial"/>
          <w:b w:val="off"/>
          <w:bCs w:val="off"/>
          <w:color w:val="000000"/>
          <w:sz w:val="22"/>
          <w:szCs w:val="22"/>
          <w:lang w:val="en-GB"/>
        </w:rPr>
        <w:t>A national catch-up campaign was introduced in April 2013 by Department Of Health (now so the UK Health Government Organisation, or UKHSA), NHS England, and the State health Department to raise MMR vaccination rates in kids and teenagers.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b w:val="off"/>
          <w:bCs w:val="off"/>
          <w:color w:val="000000"/>
          <w:sz w:val="22"/>
          <w:szCs w:val="22"/>
          <w:lang w:val="en-GB"/>
        </w:rPr>
      </w:pPr>
      <w:r>
        <w:rPr>
          <w:rFonts w:ascii="Arial" w:cs="Arial" w:hAnsi="Arial"/>
          <w:b w:val="off"/>
          <w:bCs w:val="off"/>
          <w:color w:val="000000"/>
          <w:sz w:val="22"/>
          <w:szCs w:val="22"/>
          <w:lang w:val="en-GB"/>
        </w:rPr>
        <w:t>The two public health initiatives that have had the most effects on global healthcare is clean water and vaccinations.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Arial" w:cs="Arial" w:hAnsi="Arial"/>
          <w:b w:val="off"/>
          <w:bCs w:val="off"/>
          <w:color w:val="000000"/>
          <w:sz w:val="22"/>
          <w:szCs w:val="22"/>
          <w:lang w:val="en-GB"/>
        </w:rPr>
        <w:t>The most recent details on vaccines and immunisation practises in the UK are contained in "Immunization against Infectious Disease," often known as the Green Book.</w:t>
      </w:r>
      <w:r>
        <w:rPr>
          <w:rFonts w:ascii="roboto"/>
          <w:color w:val="000000"/>
          <w:sz w:val="22"/>
          <w:rtl w:val="off"/>
          <w:lang w:val="en-US"/>
        </w:rPr>
        <w:t>(Public Health England, 2013)</w:t>
      </w:r>
      <w:r>
        <w:rPr>
          <w:rFonts w:ascii="Segoe UI"/>
          <w:color w:val="000000"/>
          <w:sz w:val="18"/>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b w:val="off"/>
          <w:bCs w:val="off"/>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b w:val="off"/>
          <w:bCs w:val="off"/>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b w:val="off"/>
          <w:bCs w:val="off"/>
          <w:color w:val="000000"/>
          <w:sz w:val="22"/>
          <w:szCs w:val="22"/>
          <w:lang w:val="en-US"/>
        </w:rPr>
      </w:pPr>
      <w:r>
        <w:rPr>
          <w:rFonts w:ascii="Arial" w:cs="Arial" w:hAnsi="Arial"/>
          <w:b/>
          <w:bCs/>
          <w:color w:val="000000"/>
          <w:sz w:val="22"/>
          <w:szCs w:val="22"/>
          <w:lang w:val="en-US"/>
        </w:rPr>
        <w:t>STRATEGIES TO CONTROL</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b w:val="off"/>
          <w:bCs w:val="off"/>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color w:val="000000"/>
          <w:sz w:val="22"/>
          <w:szCs w:val="22"/>
          <w:lang w:val="en-US"/>
        </w:rPr>
      </w:pPr>
      <w:r>
        <w:rPr>
          <w:rFonts w:ascii="Arial" w:cs="Arial" w:hAnsi="Arial"/>
          <w:b w:val="off"/>
          <w:bCs w:val="off"/>
          <w:color w:val="000000"/>
          <w:sz w:val="22"/>
          <w:szCs w:val="22"/>
          <w:lang w:val="en-GB"/>
        </w:rPr>
        <w:t>The epidemiology, symptoms, and diagnosis of the mumps. contains immunisation knowledge for medical professionals and immunisation specialists.A vaccine can prevent the mumps. As part of the standard childhood immunisation schedule, children in the UK receive 2 doses of the MMR vaccine, which protects against measles, mumps, and rubella.IDU is a recognised regional, national, and global resource for infectious and neurological infections that cause rashes. Forms of data and virus isolates are delivered to the unit from Public Health England (PHE), the National Health Service (NHS), private laboratories located all over the UK, as well as from abroad.</w:t>
      </w:r>
      <w:r>
        <w:rPr>
          <w:rFonts w:ascii="Arial" w:cs="Arial" w:hAnsi="Arial"/>
          <w:color w:val="000000"/>
          <w:sz w:val="22"/>
          <w:szCs w:val="22"/>
          <w:rtl w:val="off"/>
          <w:lang w:val="en-US"/>
        </w:rPr>
        <w:t>(GOV.UK, n.d.)</w:t>
      </w:r>
      <w:r>
        <w:rPr>
          <w:rFonts w:ascii="Arial" w:cs="Arial" w:hAnsi="Arial"/>
          <w:color w:val="000000"/>
          <w:sz w:val="22"/>
          <w:szCs w:val="22"/>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b w:val="off"/>
          <w:bCs w:val="off"/>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b w:val="off"/>
          <w:bCs w:val="off"/>
          <w:color w:val="000000"/>
          <w:sz w:val="22"/>
          <w:szCs w:val="22"/>
          <w:lang w:val="en-US"/>
        </w:rPr>
      </w:pPr>
    </w:p>
    <w:p>
      <w:pPr>
        <w:spacing w:before="0" w:after="160" w:line="360"/>
        <w:ind w:left="0" w:right="0" w:firstLine="0"/>
        <w:jc w:val="both"/>
        <w:rPr>
          <w:rFonts w:ascii="Arial" w:cs="Arial" w:hAnsi="Arial"/>
        </w:rPr>
      </w:pPr>
    </w:p>
    <w:p>
      <w:pPr>
        <w:spacing w:before="0" w:after="160" w:line="360"/>
        <w:ind w:left="0" w:right="0" w:firstLine="0"/>
        <w:jc w:val="both"/>
        <w:rPr>
          <w:rFonts w:ascii="Arial" w:cs="Arial" w:hAnsi="Arial"/>
        </w:rPr>
      </w:pPr>
    </w:p>
    <w:p>
      <w:pPr>
        <w:spacing w:before="0" w:after="160" w:line="258"/>
        <w:ind w:left="0" w:right="0" w:firstLine="0"/>
        <w:jc w:val="center"/>
        <w:rPr>
          <w:rFonts w:ascii="Arial" w:cs="Arial" w:hAnsi="Arial"/>
        </w:rPr>
      </w:pPr>
    </w:p>
    <w:p>
      <w:pPr>
        <w:spacing w:before="0" w:after="160" w:line="258"/>
        <w:ind w:left="0" w:right="0" w:firstLine="0"/>
        <w:jc w:val="center"/>
        <w:rPr>
          <w:rFonts w:ascii="Arial" w:cs="Arial" w:hAnsi="Arial"/>
        </w:rPr>
      </w:pPr>
    </w:p>
    <w:p>
      <w:pPr>
        <w:spacing w:before="0" w:after="160" w:line="258"/>
        <w:ind w:left="0" w:right="0" w:firstLine="0"/>
        <w:jc w:val="center"/>
        <w:rPr>
          <w:rFonts w:ascii="Arial" w:cs="Arial" w:hAnsi="Arial"/>
        </w:rPr>
      </w:pPr>
    </w:p>
    <w:p>
      <w:pPr>
        <w:spacing w:before="0" w:after="160" w:line="258"/>
        <w:ind w:left="0" w:right="0" w:firstLine="0"/>
        <w:jc w:val="center"/>
        <w:rPr>
          <w:rFonts w:ascii="Arial" w:cs="Arial" w:hAnsi="Arial"/>
        </w:rPr>
      </w:pPr>
    </w:p>
    <w:p>
      <w:pPr>
        <w:spacing w:before="0" w:after="160" w:line="258"/>
        <w:ind w:left="0" w:right="0" w:firstLine="0"/>
        <w:jc w:val="center"/>
        <w:rPr>
          <w:rFonts w:ascii="Arial" w:cs="Arial" w:hAnsi="Arial"/>
        </w:rPr>
      </w:pPr>
    </w:p>
    <w:p>
      <w:pPr>
        <w:spacing w:before="0" w:after="160" w:line="258"/>
        <w:ind w:left="0" w:right="0" w:firstLine="0"/>
        <w:jc w:val="center"/>
        <w:rPr>
          <w:rFonts w:ascii="Arial" w:cs="Arial" w:hAnsi="Arial"/>
        </w:rPr>
      </w:pPr>
    </w:p>
    <w:p>
      <w:pPr>
        <w:spacing w:before="0" w:after="160" w:line="258"/>
        <w:ind w:left="0" w:right="0" w:firstLine="0"/>
        <w:jc w:val="center"/>
        <w:rPr>
          <w:rFonts w:ascii="Arial" w:cs="Arial" w:hAnsi="Arial"/>
        </w:rPr>
      </w:pPr>
    </w:p>
    <w:p>
      <w:pPr>
        <w:spacing w:before="0" w:after="160" w:line="258"/>
        <w:ind w:left="0" w:right="0" w:firstLine="0"/>
        <w:jc w:val="center"/>
        <w:rPr>
          <w:rFonts w:ascii="Arial" w:cs="Arial" w:hAnsi="Arial"/>
        </w:rPr>
      </w:pPr>
    </w:p>
    <w:p>
      <w:pPr>
        <w:spacing w:before="0" w:after="160" w:line="258"/>
        <w:ind w:left="0" w:right="0" w:firstLine="0"/>
        <w:jc w:val="center"/>
        <w:rPr>
          <w:rFonts w:ascii="Arial" w:cs="Arial" w:hAnsi="Arial"/>
        </w:rPr>
      </w:pPr>
    </w:p>
    <w:p>
      <w:pPr>
        <w:spacing w:before="0" w:after="160" w:line="258"/>
        <w:ind w:left="0" w:right="0" w:firstLine="0"/>
        <w:jc w:val="center"/>
        <w:rPr>
          <w:rFonts w:ascii="Arial" w:cs="Arial" w:hAnsi="Arial"/>
        </w:rPr>
      </w:pPr>
    </w:p>
    <w:p>
      <w:pPr>
        <w:spacing w:before="0" w:after="160" w:line="258"/>
        <w:ind w:left="0" w:right="0" w:firstLine="0"/>
        <w:jc w:val="center"/>
        <w:rPr>
          <w:rFonts w:ascii="Arial" w:cs="Arial" w:hAnsi="Arial"/>
        </w:rPr>
      </w:pPr>
    </w:p>
    <w:p>
      <w:pPr>
        <w:spacing w:before="0" w:after="160" w:line="258"/>
        <w:ind w:left="0" w:right="0" w:firstLine="0"/>
        <w:jc w:val="center"/>
        <w:rPr>
          <w:rFonts w:ascii="Arial" w:cs="Arial" w:hAnsi="Arial"/>
        </w:rPr>
      </w:pPr>
    </w:p>
    <w:p>
      <w:pPr>
        <w:spacing w:before="0" w:after="160" w:line="258"/>
        <w:ind w:left="0" w:right="0" w:firstLine="0"/>
        <w:jc w:val="center"/>
        <w:rPr>
          <w:rFonts w:ascii="Arial" w:cs="Arial" w:hAnsi="Arial"/>
        </w:rPr>
      </w:pPr>
    </w:p>
    <w:p>
      <w:pPr>
        <w:spacing w:before="0" w:after="160" w:line="258"/>
        <w:ind w:left="0" w:right="0" w:firstLine="0"/>
        <w:jc w:val="center"/>
        <w:rPr>
          <w:rFonts w:ascii="Arial" w:cs="Arial" w:hAnsi="Arial"/>
        </w:rPr>
      </w:pPr>
      <w:r>
        <w:rPr>
          <w:rFonts w:ascii="Arial" w:cs="Arial" w:hAnsi="Arial"/>
        </w:rPr>
        <w:drawing xmlns:mc="http://schemas.openxmlformats.org/markup-compatibility/2006">
          <wp:inline>
            <wp:extent cx="3333750" cy="16383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a:picLocks noGrp="0" noSelect="0" noChangeAspect="1" noMove="0"/>
                    </pic:cNvPicPr>
                  </pic:nvPicPr>
                  <pic:blipFill>
                    <a:blip r:embed="rId8"/>
                    <a:srcRect/>
                    <a:stretch>
                      <a:fillRect/>
                    </a:stretch>
                  </pic:blipFill>
                  <pic:spPr>
                    <a:xfrm>
                      <a:off x="0" y="0"/>
                      <a:ext cx="3333750" cy="1638300"/>
                    </a:xfrm>
                    <a:prstGeom prst="rect">
                      <a:avLst/>
                    </a:prstGeom>
                  </pic:spPr>
                </pic:pic>
              </a:graphicData>
            </a:graphic>
          </wp:inline>
        </w:drawing>
      </w:r>
    </w:p>
    <w:p>
      <w:pPr>
        <w:spacing w:before="0" w:after="160" w:line="258"/>
        <w:ind w:left="0" w:right="0" w:firstLine="0"/>
        <w:jc w:val="center"/>
        <w:rPr>
          <w:rFonts w:ascii="Arial" w:cs="Arial" w:hAnsi="Arial"/>
        </w:rPr>
      </w:pPr>
    </w:p>
    <w:p>
      <w:pPr>
        <w:spacing w:before="0" w:after="160" w:line="258"/>
        <w:ind w:left="0" w:right="0" w:firstLine="0"/>
        <w:jc w:val="center"/>
        <w:rPr>
          <w:rFonts w:ascii="Arial" w:cs="Arial" w:hAnsi="Arial"/>
        </w:rPr>
      </w:pPr>
    </w:p>
    <w:p>
      <w:pPr>
        <w:spacing w:before="0" w:after="160" w:line="258"/>
        <w:ind w:left="0" w:right="0" w:firstLine="0"/>
        <w:jc w:val="center"/>
        <w:rPr>
          <w:rFonts w:ascii="Arial" w:cs="Arial" w:hAnsi="Arial"/>
        </w:rPr>
      </w:pPr>
    </w:p>
    <w:p>
      <w:pPr>
        <w:spacing w:before="0" w:after="160" w:line="258"/>
        <w:ind w:left="0" w:right="0" w:firstLine="0"/>
        <w:jc w:val="center"/>
        <w:rPr>
          <w:rFonts w:ascii="Arial" w:cs="Arial" w:hAnsi="Arial"/>
        </w:rPr>
      </w:pPr>
      <w:r>
        <w:rPr>
          <w:rFonts w:ascii="Arial" w:cs="Arial" w:hAnsi="Arial"/>
        </w:rPr>
        <w:drawing xmlns:mc="http://schemas.openxmlformats.org/markup-compatibility/2006">
          <wp:inline>
            <wp:extent cx="5731510" cy="381825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a:picLocks noGrp="0" noSelect="0" noChangeAspect="1" noMove="0"/>
                    </pic:cNvPicPr>
                  </pic:nvPicPr>
                  <pic:blipFill>
                    <a:blip r:embed="rId9"/>
                    <a:srcRect/>
                    <a:stretch>
                      <a:fillRect/>
                    </a:stretch>
                  </pic:blipFill>
                  <pic:spPr>
                    <a:xfrm>
                      <a:off x="0" y="0"/>
                      <a:ext cx="5731510" cy="3818255"/>
                    </a:xfrm>
                    <a:prstGeom prst="rect">
                      <a:avLst/>
                    </a:prstGeom>
                  </pic:spPr>
                </pic:pic>
              </a:graphicData>
            </a:graphic>
          </wp:inline>
        </w:drawing>
      </w:r>
    </w:p>
    <w:p>
      <w:pPr>
        <w:spacing w:before="0" w:after="160" w:line="258"/>
        <w:ind w:left="0" w:right="0" w:firstLine="0"/>
        <w:jc w:val="center"/>
        <w:rPr>
          <w:rFonts w:ascii="Arial" w:cs="Arial" w:hAnsi="Arial"/>
        </w:rPr>
      </w:pPr>
    </w:p>
    <w:p>
      <w:pPr>
        <w:spacing w:before="0" w:after="160" w:line="258"/>
        <w:ind w:left="0" w:right="0" w:firstLine="0"/>
        <w:jc w:val="center"/>
        <w:rPr>
          <w:rFonts w:ascii="Arial" w:cs="Arial" w:hAnsi="Arial"/>
        </w:rPr>
      </w:pPr>
    </w:p>
    <w:p>
      <w:pPr>
        <w:spacing w:before="0" w:after="160" w:line="258"/>
        <w:ind w:left="0" w:right="0" w:firstLine="0"/>
        <w:jc w:val="center"/>
        <w:rPr>
          <w:rFonts w:ascii="Arial" w:cs="Arial" w:hAnsi="Arial"/>
        </w:rPr>
      </w:pPr>
    </w:p>
    <w:p>
      <w:pPr>
        <w:spacing w:before="0" w:after="160" w:line="258"/>
        <w:ind w:left="0" w:right="0" w:firstLine="0"/>
        <w:jc w:val="center"/>
        <w:rPr>
          <w:rFonts w:ascii="Arial" w:cs="Arial" w:hAnsi="Arial"/>
          <w:b/>
          <w:bCs/>
          <w:lang w:val="en-GB"/>
        </w:rPr>
      </w:pPr>
    </w:p>
    <w:p>
      <w:pPr>
        <w:spacing w:before="0" w:after="160" w:line="258"/>
        <w:ind w:left="0" w:right="0" w:firstLine="0"/>
        <w:jc w:val="center"/>
        <w:rPr>
          <w:rFonts w:ascii="Arial" w:cs="Arial" w:hAnsi="Arial"/>
          <w:b/>
          <w:bCs/>
          <w:lang w:val="en-GB"/>
        </w:rPr>
      </w:pPr>
    </w:p>
    <w:p>
      <w:pPr>
        <w:spacing w:before="0" w:after="160" w:line="258"/>
        <w:ind w:left="0" w:right="0" w:firstLine="0"/>
        <w:jc w:val="center"/>
        <w:rPr>
          <w:rFonts w:ascii="Arial" w:cs="Arial" w:hAnsi="Arial"/>
          <w:b/>
          <w:bCs/>
          <w:lang w:val="en-GB"/>
        </w:rPr>
      </w:pPr>
    </w:p>
    <w:p>
      <w:pPr>
        <w:spacing w:before="0" w:after="160" w:line="258"/>
        <w:ind w:left="0" w:right="0" w:firstLine="0"/>
        <w:jc w:val="center"/>
        <w:rPr>
          <w:rFonts w:ascii="Arial" w:cs="Arial" w:hAnsi="Arial"/>
          <w:b/>
          <w:bCs/>
          <w:lang w:val="en-GB"/>
        </w:rPr>
      </w:pPr>
    </w:p>
    <w:p>
      <w:pPr>
        <w:spacing w:before="0" w:after="160" w:line="258"/>
        <w:ind w:left="0" w:right="0" w:firstLine="0"/>
        <w:jc w:val="center"/>
        <w:rPr>
          <w:rFonts w:ascii="Arial" w:cs="Arial" w:hAnsi="Arial"/>
          <w:b/>
          <w:bCs/>
          <w:lang w:val="en-GB"/>
        </w:rPr>
      </w:pPr>
    </w:p>
    <w:p>
      <w:pPr>
        <w:spacing w:before="0" w:after="160" w:line="258"/>
        <w:ind w:left="0" w:right="0" w:firstLine="0"/>
        <w:jc w:val="center"/>
        <w:rPr>
          <w:rFonts w:ascii="Arial" w:cs="Arial" w:hAnsi="Arial"/>
          <w:b/>
          <w:bCs/>
        </w:rPr>
      </w:pPr>
      <w:r>
        <w:rPr>
          <w:rFonts w:ascii="Arial" w:cs="Arial" w:hAnsi="Arial"/>
          <w:b/>
          <w:bCs/>
          <w:lang w:val="en-GB"/>
        </w:rPr>
        <w:t xml:space="preserve">REFERENCE </w:t>
      </w:r>
    </w:p>
    <w:p>
      <w:pPr>
        <w:spacing w:before="0" w:after="160" w:line="258"/>
        <w:ind w:left="0" w:right="0" w:firstLine="0"/>
        <w:jc w:val="center"/>
        <w:rPr>
          <w:rFonts w:ascii="Arial" w:cs="Arial" w:hAnsi="Arial"/>
        </w:rPr>
      </w:pPr>
    </w:p>
    <w:p>
      <w:pPr>
        <w:spacing w:before="0" w:after="160" w:line="258"/>
        <w:ind w:left="0" w:right="0" w:firstLine="0"/>
        <w:jc w:val="center"/>
        <w:rPr>
          <w:rFonts w:ascii="Arial" w:cs="Arial" w:hAnsi="Arial"/>
        </w:rPr>
      </w:pPr>
    </w:p>
    <w:p>
      <w:pPr>
        <w:spacing w:before="0" w:after="160" w:line="258"/>
        <w:ind w:left="0" w:right="0" w:firstLine="0"/>
        <w:jc w:val="center"/>
        <w:rPr>
          <w:rFonts w:ascii="Arial" w:cs="Arial" w:hAnsi="Arial"/>
        </w:rPr>
      </w:pPr>
    </w:p>
    <w:p>
      <w:pPr>
        <w:spacing w:before="0" w:after="160" w:line="258"/>
        <w:ind w:left="0" w:right="0" w:firstLine="0"/>
        <w:jc w:val="center"/>
        <w:rPr>
          <w:rFonts w:ascii="Arial" w:cs="Arial" w:hAnsi="Arial"/>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calibri"/>
          <w:color w:val="000000"/>
          <w:sz w:val="27"/>
          <w:rtl w:val="off"/>
          <w:lang w:val="en-US"/>
        </w:rPr>
        <w:t>Mumps. (n.d.). [online] Available at: https://www.cdc.gov/vaccines/pubs/pinkbook/downloads/mumps.pdf.</w:t>
      </w:r>
      <w:r>
        <w:rPr>
          <w:rFonts w:ascii="Arial" w:cs="Arial" w:hAnsi="Arial"/>
          <w:color w:val="000000"/>
          <w:sz w:val="22"/>
          <w:szCs w:val="22"/>
          <w:rtl w:val="off"/>
          <w:lang w:val="en-US"/>
        </w:rPr>
        <w:t xml:space="preserve"> (Access 6 Dec,2022)</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rtl w:val="off"/>
          <w:lang w:val="en-US"/>
        </w:rPr>
      </w:pPr>
      <w:r>
        <w:rPr>
          <w:rFonts w:ascii="calibri"/>
          <w:color w:val="000000"/>
          <w:sz w:val="27"/>
          <w:rtl w:val="off"/>
          <w:lang w:val="en-US"/>
        </w:rPr>
        <w:t xml:space="preserve">Mayo Clinic (2018). </w:t>
      </w:r>
      <w:r>
        <w:rPr>
          <w:rFonts w:ascii="calibri"/>
          <w:i/>
          <w:color w:val="000000"/>
          <w:sz w:val="27"/>
          <w:rtl w:val="off"/>
          <w:lang w:val="en-US"/>
        </w:rPr>
        <w:t>Mumps - Symptoms and causes</w:t>
      </w:r>
      <w:r>
        <w:rPr>
          <w:rFonts w:ascii="calibri"/>
          <w:color w:val="000000"/>
          <w:sz w:val="27"/>
          <w:rtl w:val="off"/>
          <w:lang w:val="en-US"/>
        </w:rPr>
        <w:t>. [online] Mayo Clinic. Available at: https://www.mayoclinic.org/diseases-conditions/mumps/symptoms-causes/syc-20375361.</w:t>
      </w:r>
      <w:r>
        <w:rPr>
          <w:rFonts w:ascii="Segoe UI"/>
          <w:color w:val="000000"/>
          <w:sz w:val="18"/>
          <w:rtl w:val="off"/>
          <w:lang w:val="en-US"/>
        </w:rPr>
        <w:t xml:space="preserve"> </w:t>
      </w:r>
      <w:r>
        <w:rPr>
          <w:rFonts w:ascii="Arial" w:cs="Arial" w:hAnsi="Arial"/>
          <w:color w:val="000000"/>
          <w:sz w:val="22"/>
          <w:szCs w:val="22"/>
          <w:rtl w:val="off"/>
          <w:lang w:val="en-US"/>
        </w:rPr>
        <w:t xml:space="preserve"> (Access 6 Dec,2022)</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calibri"/>
          <w:color w:val="000000"/>
          <w:sz w:val="27"/>
          <w:rtl w:val="off"/>
          <w:lang w:val="en-US"/>
        </w:rPr>
        <w:t xml:space="preserve">cdc (2019). </w:t>
      </w:r>
      <w:r>
        <w:rPr>
          <w:rFonts w:ascii="calibri"/>
          <w:i/>
          <w:color w:val="000000"/>
          <w:sz w:val="27"/>
          <w:rtl w:val="off"/>
          <w:lang w:val="en-US"/>
        </w:rPr>
        <w:t>Mumps</w:t>
      </w:r>
      <w:r>
        <w:rPr>
          <w:rFonts w:ascii="calibri"/>
          <w:color w:val="000000"/>
          <w:sz w:val="27"/>
          <w:rtl w:val="off"/>
          <w:lang w:val="en-US"/>
        </w:rPr>
        <w:t>. [online] Centers for Disease Control and Prevention. Available at: https://www.cdc.gov/mumps/index.html.</w:t>
      </w:r>
      <w:r>
        <w:rPr>
          <w:rFonts w:ascii="Segoe UI"/>
          <w:color w:val="000000"/>
          <w:sz w:val="18"/>
          <w:rtl w:val="off"/>
          <w:lang w:val="en-US"/>
        </w:rPr>
        <w:t xml:space="preserve"> </w:t>
      </w:r>
      <w:r>
        <w:rPr>
          <w:rFonts w:ascii="Arial" w:cs="Arial" w:hAnsi="Arial"/>
          <w:color w:val="000000"/>
          <w:sz w:val="22"/>
          <w:szCs w:val="22"/>
          <w:rtl w:val="off"/>
          <w:lang w:val="en-US"/>
        </w:rPr>
        <w:t xml:space="preserve"> (Access 6 Dec,2022)</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rtl w:val="off"/>
          <w:lang w:val="en-US"/>
        </w:rPr>
      </w:pPr>
      <w:r>
        <w:rPr>
          <w:rFonts w:ascii="calibri"/>
          <w:color w:val="000000"/>
          <w:sz w:val="27"/>
          <w:rtl w:val="off"/>
          <w:lang w:val="en-US"/>
        </w:rPr>
        <w:t xml:space="preserve">Dobson, R. (2005). Mumps cases on the rise in England and Wales. </w:t>
      </w:r>
      <w:r>
        <w:rPr>
          <w:rFonts w:ascii="calibri"/>
          <w:i/>
          <w:color w:val="000000"/>
          <w:sz w:val="27"/>
          <w:rtl w:val="off"/>
          <w:lang w:val="en-US"/>
        </w:rPr>
        <w:t>BMJ</w:t>
      </w:r>
      <w:r>
        <w:rPr>
          <w:rFonts w:ascii="calibri"/>
          <w:color w:val="000000"/>
          <w:sz w:val="27"/>
          <w:rtl w:val="off"/>
          <w:lang w:val="en-US"/>
        </w:rPr>
        <w:t>, 330(7487), p.324.2. doi:10.1136/bmj.330.7487.324-a.</w:t>
      </w:r>
      <w:r>
        <w:rPr>
          <w:rFonts w:ascii="Segoe UI"/>
          <w:color w:val="000000"/>
          <w:sz w:val="18"/>
          <w:rtl w:val="off"/>
          <w:lang w:val="en-US"/>
        </w:rPr>
        <w:t xml:space="preserve"> </w:t>
      </w:r>
      <w:r>
        <w:rPr>
          <w:rFonts w:ascii="Arial" w:cs="Arial" w:hAnsi="Arial"/>
          <w:color w:val="000000"/>
          <w:sz w:val="22"/>
          <w:szCs w:val="22"/>
          <w:rtl w:val="off"/>
          <w:lang w:val="en-US"/>
        </w:rPr>
        <w:t xml:space="preserve">(Access 6 Dec,2022)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Arial" w:cs="Arial" w:hAnsi="Arial"/>
          <w:color w:val="000000"/>
          <w:sz w:val="22"/>
          <w:szCs w:val="22"/>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rtl w:val="off"/>
          <w:lang w:val="en-US"/>
        </w:rPr>
      </w:pPr>
      <w:r>
        <w:rPr>
          <w:rFonts w:ascii="calibri"/>
          <w:color w:val="000000"/>
          <w:sz w:val="27"/>
          <w:rtl w:val="off"/>
          <w:lang w:val="en-US"/>
        </w:rPr>
        <w:t xml:space="preserve">Public Health England (2014). </w:t>
      </w:r>
      <w:r>
        <w:rPr>
          <w:rFonts w:ascii="calibri"/>
          <w:i/>
          <w:color w:val="000000"/>
          <w:sz w:val="27"/>
          <w:rtl w:val="off"/>
          <w:lang w:val="en-US"/>
        </w:rPr>
        <w:t>Notifications of infectious diseases (NOIDs)</w:t>
      </w:r>
      <w:r>
        <w:rPr>
          <w:rFonts w:ascii="calibri"/>
          <w:color w:val="000000"/>
          <w:sz w:val="27"/>
          <w:rtl w:val="off"/>
          <w:lang w:val="en-US"/>
        </w:rPr>
        <w:t>. [online] GOV.UK. Available at: https://www.gov.uk/government/collections/notifications-of-infectious-diseases-noids.</w:t>
      </w:r>
      <w:r>
        <w:rPr>
          <w:rFonts w:ascii="Segoe UI"/>
          <w:color w:val="000000"/>
          <w:sz w:val="18"/>
          <w:rtl w:val="off"/>
          <w:lang w:val="en-US"/>
        </w:rPr>
        <w:t xml:space="preserve"> </w:t>
      </w:r>
      <w:r>
        <w:rPr>
          <w:rFonts w:ascii="Segoe UI"/>
          <w:color w:val="000000"/>
          <w:sz w:val="18"/>
          <w:rtl w:val="off"/>
          <w:lang w:val="en-US"/>
        </w:rPr>
        <w:t xml:space="preserve"> </w:t>
      </w:r>
      <w:r>
        <w:rPr>
          <w:rFonts w:ascii="Arial" w:cs="Arial" w:hAnsi="Arial"/>
          <w:color w:val="000000"/>
          <w:sz w:val="22"/>
          <w:szCs w:val="22"/>
          <w:rtl w:val="off"/>
          <w:lang w:val="en-US"/>
        </w:rPr>
        <w:t>(Access 6 Dec,2022)</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calibri"/>
          <w:color w:val="000000"/>
          <w:sz w:val="27"/>
          <w:rtl w:val="off"/>
          <w:lang w:val="en-US"/>
        </w:rPr>
        <w:t xml:space="preserve">GOV.UK. (n.d.). </w:t>
      </w:r>
      <w:r>
        <w:rPr>
          <w:rFonts w:ascii="calibri"/>
          <w:i/>
          <w:color w:val="000000"/>
          <w:sz w:val="27"/>
          <w:rtl w:val="off"/>
          <w:lang w:val="en-US"/>
        </w:rPr>
        <w:t>Immunisation and diagnosis unit (IDU): diagnostic and reference services</w:t>
      </w:r>
      <w:r>
        <w:rPr>
          <w:rFonts w:ascii="calibri"/>
          <w:color w:val="000000"/>
          <w:sz w:val="27"/>
          <w:rtl w:val="off"/>
          <w:lang w:val="en-US"/>
        </w:rPr>
        <w:t>. [online] Available at: https://www.gov.uk/guidance/immunisation-and-diagnosis-unit-idu-diagnostic-and-reference-services .</w:t>
      </w:r>
      <w:r>
        <w:rPr>
          <w:rFonts w:ascii="Segoe UI"/>
          <w:color w:val="000000"/>
          <w:sz w:val="18"/>
          <w:rtl w:val="off"/>
          <w:lang w:val="en-US"/>
        </w:rPr>
        <w:t xml:space="preserve"> </w:t>
      </w:r>
      <w:r>
        <w:rPr>
          <w:rFonts w:ascii="Arial" w:cs="Arial" w:hAnsi="Arial"/>
          <w:color w:val="000000"/>
          <w:sz w:val="22"/>
          <w:szCs w:val="22"/>
          <w:rtl w:val="off"/>
          <w:lang w:val="en-US"/>
        </w:rPr>
        <w:t>(Access 6 Dec,2022)</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calibri"/>
          <w:color w:val="000000"/>
          <w:sz w:val="27"/>
          <w:rtl w:val="off"/>
          <w:lang w:val="en-US"/>
        </w:rPr>
        <w:t xml:space="preserve">Public Health England (2013). </w:t>
      </w:r>
      <w:r>
        <w:rPr>
          <w:rFonts w:ascii="calibri"/>
          <w:i/>
          <w:color w:val="000000"/>
          <w:sz w:val="27"/>
          <w:rtl w:val="off"/>
          <w:lang w:val="en-US"/>
        </w:rPr>
        <w:t>Immunisation</w:t>
      </w:r>
      <w:r>
        <w:rPr>
          <w:rFonts w:ascii="calibri"/>
          <w:color w:val="000000"/>
          <w:sz w:val="27"/>
          <w:rtl w:val="off"/>
          <w:lang w:val="en-US"/>
        </w:rPr>
        <w:t>. [online] GOV.UK. Available at: https://www.gov.uk/government/collections/immunisation.</w:t>
      </w:r>
      <w:r>
        <w:rPr>
          <w:rFonts w:ascii="Segoe UI"/>
          <w:color w:val="000000"/>
          <w:sz w:val="18"/>
          <w:rtl w:val="off"/>
          <w:lang w:val="en-US"/>
        </w:rPr>
        <w:t xml:space="preserve"> </w:t>
      </w:r>
      <w:r>
        <w:rPr>
          <w:rFonts w:ascii="Arial" w:cs="Arial" w:hAnsi="Arial"/>
          <w:color w:val="000000"/>
          <w:sz w:val="22"/>
          <w:szCs w:val="22"/>
          <w:rtl w:val="off"/>
          <w:lang w:val="en-US"/>
        </w:rPr>
        <w:t>(Access 6 Dec,2022)</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spacing w:before="0" w:after="160" w:line="258"/>
        <w:ind w:left="0" w:right="0" w:firstLine="0"/>
        <w:jc w:val="center"/>
        <w:rPr>
          <w:rFonts w:ascii="Arial" w:cs="Arial" w:hAnsi="Arial"/>
        </w:rPr>
      </w:pPr>
    </w:p>
    <w:sectPr>
      <w:headerReference w:type="default" r:id="rId10"/>
      <w:footerReference w:type="default" r:id="rId11"/>
      <w:footnotePr/>
      <w:type w:val="nextPage"/>
      <w:pgSz w:w="11906" w:h="16838" w:orient="portrait"/>
      <w:pgMar w:top="1440" w:right="1440" w:bottom="1440" w:left="1440" w:header="708" w:footer="708" w:gutter="0"/>
      <w:paperSrc w:first="1" w:other="1"/>
      <w:pgNumType w:fmt="decimal"/>
      <w:cols w:equalWidth="1" w:space="720" w:num="1" w:sep="0"/>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20002a87" w:usb1="00000000" w:usb2="00000008" w:usb3="00000000" w:csb0="000001ff" w:csb1="00000000"/>
  </w:font>
  <w:font w:name="Calibri">
    <w:panose1 w:val="020f0502020204030204"/>
    <w:charset w:val="00"/>
    <w:family w:val="swiss"/>
    <w:pitch w:val="variable"/>
    <w:sig w:usb0="00000000" w:usb1="4000207b" w:usb2="00000000" w:usb3="00000000" w:csb0="0000009f" w:csb1="00000000"/>
  </w:font>
  <w:font w:name="Cambria">
    <w:panose1 w:val="02040503050406030204"/>
    <w:charset w:val="00"/>
    <w:family w:val="roman"/>
    <w:pitch w:val="variable"/>
    <w:sig w:usb0="00000000" w:usb1="4000004b" w:usb2="00000000" w:usb3="00000000" w:csb0="0000009f" w:csb1="00000000"/>
  </w:font>
  <w:font w:name="Courier New">
    <w:panose1 w:val="02070309020205020404"/>
    <w:charset w:val="00"/>
    <w:family w:val="modern"/>
    <w:pitch w:val="fixed"/>
    <w:sig w:usb0="00000000" w:usb1="00000000" w:usb2="00000009" w:usb3="00000000" w:csb0="000001ff" w:csb1="00000000"/>
  </w:font>
  <w:font w:name="Times New Roman">
    <w:panose1 w:val="02020603050405020304"/>
    <w:charset w:val="00"/>
    <w:family w:val="roman"/>
    <w:pitch w:val="variable"/>
    <w:sig w:usb0="20002a87" w:usb1="00000000" w:usb2="00000008" w:usb3="00000000" w:csb0="000001ff" w:csb1="00000000"/>
  </w:font>
  <w:font w:name="Tahoma">
    <w:panose1 w:val="020b0604030504040204"/>
    <w:charset w:val="00"/>
    <w:family w:val="roman"/>
    <w:pitch w:val="variable"/>
    <w:sig w:usb0="61002a87" w:usb1="00000000" w:usb2="00000008" w:usb3="00000000" w:csb0="000001ff" w:csb1="00000000"/>
  </w:font>
  <w:font w:name="Verdana">
    <w:panose1 w:val="020b0604030504040204"/>
    <w:charset w:val="00"/>
    <w:family w:val="roman"/>
    <w:pitch w:val="variable"/>
    <w:sig w:usb0="00000000"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 w:name="roboto">
    <w:charset w:val="00"/>
  </w:font>
  <w:font w:name="Segoe UI">
    <w:charset w:val="00"/>
  </w:font>
  <w:font w:name="calibri">
    <w:charset w:val="00"/>
  </w:font>
</w:fonts>
</file>

<file path=word/footer1.xml><?xml version="1.0" encoding="utf-8"?>
<w:ftr xmlns:w="http://schemas.openxmlformats.org/wordprocessingml/2006/main"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pi="http://schemas.microsoft.com/office/word/2010/wordprocessingInk" xmlns:aink="http://schemas.microsoft.com/office/drawing/2016/ink" xmlns:dgm="http://schemas.openxmlformats.org/drawingml/2006/diagram">
  <w:p>
    <w:pPr>
      <w:spacing w:after="0" w:line="240" w:lineRule="auto"/>
      <w:jc w:val="center"/>
      <w:rPr/>
    </w:pPr>
    <w:r>
      <w:fldChar w:fldCharType="begin"/>
    </w:r>
    <w:r>
      <w:instrText xml:space="preserve">PAGE</w:instrText>
    </w:r>
    <w:r>
      <w:fldChar w:fldCharType="separate"/>
    </w:r>
    <w:r>
      <w:rPr>
        <w:lang w:val="en-US"/>
      </w:rPr>
      <w:t>*</w:t>
    </w:r>
    <w:r>
      <w:fldChar w:fldCharType="end"/>
    </w:r>
  </w:p>
  <w:p>
    <w:pPr>
      <w:spacing w:after="0" w:line="240" w:lineRule="auto"/>
      <w:rPr/>
    </w:pPr>
  </w:p>
</w:ftr>
</file>

<file path=word/header1.xml><?xml version="1.0" encoding="utf-8"?>
<w:hdr xmlns:w="http://schemas.openxmlformats.org/wordprocessingml/2006/main"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pi="http://schemas.microsoft.com/office/word/2010/wordprocessingInk" xmlns:aink="http://schemas.microsoft.com/office/drawing/2016/ink" xmlns:dgm="http://schemas.openxmlformats.org/drawingml/2006/diagram">
  <w:p>
    <w:pPr>
      <w:spacing w:after="0" w:line="240" w:lineRule="auto"/>
      <w:rP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ompat>
    <w:compatSetting w:name="compatibilityMode" w:uri="http://schemas.microsoft.com/office/word" w:val="14"/>
  </w:compat>
  <w:themeFontLang w:val="en-GB" w:eastAsia="zh-CN" w:bidi="ar-SA"/>
  <w:clrSchemeMapping w:accent1="accent1" w:accent2="accent2" w:accent3="accent3" w:accent4="accent4" w:accent5="accent5" w:accent6="accent6" w:bg1="light1" w:bg2="light2" w:followedHyperlink="followedHyperlink" w:hyperlink="hyperlink" w:text1="dark1" w:text2="dark2"/>
  <w:footnotePr/>
  <w:endnotePr/>
  <w:trackRevisions w:val="off"/>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EastAsia" w:hAnsiTheme="minorHAnsi"/>
        <w:sz w:val="22"/>
        <w:szCs w:val="22"/>
      </w:rPr>
    </w:rPrDefault>
    <w:pPrDefault>
      <w:pPr>
        <w:spacing w:after="200" w:line="276" w:lineRule="auto"/>
      </w:pPr>
    </w:pPrDefault>
  </w:docDefaults>
  <w:style w:type="paragraph" w:default="1" w:styleId="Normal">
    <w:name w:val="Normal"/>
    <w:uiPriority w:val="0"/>
    <w:qFormat w:val="on"/>
  </w:style>
  <w:style w:type="paragraph" w:styleId="Heading1">
    <w:name w:val="Heading 1"/>
    <w:basedOn w:val="Normal"/>
    <w:next w:val="Normal"/>
    <w:link w:val="Heading1Char"/>
    <w:uiPriority w:val="9"/>
    <w:qFormat w:val="on"/>
    <w:pPr>
      <w:keepNext w:val="on"/>
      <w:keepLines w:val="on"/>
      <w:spacing w:before="480" w:after="0"/>
    </w:pPr>
    <w:rPr>
      <w:rFonts w:asciiTheme="majorHAnsi" w:cstheme="majorBidi" w:eastAsiaTheme="majorEastAsia" w:hAnsiTheme="majorHAnsi"/>
      <w:b/>
      <w:bCs/>
      <w:color w:val="2f5395" w:themeColor="accent1" w:themeShade="bf"/>
      <w:sz w:val="28"/>
      <w:szCs w:val="28"/>
    </w:rPr>
  </w:style>
  <w:style w:type="paragraph" w:styleId="Heading2">
    <w:name w:val="Heading 2"/>
    <w:basedOn w:val="Normal"/>
    <w:next w:val="Normal"/>
    <w:link w:val="Heading2Char"/>
    <w:uiPriority w:val="9"/>
    <w:semiHidden w:val="on"/>
    <w:unhideWhenUsed w:val="on"/>
    <w:qFormat w:val="on"/>
    <w:pPr>
      <w:keepNext w:val="on"/>
      <w:keepLines w:val="on"/>
      <w:spacing w:before="200" w:after="0"/>
    </w:pPr>
    <w:rPr>
      <w:rFonts w:asciiTheme="majorHAnsi" w:cstheme="majorBidi" w:eastAsiaTheme="majorEastAsia" w:hAnsiTheme="majorHAnsi"/>
      <w:b/>
      <w:bCs/>
      <w:color w:val="4472c4" w:themeColor="accent1"/>
      <w:sz w:val="26"/>
      <w:szCs w:val="26"/>
    </w:rPr>
  </w:style>
  <w:style w:type="paragraph" w:styleId="Heading3">
    <w:name w:val="Heading 3"/>
    <w:basedOn w:val="Normal"/>
    <w:next w:val="Normal"/>
    <w:link w:val="Heading3Char"/>
    <w:uiPriority w:val="9"/>
    <w:semiHidden w:val="on"/>
    <w:unhideWhenUsed w:val="on"/>
    <w:qFormat w:val="on"/>
    <w:pPr>
      <w:keepNext w:val="on"/>
      <w:keepLines w:val="on"/>
      <w:spacing w:before="200" w:after="0"/>
    </w:pPr>
    <w:rPr>
      <w:rFonts w:asciiTheme="majorHAnsi" w:cstheme="majorBidi" w:eastAsiaTheme="majorEastAsia" w:hAnsiTheme="majorHAnsi"/>
      <w:b/>
      <w:bCs/>
      <w:color w:val="4472c4" w:themeColor="accent1"/>
    </w:rPr>
  </w:style>
  <w:style w:type="paragraph" w:styleId="Heading4">
    <w:name w:val="Heading 4"/>
    <w:basedOn w:val="Normal"/>
    <w:next w:val="Normal"/>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4472c4"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1f3763"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1f3763"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qFormat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paragraph" w:styleId="NoSpacing">
    <w:name w:val="No Spacing"/>
    <w:uiPriority w:val="1"/>
    <w:qFormat w:val="on"/>
    <w:pPr>
      <w:spacing w:after="0" w:line="240" w:lineRule="auto"/>
    </w:pPr>
  </w:style>
  <w:style w:type="character" w:customStyle="1" w:styleId="Heading1Char">
    <w:name w:val="Heading 1 Char"/>
    <w:basedOn w:val="DefaultParagraphFont"/>
    <w:link w:val="Heading1"/>
    <w:uiPriority w:val="9"/>
    <w:rPr>
      <w:rFonts w:asciiTheme="majorHAnsi" w:cstheme="majorBidi" w:eastAsiaTheme="majorEastAsia" w:hAnsiTheme="majorHAnsi"/>
      <w:b/>
      <w:bCs/>
      <w:color w:val="2f5395" w:themeColor="accent1" w:themeShade="bf"/>
      <w:sz w:val="28"/>
      <w:szCs w:val="28"/>
    </w:r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472c4"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472c4"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472c4"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1f3763"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1f3763"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472c4" w:themeColor="accent1" w:sz="8" w:space="4"/>
      </w:pBdr>
      <w:spacing w:after="300" w:line="240" w:lineRule="auto"/>
      <w:contextualSpacing w:val="on"/>
    </w:pPr>
    <w:rPr>
      <w:rFonts w:asciiTheme="majorHAnsi" w:cstheme="majorBidi" w:eastAsiaTheme="majorEastAsia" w:hAnsiTheme="majorHAnsi"/>
      <w:color w:val="333f4f"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333f4f"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472c4"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472c4"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472c4" w:themeColor="accent1" w:sz="4" w:space="4"/>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character" w:styleId="BookTitle">
    <w:name w:val="Book Title"/>
    <w:basedOn w:val="DefaultParagraphFont"/>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character" w:styleId="Hyperlink">
    <w:name w:val="Hyperlink"/>
    <w:basedOn w:val="DefaultParagraphFont"/>
    <w:uiPriority w:val="99"/>
    <w:unhideWhenUsed w:val="on"/>
    <w:rPr>
      <w:color w:val="0563c1" w:themeColor="hyperlink"/>
      <w:u w:val="single"/>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Header">
    <w:name w:val="Header"/>
    <w:basedOn w:val="Normal"/>
    <w:link w:val="HeaderChar"/>
    <w:uiPriority w:val="99"/>
    <w:unhideWhenUsed w:val="on"/>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spacing w:after="0" w:line="240" w:lineRule="auto"/>
    </w:pPr>
  </w:style>
  <w:style w:type="character" w:customStyle="1" w:styleId="FooterChar">
    <w:name w:val="Footer Char"/>
    <w:basedOn w:val="DefaultParagraphFont"/>
    <w:link w:val="Footer"/>
    <w:uiPriority w:val="99"/>
  </w:style>
  <w:style w:type="paragraph" w:styleId="Caption">
    <w:name w:val="Caption"/>
    <w:basedOn w:val="Normal"/>
    <w:next w:val="Normal"/>
    <w:uiPriority w:val="35"/>
    <w:unhideWhenUsed w:val="on"/>
    <w:qFormat w:val="on"/>
    <w:pPr>
      <w:spacing w:after="200" w:line="240" w:lineRule="auto"/>
    </w:pPr>
    <w:rPr>
      <w:i/>
      <w:iCs/>
      <w:color w:val="44546a" w:themeColor="text2"/>
      <w:sz w:val="18"/>
      <w:szCs w:val="18"/>
    </w:rPr>
  </w:style>
  <w:style w:type="paragraph" w:styleId="TOCHeading">
    <w:name w:val="TOC Heading"/>
    <w:basedOn w:val="Heading1"/>
    <w:next w:val="Normal"/>
    <w:uiPriority w:val="39"/>
    <w:unhideWhenUsed w:val="on"/>
    <w:qFormat w:val="on"/>
    <w:pPr/>
    <w:rPr>
      <w:b w:val="off"/>
      <w:bCs w:val="off"/>
      <w:sz w:val="32"/>
      <w:szCs w:val="32"/>
    </w:rPr>
  </w:style>
  <w:style w:type="paragraph" w:styleId="Toc1">
    <w:name w:val="Toc 1"/>
    <w:basedOn w:val="Normal"/>
    <w:next w:val="Normal"/>
    <w:uiPriority w:val="39"/>
    <w:unhideWhenUsed w:val="on"/>
    <w:pPr>
      <w:spacing w:after="100"/>
    </w:pPr>
  </w:style>
  <w:style w:type="paragraph" w:styleId="Toc2">
    <w:name w:val="Toc 2"/>
    <w:basedOn w:val="Normal"/>
    <w:next w:val="Normal"/>
    <w:uiPriority w:val="39"/>
    <w:unhideWhenUsed w:val="on"/>
    <w:pPr>
      <w:spacing w:after="100"/>
      <w:ind w:left="220"/>
    </w:pPr>
  </w:style>
  <w:style w:type="paragraph" w:styleId="Toc3">
    <w:name w:val="Toc 3"/>
    <w:basedOn w:val="Normal"/>
    <w:next w:val="Normal"/>
    <w:uiPriority w:val="39"/>
    <w:unhideWhenUsed w:val="on"/>
    <w:pPr>
      <w:spacing w:after="100"/>
      <w:ind w:left="440"/>
    </w:pPr>
  </w:style>
  <w:style w:type="paragraph" w:styleId="Toc4">
    <w:name w:val="Toc 4"/>
    <w:basedOn w:val="Normal"/>
    <w:next w:val="Normal"/>
    <w:uiPriority w:val="39"/>
    <w:unhideWhenUsed w:val="on"/>
    <w:pPr>
      <w:spacing w:after="100"/>
      <w:ind w:left="660"/>
    </w:pPr>
  </w:style>
  <w:style w:type="paragraph" w:styleId="Toc5">
    <w:name w:val="Toc 5"/>
    <w:basedOn w:val="Normal"/>
    <w:next w:val="Normal"/>
    <w:uiPriority w:val="39"/>
    <w:unhideWhenUsed w:val="on"/>
    <w:pPr>
      <w:spacing w:after="100"/>
      <w:ind w:left="880"/>
    </w:pPr>
  </w:style>
  <w:style w:type="paragraph" w:styleId="Toc6">
    <w:name w:val="Toc 6"/>
    <w:basedOn w:val="Normal"/>
    <w:next w:val="Normal"/>
    <w:uiPriority w:val="39"/>
    <w:unhideWhenUsed w:val="on"/>
    <w:pPr>
      <w:spacing w:after="100"/>
      <w:ind w:left="1100"/>
    </w:pPr>
  </w:style>
  <w:style w:type="paragraph" w:styleId="Toc7">
    <w:name w:val="Toc 7"/>
    <w:basedOn w:val="Normal"/>
    <w:next w:val="Normal"/>
    <w:uiPriority w:val="39"/>
    <w:unhideWhenUsed w:val="on"/>
    <w:pPr>
      <w:spacing w:after="100"/>
      <w:ind w:left="1320"/>
    </w:pPr>
  </w:style>
  <w:style w:type="paragraph" w:styleId="Toc8">
    <w:name w:val="Toc 8"/>
    <w:basedOn w:val="Normal"/>
    <w:next w:val="Normal"/>
    <w:uiPriority w:val="39"/>
    <w:unhideWhenUsed w:val="on"/>
    <w:pPr>
      <w:spacing w:after="100"/>
      <w:ind w:left="1540"/>
    </w:pPr>
  </w:style>
  <w:style w:type="paragraph" w:styleId="Toc9">
    <w:name w:val="Toc 9"/>
    <w:basedOn w:val="Normal"/>
    <w:next w:val="Normal"/>
    <w:uiPriority w:val="39"/>
    <w:unhideWhenUsed w:val="on"/>
    <w:pPr>
      <w:spacing w:after="100"/>
      <w:ind w:left="1760"/>
    </w:p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10" Type="http://schemas.openxmlformats.org/officeDocument/2006/relationships/header" Target="header1.xml"/><Relationship Id="rId11" Type="http://schemas.openxmlformats.org/officeDocument/2006/relationships/footer" Target="footer1.xml"/><Relationship Id="rId2" Type="http://schemas.openxmlformats.org/officeDocument/2006/relationships/fontTable" Target="fontTable.xml"/><Relationship Id="rId3" Type="http://schemas.openxmlformats.org/officeDocument/2006/relationships/styles" Target="styles.xml"/><Relationship Id="rId5" Type="http://schemas.openxmlformats.org/officeDocument/2006/relationships/settings" Target="settings.xml"/><Relationship Id="rId7" Type="http://schemas.openxmlformats.org/officeDocument/2006/relationships/image" Target="media/image1.jpeg"/><Relationship Id="rId8" Type="http://schemas.openxmlformats.org/officeDocument/2006/relationships/image" Target="media/image2.png"/><Relationship Id="rId9" Type="http://schemas.openxmlformats.org/officeDocument/2006/relationships/image" Target="media/image3.jpeg"/><Relationship Id="rId4" Type="http://schemas.openxmlformats.org/officeDocument/2006/relationships/image" Target="media/image1.jpeg"/><Relationship Id="rId6" Type="http://schemas.openxmlformats.org/officeDocument/2006/relationships/image" Target="media/image2.jpeg"/></Relationships>
</file>

<file path=word/theme/theme1.xml><?xml version="1.0" encoding="utf-8"?>
<a:theme xmlns:a="http://schemas.openxmlformats.org/drawingml/2006/main" name="Default">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Application>Microsoft Office Word</Application>
  <AppVersion>14.000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Magdalena Oana</dc:creator>
  <cp:lastModifiedBy>Magdalena Oana</cp:lastModifiedBy>
</cp:coreProperties>
</file>