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B3481" w14:textId="77777777" w:rsidR="007D2C07" w:rsidRPr="001C47C9" w:rsidRDefault="007D2C07" w:rsidP="007D2C07">
      <w:pPr>
        <w:spacing w:before="120" w:after="240" w:line="360" w:lineRule="auto"/>
        <w:jc w:val="both"/>
        <w:rPr>
          <w:rFonts w:ascii="Times New Roman" w:hAnsi="Times New Roman" w:cs="Times New Roman"/>
          <w:b/>
          <w:color w:val="000000" w:themeColor="text1"/>
          <w:sz w:val="24"/>
          <w:szCs w:val="24"/>
        </w:rPr>
      </w:pPr>
    </w:p>
    <w:p w14:paraId="48BA1121" w14:textId="77777777" w:rsidR="007D2C07" w:rsidRPr="001C47C9" w:rsidRDefault="007D2C07" w:rsidP="007D2C07">
      <w:pPr>
        <w:spacing w:before="120" w:after="240" w:line="360" w:lineRule="auto"/>
        <w:jc w:val="both"/>
        <w:rPr>
          <w:rFonts w:ascii="Times New Roman" w:hAnsi="Times New Roman" w:cs="Times New Roman"/>
          <w:b/>
          <w:color w:val="000000" w:themeColor="text1"/>
          <w:sz w:val="24"/>
          <w:szCs w:val="24"/>
        </w:rPr>
      </w:pPr>
    </w:p>
    <w:p w14:paraId="252FF7C8" w14:textId="77777777" w:rsidR="007D2C07" w:rsidRPr="001C47C9" w:rsidRDefault="007D2C07" w:rsidP="007D2C07">
      <w:pPr>
        <w:spacing w:before="120" w:after="240" w:line="360" w:lineRule="auto"/>
        <w:jc w:val="both"/>
        <w:rPr>
          <w:rFonts w:ascii="Times New Roman" w:hAnsi="Times New Roman" w:cs="Times New Roman"/>
          <w:b/>
          <w:color w:val="000000" w:themeColor="text1"/>
          <w:sz w:val="24"/>
          <w:szCs w:val="24"/>
        </w:rPr>
      </w:pPr>
    </w:p>
    <w:p w14:paraId="3C417080" w14:textId="77777777" w:rsidR="007D2C07" w:rsidRPr="001C47C9" w:rsidRDefault="007D2C07" w:rsidP="007D2C07">
      <w:pPr>
        <w:spacing w:before="120" w:after="240" w:line="360" w:lineRule="auto"/>
        <w:jc w:val="both"/>
        <w:rPr>
          <w:rFonts w:ascii="Times New Roman" w:hAnsi="Times New Roman" w:cs="Times New Roman"/>
          <w:b/>
          <w:color w:val="000000" w:themeColor="text1"/>
          <w:sz w:val="24"/>
          <w:szCs w:val="24"/>
        </w:rPr>
      </w:pPr>
    </w:p>
    <w:p w14:paraId="3585A4DC" w14:textId="77777777" w:rsidR="007D2C07" w:rsidRPr="001C47C9" w:rsidRDefault="007D2C07" w:rsidP="007D2C07">
      <w:pPr>
        <w:spacing w:before="120" w:after="240" w:line="360" w:lineRule="auto"/>
        <w:rPr>
          <w:rFonts w:ascii="Times New Roman" w:hAnsi="Times New Roman" w:cs="Times New Roman"/>
          <w:b/>
          <w:color w:val="000000" w:themeColor="text1"/>
          <w:sz w:val="24"/>
          <w:szCs w:val="24"/>
        </w:rPr>
      </w:pPr>
    </w:p>
    <w:p w14:paraId="631254E6" w14:textId="77777777" w:rsidR="007D2C07" w:rsidRPr="00AD0B55" w:rsidRDefault="007D2C07" w:rsidP="007D2C07">
      <w:pPr>
        <w:spacing w:before="120" w:after="240" w:line="360" w:lineRule="auto"/>
        <w:jc w:val="center"/>
        <w:rPr>
          <w:rFonts w:ascii="Times New Roman" w:hAnsi="Times New Roman" w:cs="Times New Roman"/>
          <w:b/>
          <w:color w:val="000000" w:themeColor="text1"/>
          <w:sz w:val="32"/>
          <w:szCs w:val="32"/>
        </w:rPr>
      </w:pPr>
      <w:r w:rsidRPr="00AD0B55">
        <w:rPr>
          <w:rFonts w:ascii="Times New Roman" w:hAnsi="Times New Roman" w:cs="Times New Roman"/>
          <w:b/>
          <w:color w:val="000000" w:themeColor="text1"/>
          <w:sz w:val="32"/>
          <w:szCs w:val="32"/>
        </w:rPr>
        <w:t>BMBM6024 Strategic Management and Sustainability</w:t>
      </w:r>
    </w:p>
    <w:p w14:paraId="514FF89C" w14:textId="77777777" w:rsidR="007D2C07" w:rsidRPr="00AD0B55" w:rsidRDefault="007D2C07" w:rsidP="007D2C07">
      <w:pPr>
        <w:spacing w:before="120" w:after="240" w:line="360" w:lineRule="auto"/>
        <w:jc w:val="center"/>
        <w:rPr>
          <w:rFonts w:ascii="Times New Roman" w:hAnsi="Times New Roman" w:cs="Times New Roman"/>
          <w:b/>
          <w:color w:val="000000" w:themeColor="text1"/>
          <w:sz w:val="32"/>
          <w:szCs w:val="32"/>
        </w:rPr>
      </w:pPr>
      <w:r w:rsidRPr="00AD0B55">
        <w:rPr>
          <w:rFonts w:ascii="Times New Roman" w:hAnsi="Times New Roman" w:cs="Times New Roman"/>
          <w:b/>
          <w:color w:val="000000" w:themeColor="text1"/>
          <w:sz w:val="32"/>
          <w:szCs w:val="32"/>
        </w:rPr>
        <w:t>Industry: Automotive &amp; Mobility Innovations</w:t>
      </w:r>
    </w:p>
    <w:p w14:paraId="04015896" w14:textId="77777777" w:rsidR="007D2C07" w:rsidRPr="00AD0B55" w:rsidRDefault="007D2C07" w:rsidP="007D2C07">
      <w:pPr>
        <w:spacing w:before="120" w:after="240" w:line="360" w:lineRule="auto"/>
        <w:jc w:val="center"/>
        <w:rPr>
          <w:rFonts w:ascii="Times New Roman" w:hAnsi="Times New Roman" w:cs="Times New Roman"/>
          <w:b/>
          <w:color w:val="000000" w:themeColor="text1"/>
          <w:sz w:val="32"/>
          <w:szCs w:val="32"/>
        </w:rPr>
      </w:pPr>
      <w:r w:rsidRPr="00AD0B55">
        <w:rPr>
          <w:rFonts w:ascii="Times New Roman" w:hAnsi="Times New Roman" w:cs="Times New Roman"/>
          <w:b/>
          <w:color w:val="000000" w:themeColor="text1"/>
          <w:sz w:val="32"/>
          <w:szCs w:val="32"/>
        </w:rPr>
        <w:t>Company: Tesla (USA)</w:t>
      </w:r>
    </w:p>
    <w:p w14:paraId="42B012C9" w14:textId="77777777" w:rsidR="007D2C07" w:rsidRPr="001C47C9" w:rsidRDefault="007D2C07" w:rsidP="007D2C07">
      <w:pPr>
        <w:spacing w:before="120" w:after="240" w:line="360" w:lineRule="auto"/>
        <w:jc w:val="center"/>
        <w:rPr>
          <w:rFonts w:ascii="Times New Roman" w:hAnsi="Times New Roman" w:cs="Times New Roman"/>
          <w:b/>
          <w:color w:val="000000" w:themeColor="text1"/>
          <w:sz w:val="24"/>
          <w:szCs w:val="24"/>
        </w:rPr>
      </w:pPr>
    </w:p>
    <w:p w14:paraId="77CD8DDF" w14:textId="5922715D" w:rsidR="007D2C07" w:rsidRPr="001C47C9" w:rsidRDefault="007D2C07" w:rsidP="007D2C07">
      <w:pPr>
        <w:spacing w:before="120" w:after="240" w:line="360" w:lineRule="auto"/>
        <w:jc w:val="center"/>
        <w:rPr>
          <w:rFonts w:ascii="Times New Roman" w:hAnsi="Times New Roman" w:cs="Times New Roman"/>
          <w:b/>
          <w:color w:val="000000" w:themeColor="text1"/>
          <w:sz w:val="24"/>
          <w:szCs w:val="24"/>
          <w:lang w:eastAsia="zh-CN"/>
        </w:rPr>
      </w:pPr>
      <w:r w:rsidRPr="001C47C9">
        <w:rPr>
          <w:rFonts w:ascii="Times New Roman" w:hAnsi="Times New Roman" w:cs="Times New Roman"/>
          <w:b/>
          <w:color w:val="000000" w:themeColor="text1"/>
          <w:sz w:val="24"/>
          <w:szCs w:val="24"/>
        </w:rPr>
        <w:t>Student Name:</w:t>
      </w:r>
      <w:r>
        <w:rPr>
          <w:rFonts w:ascii="Times New Roman" w:hAnsi="Times New Roman" w:cs="Times New Roman" w:hint="eastAsia"/>
          <w:b/>
          <w:color w:val="000000" w:themeColor="text1"/>
          <w:sz w:val="24"/>
          <w:szCs w:val="24"/>
          <w:lang w:eastAsia="zh-CN"/>
        </w:rPr>
        <w:t xml:space="preserve"> Yuhao Li</w:t>
      </w:r>
    </w:p>
    <w:p w14:paraId="23C89096" w14:textId="4F0DBCCF" w:rsidR="007D2C07" w:rsidRPr="001C47C9" w:rsidRDefault="007D2C07" w:rsidP="007D2C07">
      <w:pPr>
        <w:spacing w:before="120" w:after="240" w:line="360" w:lineRule="auto"/>
        <w:jc w:val="center"/>
        <w:rPr>
          <w:rFonts w:ascii="Times New Roman" w:hAnsi="Times New Roman" w:cs="Times New Roman" w:hint="eastAsia"/>
          <w:b/>
          <w:color w:val="000000" w:themeColor="text1"/>
          <w:sz w:val="24"/>
          <w:szCs w:val="24"/>
          <w:lang w:eastAsia="zh-CN"/>
        </w:rPr>
      </w:pPr>
      <w:r w:rsidRPr="001C47C9">
        <w:rPr>
          <w:rFonts w:ascii="Times New Roman" w:hAnsi="Times New Roman" w:cs="Times New Roman"/>
          <w:b/>
          <w:color w:val="000000" w:themeColor="text1"/>
          <w:sz w:val="24"/>
          <w:szCs w:val="24"/>
        </w:rPr>
        <w:t>Student ID:</w:t>
      </w:r>
      <w:r w:rsidR="00D7222B">
        <w:rPr>
          <w:rFonts w:ascii="Times New Roman" w:hAnsi="Times New Roman" w:cs="Times New Roman" w:hint="eastAsia"/>
          <w:b/>
          <w:color w:val="000000" w:themeColor="text1"/>
          <w:sz w:val="24"/>
          <w:szCs w:val="24"/>
          <w:lang w:eastAsia="zh-CN"/>
        </w:rPr>
        <w:t>250</w:t>
      </w:r>
      <w:r w:rsidR="001E79B2">
        <w:rPr>
          <w:rFonts w:ascii="Times New Roman" w:hAnsi="Times New Roman" w:cs="Times New Roman" w:hint="eastAsia"/>
          <w:b/>
          <w:color w:val="000000" w:themeColor="text1"/>
          <w:sz w:val="24"/>
          <w:szCs w:val="24"/>
          <w:lang w:eastAsia="zh-CN"/>
        </w:rPr>
        <w:t>0</w:t>
      </w:r>
      <w:r w:rsidR="000661A8">
        <w:rPr>
          <w:rFonts w:ascii="Times New Roman" w:hAnsi="Times New Roman" w:cs="Times New Roman" w:hint="eastAsia"/>
          <w:b/>
          <w:color w:val="000000" w:themeColor="text1"/>
          <w:sz w:val="24"/>
          <w:szCs w:val="24"/>
          <w:lang w:eastAsia="zh-CN"/>
        </w:rPr>
        <w:t>752</w:t>
      </w:r>
    </w:p>
    <w:p w14:paraId="605F859C" w14:textId="77777777" w:rsidR="007D2C07" w:rsidRPr="001C47C9" w:rsidRDefault="007D2C07" w:rsidP="007D2C07">
      <w:pPr>
        <w:spacing w:before="120" w:after="240" w:line="360" w:lineRule="auto"/>
        <w:jc w:val="center"/>
        <w:rPr>
          <w:rFonts w:ascii="Times New Roman" w:hAnsi="Times New Roman" w:cs="Times New Roman"/>
          <w:b/>
          <w:color w:val="000000" w:themeColor="text1"/>
          <w:sz w:val="24"/>
          <w:szCs w:val="24"/>
        </w:rPr>
      </w:pPr>
      <w:r w:rsidRPr="001C47C9">
        <w:rPr>
          <w:rFonts w:ascii="Times New Roman" w:hAnsi="Times New Roman" w:cs="Times New Roman"/>
          <w:b/>
          <w:color w:val="000000" w:themeColor="text1"/>
          <w:sz w:val="24"/>
          <w:szCs w:val="24"/>
        </w:rPr>
        <w:t>Word Count: 1994</w:t>
      </w:r>
    </w:p>
    <w:p w14:paraId="4B959793"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rPr>
      </w:pPr>
    </w:p>
    <w:p w14:paraId="44E4BD71" w14:textId="77777777" w:rsidR="007D2C07" w:rsidRPr="001C47C9" w:rsidRDefault="007D2C07" w:rsidP="007D2C07">
      <w:pPr>
        <w:spacing w:before="120" w:after="240" w:line="360" w:lineRule="auto"/>
        <w:jc w:val="both"/>
        <w:rPr>
          <w:rFonts w:ascii="Times New Roman" w:hAnsi="Times New Roman" w:cs="Times New Roman"/>
          <w:b/>
          <w:color w:val="000000" w:themeColor="text1"/>
          <w:sz w:val="24"/>
          <w:szCs w:val="24"/>
        </w:rPr>
      </w:pPr>
      <w:r w:rsidRPr="001C47C9">
        <w:rPr>
          <w:rFonts w:ascii="Times New Roman" w:hAnsi="Times New Roman" w:cs="Times New Roman"/>
          <w:b/>
          <w:color w:val="000000" w:themeColor="text1"/>
          <w:sz w:val="24"/>
          <w:szCs w:val="24"/>
        </w:rPr>
        <w:br w:type="page"/>
      </w:r>
    </w:p>
    <w:p w14:paraId="16446621" w14:textId="77777777" w:rsidR="007D2C07" w:rsidRPr="001C47C9" w:rsidRDefault="007D2C07" w:rsidP="007D2C07">
      <w:pPr>
        <w:pStyle w:val="1"/>
        <w:rPr>
          <w:rFonts w:hint="eastAsia"/>
          <w:color w:val="000000" w:themeColor="text1"/>
        </w:rPr>
      </w:pPr>
      <w:bookmarkStart w:id="0" w:name="_Toc225283193"/>
      <w:r w:rsidRPr="001C47C9">
        <w:rPr>
          <w:color w:val="000000" w:themeColor="text1"/>
        </w:rPr>
        <w:lastRenderedPageBreak/>
        <w:t>Executive Summary</w:t>
      </w:r>
      <w:bookmarkEnd w:id="0"/>
    </w:p>
    <w:p w14:paraId="590EBDCE"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This report provides a strategic analysis of Tesla, including its external environment, internal capabilities, and competitive positioning within the global electric vehicles sector. Analysis uses the PESTLE, Porters Five Forces, RBV/VRIO, Value Chain, SWOT/TOWS, and Ansoff Matrix models to determine key opportunities and threats that affect the performance of Tesla. The findings show that Tesla possesses a highly competitive advantage based on innovation but faces threats like price wars, regulatory forces, and supply chain dependencies. The report concludes with strategic recommendations towards sustainability, cost-efficiency, and diversification because it is essential to match business strategy with long-term environmental and economic objectives.</w:t>
      </w:r>
    </w:p>
    <w:p w14:paraId="25945C0F"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br w:type="page"/>
      </w:r>
    </w:p>
    <w:sdt>
      <w:sdtPr>
        <w:rPr>
          <w:rFonts w:ascii="Times New Roman" w:eastAsiaTheme="minorHAnsi" w:hAnsi="Times New Roman" w:cs="Times New Roman"/>
          <w:b w:val="0"/>
          <w:bCs w:val="0"/>
          <w:color w:val="000000" w:themeColor="text1"/>
          <w:sz w:val="22"/>
          <w:szCs w:val="22"/>
        </w:rPr>
        <w:id w:val="-881555728"/>
        <w:docPartObj>
          <w:docPartGallery w:val="Table of Contents"/>
          <w:docPartUnique/>
        </w:docPartObj>
      </w:sdtPr>
      <w:sdtEndPr>
        <w:rPr>
          <w:rFonts w:eastAsiaTheme="minorEastAsia"/>
          <w:noProof/>
        </w:rPr>
      </w:sdtEndPr>
      <w:sdtContent>
        <w:p w14:paraId="479C6538" w14:textId="77777777" w:rsidR="007D2C07" w:rsidRPr="001C47C9" w:rsidRDefault="007D2C07" w:rsidP="007D2C07">
          <w:pPr>
            <w:pStyle w:val="TOC"/>
            <w:spacing w:before="120" w:after="240" w:line="360" w:lineRule="auto"/>
            <w:rPr>
              <w:rFonts w:ascii="Times New Roman" w:hAnsi="Times New Roman" w:cs="Times New Roman"/>
              <w:b w:val="0"/>
              <w:bCs w:val="0"/>
              <w:color w:val="000000" w:themeColor="text1"/>
            </w:rPr>
          </w:pPr>
          <w:r w:rsidRPr="001C47C9">
            <w:rPr>
              <w:rFonts w:ascii="Times New Roman" w:hAnsi="Times New Roman" w:cs="Times New Roman"/>
              <w:color w:val="000000" w:themeColor="text1"/>
            </w:rPr>
            <w:t>Table of Contents</w:t>
          </w:r>
        </w:p>
        <w:p w14:paraId="55E3F0E8" w14:textId="77777777" w:rsidR="007D2C07" w:rsidRPr="001C47C9" w:rsidRDefault="007D2C07" w:rsidP="007D2C07">
          <w:pPr>
            <w:pStyle w:val="TOC1"/>
            <w:tabs>
              <w:tab w:val="right" w:leader="dot" w:pos="9016"/>
            </w:tabs>
            <w:spacing w:after="240" w:line="360" w:lineRule="auto"/>
            <w:rPr>
              <w:rFonts w:ascii="Times New Roman" w:hAnsi="Times New Roman" w:cs="Times New Roman"/>
              <w:b w:val="0"/>
              <w:bCs w:val="0"/>
              <w:i w:val="0"/>
              <w:iCs w:val="0"/>
              <w:noProof/>
              <w:color w:val="000000" w:themeColor="text1"/>
              <w:kern w:val="2"/>
              <w:lang w:val="en-IN" w:eastAsia="en-GB"/>
              <w14:ligatures w14:val="standardContextual"/>
            </w:rPr>
          </w:pPr>
          <w:r w:rsidRPr="001C47C9">
            <w:rPr>
              <w:rFonts w:ascii="Times New Roman" w:hAnsi="Times New Roman" w:cs="Times New Roman"/>
              <w:b w:val="0"/>
              <w:bCs w:val="0"/>
              <w:i w:val="0"/>
              <w:iCs w:val="0"/>
              <w:color w:val="000000" w:themeColor="text1"/>
            </w:rPr>
            <w:fldChar w:fldCharType="begin"/>
          </w:r>
          <w:r w:rsidRPr="001C47C9">
            <w:rPr>
              <w:rFonts w:ascii="Times New Roman" w:hAnsi="Times New Roman" w:cs="Times New Roman"/>
              <w:b w:val="0"/>
              <w:bCs w:val="0"/>
              <w:i w:val="0"/>
              <w:iCs w:val="0"/>
              <w:color w:val="000000" w:themeColor="text1"/>
            </w:rPr>
            <w:instrText xml:space="preserve"> TOC \o "1-3" \h \z \u </w:instrText>
          </w:r>
          <w:r w:rsidRPr="001C47C9">
            <w:rPr>
              <w:rFonts w:ascii="Times New Roman" w:hAnsi="Times New Roman" w:cs="Times New Roman"/>
              <w:b w:val="0"/>
              <w:bCs w:val="0"/>
              <w:i w:val="0"/>
              <w:iCs w:val="0"/>
              <w:color w:val="000000" w:themeColor="text1"/>
            </w:rPr>
            <w:fldChar w:fldCharType="separate"/>
          </w:r>
          <w:hyperlink w:anchor="_Toc225283193" w:history="1">
            <w:r w:rsidRPr="001C47C9">
              <w:rPr>
                <w:rStyle w:val="af"/>
                <w:rFonts w:ascii="Times New Roman" w:hAnsi="Times New Roman" w:cs="Times New Roman"/>
                <w:b w:val="0"/>
                <w:bCs w:val="0"/>
                <w:i w:val="0"/>
                <w:iCs w:val="0"/>
                <w:noProof/>
                <w:color w:val="000000" w:themeColor="text1"/>
              </w:rPr>
              <w:t>Executive Summary</w:t>
            </w:r>
            <w:r w:rsidRPr="001C47C9">
              <w:rPr>
                <w:rFonts w:ascii="Times New Roman" w:hAnsi="Times New Roman" w:cs="Times New Roman"/>
                <w:b w:val="0"/>
                <w:bCs w:val="0"/>
                <w:i w:val="0"/>
                <w:iCs w:val="0"/>
                <w:noProof/>
                <w:webHidden/>
                <w:color w:val="000000" w:themeColor="text1"/>
              </w:rPr>
              <w:tab/>
            </w:r>
            <w:r w:rsidRPr="001C47C9">
              <w:rPr>
                <w:rFonts w:ascii="Times New Roman" w:hAnsi="Times New Roman" w:cs="Times New Roman"/>
                <w:b w:val="0"/>
                <w:bCs w:val="0"/>
                <w:i w:val="0"/>
                <w:iCs w:val="0"/>
                <w:noProof/>
                <w:webHidden/>
                <w:color w:val="000000" w:themeColor="text1"/>
              </w:rPr>
              <w:fldChar w:fldCharType="begin"/>
            </w:r>
            <w:r w:rsidRPr="001C47C9">
              <w:rPr>
                <w:rFonts w:ascii="Times New Roman" w:hAnsi="Times New Roman" w:cs="Times New Roman"/>
                <w:b w:val="0"/>
                <w:bCs w:val="0"/>
                <w:i w:val="0"/>
                <w:iCs w:val="0"/>
                <w:noProof/>
                <w:webHidden/>
                <w:color w:val="000000" w:themeColor="text1"/>
              </w:rPr>
              <w:instrText xml:space="preserve"> PAGEREF _Toc225283193 \h </w:instrText>
            </w:r>
            <w:r w:rsidRPr="001C47C9">
              <w:rPr>
                <w:rFonts w:ascii="Times New Roman" w:hAnsi="Times New Roman" w:cs="Times New Roman"/>
                <w:b w:val="0"/>
                <w:bCs w:val="0"/>
                <w:i w:val="0"/>
                <w:iCs w:val="0"/>
                <w:noProof/>
                <w:webHidden/>
                <w:color w:val="000000" w:themeColor="text1"/>
              </w:rPr>
            </w:r>
            <w:r w:rsidRPr="001C47C9">
              <w:rPr>
                <w:rFonts w:ascii="Times New Roman" w:hAnsi="Times New Roman" w:cs="Times New Roman"/>
                <w:b w:val="0"/>
                <w:bCs w:val="0"/>
                <w:i w:val="0"/>
                <w:iCs w:val="0"/>
                <w:noProof/>
                <w:webHidden/>
                <w:color w:val="000000" w:themeColor="text1"/>
              </w:rPr>
              <w:fldChar w:fldCharType="separate"/>
            </w:r>
            <w:r w:rsidRPr="001C47C9">
              <w:rPr>
                <w:rFonts w:ascii="Times New Roman" w:hAnsi="Times New Roman" w:cs="Times New Roman"/>
                <w:b w:val="0"/>
                <w:bCs w:val="0"/>
                <w:i w:val="0"/>
                <w:iCs w:val="0"/>
                <w:noProof/>
                <w:webHidden/>
                <w:color w:val="000000" w:themeColor="text1"/>
              </w:rPr>
              <w:t>2</w:t>
            </w:r>
            <w:r w:rsidRPr="001C47C9">
              <w:rPr>
                <w:rFonts w:ascii="Times New Roman" w:hAnsi="Times New Roman" w:cs="Times New Roman"/>
                <w:b w:val="0"/>
                <w:bCs w:val="0"/>
                <w:i w:val="0"/>
                <w:iCs w:val="0"/>
                <w:noProof/>
                <w:webHidden/>
                <w:color w:val="000000" w:themeColor="text1"/>
              </w:rPr>
              <w:fldChar w:fldCharType="end"/>
            </w:r>
          </w:hyperlink>
        </w:p>
        <w:p w14:paraId="249DCCC6" w14:textId="77777777" w:rsidR="007D2C07" w:rsidRPr="001C47C9" w:rsidRDefault="007D2C07" w:rsidP="007D2C07">
          <w:pPr>
            <w:pStyle w:val="TOC1"/>
            <w:tabs>
              <w:tab w:val="right" w:leader="dot" w:pos="9016"/>
            </w:tabs>
            <w:spacing w:after="240" w:line="360" w:lineRule="auto"/>
            <w:rPr>
              <w:rFonts w:ascii="Times New Roman" w:hAnsi="Times New Roman" w:cs="Times New Roman"/>
              <w:b w:val="0"/>
              <w:bCs w:val="0"/>
              <w:i w:val="0"/>
              <w:iCs w:val="0"/>
              <w:noProof/>
              <w:color w:val="000000" w:themeColor="text1"/>
              <w:kern w:val="2"/>
              <w:lang w:val="en-IN" w:eastAsia="en-GB"/>
              <w14:ligatures w14:val="standardContextual"/>
            </w:rPr>
          </w:pPr>
          <w:hyperlink w:anchor="_Toc225283194" w:history="1">
            <w:r w:rsidRPr="001C47C9">
              <w:rPr>
                <w:rStyle w:val="af"/>
                <w:rFonts w:ascii="Times New Roman" w:hAnsi="Times New Roman" w:cs="Times New Roman"/>
                <w:b w:val="0"/>
                <w:bCs w:val="0"/>
                <w:i w:val="0"/>
                <w:iCs w:val="0"/>
                <w:noProof/>
                <w:color w:val="000000" w:themeColor="text1"/>
              </w:rPr>
              <w:t>1. Introduction</w:t>
            </w:r>
            <w:r w:rsidRPr="001C47C9">
              <w:rPr>
                <w:rFonts w:ascii="Times New Roman" w:hAnsi="Times New Roman" w:cs="Times New Roman"/>
                <w:b w:val="0"/>
                <w:bCs w:val="0"/>
                <w:i w:val="0"/>
                <w:iCs w:val="0"/>
                <w:noProof/>
                <w:webHidden/>
                <w:color w:val="000000" w:themeColor="text1"/>
              </w:rPr>
              <w:tab/>
            </w:r>
            <w:r w:rsidRPr="001C47C9">
              <w:rPr>
                <w:rFonts w:ascii="Times New Roman" w:hAnsi="Times New Roman" w:cs="Times New Roman"/>
                <w:b w:val="0"/>
                <w:bCs w:val="0"/>
                <w:i w:val="0"/>
                <w:iCs w:val="0"/>
                <w:noProof/>
                <w:webHidden/>
                <w:color w:val="000000" w:themeColor="text1"/>
              </w:rPr>
              <w:fldChar w:fldCharType="begin"/>
            </w:r>
            <w:r w:rsidRPr="001C47C9">
              <w:rPr>
                <w:rFonts w:ascii="Times New Roman" w:hAnsi="Times New Roman" w:cs="Times New Roman"/>
                <w:b w:val="0"/>
                <w:bCs w:val="0"/>
                <w:i w:val="0"/>
                <w:iCs w:val="0"/>
                <w:noProof/>
                <w:webHidden/>
                <w:color w:val="000000" w:themeColor="text1"/>
              </w:rPr>
              <w:instrText xml:space="preserve"> PAGEREF _Toc225283194 \h </w:instrText>
            </w:r>
            <w:r w:rsidRPr="001C47C9">
              <w:rPr>
                <w:rFonts w:ascii="Times New Roman" w:hAnsi="Times New Roman" w:cs="Times New Roman"/>
                <w:b w:val="0"/>
                <w:bCs w:val="0"/>
                <w:i w:val="0"/>
                <w:iCs w:val="0"/>
                <w:noProof/>
                <w:webHidden/>
                <w:color w:val="000000" w:themeColor="text1"/>
              </w:rPr>
            </w:r>
            <w:r w:rsidRPr="001C47C9">
              <w:rPr>
                <w:rFonts w:ascii="Times New Roman" w:hAnsi="Times New Roman" w:cs="Times New Roman"/>
                <w:b w:val="0"/>
                <w:bCs w:val="0"/>
                <w:i w:val="0"/>
                <w:iCs w:val="0"/>
                <w:noProof/>
                <w:webHidden/>
                <w:color w:val="000000" w:themeColor="text1"/>
              </w:rPr>
              <w:fldChar w:fldCharType="separate"/>
            </w:r>
            <w:r w:rsidRPr="001C47C9">
              <w:rPr>
                <w:rFonts w:ascii="Times New Roman" w:hAnsi="Times New Roman" w:cs="Times New Roman"/>
                <w:b w:val="0"/>
                <w:bCs w:val="0"/>
                <w:i w:val="0"/>
                <w:iCs w:val="0"/>
                <w:noProof/>
                <w:webHidden/>
                <w:color w:val="000000" w:themeColor="text1"/>
              </w:rPr>
              <w:t>4</w:t>
            </w:r>
            <w:r w:rsidRPr="001C47C9">
              <w:rPr>
                <w:rFonts w:ascii="Times New Roman" w:hAnsi="Times New Roman" w:cs="Times New Roman"/>
                <w:b w:val="0"/>
                <w:bCs w:val="0"/>
                <w:i w:val="0"/>
                <w:iCs w:val="0"/>
                <w:noProof/>
                <w:webHidden/>
                <w:color w:val="000000" w:themeColor="text1"/>
              </w:rPr>
              <w:fldChar w:fldCharType="end"/>
            </w:r>
          </w:hyperlink>
        </w:p>
        <w:p w14:paraId="54C58F43" w14:textId="77777777" w:rsidR="007D2C07" w:rsidRPr="001C47C9" w:rsidRDefault="007D2C07" w:rsidP="007D2C07">
          <w:pPr>
            <w:pStyle w:val="TOC1"/>
            <w:tabs>
              <w:tab w:val="right" w:leader="dot" w:pos="9016"/>
            </w:tabs>
            <w:spacing w:after="240" w:line="360" w:lineRule="auto"/>
            <w:rPr>
              <w:rFonts w:ascii="Times New Roman" w:hAnsi="Times New Roman" w:cs="Times New Roman"/>
              <w:b w:val="0"/>
              <w:bCs w:val="0"/>
              <w:i w:val="0"/>
              <w:iCs w:val="0"/>
              <w:noProof/>
              <w:color w:val="000000" w:themeColor="text1"/>
              <w:kern w:val="2"/>
              <w:lang w:val="en-IN" w:eastAsia="en-GB"/>
              <w14:ligatures w14:val="standardContextual"/>
            </w:rPr>
          </w:pPr>
          <w:hyperlink w:anchor="_Toc225283195" w:history="1">
            <w:r w:rsidRPr="001C47C9">
              <w:rPr>
                <w:rStyle w:val="af"/>
                <w:rFonts w:ascii="Times New Roman" w:hAnsi="Times New Roman" w:cs="Times New Roman"/>
                <w:b w:val="0"/>
                <w:bCs w:val="0"/>
                <w:i w:val="0"/>
                <w:iCs w:val="0"/>
                <w:noProof/>
                <w:color w:val="000000" w:themeColor="text1"/>
              </w:rPr>
              <w:t>2. External Analysis</w:t>
            </w:r>
            <w:r w:rsidRPr="001C47C9">
              <w:rPr>
                <w:rFonts w:ascii="Times New Roman" w:hAnsi="Times New Roman" w:cs="Times New Roman"/>
                <w:b w:val="0"/>
                <w:bCs w:val="0"/>
                <w:i w:val="0"/>
                <w:iCs w:val="0"/>
                <w:noProof/>
                <w:webHidden/>
                <w:color w:val="000000" w:themeColor="text1"/>
              </w:rPr>
              <w:tab/>
            </w:r>
            <w:r w:rsidRPr="001C47C9">
              <w:rPr>
                <w:rFonts w:ascii="Times New Roman" w:hAnsi="Times New Roman" w:cs="Times New Roman"/>
                <w:b w:val="0"/>
                <w:bCs w:val="0"/>
                <w:i w:val="0"/>
                <w:iCs w:val="0"/>
                <w:noProof/>
                <w:webHidden/>
                <w:color w:val="000000" w:themeColor="text1"/>
              </w:rPr>
              <w:fldChar w:fldCharType="begin"/>
            </w:r>
            <w:r w:rsidRPr="001C47C9">
              <w:rPr>
                <w:rFonts w:ascii="Times New Roman" w:hAnsi="Times New Roman" w:cs="Times New Roman"/>
                <w:b w:val="0"/>
                <w:bCs w:val="0"/>
                <w:i w:val="0"/>
                <w:iCs w:val="0"/>
                <w:noProof/>
                <w:webHidden/>
                <w:color w:val="000000" w:themeColor="text1"/>
              </w:rPr>
              <w:instrText xml:space="preserve"> PAGEREF _Toc225283195 \h </w:instrText>
            </w:r>
            <w:r w:rsidRPr="001C47C9">
              <w:rPr>
                <w:rFonts w:ascii="Times New Roman" w:hAnsi="Times New Roman" w:cs="Times New Roman"/>
                <w:b w:val="0"/>
                <w:bCs w:val="0"/>
                <w:i w:val="0"/>
                <w:iCs w:val="0"/>
                <w:noProof/>
                <w:webHidden/>
                <w:color w:val="000000" w:themeColor="text1"/>
              </w:rPr>
            </w:r>
            <w:r w:rsidRPr="001C47C9">
              <w:rPr>
                <w:rFonts w:ascii="Times New Roman" w:hAnsi="Times New Roman" w:cs="Times New Roman"/>
                <w:b w:val="0"/>
                <w:bCs w:val="0"/>
                <w:i w:val="0"/>
                <w:iCs w:val="0"/>
                <w:noProof/>
                <w:webHidden/>
                <w:color w:val="000000" w:themeColor="text1"/>
              </w:rPr>
              <w:fldChar w:fldCharType="separate"/>
            </w:r>
            <w:r w:rsidRPr="001C47C9">
              <w:rPr>
                <w:rFonts w:ascii="Times New Roman" w:hAnsi="Times New Roman" w:cs="Times New Roman"/>
                <w:b w:val="0"/>
                <w:bCs w:val="0"/>
                <w:i w:val="0"/>
                <w:iCs w:val="0"/>
                <w:noProof/>
                <w:webHidden/>
                <w:color w:val="000000" w:themeColor="text1"/>
              </w:rPr>
              <w:t>4</w:t>
            </w:r>
            <w:r w:rsidRPr="001C47C9">
              <w:rPr>
                <w:rFonts w:ascii="Times New Roman" w:hAnsi="Times New Roman" w:cs="Times New Roman"/>
                <w:b w:val="0"/>
                <w:bCs w:val="0"/>
                <w:i w:val="0"/>
                <w:iCs w:val="0"/>
                <w:noProof/>
                <w:webHidden/>
                <w:color w:val="000000" w:themeColor="text1"/>
              </w:rPr>
              <w:fldChar w:fldCharType="end"/>
            </w:r>
          </w:hyperlink>
        </w:p>
        <w:p w14:paraId="3A15D42F"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196" w:history="1">
            <w:r w:rsidRPr="001C47C9">
              <w:rPr>
                <w:rStyle w:val="af"/>
                <w:rFonts w:ascii="Times New Roman" w:hAnsi="Times New Roman" w:cs="Times New Roman"/>
                <w:b w:val="0"/>
                <w:bCs w:val="0"/>
                <w:noProof/>
                <w:color w:val="000000" w:themeColor="text1"/>
              </w:rPr>
              <w:t>2.1. PESTLE Analysis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_Toc225283196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4</w:t>
            </w:r>
            <w:r w:rsidRPr="001C47C9">
              <w:rPr>
                <w:rFonts w:ascii="Times New Roman" w:hAnsi="Times New Roman" w:cs="Times New Roman"/>
                <w:b w:val="0"/>
                <w:bCs w:val="0"/>
                <w:noProof/>
                <w:webHidden/>
                <w:color w:val="000000" w:themeColor="text1"/>
              </w:rPr>
              <w:fldChar w:fldCharType="end"/>
            </w:r>
          </w:hyperlink>
        </w:p>
        <w:p w14:paraId="7279D68E"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197" w:history="1">
            <w:r w:rsidRPr="001C47C9">
              <w:rPr>
                <w:rStyle w:val="af"/>
                <w:rFonts w:ascii="Times New Roman" w:eastAsia="Times New Roman" w:hAnsi="Times New Roman" w:cs="Times New Roman"/>
                <w:b w:val="0"/>
                <w:bCs w:val="0"/>
                <w:noProof/>
                <w:color w:val="000000" w:themeColor="text1"/>
                <w:lang w:val="en-AU" w:eastAsia="en-AU"/>
              </w:rPr>
              <w:t>2.2. Porter’s Five Forces Analysis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_Toc225283197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4</w:t>
            </w:r>
            <w:r w:rsidRPr="001C47C9">
              <w:rPr>
                <w:rFonts w:ascii="Times New Roman" w:hAnsi="Times New Roman" w:cs="Times New Roman"/>
                <w:b w:val="0"/>
                <w:bCs w:val="0"/>
                <w:noProof/>
                <w:webHidden/>
                <w:color w:val="000000" w:themeColor="text1"/>
              </w:rPr>
              <w:fldChar w:fldCharType="end"/>
            </w:r>
          </w:hyperlink>
        </w:p>
        <w:p w14:paraId="4728EA5D"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198" w:history="1">
            <w:r w:rsidRPr="001C47C9">
              <w:rPr>
                <w:rStyle w:val="af"/>
                <w:rFonts w:ascii="Times New Roman" w:eastAsia="Times New Roman" w:hAnsi="Times New Roman" w:cs="Times New Roman"/>
                <w:b w:val="0"/>
                <w:bCs w:val="0"/>
                <w:noProof/>
                <w:color w:val="000000" w:themeColor="text1"/>
                <w:lang w:val="en-AU" w:eastAsia="en-AU"/>
              </w:rPr>
              <w:t>2.3. Key Economic Trends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_Toc225283198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5</w:t>
            </w:r>
            <w:r w:rsidRPr="001C47C9">
              <w:rPr>
                <w:rFonts w:ascii="Times New Roman" w:hAnsi="Times New Roman" w:cs="Times New Roman"/>
                <w:b w:val="0"/>
                <w:bCs w:val="0"/>
                <w:noProof/>
                <w:webHidden/>
                <w:color w:val="000000" w:themeColor="text1"/>
              </w:rPr>
              <w:fldChar w:fldCharType="end"/>
            </w:r>
          </w:hyperlink>
        </w:p>
        <w:p w14:paraId="07B3D777" w14:textId="77777777" w:rsidR="007D2C07" w:rsidRPr="001C47C9" w:rsidRDefault="007D2C07" w:rsidP="007D2C07">
          <w:pPr>
            <w:pStyle w:val="TOC1"/>
            <w:tabs>
              <w:tab w:val="right" w:leader="dot" w:pos="9016"/>
            </w:tabs>
            <w:spacing w:after="240" w:line="360" w:lineRule="auto"/>
            <w:rPr>
              <w:rFonts w:ascii="Times New Roman" w:hAnsi="Times New Roman" w:cs="Times New Roman"/>
              <w:b w:val="0"/>
              <w:bCs w:val="0"/>
              <w:i w:val="0"/>
              <w:iCs w:val="0"/>
              <w:noProof/>
              <w:color w:val="000000" w:themeColor="text1"/>
              <w:kern w:val="2"/>
              <w:lang w:val="en-IN" w:eastAsia="en-GB"/>
              <w14:ligatures w14:val="standardContextual"/>
            </w:rPr>
          </w:pPr>
          <w:hyperlink w:anchor="_Toc225283199" w:history="1">
            <w:r w:rsidRPr="001C47C9">
              <w:rPr>
                <w:rStyle w:val="af"/>
                <w:rFonts w:ascii="Times New Roman" w:hAnsi="Times New Roman" w:cs="Times New Roman"/>
                <w:b w:val="0"/>
                <w:bCs w:val="0"/>
                <w:i w:val="0"/>
                <w:iCs w:val="0"/>
                <w:noProof/>
                <w:color w:val="000000" w:themeColor="text1"/>
              </w:rPr>
              <w:t>3. Internal Analysis</w:t>
            </w:r>
            <w:r w:rsidRPr="001C47C9">
              <w:rPr>
                <w:rFonts w:ascii="Times New Roman" w:hAnsi="Times New Roman" w:cs="Times New Roman"/>
                <w:b w:val="0"/>
                <w:bCs w:val="0"/>
                <w:i w:val="0"/>
                <w:iCs w:val="0"/>
                <w:noProof/>
                <w:webHidden/>
                <w:color w:val="000000" w:themeColor="text1"/>
              </w:rPr>
              <w:tab/>
            </w:r>
            <w:r w:rsidRPr="001C47C9">
              <w:rPr>
                <w:rFonts w:ascii="Times New Roman" w:hAnsi="Times New Roman" w:cs="Times New Roman"/>
                <w:b w:val="0"/>
                <w:bCs w:val="0"/>
                <w:i w:val="0"/>
                <w:iCs w:val="0"/>
                <w:noProof/>
                <w:webHidden/>
                <w:color w:val="000000" w:themeColor="text1"/>
              </w:rPr>
              <w:fldChar w:fldCharType="begin"/>
            </w:r>
            <w:r w:rsidRPr="001C47C9">
              <w:rPr>
                <w:rFonts w:ascii="Times New Roman" w:hAnsi="Times New Roman" w:cs="Times New Roman"/>
                <w:b w:val="0"/>
                <w:bCs w:val="0"/>
                <w:i w:val="0"/>
                <w:iCs w:val="0"/>
                <w:noProof/>
                <w:webHidden/>
                <w:color w:val="000000" w:themeColor="text1"/>
              </w:rPr>
              <w:instrText xml:space="preserve"> PAGEREF _Toc225283199 \h </w:instrText>
            </w:r>
            <w:r w:rsidRPr="001C47C9">
              <w:rPr>
                <w:rFonts w:ascii="Times New Roman" w:hAnsi="Times New Roman" w:cs="Times New Roman"/>
                <w:b w:val="0"/>
                <w:bCs w:val="0"/>
                <w:i w:val="0"/>
                <w:iCs w:val="0"/>
                <w:noProof/>
                <w:webHidden/>
                <w:color w:val="000000" w:themeColor="text1"/>
              </w:rPr>
            </w:r>
            <w:r w:rsidRPr="001C47C9">
              <w:rPr>
                <w:rFonts w:ascii="Times New Roman" w:hAnsi="Times New Roman" w:cs="Times New Roman"/>
                <w:b w:val="0"/>
                <w:bCs w:val="0"/>
                <w:i w:val="0"/>
                <w:iCs w:val="0"/>
                <w:noProof/>
                <w:webHidden/>
                <w:color w:val="000000" w:themeColor="text1"/>
              </w:rPr>
              <w:fldChar w:fldCharType="separate"/>
            </w:r>
            <w:r w:rsidRPr="001C47C9">
              <w:rPr>
                <w:rFonts w:ascii="Times New Roman" w:hAnsi="Times New Roman" w:cs="Times New Roman"/>
                <w:b w:val="0"/>
                <w:bCs w:val="0"/>
                <w:i w:val="0"/>
                <w:iCs w:val="0"/>
                <w:noProof/>
                <w:webHidden/>
                <w:color w:val="000000" w:themeColor="text1"/>
              </w:rPr>
              <w:t>5</w:t>
            </w:r>
            <w:r w:rsidRPr="001C47C9">
              <w:rPr>
                <w:rFonts w:ascii="Times New Roman" w:hAnsi="Times New Roman" w:cs="Times New Roman"/>
                <w:b w:val="0"/>
                <w:bCs w:val="0"/>
                <w:i w:val="0"/>
                <w:iCs w:val="0"/>
                <w:noProof/>
                <w:webHidden/>
                <w:color w:val="000000" w:themeColor="text1"/>
              </w:rPr>
              <w:fldChar w:fldCharType="end"/>
            </w:r>
          </w:hyperlink>
        </w:p>
        <w:p w14:paraId="195DB65E"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00" w:history="1">
            <w:r w:rsidRPr="001C47C9">
              <w:rPr>
                <w:rStyle w:val="af"/>
                <w:rFonts w:ascii="Times New Roman" w:hAnsi="Times New Roman" w:cs="Times New Roman"/>
                <w:b w:val="0"/>
                <w:bCs w:val="0"/>
                <w:noProof/>
                <w:color w:val="000000" w:themeColor="text1"/>
              </w:rPr>
              <w:t>3.1. Resource-based View</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_Toc225283200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5</w:t>
            </w:r>
            <w:r w:rsidRPr="001C47C9">
              <w:rPr>
                <w:rFonts w:ascii="Times New Roman" w:hAnsi="Times New Roman" w:cs="Times New Roman"/>
                <w:b w:val="0"/>
                <w:bCs w:val="0"/>
                <w:noProof/>
                <w:webHidden/>
                <w:color w:val="000000" w:themeColor="text1"/>
              </w:rPr>
              <w:fldChar w:fldCharType="end"/>
            </w:r>
          </w:hyperlink>
        </w:p>
        <w:p w14:paraId="3B29E839"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01" w:history="1">
            <w:r w:rsidRPr="001C47C9">
              <w:rPr>
                <w:rStyle w:val="af"/>
                <w:rFonts w:ascii="Times New Roman" w:hAnsi="Times New Roman" w:cs="Times New Roman"/>
                <w:b w:val="0"/>
                <w:bCs w:val="0"/>
                <w:noProof/>
                <w:color w:val="000000" w:themeColor="text1"/>
              </w:rPr>
              <w:t>3.2. Value Chain Analysis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_Toc225283201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6</w:t>
            </w:r>
            <w:r w:rsidRPr="001C47C9">
              <w:rPr>
                <w:rFonts w:ascii="Times New Roman" w:hAnsi="Times New Roman" w:cs="Times New Roman"/>
                <w:b w:val="0"/>
                <w:bCs w:val="0"/>
                <w:noProof/>
                <w:webHidden/>
                <w:color w:val="000000" w:themeColor="text1"/>
              </w:rPr>
              <w:fldChar w:fldCharType="end"/>
            </w:r>
          </w:hyperlink>
        </w:p>
        <w:p w14:paraId="51BEB5C3"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02" w:history="1">
            <w:r w:rsidRPr="001C47C9">
              <w:rPr>
                <w:rStyle w:val="af"/>
                <w:rFonts w:ascii="Times New Roman" w:hAnsi="Times New Roman" w:cs="Times New Roman"/>
                <w:b w:val="0"/>
                <w:bCs w:val="0"/>
                <w:noProof/>
                <w:color w:val="000000" w:themeColor="text1"/>
                <w:lang w:val="en-AU"/>
              </w:rPr>
              <w:t>3.3. SWOT/TOWS Analysis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_Toc225283202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6</w:t>
            </w:r>
            <w:r w:rsidRPr="001C47C9">
              <w:rPr>
                <w:rFonts w:ascii="Times New Roman" w:hAnsi="Times New Roman" w:cs="Times New Roman"/>
                <w:b w:val="0"/>
                <w:bCs w:val="0"/>
                <w:noProof/>
                <w:webHidden/>
                <w:color w:val="000000" w:themeColor="text1"/>
              </w:rPr>
              <w:fldChar w:fldCharType="end"/>
            </w:r>
          </w:hyperlink>
        </w:p>
        <w:p w14:paraId="1C4FD8A0" w14:textId="77777777" w:rsidR="007D2C07" w:rsidRPr="001C47C9" w:rsidRDefault="007D2C07" w:rsidP="007D2C07">
          <w:pPr>
            <w:pStyle w:val="TOC1"/>
            <w:tabs>
              <w:tab w:val="right" w:leader="dot" w:pos="9016"/>
            </w:tabs>
            <w:spacing w:after="240" w:line="360" w:lineRule="auto"/>
            <w:rPr>
              <w:rFonts w:ascii="Times New Roman" w:hAnsi="Times New Roman" w:cs="Times New Roman"/>
              <w:b w:val="0"/>
              <w:bCs w:val="0"/>
              <w:i w:val="0"/>
              <w:iCs w:val="0"/>
              <w:noProof/>
              <w:color w:val="000000" w:themeColor="text1"/>
              <w:kern w:val="2"/>
              <w:lang w:val="en-IN" w:eastAsia="en-GB"/>
              <w14:ligatures w14:val="standardContextual"/>
            </w:rPr>
          </w:pPr>
          <w:hyperlink w:anchor="_Toc225283203" w:history="1">
            <w:r w:rsidRPr="001C47C9">
              <w:rPr>
                <w:rStyle w:val="af"/>
                <w:rFonts w:ascii="Times New Roman" w:hAnsi="Times New Roman" w:cs="Times New Roman"/>
                <w:b w:val="0"/>
                <w:bCs w:val="0"/>
                <w:i w:val="0"/>
                <w:iCs w:val="0"/>
                <w:noProof/>
                <w:color w:val="000000" w:themeColor="text1"/>
              </w:rPr>
              <w:t>4. Strategy Formulation and Competitive Positioning</w:t>
            </w:r>
            <w:r w:rsidRPr="001C47C9">
              <w:rPr>
                <w:rFonts w:ascii="Times New Roman" w:hAnsi="Times New Roman" w:cs="Times New Roman"/>
                <w:b w:val="0"/>
                <w:bCs w:val="0"/>
                <w:i w:val="0"/>
                <w:iCs w:val="0"/>
                <w:noProof/>
                <w:webHidden/>
                <w:color w:val="000000" w:themeColor="text1"/>
              </w:rPr>
              <w:tab/>
            </w:r>
            <w:r w:rsidRPr="001C47C9">
              <w:rPr>
                <w:rFonts w:ascii="Times New Roman" w:hAnsi="Times New Roman" w:cs="Times New Roman"/>
                <w:b w:val="0"/>
                <w:bCs w:val="0"/>
                <w:i w:val="0"/>
                <w:iCs w:val="0"/>
                <w:noProof/>
                <w:webHidden/>
                <w:color w:val="000000" w:themeColor="text1"/>
              </w:rPr>
              <w:fldChar w:fldCharType="begin"/>
            </w:r>
            <w:r w:rsidRPr="001C47C9">
              <w:rPr>
                <w:rFonts w:ascii="Times New Roman" w:hAnsi="Times New Roman" w:cs="Times New Roman"/>
                <w:b w:val="0"/>
                <w:bCs w:val="0"/>
                <w:i w:val="0"/>
                <w:iCs w:val="0"/>
                <w:noProof/>
                <w:webHidden/>
                <w:color w:val="000000" w:themeColor="text1"/>
              </w:rPr>
              <w:instrText xml:space="preserve"> PAGEREF _Toc225283203 \h </w:instrText>
            </w:r>
            <w:r w:rsidRPr="001C47C9">
              <w:rPr>
                <w:rFonts w:ascii="Times New Roman" w:hAnsi="Times New Roman" w:cs="Times New Roman"/>
                <w:b w:val="0"/>
                <w:bCs w:val="0"/>
                <w:i w:val="0"/>
                <w:iCs w:val="0"/>
                <w:noProof/>
                <w:webHidden/>
                <w:color w:val="000000" w:themeColor="text1"/>
              </w:rPr>
            </w:r>
            <w:r w:rsidRPr="001C47C9">
              <w:rPr>
                <w:rFonts w:ascii="Times New Roman" w:hAnsi="Times New Roman" w:cs="Times New Roman"/>
                <w:b w:val="0"/>
                <w:bCs w:val="0"/>
                <w:i w:val="0"/>
                <w:iCs w:val="0"/>
                <w:noProof/>
                <w:webHidden/>
                <w:color w:val="000000" w:themeColor="text1"/>
              </w:rPr>
              <w:fldChar w:fldCharType="separate"/>
            </w:r>
            <w:r w:rsidRPr="001C47C9">
              <w:rPr>
                <w:rFonts w:ascii="Times New Roman" w:hAnsi="Times New Roman" w:cs="Times New Roman"/>
                <w:b w:val="0"/>
                <w:bCs w:val="0"/>
                <w:i w:val="0"/>
                <w:iCs w:val="0"/>
                <w:noProof/>
                <w:webHidden/>
                <w:color w:val="000000" w:themeColor="text1"/>
              </w:rPr>
              <w:t>7</w:t>
            </w:r>
            <w:r w:rsidRPr="001C47C9">
              <w:rPr>
                <w:rFonts w:ascii="Times New Roman" w:hAnsi="Times New Roman" w:cs="Times New Roman"/>
                <w:b w:val="0"/>
                <w:bCs w:val="0"/>
                <w:i w:val="0"/>
                <w:iCs w:val="0"/>
                <w:noProof/>
                <w:webHidden/>
                <w:color w:val="000000" w:themeColor="text1"/>
              </w:rPr>
              <w:fldChar w:fldCharType="end"/>
            </w:r>
          </w:hyperlink>
        </w:p>
        <w:p w14:paraId="3E364359"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04" w:history="1">
            <w:r w:rsidRPr="001C47C9">
              <w:rPr>
                <w:rStyle w:val="af"/>
                <w:rFonts w:ascii="Times New Roman" w:hAnsi="Times New Roman" w:cs="Times New Roman"/>
                <w:b w:val="0"/>
                <w:bCs w:val="0"/>
                <w:noProof/>
                <w:color w:val="000000" w:themeColor="text1"/>
              </w:rPr>
              <w:t>4.1. Porter’s Generic Strategies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_Toc225283204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7</w:t>
            </w:r>
            <w:r w:rsidRPr="001C47C9">
              <w:rPr>
                <w:rFonts w:ascii="Times New Roman" w:hAnsi="Times New Roman" w:cs="Times New Roman"/>
                <w:b w:val="0"/>
                <w:bCs w:val="0"/>
                <w:noProof/>
                <w:webHidden/>
                <w:color w:val="000000" w:themeColor="text1"/>
              </w:rPr>
              <w:fldChar w:fldCharType="end"/>
            </w:r>
          </w:hyperlink>
        </w:p>
        <w:p w14:paraId="42C28346"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05" w:history="1">
            <w:r w:rsidRPr="001C47C9">
              <w:rPr>
                <w:rStyle w:val="af"/>
                <w:rFonts w:ascii="Times New Roman" w:hAnsi="Times New Roman" w:cs="Times New Roman"/>
                <w:b w:val="0"/>
                <w:bCs w:val="0"/>
                <w:noProof/>
                <w:color w:val="000000" w:themeColor="text1"/>
              </w:rPr>
              <w:t>4.2. Ansoff’s Matrix</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_Toc225283205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7</w:t>
            </w:r>
            <w:r w:rsidRPr="001C47C9">
              <w:rPr>
                <w:rFonts w:ascii="Times New Roman" w:hAnsi="Times New Roman" w:cs="Times New Roman"/>
                <w:b w:val="0"/>
                <w:bCs w:val="0"/>
                <w:noProof/>
                <w:webHidden/>
                <w:color w:val="000000" w:themeColor="text1"/>
              </w:rPr>
              <w:fldChar w:fldCharType="end"/>
            </w:r>
          </w:hyperlink>
        </w:p>
        <w:p w14:paraId="3B32FB62"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06" w:history="1">
            <w:r w:rsidRPr="001C47C9">
              <w:rPr>
                <w:rStyle w:val="af"/>
                <w:rFonts w:ascii="Times New Roman" w:hAnsi="Times New Roman" w:cs="Times New Roman"/>
                <w:b w:val="0"/>
                <w:bCs w:val="0"/>
                <w:noProof/>
                <w:color w:val="000000" w:themeColor="text1"/>
              </w:rPr>
              <w:t>4.3. Mergers and Acquisitions (M&amp;As)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_Toc225283206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8</w:t>
            </w:r>
            <w:r w:rsidRPr="001C47C9">
              <w:rPr>
                <w:rFonts w:ascii="Times New Roman" w:hAnsi="Times New Roman" w:cs="Times New Roman"/>
                <w:b w:val="0"/>
                <w:bCs w:val="0"/>
                <w:noProof/>
                <w:webHidden/>
                <w:color w:val="000000" w:themeColor="text1"/>
              </w:rPr>
              <w:fldChar w:fldCharType="end"/>
            </w:r>
          </w:hyperlink>
        </w:p>
        <w:p w14:paraId="2DE2A81C" w14:textId="77777777" w:rsidR="007D2C07" w:rsidRPr="001C47C9" w:rsidRDefault="007D2C07" w:rsidP="007D2C07">
          <w:pPr>
            <w:pStyle w:val="TOC1"/>
            <w:tabs>
              <w:tab w:val="right" w:leader="dot" w:pos="9016"/>
            </w:tabs>
            <w:spacing w:after="240" w:line="360" w:lineRule="auto"/>
            <w:rPr>
              <w:rFonts w:ascii="Times New Roman" w:hAnsi="Times New Roman" w:cs="Times New Roman"/>
              <w:b w:val="0"/>
              <w:bCs w:val="0"/>
              <w:i w:val="0"/>
              <w:iCs w:val="0"/>
              <w:noProof/>
              <w:color w:val="000000" w:themeColor="text1"/>
              <w:kern w:val="2"/>
              <w:lang w:val="en-IN" w:eastAsia="en-GB"/>
              <w14:ligatures w14:val="standardContextual"/>
            </w:rPr>
          </w:pPr>
          <w:hyperlink w:anchor="_Toc225283207" w:history="1">
            <w:r w:rsidRPr="001C47C9">
              <w:rPr>
                <w:rStyle w:val="af"/>
                <w:rFonts w:ascii="Times New Roman" w:hAnsi="Times New Roman" w:cs="Times New Roman"/>
                <w:b w:val="0"/>
                <w:bCs w:val="0"/>
                <w:i w:val="0"/>
                <w:iCs w:val="0"/>
                <w:noProof/>
                <w:color w:val="000000" w:themeColor="text1"/>
              </w:rPr>
              <w:t>5. Sustainability and Strategic Recommendations</w:t>
            </w:r>
            <w:r w:rsidRPr="001C47C9">
              <w:rPr>
                <w:rFonts w:ascii="Times New Roman" w:hAnsi="Times New Roman" w:cs="Times New Roman"/>
                <w:b w:val="0"/>
                <w:bCs w:val="0"/>
                <w:i w:val="0"/>
                <w:iCs w:val="0"/>
                <w:noProof/>
                <w:webHidden/>
                <w:color w:val="000000" w:themeColor="text1"/>
              </w:rPr>
              <w:tab/>
            </w:r>
            <w:r w:rsidRPr="001C47C9">
              <w:rPr>
                <w:rFonts w:ascii="Times New Roman" w:hAnsi="Times New Roman" w:cs="Times New Roman"/>
                <w:b w:val="0"/>
                <w:bCs w:val="0"/>
                <w:i w:val="0"/>
                <w:iCs w:val="0"/>
                <w:noProof/>
                <w:webHidden/>
                <w:color w:val="000000" w:themeColor="text1"/>
              </w:rPr>
              <w:fldChar w:fldCharType="begin"/>
            </w:r>
            <w:r w:rsidRPr="001C47C9">
              <w:rPr>
                <w:rFonts w:ascii="Times New Roman" w:hAnsi="Times New Roman" w:cs="Times New Roman"/>
                <w:b w:val="0"/>
                <w:bCs w:val="0"/>
                <w:i w:val="0"/>
                <w:iCs w:val="0"/>
                <w:noProof/>
                <w:webHidden/>
                <w:color w:val="000000" w:themeColor="text1"/>
              </w:rPr>
              <w:instrText xml:space="preserve"> PAGEREF _Toc225283207 \h </w:instrText>
            </w:r>
            <w:r w:rsidRPr="001C47C9">
              <w:rPr>
                <w:rFonts w:ascii="Times New Roman" w:hAnsi="Times New Roman" w:cs="Times New Roman"/>
                <w:b w:val="0"/>
                <w:bCs w:val="0"/>
                <w:i w:val="0"/>
                <w:iCs w:val="0"/>
                <w:noProof/>
                <w:webHidden/>
                <w:color w:val="000000" w:themeColor="text1"/>
              </w:rPr>
            </w:r>
            <w:r w:rsidRPr="001C47C9">
              <w:rPr>
                <w:rFonts w:ascii="Times New Roman" w:hAnsi="Times New Roman" w:cs="Times New Roman"/>
                <w:b w:val="0"/>
                <w:bCs w:val="0"/>
                <w:i w:val="0"/>
                <w:iCs w:val="0"/>
                <w:noProof/>
                <w:webHidden/>
                <w:color w:val="000000" w:themeColor="text1"/>
              </w:rPr>
              <w:fldChar w:fldCharType="separate"/>
            </w:r>
            <w:r w:rsidRPr="001C47C9">
              <w:rPr>
                <w:rFonts w:ascii="Times New Roman" w:hAnsi="Times New Roman" w:cs="Times New Roman"/>
                <w:b w:val="0"/>
                <w:bCs w:val="0"/>
                <w:i w:val="0"/>
                <w:iCs w:val="0"/>
                <w:noProof/>
                <w:webHidden/>
                <w:color w:val="000000" w:themeColor="text1"/>
              </w:rPr>
              <w:t>8</w:t>
            </w:r>
            <w:r w:rsidRPr="001C47C9">
              <w:rPr>
                <w:rFonts w:ascii="Times New Roman" w:hAnsi="Times New Roman" w:cs="Times New Roman"/>
                <w:b w:val="0"/>
                <w:bCs w:val="0"/>
                <w:i w:val="0"/>
                <w:iCs w:val="0"/>
                <w:noProof/>
                <w:webHidden/>
                <w:color w:val="000000" w:themeColor="text1"/>
              </w:rPr>
              <w:fldChar w:fldCharType="end"/>
            </w:r>
          </w:hyperlink>
        </w:p>
        <w:p w14:paraId="6B57F4EA"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08" w:history="1">
            <w:r w:rsidRPr="001C47C9">
              <w:rPr>
                <w:rStyle w:val="af"/>
                <w:rFonts w:ascii="Times New Roman" w:hAnsi="Times New Roman" w:cs="Times New Roman"/>
                <w:b w:val="0"/>
                <w:bCs w:val="0"/>
                <w:noProof/>
                <w:color w:val="000000" w:themeColor="text1"/>
              </w:rPr>
              <w:t>5.1. Sustainability Initiatives and Strategic Implications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_Toc225283208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8</w:t>
            </w:r>
            <w:r w:rsidRPr="001C47C9">
              <w:rPr>
                <w:rFonts w:ascii="Times New Roman" w:hAnsi="Times New Roman" w:cs="Times New Roman"/>
                <w:b w:val="0"/>
                <w:bCs w:val="0"/>
                <w:noProof/>
                <w:webHidden/>
                <w:color w:val="000000" w:themeColor="text1"/>
              </w:rPr>
              <w:fldChar w:fldCharType="end"/>
            </w:r>
          </w:hyperlink>
        </w:p>
        <w:p w14:paraId="285B9E6F"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09" w:history="1">
            <w:r w:rsidRPr="001C47C9">
              <w:rPr>
                <w:rStyle w:val="af"/>
                <w:rFonts w:ascii="Times New Roman" w:hAnsi="Times New Roman" w:cs="Times New Roman"/>
                <w:b w:val="0"/>
                <w:bCs w:val="0"/>
                <w:noProof/>
                <w:color w:val="000000" w:themeColor="text1"/>
              </w:rPr>
              <w:t>5.2. Strategic Recommendations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_Toc225283209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8</w:t>
            </w:r>
            <w:r w:rsidRPr="001C47C9">
              <w:rPr>
                <w:rFonts w:ascii="Times New Roman" w:hAnsi="Times New Roman" w:cs="Times New Roman"/>
                <w:b w:val="0"/>
                <w:bCs w:val="0"/>
                <w:noProof/>
                <w:webHidden/>
                <w:color w:val="000000" w:themeColor="text1"/>
              </w:rPr>
              <w:fldChar w:fldCharType="end"/>
            </w:r>
          </w:hyperlink>
        </w:p>
        <w:p w14:paraId="5DD9D1AD"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10" w:history="1">
            <w:r w:rsidRPr="001C47C9">
              <w:rPr>
                <w:rStyle w:val="af"/>
                <w:rFonts w:ascii="Times New Roman" w:hAnsi="Times New Roman" w:cs="Times New Roman"/>
                <w:b w:val="0"/>
                <w:bCs w:val="0"/>
                <w:noProof/>
                <w:color w:val="000000" w:themeColor="text1"/>
              </w:rPr>
              <w:t>5.3. Internationalisation, Ethics, and Long-Term Trends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_Toc225283210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9</w:t>
            </w:r>
            <w:r w:rsidRPr="001C47C9">
              <w:rPr>
                <w:rFonts w:ascii="Times New Roman" w:hAnsi="Times New Roman" w:cs="Times New Roman"/>
                <w:b w:val="0"/>
                <w:bCs w:val="0"/>
                <w:noProof/>
                <w:webHidden/>
                <w:color w:val="000000" w:themeColor="text1"/>
              </w:rPr>
              <w:fldChar w:fldCharType="end"/>
            </w:r>
          </w:hyperlink>
        </w:p>
        <w:p w14:paraId="084DD363" w14:textId="77777777" w:rsidR="007D2C07" w:rsidRPr="001C47C9" w:rsidRDefault="007D2C07" w:rsidP="007D2C07">
          <w:pPr>
            <w:pStyle w:val="TOC1"/>
            <w:tabs>
              <w:tab w:val="right" w:leader="dot" w:pos="9016"/>
            </w:tabs>
            <w:spacing w:after="240" w:line="360" w:lineRule="auto"/>
            <w:rPr>
              <w:rFonts w:ascii="Times New Roman" w:hAnsi="Times New Roman" w:cs="Times New Roman"/>
              <w:b w:val="0"/>
              <w:bCs w:val="0"/>
              <w:i w:val="0"/>
              <w:iCs w:val="0"/>
              <w:noProof/>
              <w:color w:val="000000" w:themeColor="text1"/>
              <w:kern w:val="2"/>
              <w:lang w:val="en-IN" w:eastAsia="en-GB"/>
              <w14:ligatures w14:val="standardContextual"/>
            </w:rPr>
          </w:pPr>
          <w:hyperlink w:anchor="_Toc225283211" w:history="1">
            <w:r w:rsidRPr="001C47C9">
              <w:rPr>
                <w:rStyle w:val="af"/>
                <w:rFonts w:ascii="Times New Roman" w:hAnsi="Times New Roman" w:cs="Times New Roman"/>
                <w:b w:val="0"/>
                <w:bCs w:val="0"/>
                <w:i w:val="0"/>
                <w:iCs w:val="0"/>
                <w:noProof/>
                <w:color w:val="000000" w:themeColor="text1"/>
              </w:rPr>
              <w:t>6. Conclusion</w:t>
            </w:r>
            <w:r w:rsidRPr="001C47C9">
              <w:rPr>
                <w:rFonts w:ascii="Times New Roman" w:hAnsi="Times New Roman" w:cs="Times New Roman"/>
                <w:b w:val="0"/>
                <w:bCs w:val="0"/>
                <w:i w:val="0"/>
                <w:iCs w:val="0"/>
                <w:noProof/>
                <w:webHidden/>
                <w:color w:val="000000" w:themeColor="text1"/>
              </w:rPr>
              <w:tab/>
            </w:r>
            <w:r w:rsidRPr="001C47C9">
              <w:rPr>
                <w:rFonts w:ascii="Times New Roman" w:hAnsi="Times New Roman" w:cs="Times New Roman"/>
                <w:b w:val="0"/>
                <w:bCs w:val="0"/>
                <w:i w:val="0"/>
                <w:iCs w:val="0"/>
                <w:noProof/>
                <w:webHidden/>
                <w:color w:val="000000" w:themeColor="text1"/>
              </w:rPr>
              <w:fldChar w:fldCharType="begin"/>
            </w:r>
            <w:r w:rsidRPr="001C47C9">
              <w:rPr>
                <w:rFonts w:ascii="Times New Roman" w:hAnsi="Times New Roman" w:cs="Times New Roman"/>
                <w:b w:val="0"/>
                <w:bCs w:val="0"/>
                <w:i w:val="0"/>
                <w:iCs w:val="0"/>
                <w:noProof/>
                <w:webHidden/>
                <w:color w:val="000000" w:themeColor="text1"/>
              </w:rPr>
              <w:instrText xml:space="preserve"> PAGEREF _Toc225283211 \h </w:instrText>
            </w:r>
            <w:r w:rsidRPr="001C47C9">
              <w:rPr>
                <w:rFonts w:ascii="Times New Roman" w:hAnsi="Times New Roman" w:cs="Times New Roman"/>
                <w:b w:val="0"/>
                <w:bCs w:val="0"/>
                <w:i w:val="0"/>
                <w:iCs w:val="0"/>
                <w:noProof/>
                <w:webHidden/>
                <w:color w:val="000000" w:themeColor="text1"/>
              </w:rPr>
            </w:r>
            <w:r w:rsidRPr="001C47C9">
              <w:rPr>
                <w:rFonts w:ascii="Times New Roman" w:hAnsi="Times New Roman" w:cs="Times New Roman"/>
                <w:b w:val="0"/>
                <w:bCs w:val="0"/>
                <w:i w:val="0"/>
                <w:iCs w:val="0"/>
                <w:noProof/>
                <w:webHidden/>
                <w:color w:val="000000" w:themeColor="text1"/>
              </w:rPr>
              <w:fldChar w:fldCharType="separate"/>
            </w:r>
            <w:r w:rsidRPr="001C47C9">
              <w:rPr>
                <w:rFonts w:ascii="Times New Roman" w:hAnsi="Times New Roman" w:cs="Times New Roman"/>
                <w:b w:val="0"/>
                <w:bCs w:val="0"/>
                <w:i w:val="0"/>
                <w:iCs w:val="0"/>
                <w:noProof/>
                <w:webHidden/>
                <w:color w:val="000000" w:themeColor="text1"/>
              </w:rPr>
              <w:t>9</w:t>
            </w:r>
            <w:r w:rsidRPr="001C47C9">
              <w:rPr>
                <w:rFonts w:ascii="Times New Roman" w:hAnsi="Times New Roman" w:cs="Times New Roman"/>
                <w:b w:val="0"/>
                <w:bCs w:val="0"/>
                <w:i w:val="0"/>
                <w:iCs w:val="0"/>
                <w:noProof/>
                <w:webHidden/>
                <w:color w:val="000000" w:themeColor="text1"/>
              </w:rPr>
              <w:fldChar w:fldCharType="end"/>
            </w:r>
          </w:hyperlink>
        </w:p>
        <w:p w14:paraId="2CB321E8" w14:textId="77777777" w:rsidR="007D2C07" w:rsidRPr="001C47C9" w:rsidRDefault="007D2C07" w:rsidP="007D2C07">
          <w:pPr>
            <w:pStyle w:val="TOC1"/>
            <w:tabs>
              <w:tab w:val="right" w:leader="dot" w:pos="9016"/>
            </w:tabs>
            <w:spacing w:after="240" w:line="360" w:lineRule="auto"/>
            <w:rPr>
              <w:rFonts w:ascii="Times New Roman" w:hAnsi="Times New Roman" w:cs="Times New Roman"/>
              <w:b w:val="0"/>
              <w:bCs w:val="0"/>
              <w:i w:val="0"/>
              <w:iCs w:val="0"/>
              <w:noProof/>
              <w:color w:val="000000" w:themeColor="text1"/>
              <w:kern w:val="2"/>
              <w:lang w:val="en-IN" w:eastAsia="en-GB"/>
              <w14:ligatures w14:val="standardContextual"/>
            </w:rPr>
          </w:pPr>
          <w:hyperlink w:anchor="_Toc225283212" w:history="1">
            <w:r w:rsidRPr="001C47C9">
              <w:rPr>
                <w:rStyle w:val="af"/>
                <w:rFonts w:ascii="Times New Roman" w:hAnsi="Times New Roman" w:cs="Times New Roman"/>
                <w:b w:val="0"/>
                <w:bCs w:val="0"/>
                <w:i w:val="0"/>
                <w:iCs w:val="0"/>
                <w:noProof/>
                <w:color w:val="000000" w:themeColor="text1"/>
              </w:rPr>
              <w:t>References</w:t>
            </w:r>
            <w:r w:rsidRPr="001C47C9">
              <w:rPr>
                <w:rFonts w:ascii="Times New Roman" w:hAnsi="Times New Roman" w:cs="Times New Roman"/>
                <w:b w:val="0"/>
                <w:bCs w:val="0"/>
                <w:i w:val="0"/>
                <w:iCs w:val="0"/>
                <w:noProof/>
                <w:webHidden/>
                <w:color w:val="000000" w:themeColor="text1"/>
              </w:rPr>
              <w:tab/>
            </w:r>
            <w:r w:rsidRPr="001C47C9">
              <w:rPr>
                <w:rFonts w:ascii="Times New Roman" w:hAnsi="Times New Roman" w:cs="Times New Roman"/>
                <w:b w:val="0"/>
                <w:bCs w:val="0"/>
                <w:i w:val="0"/>
                <w:iCs w:val="0"/>
                <w:noProof/>
                <w:webHidden/>
                <w:color w:val="000000" w:themeColor="text1"/>
              </w:rPr>
              <w:fldChar w:fldCharType="begin"/>
            </w:r>
            <w:r w:rsidRPr="001C47C9">
              <w:rPr>
                <w:rFonts w:ascii="Times New Roman" w:hAnsi="Times New Roman" w:cs="Times New Roman"/>
                <w:b w:val="0"/>
                <w:bCs w:val="0"/>
                <w:i w:val="0"/>
                <w:iCs w:val="0"/>
                <w:noProof/>
                <w:webHidden/>
                <w:color w:val="000000" w:themeColor="text1"/>
              </w:rPr>
              <w:instrText xml:space="preserve"> PAGEREF _Toc225283212 \h </w:instrText>
            </w:r>
            <w:r w:rsidRPr="001C47C9">
              <w:rPr>
                <w:rFonts w:ascii="Times New Roman" w:hAnsi="Times New Roman" w:cs="Times New Roman"/>
                <w:b w:val="0"/>
                <w:bCs w:val="0"/>
                <w:i w:val="0"/>
                <w:iCs w:val="0"/>
                <w:noProof/>
                <w:webHidden/>
                <w:color w:val="000000" w:themeColor="text1"/>
              </w:rPr>
            </w:r>
            <w:r w:rsidRPr="001C47C9">
              <w:rPr>
                <w:rFonts w:ascii="Times New Roman" w:hAnsi="Times New Roman" w:cs="Times New Roman"/>
                <w:b w:val="0"/>
                <w:bCs w:val="0"/>
                <w:i w:val="0"/>
                <w:iCs w:val="0"/>
                <w:noProof/>
                <w:webHidden/>
                <w:color w:val="000000" w:themeColor="text1"/>
              </w:rPr>
              <w:fldChar w:fldCharType="separate"/>
            </w:r>
            <w:r w:rsidRPr="001C47C9">
              <w:rPr>
                <w:rFonts w:ascii="Times New Roman" w:hAnsi="Times New Roman" w:cs="Times New Roman"/>
                <w:b w:val="0"/>
                <w:bCs w:val="0"/>
                <w:i w:val="0"/>
                <w:iCs w:val="0"/>
                <w:noProof/>
                <w:webHidden/>
                <w:color w:val="000000" w:themeColor="text1"/>
              </w:rPr>
              <w:t>10</w:t>
            </w:r>
            <w:r w:rsidRPr="001C47C9">
              <w:rPr>
                <w:rFonts w:ascii="Times New Roman" w:hAnsi="Times New Roman" w:cs="Times New Roman"/>
                <w:b w:val="0"/>
                <w:bCs w:val="0"/>
                <w:i w:val="0"/>
                <w:iCs w:val="0"/>
                <w:noProof/>
                <w:webHidden/>
                <w:color w:val="000000" w:themeColor="text1"/>
              </w:rPr>
              <w:fldChar w:fldCharType="end"/>
            </w:r>
          </w:hyperlink>
        </w:p>
        <w:p w14:paraId="6F2889CF" w14:textId="77777777" w:rsidR="007D2C07" w:rsidRPr="001C47C9" w:rsidRDefault="007D2C07" w:rsidP="007D2C07">
          <w:pPr>
            <w:pStyle w:val="TOC1"/>
            <w:tabs>
              <w:tab w:val="right" w:leader="dot" w:pos="9016"/>
            </w:tabs>
            <w:spacing w:after="240" w:line="360" w:lineRule="auto"/>
            <w:rPr>
              <w:rFonts w:ascii="Times New Roman" w:hAnsi="Times New Roman" w:cs="Times New Roman"/>
              <w:b w:val="0"/>
              <w:bCs w:val="0"/>
              <w:i w:val="0"/>
              <w:iCs w:val="0"/>
              <w:noProof/>
              <w:color w:val="000000" w:themeColor="text1"/>
              <w:kern w:val="2"/>
              <w:lang w:val="en-IN" w:eastAsia="en-GB"/>
              <w14:ligatures w14:val="standardContextual"/>
            </w:rPr>
          </w:pPr>
          <w:hyperlink w:anchor="_Toc225283213" w:history="1">
            <w:r w:rsidRPr="001C47C9">
              <w:rPr>
                <w:rStyle w:val="af"/>
                <w:rFonts w:ascii="Times New Roman" w:hAnsi="Times New Roman" w:cs="Times New Roman"/>
                <w:b w:val="0"/>
                <w:bCs w:val="0"/>
                <w:i w:val="0"/>
                <w:iCs w:val="0"/>
                <w:noProof/>
                <w:color w:val="000000" w:themeColor="text1"/>
              </w:rPr>
              <w:t>Appendices</w:t>
            </w:r>
            <w:r w:rsidRPr="001C47C9">
              <w:rPr>
                <w:rFonts w:ascii="Times New Roman" w:hAnsi="Times New Roman" w:cs="Times New Roman"/>
                <w:b w:val="0"/>
                <w:bCs w:val="0"/>
                <w:i w:val="0"/>
                <w:iCs w:val="0"/>
                <w:noProof/>
                <w:webHidden/>
                <w:color w:val="000000" w:themeColor="text1"/>
              </w:rPr>
              <w:tab/>
            </w:r>
            <w:r w:rsidRPr="001C47C9">
              <w:rPr>
                <w:rFonts w:ascii="Times New Roman" w:hAnsi="Times New Roman" w:cs="Times New Roman"/>
                <w:b w:val="0"/>
                <w:bCs w:val="0"/>
                <w:i w:val="0"/>
                <w:iCs w:val="0"/>
                <w:noProof/>
                <w:webHidden/>
                <w:color w:val="000000" w:themeColor="text1"/>
              </w:rPr>
              <w:fldChar w:fldCharType="begin"/>
            </w:r>
            <w:r w:rsidRPr="001C47C9">
              <w:rPr>
                <w:rFonts w:ascii="Times New Roman" w:hAnsi="Times New Roman" w:cs="Times New Roman"/>
                <w:b w:val="0"/>
                <w:bCs w:val="0"/>
                <w:i w:val="0"/>
                <w:iCs w:val="0"/>
                <w:noProof/>
                <w:webHidden/>
                <w:color w:val="000000" w:themeColor="text1"/>
              </w:rPr>
              <w:instrText xml:space="preserve"> PAGEREF _Toc225283213 \h </w:instrText>
            </w:r>
            <w:r w:rsidRPr="001C47C9">
              <w:rPr>
                <w:rFonts w:ascii="Times New Roman" w:hAnsi="Times New Roman" w:cs="Times New Roman"/>
                <w:b w:val="0"/>
                <w:bCs w:val="0"/>
                <w:i w:val="0"/>
                <w:iCs w:val="0"/>
                <w:noProof/>
                <w:webHidden/>
                <w:color w:val="000000" w:themeColor="text1"/>
              </w:rPr>
            </w:r>
            <w:r w:rsidRPr="001C47C9">
              <w:rPr>
                <w:rFonts w:ascii="Times New Roman" w:hAnsi="Times New Roman" w:cs="Times New Roman"/>
                <w:b w:val="0"/>
                <w:bCs w:val="0"/>
                <w:i w:val="0"/>
                <w:iCs w:val="0"/>
                <w:noProof/>
                <w:webHidden/>
                <w:color w:val="000000" w:themeColor="text1"/>
              </w:rPr>
              <w:fldChar w:fldCharType="separate"/>
            </w:r>
            <w:r w:rsidRPr="001C47C9">
              <w:rPr>
                <w:rFonts w:ascii="Times New Roman" w:hAnsi="Times New Roman" w:cs="Times New Roman"/>
                <w:b w:val="0"/>
                <w:bCs w:val="0"/>
                <w:i w:val="0"/>
                <w:iCs w:val="0"/>
                <w:noProof/>
                <w:webHidden/>
                <w:color w:val="000000" w:themeColor="text1"/>
              </w:rPr>
              <w:t>14</w:t>
            </w:r>
            <w:r w:rsidRPr="001C47C9">
              <w:rPr>
                <w:rFonts w:ascii="Times New Roman" w:hAnsi="Times New Roman" w:cs="Times New Roman"/>
                <w:b w:val="0"/>
                <w:bCs w:val="0"/>
                <w:i w:val="0"/>
                <w:iCs w:val="0"/>
                <w:noProof/>
                <w:webHidden/>
                <w:color w:val="000000" w:themeColor="text1"/>
              </w:rPr>
              <w:fldChar w:fldCharType="end"/>
            </w:r>
          </w:hyperlink>
        </w:p>
        <w:p w14:paraId="013BC3D0"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14" w:history="1">
            <w:r w:rsidRPr="001C47C9">
              <w:rPr>
                <w:rStyle w:val="af"/>
                <w:rFonts w:ascii="Times New Roman" w:hAnsi="Times New Roman" w:cs="Times New Roman"/>
                <w:b w:val="0"/>
                <w:bCs w:val="0"/>
                <w:noProof/>
                <w:color w:val="000000" w:themeColor="text1"/>
              </w:rPr>
              <w:t>Appendix 1: PESTLE Analysis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_Toc225283214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14</w:t>
            </w:r>
            <w:r w:rsidRPr="001C47C9">
              <w:rPr>
                <w:rFonts w:ascii="Times New Roman" w:hAnsi="Times New Roman" w:cs="Times New Roman"/>
                <w:b w:val="0"/>
                <w:bCs w:val="0"/>
                <w:noProof/>
                <w:webHidden/>
                <w:color w:val="000000" w:themeColor="text1"/>
              </w:rPr>
              <w:fldChar w:fldCharType="end"/>
            </w:r>
          </w:hyperlink>
        </w:p>
        <w:p w14:paraId="6CD3AE8B"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15" w:history="1">
            <w:r w:rsidRPr="001C47C9">
              <w:rPr>
                <w:rStyle w:val="af"/>
                <w:rFonts w:ascii="Times New Roman" w:hAnsi="Times New Roman" w:cs="Times New Roman"/>
                <w:b w:val="0"/>
                <w:bCs w:val="0"/>
                <w:noProof/>
                <w:color w:val="000000" w:themeColor="text1"/>
              </w:rPr>
              <w:t>Appendix 2: Porter’s Five Forces Analysis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_Toc225283215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15</w:t>
            </w:r>
            <w:r w:rsidRPr="001C47C9">
              <w:rPr>
                <w:rFonts w:ascii="Times New Roman" w:hAnsi="Times New Roman" w:cs="Times New Roman"/>
                <w:b w:val="0"/>
                <w:bCs w:val="0"/>
                <w:noProof/>
                <w:webHidden/>
                <w:color w:val="000000" w:themeColor="text1"/>
              </w:rPr>
              <w:fldChar w:fldCharType="end"/>
            </w:r>
          </w:hyperlink>
        </w:p>
        <w:p w14:paraId="0FDBFC3E"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16" w:history="1">
            <w:r w:rsidRPr="001C47C9">
              <w:rPr>
                <w:rStyle w:val="af"/>
                <w:rFonts w:ascii="Times New Roman" w:hAnsi="Times New Roman" w:cs="Times New Roman"/>
                <w:b w:val="0"/>
                <w:bCs w:val="0"/>
                <w:noProof/>
                <w:color w:val="000000" w:themeColor="text1"/>
              </w:rPr>
              <w:t>Appendix 3:</w:t>
            </w:r>
            <w:r w:rsidRPr="001C47C9">
              <w:rPr>
                <w:rStyle w:val="af"/>
                <w:rFonts w:ascii="Times New Roman" w:eastAsia="Times New Roman" w:hAnsi="Times New Roman" w:cs="Times New Roman"/>
                <w:b w:val="0"/>
                <w:bCs w:val="0"/>
                <w:noProof/>
                <w:color w:val="000000" w:themeColor="text1"/>
                <w:lang w:val="en-AU" w:eastAsia="en-AU"/>
              </w:rPr>
              <w:t xml:space="preserve"> Key Economic Trends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_Toc225283216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17</w:t>
            </w:r>
            <w:r w:rsidRPr="001C47C9">
              <w:rPr>
                <w:rFonts w:ascii="Times New Roman" w:hAnsi="Times New Roman" w:cs="Times New Roman"/>
                <w:b w:val="0"/>
                <w:bCs w:val="0"/>
                <w:noProof/>
                <w:webHidden/>
                <w:color w:val="000000" w:themeColor="text1"/>
              </w:rPr>
              <w:fldChar w:fldCharType="end"/>
            </w:r>
          </w:hyperlink>
        </w:p>
        <w:p w14:paraId="05688B34"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17" w:history="1">
            <w:r w:rsidRPr="001C47C9">
              <w:rPr>
                <w:rStyle w:val="af"/>
                <w:rFonts w:ascii="Times New Roman" w:hAnsi="Times New Roman" w:cs="Times New Roman"/>
                <w:b w:val="0"/>
                <w:bCs w:val="0"/>
                <w:noProof/>
                <w:color w:val="000000" w:themeColor="text1"/>
              </w:rPr>
              <w:t>Appendix 4: VRIO Analysis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_Toc225283217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18</w:t>
            </w:r>
            <w:r w:rsidRPr="001C47C9">
              <w:rPr>
                <w:rFonts w:ascii="Times New Roman" w:hAnsi="Times New Roman" w:cs="Times New Roman"/>
                <w:b w:val="0"/>
                <w:bCs w:val="0"/>
                <w:noProof/>
                <w:webHidden/>
                <w:color w:val="000000" w:themeColor="text1"/>
              </w:rPr>
              <w:fldChar w:fldCharType="end"/>
            </w:r>
          </w:hyperlink>
        </w:p>
        <w:p w14:paraId="16B0F19B"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18" w:history="1">
            <w:r w:rsidRPr="001C47C9">
              <w:rPr>
                <w:rStyle w:val="af"/>
                <w:rFonts w:ascii="Times New Roman" w:hAnsi="Times New Roman" w:cs="Times New Roman"/>
                <w:b w:val="0"/>
                <w:bCs w:val="0"/>
                <w:noProof/>
                <w:color w:val="000000" w:themeColor="text1"/>
              </w:rPr>
              <w:t>Appendix 5: Value Chain Analysis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_Toc225283218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19</w:t>
            </w:r>
            <w:r w:rsidRPr="001C47C9">
              <w:rPr>
                <w:rFonts w:ascii="Times New Roman" w:hAnsi="Times New Roman" w:cs="Times New Roman"/>
                <w:b w:val="0"/>
                <w:bCs w:val="0"/>
                <w:noProof/>
                <w:webHidden/>
                <w:color w:val="000000" w:themeColor="text1"/>
              </w:rPr>
              <w:fldChar w:fldCharType="end"/>
            </w:r>
          </w:hyperlink>
        </w:p>
        <w:p w14:paraId="1D318520" w14:textId="77777777" w:rsidR="007D2C07" w:rsidRPr="001C47C9" w:rsidRDefault="007D2C07" w:rsidP="007D2C07">
          <w:pPr>
            <w:pStyle w:val="TOC2"/>
            <w:tabs>
              <w:tab w:val="right" w:leader="dot" w:pos="9016"/>
            </w:tabs>
            <w:spacing w:after="240" w:line="360" w:lineRule="auto"/>
            <w:rPr>
              <w:rFonts w:ascii="Times New Roman" w:hAnsi="Times New Roman" w:cs="Times New Roman"/>
              <w:b w:val="0"/>
              <w:bCs w:val="0"/>
              <w:noProof/>
              <w:color w:val="000000" w:themeColor="text1"/>
              <w:kern w:val="2"/>
              <w:sz w:val="24"/>
              <w:szCs w:val="24"/>
              <w:lang w:val="en-IN" w:eastAsia="en-GB"/>
              <w14:ligatures w14:val="standardContextual"/>
            </w:rPr>
          </w:pPr>
          <w:hyperlink w:anchor="_Toc225283219" w:history="1">
            <w:r w:rsidRPr="001C47C9">
              <w:rPr>
                <w:rStyle w:val="af"/>
                <w:rFonts w:ascii="Times New Roman" w:hAnsi="Times New Roman" w:cs="Times New Roman"/>
                <w:b w:val="0"/>
                <w:bCs w:val="0"/>
                <w:noProof/>
                <w:color w:val="000000" w:themeColor="text1"/>
              </w:rPr>
              <w:t>Appendix 6: SWOT/TOWS Analysis</w:t>
            </w:r>
            <w:r w:rsidRPr="001C47C9">
              <w:rPr>
                <w:rFonts w:ascii="Times New Roman" w:hAnsi="Times New Roman" w:cs="Times New Roman"/>
                <w:b w:val="0"/>
                <w:bCs w:val="0"/>
                <w:noProof/>
                <w:webHidden/>
                <w:color w:val="000000" w:themeColor="text1"/>
              </w:rPr>
              <w:tab/>
            </w:r>
            <w:r w:rsidRPr="001C47C9">
              <w:rPr>
                <w:rFonts w:ascii="Times New Roman" w:hAnsi="Times New Roman" w:cs="Times New Roman"/>
                <w:b w:val="0"/>
                <w:bCs w:val="0"/>
                <w:noProof/>
                <w:webHidden/>
                <w:color w:val="000000" w:themeColor="text1"/>
              </w:rPr>
              <w:fldChar w:fldCharType="begin"/>
            </w:r>
            <w:r w:rsidRPr="001C47C9">
              <w:rPr>
                <w:rFonts w:ascii="Times New Roman" w:hAnsi="Times New Roman" w:cs="Times New Roman"/>
                <w:b w:val="0"/>
                <w:bCs w:val="0"/>
                <w:noProof/>
                <w:webHidden/>
                <w:color w:val="000000" w:themeColor="text1"/>
              </w:rPr>
              <w:instrText xml:space="preserve"> PAGEREF _Toc225283219 \h </w:instrText>
            </w:r>
            <w:r w:rsidRPr="001C47C9">
              <w:rPr>
                <w:rFonts w:ascii="Times New Roman" w:hAnsi="Times New Roman" w:cs="Times New Roman"/>
                <w:b w:val="0"/>
                <w:bCs w:val="0"/>
                <w:noProof/>
                <w:webHidden/>
                <w:color w:val="000000" w:themeColor="text1"/>
              </w:rPr>
            </w:r>
            <w:r w:rsidRPr="001C47C9">
              <w:rPr>
                <w:rFonts w:ascii="Times New Roman" w:hAnsi="Times New Roman" w:cs="Times New Roman"/>
                <w:b w:val="0"/>
                <w:bCs w:val="0"/>
                <w:noProof/>
                <w:webHidden/>
                <w:color w:val="000000" w:themeColor="text1"/>
              </w:rPr>
              <w:fldChar w:fldCharType="separate"/>
            </w:r>
            <w:r w:rsidRPr="001C47C9">
              <w:rPr>
                <w:rFonts w:ascii="Times New Roman" w:hAnsi="Times New Roman" w:cs="Times New Roman"/>
                <w:b w:val="0"/>
                <w:bCs w:val="0"/>
                <w:noProof/>
                <w:webHidden/>
                <w:color w:val="000000" w:themeColor="text1"/>
              </w:rPr>
              <w:t>20</w:t>
            </w:r>
            <w:r w:rsidRPr="001C47C9">
              <w:rPr>
                <w:rFonts w:ascii="Times New Roman" w:hAnsi="Times New Roman" w:cs="Times New Roman"/>
                <w:b w:val="0"/>
                <w:bCs w:val="0"/>
                <w:noProof/>
                <w:webHidden/>
                <w:color w:val="000000" w:themeColor="text1"/>
              </w:rPr>
              <w:fldChar w:fldCharType="end"/>
            </w:r>
          </w:hyperlink>
        </w:p>
        <w:p w14:paraId="0FCCF0D9" w14:textId="77777777" w:rsidR="007D2C07" w:rsidRPr="001C47C9" w:rsidRDefault="007D2C07" w:rsidP="007D2C07">
          <w:pPr>
            <w:spacing w:before="120" w:after="240" w:line="360" w:lineRule="auto"/>
            <w:rPr>
              <w:rFonts w:ascii="Times New Roman" w:hAnsi="Times New Roman" w:cs="Times New Roman"/>
              <w:color w:val="000000" w:themeColor="text1"/>
            </w:rPr>
          </w:pPr>
          <w:r w:rsidRPr="001C47C9">
            <w:rPr>
              <w:rFonts w:ascii="Times New Roman" w:hAnsi="Times New Roman" w:cs="Times New Roman"/>
              <w:noProof/>
              <w:color w:val="000000" w:themeColor="text1"/>
            </w:rPr>
            <w:fldChar w:fldCharType="end"/>
          </w:r>
        </w:p>
      </w:sdtContent>
    </w:sdt>
    <w:p w14:paraId="44406E9A"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rPr>
      </w:pPr>
    </w:p>
    <w:p w14:paraId="76DFE581" w14:textId="77777777" w:rsidR="007D2C07" w:rsidRPr="001C47C9" w:rsidRDefault="007D2C07" w:rsidP="007D2C07">
      <w:pPr>
        <w:spacing w:before="120" w:after="240" w:line="360" w:lineRule="auto"/>
        <w:rPr>
          <w:rFonts w:ascii="Times New Roman" w:eastAsiaTheme="majorEastAsia" w:hAnsi="Times New Roman" w:cs="Times New Roman"/>
          <w:color w:val="000000" w:themeColor="text1"/>
          <w:sz w:val="24"/>
          <w:szCs w:val="24"/>
        </w:rPr>
      </w:pPr>
      <w:r w:rsidRPr="001C47C9">
        <w:rPr>
          <w:rFonts w:ascii="Times New Roman" w:hAnsi="Times New Roman" w:cs="Times New Roman"/>
          <w:color w:val="000000" w:themeColor="text1"/>
          <w:sz w:val="24"/>
          <w:szCs w:val="24"/>
        </w:rPr>
        <w:br w:type="page"/>
      </w:r>
    </w:p>
    <w:p w14:paraId="067484B9" w14:textId="77777777" w:rsidR="007D2C07" w:rsidRPr="001C47C9" w:rsidRDefault="007D2C07" w:rsidP="007D2C07">
      <w:pPr>
        <w:pStyle w:val="1"/>
        <w:rPr>
          <w:rFonts w:hint="eastAsia"/>
          <w:color w:val="000000" w:themeColor="text1"/>
        </w:rPr>
      </w:pPr>
      <w:bookmarkStart w:id="1" w:name="_Toc225283194"/>
      <w:r w:rsidRPr="001C47C9">
        <w:rPr>
          <w:color w:val="000000" w:themeColor="text1"/>
        </w:rPr>
        <w:lastRenderedPageBreak/>
        <w:t>1. Introduction</w:t>
      </w:r>
      <w:bookmarkEnd w:id="1"/>
    </w:p>
    <w:p w14:paraId="3F144E40"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Tesla, Inc. is a leading American electric vehicle (EV) and clean energy company whose goal is to accelerate the global shift to sustainable energy (Tesla, 2024). The company is quite relevant to strategic analysis due to its disruptive business model, its quick internationalisation, and the increasing competitive pressure on it by established automakers as well as new EV companies. Competition in the industry, supply chain constraints, regulatory aspects, and fluctuating global demand of electric vehicles are some of the major strategic and economic challenges facing Tesla (Faraonov and Tarasova, 2025). The skill to strike a balance between growth ambitions and long-term sustainability commitment and profitability is also one of the significant problems. All these facts make Tesla an appropriate case study to explore how firms can deal with the complex external environment, leverage on their own strengths, and develop sustainable competitive advantage in a dynamic market.</w:t>
      </w:r>
    </w:p>
    <w:p w14:paraId="090ACB10" w14:textId="77777777" w:rsidR="007D2C07" w:rsidRPr="001C47C9" w:rsidRDefault="007D2C07" w:rsidP="007D2C07">
      <w:pPr>
        <w:pStyle w:val="1"/>
        <w:rPr>
          <w:rFonts w:hint="eastAsia"/>
          <w:color w:val="000000" w:themeColor="text1"/>
        </w:rPr>
      </w:pPr>
      <w:bookmarkStart w:id="2" w:name="_Toc225283195"/>
      <w:r w:rsidRPr="001C47C9">
        <w:rPr>
          <w:color w:val="000000" w:themeColor="text1"/>
        </w:rPr>
        <w:t>2. External Analysis</w:t>
      </w:r>
      <w:bookmarkEnd w:id="2"/>
    </w:p>
    <w:p w14:paraId="7E1CE82B" w14:textId="77777777" w:rsidR="007D2C07" w:rsidRPr="001C47C9" w:rsidRDefault="007D2C07" w:rsidP="007D2C07">
      <w:pPr>
        <w:pStyle w:val="2"/>
        <w:rPr>
          <w:rFonts w:hint="eastAsia"/>
          <w:color w:val="000000" w:themeColor="text1"/>
        </w:rPr>
      </w:pPr>
      <w:bookmarkStart w:id="3" w:name="_Toc225283196"/>
      <w:r w:rsidRPr="001C47C9">
        <w:rPr>
          <w:color w:val="000000" w:themeColor="text1"/>
        </w:rPr>
        <w:t>2.1. PESTLE Analysis</w:t>
      </w:r>
      <w:bookmarkEnd w:id="3"/>
    </w:p>
    <w:p w14:paraId="3603C523"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rPr>
      </w:pPr>
      <w:r w:rsidRPr="001C47C9">
        <w:rPr>
          <w:rFonts w:ascii="Times New Roman" w:eastAsia="Times New Roman" w:hAnsi="Times New Roman" w:cs="Times New Roman"/>
          <w:color w:val="000000" w:themeColor="text1"/>
          <w:sz w:val="24"/>
          <w:szCs w:val="24"/>
          <w:lang w:val="en-AU" w:eastAsia="en-AU"/>
        </w:rPr>
        <w:t xml:space="preserve">Table 1 (Appendix 1) shows that the demand for electric vehicles has been greatly triggered by the political support in the form of the U.S. EV incentives, including tax credits up to $7,500 (IRS, 2025). Nevertheless, Tesla is vulnerable to supply chain risks due to geopolitical tensions, especially between the U.S and China, considering that the company relies on global networks of production. </w:t>
      </w:r>
      <w:r w:rsidRPr="001C47C9">
        <w:rPr>
          <w:rFonts w:ascii="Times New Roman" w:hAnsi="Times New Roman" w:cs="Times New Roman"/>
          <w:color w:val="000000" w:themeColor="text1"/>
          <w:sz w:val="24"/>
          <w:szCs w:val="24"/>
        </w:rPr>
        <w:t xml:space="preserve">Economically, the U.S. has been experiencing high interest rates (3.50-3.75%), which have made auto loans unaffordable, thus directly impacting consumer purchasing behaviour (Cox, 2026; Konish, 2026). </w:t>
      </w:r>
      <w:r w:rsidRPr="001C47C9">
        <w:rPr>
          <w:rFonts w:ascii="Times New Roman" w:eastAsia="Times New Roman" w:hAnsi="Times New Roman" w:cs="Times New Roman"/>
          <w:color w:val="000000" w:themeColor="text1"/>
          <w:sz w:val="24"/>
          <w:szCs w:val="24"/>
          <w:lang w:val="en-AU" w:eastAsia="en-AU"/>
        </w:rPr>
        <w:t xml:space="preserve">Social trends are in favour of sustainability, and the increasing global EV adoption is observed, but affordability issues and range anxiety limit the demand (Muratori </w:t>
      </w:r>
      <w:r w:rsidRPr="00EA3713">
        <w:rPr>
          <w:rFonts w:ascii="Times New Roman" w:eastAsia="Times New Roman" w:hAnsi="Times New Roman" w:cs="Times New Roman"/>
          <w:i/>
          <w:iCs/>
          <w:color w:val="000000" w:themeColor="text1"/>
          <w:sz w:val="24"/>
          <w:szCs w:val="24"/>
          <w:lang w:val="en-AU" w:eastAsia="en-AU"/>
        </w:rPr>
        <w:t>et al</w:t>
      </w:r>
      <w:r w:rsidRPr="001C47C9">
        <w:rPr>
          <w:rFonts w:ascii="Times New Roman" w:eastAsia="Times New Roman" w:hAnsi="Times New Roman" w:cs="Times New Roman"/>
          <w:color w:val="000000" w:themeColor="text1"/>
          <w:sz w:val="24"/>
          <w:szCs w:val="24"/>
          <w:lang w:val="en-AU" w:eastAsia="en-AU"/>
        </w:rPr>
        <w:t xml:space="preserve">., 2025; Hertzke </w:t>
      </w:r>
      <w:r w:rsidRPr="00EA3713">
        <w:rPr>
          <w:rFonts w:ascii="Times New Roman" w:eastAsia="Times New Roman" w:hAnsi="Times New Roman" w:cs="Times New Roman"/>
          <w:i/>
          <w:iCs/>
          <w:color w:val="000000" w:themeColor="text1"/>
          <w:sz w:val="24"/>
          <w:szCs w:val="24"/>
          <w:lang w:val="en-AU" w:eastAsia="en-AU"/>
        </w:rPr>
        <w:t>et al</w:t>
      </w:r>
      <w:r w:rsidRPr="001C47C9">
        <w:rPr>
          <w:rFonts w:ascii="Times New Roman" w:eastAsia="Times New Roman" w:hAnsi="Times New Roman" w:cs="Times New Roman"/>
          <w:color w:val="000000" w:themeColor="text1"/>
          <w:sz w:val="24"/>
          <w:szCs w:val="24"/>
          <w:lang w:val="en-AU" w:eastAsia="en-AU"/>
        </w:rPr>
        <w:t>., 2025). Innovation in battery systems and autonomous driving gives Tesla a competitive advantage technologically, but it demands long-term investment in research and development (Crothers, 2024).</w:t>
      </w:r>
    </w:p>
    <w:p w14:paraId="49AEB1F2" w14:textId="77777777" w:rsidR="007D2C07" w:rsidRPr="001C47C9" w:rsidRDefault="007D2C07" w:rsidP="007D2C07">
      <w:pPr>
        <w:pStyle w:val="2"/>
        <w:rPr>
          <w:rFonts w:eastAsia="Times New Roman"/>
          <w:color w:val="000000" w:themeColor="text1"/>
          <w:lang w:val="en-AU" w:eastAsia="en-AU"/>
        </w:rPr>
      </w:pPr>
      <w:bookmarkStart w:id="4" w:name="_Toc225283197"/>
      <w:r w:rsidRPr="001C47C9">
        <w:rPr>
          <w:rFonts w:eastAsia="Times New Roman"/>
          <w:color w:val="000000" w:themeColor="text1"/>
          <w:lang w:val="en-AU" w:eastAsia="en-AU"/>
        </w:rPr>
        <w:t>2.2. Porter’s Five Forces Analysis</w:t>
      </w:r>
      <w:bookmarkEnd w:id="4"/>
    </w:p>
    <w:p w14:paraId="4DED6FC6" w14:textId="33F04C73" w:rsidR="007D2C07" w:rsidRPr="00647B44" w:rsidRDefault="007D2C07" w:rsidP="007D2C07">
      <w:pPr>
        <w:spacing w:before="120" w:after="240" w:line="360" w:lineRule="auto"/>
        <w:jc w:val="both"/>
        <w:rPr>
          <w:rFonts w:ascii="Times New Roman" w:hAnsi="Times New Roman" w:cs="Times New Roman"/>
          <w:color w:val="000000" w:themeColor="text1"/>
          <w:sz w:val="24"/>
          <w:szCs w:val="24"/>
          <w:lang w:val="en-AU" w:eastAsia="zh-CN"/>
        </w:rPr>
      </w:pPr>
      <w:r w:rsidRPr="001C47C9">
        <w:rPr>
          <w:rFonts w:ascii="Times New Roman" w:eastAsia="Times New Roman" w:hAnsi="Times New Roman" w:cs="Times New Roman"/>
          <w:color w:val="000000" w:themeColor="text1"/>
          <w:sz w:val="24"/>
          <w:szCs w:val="24"/>
          <w:lang w:val="en-AU" w:eastAsia="en-AU"/>
        </w:rPr>
        <w:t xml:space="preserve">These pressures are further aggravated by the competitive nature of the EV industry. The competition is very intense, as depicted in Table 2 (Appendix 2), as the players include </w:t>
      </w:r>
      <w:r w:rsidRPr="001C47C9">
        <w:rPr>
          <w:rFonts w:ascii="Times New Roman" w:eastAsia="Times New Roman" w:hAnsi="Times New Roman" w:cs="Times New Roman"/>
          <w:color w:val="000000" w:themeColor="text1"/>
          <w:sz w:val="24"/>
          <w:szCs w:val="24"/>
          <w:lang w:val="en-AU" w:eastAsia="en-AU"/>
        </w:rPr>
        <w:lastRenderedPageBreak/>
        <w:t>established automakers as well as the emerging EV players. It is interesting to note that BYD has surpassed Tesla in global EV sales, which indicates an escalating competitive intensity (Ewing, 2026). Price sensitivity and alternative availability also contribute to high buyer power, which requires Tesla to introduce price cuts in order to maintain demand (Dahdal, 2024). Meanwhile, supplier power is moderate because of reliance on key raw materials like lithium and nickel, but Tesla has vertical integration efforts, which partially decrease this risk</w:t>
      </w:r>
      <w:r w:rsidR="00647B44">
        <w:rPr>
          <w:rFonts w:ascii="宋体" w:eastAsia="宋体" w:hAnsi="宋体" w:cs="宋体" w:hint="eastAsia"/>
          <w:color w:val="000000" w:themeColor="text1"/>
          <w:sz w:val="24"/>
          <w:szCs w:val="24"/>
          <w:lang w:val="en-AU" w:eastAsia="zh-CN"/>
        </w:rPr>
        <w:t>.</w:t>
      </w:r>
    </w:p>
    <w:p w14:paraId="28E5D71F" w14:textId="77777777" w:rsidR="007D2C07" w:rsidRPr="001C47C9" w:rsidRDefault="007D2C07" w:rsidP="007D2C07">
      <w:pPr>
        <w:pStyle w:val="2"/>
        <w:rPr>
          <w:rFonts w:eastAsia="Times New Roman"/>
          <w:color w:val="000000" w:themeColor="text1"/>
          <w:lang w:val="en-AU" w:eastAsia="en-AU"/>
        </w:rPr>
      </w:pPr>
      <w:bookmarkStart w:id="5" w:name="_Toc225283198"/>
      <w:r w:rsidRPr="001C47C9">
        <w:rPr>
          <w:rFonts w:eastAsia="Times New Roman"/>
          <w:color w:val="000000" w:themeColor="text1"/>
          <w:lang w:val="en-AU" w:eastAsia="en-AU"/>
        </w:rPr>
        <w:t>2.3. Key Economic Trends</w:t>
      </w:r>
      <w:bookmarkEnd w:id="5"/>
    </w:p>
    <w:p w14:paraId="147A9216"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The strategic challenges of Tesla are supported by key economic trends (see Table 3 in Appendix 3). Although the global EV sales are increasing (approximately 14 million vehicles in 2023), and this indicates growth opportunities (International Energy Agency, 2024b), price rivalry and supply chain instability are imposing negative margins (Roy and Sriram, 2025; Erickson, 2022). Also, the introduction of government incentives and the fact that Tesla ventured into energy and AI show the transition to diversification and long-term strategic repositioning (Colthorpe, 2026). Taken together, these indicators reveal that Tesla is situated in a highly dynamic and competitive environment, where it needs constant strategic adjustment to sustain its position in the market.</w:t>
      </w:r>
    </w:p>
    <w:p w14:paraId="3D4316F5" w14:textId="77777777" w:rsidR="007D2C07" w:rsidRPr="001C47C9" w:rsidRDefault="007D2C07" w:rsidP="007D2C07">
      <w:pPr>
        <w:pStyle w:val="1"/>
        <w:rPr>
          <w:rFonts w:hint="eastAsia"/>
          <w:color w:val="000000" w:themeColor="text1"/>
        </w:rPr>
      </w:pPr>
      <w:bookmarkStart w:id="6" w:name="_Toc225283199"/>
      <w:r w:rsidRPr="001C47C9">
        <w:rPr>
          <w:color w:val="000000" w:themeColor="text1"/>
        </w:rPr>
        <w:t>3. Internal Analysis</w:t>
      </w:r>
      <w:bookmarkEnd w:id="6"/>
      <w:r w:rsidRPr="001C47C9">
        <w:rPr>
          <w:color w:val="000000" w:themeColor="text1"/>
        </w:rPr>
        <w:t xml:space="preserve"> </w:t>
      </w:r>
    </w:p>
    <w:p w14:paraId="51D47AFC" w14:textId="77777777" w:rsidR="007D2C07" w:rsidRPr="001C47C9" w:rsidRDefault="007D2C07" w:rsidP="007D2C07">
      <w:pPr>
        <w:pStyle w:val="2"/>
        <w:rPr>
          <w:rFonts w:hint="eastAsia"/>
          <w:color w:val="000000" w:themeColor="text1"/>
        </w:rPr>
      </w:pPr>
      <w:bookmarkStart w:id="7" w:name="_Toc225283200"/>
      <w:r w:rsidRPr="001C47C9">
        <w:rPr>
          <w:color w:val="000000" w:themeColor="text1"/>
        </w:rPr>
        <w:t>3.1. Resource-based View</w:t>
      </w:r>
      <w:bookmarkEnd w:id="7"/>
    </w:p>
    <w:p w14:paraId="5F7F0869" w14:textId="77777777" w:rsidR="007D2C07" w:rsidRPr="001C47C9" w:rsidRDefault="007D2C07" w:rsidP="007D2C07">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Tesla can be examined in terms of its internal strategic position by applying the Resource-Based View (RBV), which suggests that competitive advantage is gained when firms possess valuable, rare, inimitable, and well-organised resources (D’Oria </w:t>
      </w:r>
      <w:r w:rsidRPr="00EA3713">
        <w:rPr>
          <w:rFonts w:ascii="Times New Roman" w:eastAsia="Times New Roman" w:hAnsi="Times New Roman" w:cs="Times New Roman"/>
          <w:i/>
          <w:iCs/>
          <w:color w:val="000000" w:themeColor="text1"/>
          <w:sz w:val="24"/>
          <w:szCs w:val="24"/>
          <w:lang w:val="en-AU" w:eastAsia="en-AU"/>
        </w:rPr>
        <w:t>et al</w:t>
      </w:r>
      <w:r w:rsidRPr="001C47C9">
        <w:rPr>
          <w:rFonts w:ascii="Times New Roman" w:eastAsia="Times New Roman" w:hAnsi="Times New Roman" w:cs="Times New Roman"/>
          <w:color w:val="000000" w:themeColor="text1"/>
          <w:sz w:val="24"/>
          <w:szCs w:val="24"/>
          <w:lang w:val="en-AU" w:eastAsia="en-AU"/>
        </w:rPr>
        <w:t xml:space="preserve">., 2021). This is operationalised in the VRIO framework, which evaluates whether the resources can create a lasting advantage. As shown in Table 4 in Appendix 4, Tesla has a number of capabilities that are qualified as VRIO. Its high-quality global brand increases customer loyalty and perceived value, and its vertically integrated Gigafactories allow it to be cost-efficient and produce large-scale output (Hargreaves, 2026). Moreover, the Supercharger network of Tesla, which includes more than 50,000 charging points worldwide, constitutes an extremely imitable advantage in infrastructure that strengthens the ecosystem positioning of Tesla (Euromonitor International, 2024). Not every capability offers a sustained advantage. Though Tesla has autonomous </w:t>
      </w:r>
      <w:r w:rsidRPr="001C47C9">
        <w:rPr>
          <w:rFonts w:ascii="Times New Roman" w:eastAsia="Times New Roman" w:hAnsi="Times New Roman" w:cs="Times New Roman"/>
          <w:color w:val="000000" w:themeColor="text1"/>
          <w:sz w:val="24"/>
          <w:szCs w:val="24"/>
          <w:lang w:val="en-AU" w:eastAsia="en-AU"/>
        </w:rPr>
        <w:lastRenderedPageBreak/>
        <w:t>driving technology that is valuable and rare, it only offers a temporary advantage because of the convergence in technology and growing regulatory attention.</w:t>
      </w:r>
    </w:p>
    <w:p w14:paraId="27728F72" w14:textId="77777777" w:rsidR="007D2C07" w:rsidRPr="001C47C9" w:rsidRDefault="007D2C07" w:rsidP="007D2C07">
      <w:pPr>
        <w:pStyle w:val="2"/>
        <w:rPr>
          <w:rFonts w:hint="eastAsia"/>
          <w:color w:val="000000" w:themeColor="text1"/>
        </w:rPr>
      </w:pPr>
      <w:bookmarkStart w:id="8" w:name="_Toc225283201"/>
      <w:r w:rsidRPr="001C47C9">
        <w:rPr>
          <w:color w:val="000000" w:themeColor="text1"/>
        </w:rPr>
        <w:t>3.2. Value Chain Analysis</w:t>
      </w:r>
      <w:bookmarkEnd w:id="8"/>
    </w:p>
    <w:p w14:paraId="70F5C015" w14:textId="77777777" w:rsidR="007D2C07" w:rsidRPr="001C47C9" w:rsidRDefault="007D2C07" w:rsidP="007D2C07">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In order to further analyse the value creation of Tesla, Value Chain Analysis is utilised, which measures the role played by activities within the organisation in driving competitive advantage (Kohnová and Salajová, 2023). According to Table 5 (Appendix 5), Tesla has enhanced its inbound logistics with long-term sourcing contracts on the main battery materials, which lowers the supplier dependency of the company but exposes it to the commodity price fluctuations (Lambert, 2022; Zadeh, 2025). Its business model, based on Gigafactories, facilitates economies of scale and cost leadership (Akhtar, 2025). The direct-to-consumer model ensures that Tesla avoids intermediaries, which offers cost benefits and a higher level of control over customer experience (Weber, 2023). Moreover, its research and development spending, amounting to about $3.1 billion in 2023, helps it remain constant in terms of AI, battery, and automation innovation (Harmon, 2025). The weakness, however, lies in service capacity constraints that may influence customer satisfaction even after technological differentiation.</w:t>
      </w:r>
    </w:p>
    <w:p w14:paraId="1ED6E443" w14:textId="77777777" w:rsidR="007D2C07" w:rsidRPr="001C47C9" w:rsidRDefault="007D2C07" w:rsidP="007D2C07">
      <w:pPr>
        <w:pStyle w:val="2"/>
        <w:rPr>
          <w:rFonts w:hint="eastAsia"/>
          <w:color w:val="000000" w:themeColor="text1"/>
          <w:lang w:val="en-AU"/>
        </w:rPr>
      </w:pPr>
      <w:bookmarkStart w:id="9" w:name="_Toc225283202"/>
      <w:r w:rsidRPr="001C47C9">
        <w:rPr>
          <w:color w:val="000000" w:themeColor="text1"/>
          <w:lang w:val="en-AU"/>
        </w:rPr>
        <w:t>3.3. SWOT/TOWS Analysis</w:t>
      </w:r>
      <w:bookmarkEnd w:id="9"/>
    </w:p>
    <w:p w14:paraId="34FF90EB" w14:textId="77777777" w:rsidR="007D2C07" w:rsidRPr="001C47C9" w:rsidRDefault="007D2C07" w:rsidP="007D2C07">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Lastly, internal capabilities and external conditions are combined through SWOT and TOWS analysis (Tables 6 and 7 respectively in Appendix 6). SWOT determines the main strengths, weaknesses, opportunities, and threats, and TOWS goes further and correlates them with strategic actions (Zima </w:t>
      </w:r>
      <w:r w:rsidRPr="00EA3713">
        <w:rPr>
          <w:rFonts w:ascii="Times New Roman" w:eastAsia="Times New Roman" w:hAnsi="Times New Roman" w:cs="Times New Roman"/>
          <w:i/>
          <w:iCs/>
          <w:color w:val="000000" w:themeColor="text1"/>
          <w:sz w:val="24"/>
          <w:szCs w:val="24"/>
          <w:lang w:val="en-AU" w:eastAsia="en-AU"/>
        </w:rPr>
        <w:t>et al</w:t>
      </w:r>
      <w:r w:rsidRPr="001C47C9">
        <w:rPr>
          <w:rFonts w:ascii="Times New Roman" w:eastAsia="Times New Roman" w:hAnsi="Times New Roman" w:cs="Times New Roman"/>
          <w:color w:val="000000" w:themeColor="text1"/>
          <w:sz w:val="24"/>
          <w:szCs w:val="24"/>
          <w:lang w:val="en-AU" w:eastAsia="en-AU"/>
        </w:rPr>
        <w:t>., 2025). Tesla has the strengths of innovation and infrastructure and is well-placed to capitalise on the rapidly increasing EV market, which reached around 14 million global sales as of 2023 (International Energy Agency, 2024b). Nevertheless, the threats, like margin pressure due to price cuts and dependence on automotive income, limit the profitability (Dahdal, 2024). TOWS allows Tesla to utilise its technological potential to enter the energy storage and AI markets, and address the threats of competition and regulatory forces by cutting costs and improving compliance (Colthorpe, 2026; White, 2026). On the whole, the internal review of Tesla reveals that its competitive advantage is heavily resource-based, yet it must be sustained through the constant innovation and adaptation to the external pressures.</w:t>
      </w:r>
    </w:p>
    <w:p w14:paraId="4B675226" w14:textId="77777777" w:rsidR="007D2C07" w:rsidRPr="001C47C9" w:rsidRDefault="007D2C07" w:rsidP="007D2C07">
      <w:pPr>
        <w:pStyle w:val="1"/>
        <w:rPr>
          <w:rFonts w:hint="eastAsia"/>
          <w:color w:val="000000" w:themeColor="text1"/>
        </w:rPr>
      </w:pPr>
      <w:bookmarkStart w:id="10" w:name="_Toc225283203"/>
      <w:r w:rsidRPr="001C47C9">
        <w:rPr>
          <w:color w:val="000000" w:themeColor="text1"/>
        </w:rPr>
        <w:lastRenderedPageBreak/>
        <w:t>4. Strategy Formulation and Competitive Positioning</w:t>
      </w:r>
      <w:bookmarkEnd w:id="10"/>
    </w:p>
    <w:p w14:paraId="55C76048" w14:textId="77777777" w:rsidR="007D2C07" w:rsidRPr="001C47C9" w:rsidRDefault="007D2C07" w:rsidP="007D2C07">
      <w:pPr>
        <w:pStyle w:val="2"/>
        <w:rPr>
          <w:rFonts w:hint="eastAsia"/>
          <w:color w:val="000000" w:themeColor="text1"/>
        </w:rPr>
      </w:pPr>
      <w:bookmarkStart w:id="11" w:name="_Toc225283204"/>
      <w:r w:rsidRPr="001C47C9">
        <w:rPr>
          <w:color w:val="000000" w:themeColor="text1"/>
        </w:rPr>
        <w:t>4.1. Porter’s Generic Strategies</w:t>
      </w:r>
      <w:bookmarkEnd w:id="11"/>
    </w:p>
    <w:p w14:paraId="5CC59A3F" w14:textId="77777777" w:rsidR="007D2C07" w:rsidRPr="001C47C9" w:rsidRDefault="007D2C07" w:rsidP="007D2C07">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The Porter's Generic Strategies can be used to analyse the current competitive positioning of Tesla, where the three main sources of competitive advantage are cost leadership, differentiation, and focus (Ali and Anwar, 2021). Tesla has a hybrid differentiation and cost leadership strategy. It stands out with cutting-edge technology, battery development, software assimilation, and autonomous driving features, which increase the perceived value among customers. Meanwhile, Tesla is increasingly seeking cost leadership by economies of scale and manufacturing efficiency through its Gigafactories (Qin, 2023). This two-pronged strategy is reflected in the price cuts on major models of Tesla in 2023-2024, intended to keep the company competitive in an increasingly price-sensitive EV market (Dahdal, 2024). Nevertheless, this strategy has been helpful in volume growth, but has also placed downward pressure on profit margins, which points to the trade-off between cost competitiveness and profitability.</w:t>
      </w:r>
    </w:p>
    <w:p w14:paraId="23BB58E7" w14:textId="77777777" w:rsidR="007D2C07" w:rsidRPr="001C47C9" w:rsidRDefault="007D2C07" w:rsidP="007D2C07">
      <w:pPr>
        <w:pStyle w:val="2"/>
        <w:rPr>
          <w:rFonts w:hint="eastAsia"/>
          <w:color w:val="000000" w:themeColor="text1"/>
        </w:rPr>
      </w:pPr>
      <w:bookmarkStart w:id="12" w:name="_Toc225283205"/>
      <w:r w:rsidRPr="001C47C9">
        <w:rPr>
          <w:color w:val="000000" w:themeColor="text1"/>
        </w:rPr>
        <w:t>4.2. Ansoff’s Matrix</w:t>
      </w:r>
      <w:bookmarkEnd w:id="12"/>
    </w:p>
    <w:p w14:paraId="654E4C9D"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The Ansoff Matrix, which classifies growth in terms of existing/new products and markets, offers a systematic approach to evaluating strategic expansion of Tesla. The two main strategies that Tesla has used are market development, where the company enters new geographic markets using the same products, and product development, where the company introduces new products to the existing markets (Ferraz Soares Ferreira and Marques Moscoso, 2024). The fact that Tesla is expanding to new markets, including Europe and China, can be seen as market development because it allows access to new customer bases and expand market share. The product development can be observed in the form of a constant innovation, such as the introduction of new models of vehicles, the introduction of energy storage systems like Powerwall and Megapack (Kothari, 2026). In more recent times Tesla has been diversifying, investing in artificial intelligence, robotics, and energy solutions, an indication that it is no longer relying on automotive. Although diversification is a growth opportunity in the long-term, it is also associated with increased risk because of uncertain technological and capital intensity.</w:t>
      </w:r>
    </w:p>
    <w:p w14:paraId="07DE13CE" w14:textId="77777777" w:rsidR="007D2C07" w:rsidRPr="001C47C9" w:rsidRDefault="007D2C07" w:rsidP="007D2C07">
      <w:pPr>
        <w:pStyle w:val="2"/>
        <w:rPr>
          <w:rFonts w:hint="eastAsia"/>
          <w:color w:val="000000" w:themeColor="text1"/>
        </w:rPr>
      </w:pPr>
      <w:bookmarkStart w:id="13" w:name="_Toc225283206"/>
      <w:r w:rsidRPr="001C47C9">
        <w:rPr>
          <w:color w:val="000000" w:themeColor="text1"/>
        </w:rPr>
        <w:lastRenderedPageBreak/>
        <w:t>4.3. Mergers and Acquisitions (M&amp;As)</w:t>
      </w:r>
      <w:bookmarkEnd w:id="13"/>
    </w:p>
    <w:p w14:paraId="6DAA8778"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In the context of Mergers and Acquisitions (M&amp;A), Tesla has long been selective in acquisitions to improve its technological capacity rather than huge consolidation. To illustrate the point, the acquisition of Maxwell Technologies in 2019 helped Tesla to increase its battery technology expertise, facilitating the long-term innovation and cost-reduction (Tesla, 2019). This focused M&amp;A approach is in line with its resource-based strategy, which focuses on acquiring strengths that enhance competitive advantage. Going forward, the strategic placement of Tesla can be further improved with the possible acquisitions in the sphere of AI, battery supply chains, or energy infrastructure. Overall, Tesla maintains a dynamic balance between differentiation, cost effectiveness and expansion in its strategy. Despite its hybrid positioning and growth strategies which enable it to dominate the market, sustaining such competitive advantage will need it to balance margin pressures, increasing competition and the risk associated with diversification.</w:t>
      </w:r>
    </w:p>
    <w:p w14:paraId="421C0B4B" w14:textId="77777777" w:rsidR="007D2C07" w:rsidRPr="001C47C9" w:rsidRDefault="007D2C07" w:rsidP="007D2C07">
      <w:pPr>
        <w:pStyle w:val="1"/>
        <w:rPr>
          <w:rFonts w:hint="eastAsia"/>
          <w:color w:val="000000" w:themeColor="text1"/>
        </w:rPr>
      </w:pPr>
      <w:bookmarkStart w:id="14" w:name="_Toc225283207"/>
      <w:r w:rsidRPr="001C47C9">
        <w:rPr>
          <w:rStyle w:val="af0"/>
          <w:bCs w:val="0"/>
          <w:color w:val="000000" w:themeColor="text1"/>
        </w:rPr>
        <w:t>5. Sustainability and Strategic Recommendations</w:t>
      </w:r>
      <w:bookmarkEnd w:id="14"/>
      <w:r w:rsidRPr="001C47C9">
        <w:rPr>
          <w:rStyle w:val="af0"/>
          <w:bCs w:val="0"/>
          <w:color w:val="000000" w:themeColor="text1"/>
        </w:rPr>
        <w:t xml:space="preserve"> </w:t>
      </w:r>
    </w:p>
    <w:p w14:paraId="48EA0A19" w14:textId="77777777" w:rsidR="007D2C07" w:rsidRPr="001C47C9" w:rsidRDefault="007D2C07" w:rsidP="007D2C07">
      <w:pPr>
        <w:pStyle w:val="2"/>
        <w:rPr>
          <w:rFonts w:hint="eastAsia"/>
          <w:color w:val="000000" w:themeColor="text1"/>
        </w:rPr>
      </w:pPr>
      <w:bookmarkStart w:id="15" w:name="_Toc225283208"/>
      <w:r w:rsidRPr="001C47C9">
        <w:rPr>
          <w:rStyle w:val="af0"/>
          <w:bCs w:val="0"/>
          <w:color w:val="000000" w:themeColor="text1"/>
        </w:rPr>
        <w:t>5.1. Sustainability Initiatives and Strategic Implications</w:t>
      </w:r>
      <w:bookmarkEnd w:id="15"/>
    </w:p>
    <w:p w14:paraId="5592305B"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The core concept of Tesla is exactly aligned with sustainability since the mission of the company is to accelerate the transition to sustainable energy. Its EVs assist in reducing the emissions of the greenhouse gas in comparison to vehicles powered by internal combustion engines and contribute to global decarbonisation (International Energy Agency, 2024). In addition, Tesla has also entered into the renewable energy products (including Powerwall and Megapack) which underscores its position as a clean energy solution provider (Kothari, 2026). However, the problems of sustainability, both in the context of the environmental footprint of battery production, and the acquisition of key materials, such as lithium and cobalt, remain (Lakhani, 2023). These issues create reputational and regulatory risks that have the potential to affect the long-term strategic positioning.</w:t>
      </w:r>
    </w:p>
    <w:p w14:paraId="6455F3A4" w14:textId="77777777" w:rsidR="007D2C07" w:rsidRPr="001C47C9" w:rsidRDefault="007D2C07" w:rsidP="007D2C07">
      <w:pPr>
        <w:pStyle w:val="2"/>
        <w:rPr>
          <w:rFonts w:hint="eastAsia"/>
          <w:color w:val="000000" w:themeColor="text1"/>
          <w:highlight w:val="yellow"/>
        </w:rPr>
      </w:pPr>
      <w:bookmarkStart w:id="16" w:name="_Toc225283209"/>
      <w:r w:rsidRPr="001C47C9">
        <w:rPr>
          <w:rStyle w:val="af0"/>
          <w:bCs w:val="0"/>
          <w:color w:val="000000" w:themeColor="text1"/>
        </w:rPr>
        <w:lastRenderedPageBreak/>
        <w:t>5.2. Strategic Recommendations</w:t>
      </w:r>
      <w:bookmarkEnd w:id="16"/>
    </w:p>
    <w:p w14:paraId="5070B996"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Firstly, Tesla can ensure that supply chains are more sustainable by investing in recycling solutions and purchasing ethically obtained battery materials to reduce environmental and social risks. Second, the company needs to improve cost-effectiveness and affordability to address price sensitivity in a manner that it is broadly adopted in the market without incurring too much loss of margins. Third, Tesla must improve its service network and customer experience, as operational inefficiencies can damage its brand strength. Finally, strategic alliances in AI and energy infrastructure can be developed to support diversification and innovations and overcome technological risks.</w:t>
      </w:r>
    </w:p>
    <w:p w14:paraId="0F8C959F" w14:textId="77777777" w:rsidR="007D2C07" w:rsidRPr="001C47C9" w:rsidRDefault="007D2C07" w:rsidP="007D2C07">
      <w:pPr>
        <w:pStyle w:val="2"/>
        <w:rPr>
          <w:rFonts w:hint="eastAsia"/>
          <w:color w:val="000000" w:themeColor="text1"/>
        </w:rPr>
      </w:pPr>
      <w:bookmarkStart w:id="17" w:name="_Toc225283210"/>
      <w:r w:rsidRPr="001C47C9">
        <w:rPr>
          <w:rStyle w:val="af0"/>
          <w:bCs w:val="0"/>
          <w:color w:val="000000" w:themeColor="text1"/>
        </w:rPr>
        <w:t>5.3. Internationalisation, Ethics, and Long-Term Trends</w:t>
      </w:r>
      <w:bookmarkEnd w:id="17"/>
    </w:p>
    <w:p w14:paraId="1F54BE58"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The internationalisation strategy of Tesla must be targeted at those areas where the implementation of EVM is favorable supported by the regulations, such as Europe and Asia, and be adapted to local markets. Proper attention should be given to ethical issues, particularly in labour practice and source of resources to maintain stakeholder confidence. In the long run, sustainability trends like increased environmental regulations and shift towards renewable systems of energy will favour those firms that are able to balance the environmental and financial objectives. Consequently, the ability to synchronize innovation with sustainability practices will be crucial to Tesla in maintaining a competitive edge.</w:t>
      </w:r>
    </w:p>
    <w:p w14:paraId="1116F7AF" w14:textId="77777777" w:rsidR="007D2C07" w:rsidRPr="001C47C9" w:rsidRDefault="007D2C07" w:rsidP="007D2C07">
      <w:pPr>
        <w:pStyle w:val="1"/>
        <w:rPr>
          <w:rFonts w:hint="eastAsia"/>
          <w:color w:val="000000" w:themeColor="text1"/>
          <w:highlight w:val="yellow"/>
        </w:rPr>
      </w:pPr>
      <w:bookmarkStart w:id="18" w:name="_Toc225283211"/>
      <w:r w:rsidRPr="001C47C9">
        <w:rPr>
          <w:rStyle w:val="af0"/>
          <w:bCs w:val="0"/>
          <w:color w:val="000000" w:themeColor="text1"/>
        </w:rPr>
        <w:t>6. Conclusion</w:t>
      </w:r>
      <w:bookmarkEnd w:id="18"/>
      <w:r w:rsidRPr="001C47C9">
        <w:rPr>
          <w:rStyle w:val="af0"/>
          <w:bCs w:val="0"/>
          <w:color w:val="000000" w:themeColor="text1"/>
        </w:rPr>
        <w:t xml:space="preserve"> </w:t>
      </w:r>
    </w:p>
    <w:p w14:paraId="3928B384"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This report has demonstrated that Tesla operates in a highly dynamic and competitive environment because of the macroeconomic pressures, intense industry competition and evolving sustainability demands. External analysis revealed the regulatory support, price competition, and supply chain constraints as the most influential factors, and internal analysis identified that the competitive advantage of the Tesla is largely predetermined by its technological power, brand strength, and integrated ecosystem. However, margin pressure, regulatory risks, and increasing competition are also still pressing. The strategic positioning analysis of Tesla revealed that the company employed a hybrid strategy of differentiation and cost leadership, which is facilitated by expansion through market and product development. </w:t>
      </w:r>
      <w:r w:rsidRPr="001C47C9">
        <w:rPr>
          <w:rFonts w:ascii="Times New Roman" w:hAnsi="Times New Roman" w:cs="Times New Roman"/>
          <w:color w:val="000000" w:themeColor="text1"/>
          <w:sz w:val="24"/>
          <w:szCs w:val="24"/>
        </w:rPr>
        <w:lastRenderedPageBreak/>
        <w:t>Overall, these results highlight the idea that effective strategic management, particularly the alignment of innovation, cost efficiency, and sustainability, is the only way to gain competitive advantage in the long-term.</w:t>
      </w:r>
    </w:p>
    <w:p w14:paraId="697B989B" w14:textId="77777777" w:rsidR="007D2C07" w:rsidRPr="001C47C9" w:rsidRDefault="007D2C07" w:rsidP="007D2C07">
      <w:pPr>
        <w:spacing w:before="120" w:after="240" w:line="360" w:lineRule="auto"/>
        <w:jc w:val="both"/>
        <w:rPr>
          <w:rFonts w:ascii="Times New Roman" w:eastAsiaTheme="majorEastAsia" w:hAnsi="Times New Roman" w:cs="Times New Roman"/>
          <w:b/>
          <w:color w:val="000000" w:themeColor="text1"/>
          <w:sz w:val="24"/>
          <w:szCs w:val="24"/>
        </w:rPr>
      </w:pPr>
      <w:r w:rsidRPr="001C47C9">
        <w:rPr>
          <w:rFonts w:ascii="Times New Roman" w:hAnsi="Times New Roman" w:cs="Times New Roman"/>
          <w:color w:val="000000" w:themeColor="text1"/>
          <w:sz w:val="24"/>
          <w:szCs w:val="24"/>
        </w:rPr>
        <w:br w:type="page"/>
      </w:r>
    </w:p>
    <w:p w14:paraId="459A615A" w14:textId="77777777" w:rsidR="007D2C07" w:rsidRPr="001C47C9" w:rsidRDefault="007D2C07" w:rsidP="007D2C07">
      <w:pPr>
        <w:pStyle w:val="1"/>
        <w:rPr>
          <w:rFonts w:hint="eastAsia"/>
          <w:color w:val="000000" w:themeColor="text1"/>
        </w:rPr>
      </w:pPr>
      <w:bookmarkStart w:id="19" w:name="_Toc225283212"/>
      <w:r w:rsidRPr="001C47C9">
        <w:rPr>
          <w:color w:val="000000" w:themeColor="text1"/>
        </w:rPr>
        <w:lastRenderedPageBreak/>
        <w:t>References</w:t>
      </w:r>
      <w:bookmarkEnd w:id="19"/>
      <w:r w:rsidRPr="001C47C9">
        <w:rPr>
          <w:color w:val="000000" w:themeColor="text1"/>
        </w:rPr>
        <w:t xml:space="preserve"> </w:t>
      </w:r>
    </w:p>
    <w:p w14:paraId="4E959AE0"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Akhtar, R. (2025) ‘Tesla produces 4 million EVs at its most productive factory’, </w:t>
      </w:r>
      <w:r w:rsidRPr="001C47C9">
        <w:rPr>
          <w:rStyle w:val="ae"/>
          <w:rFonts w:ascii="Times New Roman" w:hAnsi="Times New Roman" w:cs="Times New Roman"/>
          <w:color w:val="000000" w:themeColor="text1"/>
          <w:sz w:val="24"/>
          <w:szCs w:val="24"/>
        </w:rPr>
        <w:t>The Driven</w:t>
      </w:r>
      <w:r w:rsidRPr="001C47C9">
        <w:rPr>
          <w:rFonts w:ascii="Times New Roman" w:hAnsi="Times New Roman" w:cs="Times New Roman"/>
          <w:color w:val="000000" w:themeColor="text1"/>
          <w:sz w:val="24"/>
          <w:szCs w:val="24"/>
        </w:rPr>
        <w:t xml:space="preserve">, 9 December. Available at: </w:t>
      </w:r>
      <w:hyperlink r:id="rId7" w:tgtFrame="_new" w:history="1">
        <w:r w:rsidRPr="001C47C9">
          <w:rPr>
            <w:rStyle w:val="af"/>
            <w:rFonts w:ascii="Times New Roman" w:hAnsi="Times New Roman" w:cs="Times New Roman"/>
            <w:color w:val="000000" w:themeColor="text1"/>
          </w:rPr>
          <w:t>https://thedriven.io/2025/12/09/tesla-produces-4-million-evs-at-its-most-productive-factory/</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21</w:t>
      </w:r>
      <w:r w:rsidRPr="001C47C9">
        <w:rPr>
          <w:rFonts w:ascii="Times New Roman" w:hAnsi="Times New Roman" w:cs="Times New Roman"/>
          <w:color w:val="000000" w:themeColor="text1"/>
          <w:sz w:val="24"/>
          <w:szCs w:val="24"/>
        </w:rPr>
        <w:t xml:space="preserve"> March 2026).</w:t>
      </w:r>
    </w:p>
    <w:p w14:paraId="5C6373C4"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Ali, B.J. and Anwar, G. (2021) ‘Porter’s generic competitive strategies and its influence on the competitive advantage’, </w:t>
      </w:r>
      <w:r w:rsidRPr="001C47C9">
        <w:rPr>
          <w:rStyle w:val="ae"/>
          <w:rFonts w:ascii="Times New Roman" w:hAnsi="Times New Roman" w:cs="Times New Roman"/>
          <w:color w:val="000000" w:themeColor="text1"/>
          <w:sz w:val="24"/>
          <w:szCs w:val="24"/>
        </w:rPr>
        <w:t>International Journal of Advanced Engineering, Management and Science</w:t>
      </w:r>
      <w:r w:rsidRPr="001C47C9">
        <w:rPr>
          <w:rFonts w:ascii="Times New Roman" w:hAnsi="Times New Roman" w:cs="Times New Roman"/>
          <w:color w:val="000000" w:themeColor="text1"/>
          <w:sz w:val="24"/>
          <w:szCs w:val="24"/>
        </w:rPr>
        <w:t>, 7(6), pp. 42–51. DOI: 10.22161/ijaems.76.5.</w:t>
      </w:r>
    </w:p>
    <w:p w14:paraId="6E5D11B9"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Colthorpe, A. (2026) ‘Tesla energy storage deployments jumped in “crucial AI transformation year”; company expects margin compression in 2026’, </w:t>
      </w:r>
      <w:r w:rsidRPr="001C47C9">
        <w:rPr>
          <w:rStyle w:val="ae"/>
          <w:rFonts w:ascii="Times New Roman" w:hAnsi="Times New Roman" w:cs="Times New Roman"/>
          <w:color w:val="000000" w:themeColor="text1"/>
          <w:sz w:val="24"/>
          <w:szCs w:val="24"/>
        </w:rPr>
        <w:t>Energy Storage News</w:t>
      </w:r>
      <w:r w:rsidRPr="001C47C9">
        <w:rPr>
          <w:rFonts w:ascii="Times New Roman" w:hAnsi="Times New Roman" w:cs="Times New Roman"/>
          <w:color w:val="000000" w:themeColor="text1"/>
          <w:sz w:val="24"/>
          <w:szCs w:val="24"/>
        </w:rPr>
        <w:t xml:space="preserve">, 2 February. Available at: </w:t>
      </w:r>
      <w:hyperlink r:id="rId8" w:tgtFrame="_new" w:history="1">
        <w:r w:rsidRPr="001C47C9">
          <w:rPr>
            <w:rStyle w:val="af"/>
            <w:rFonts w:ascii="Times New Roman" w:hAnsi="Times New Roman" w:cs="Times New Roman"/>
            <w:color w:val="000000" w:themeColor="text1"/>
          </w:rPr>
          <w:t>https://www.energy-storage.news/tesla-energy-storage-deployments-jumped-in-crucial-ai-transformation-year-company-expects-margin-compression-in-2026/</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 xml:space="preserve">17 </w:t>
      </w:r>
      <w:r w:rsidRPr="001C47C9">
        <w:rPr>
          <w:rFonts w:ascii="Times New Roman" w:hAnsi="Times New Roman" w:cs="Times New Roman"/>
          <w:color w:val="000000" w:themeColor="text1"/>
          <w:sz w:val="24"/>
          <w:szCs w:val="24"/>
        </w:rPr>
        <w:t>March 2026).</w:t>
      </w:r>
    </w:p>
    <w:p w14:paraId="037DD927"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Cox, J. (2026) ‘Fed votes to hold rates steady, notes “uncertain” impacts from Iran war’, </w:t>
      </w:r>
      <w:r w:rsidRPr="001C47C9">
        <w:rPr>
          <w:rStyle w:val="ae"/>
          <w:rFonts w:ascii="Times New Roman" w:hAnsi="Times New Roman" w:cs="Times New Roman"/>
          <w:color w:val="000000" w:themeColor="text1"/>
          <w:sz w:val="24"/>
          <w:szCs w:val="24"/>
        </w:rPr>
        <w:t>CNBC</w:t>
      </w:r>
      <w:r w:rsidRPr="001C47C9">
        <w:rPr>
          <w:rFonts w:ascii="Times New Roman" w:hAnsi="Times New Roman" w:cs="Times New Roman"/>
          <w:color w:val="000000" w:themeColor="text1"/>
          <w:sz w:val="24"/>
          <w:szCs w:val="24"/>
        </w:rPr>
        <w:t xml:space="preserve">, 18 March. Available at: </w:t>
      </w:r>
      <w:hyperlink r:id="rId9" w:tgtFrame="_new" w:history="1">
        <w:r w:rsidRPr="001C47C9">
          <w:rPr>
            <w:rStyle w:val="af"/>
            <w:rFonts w:ascii="Times New Roman" w:hAnsi="Times New Roman" w:cs="Times New Roman"/>
            <w:color w:val="000000" w:themeColor="text1"/>
          </w:rPr>
          <w:t>https://www.cnbc.com/2026/03/18/fed-interest-rate-decision-march-2026.html</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17</w:t>
      </w:r>
      <w:r w:rsidRPr="001C47C9">
        <w:rPr>
          <w:rFonts w:ascii="Times New Roman" w:hAnsi="Times New Roman" w:cs="Times New Roman"/>
          <w:color w:val="000000" w:themeColor="text1"/>
          <w:sz w:val="24"/>
          <w:szCs w:val="24"/>
        </w:rPr>
        <w:t xml:space="preserve"> March 2026).</w:t>
      </w:r>
    </w:p>
    <w:p w14:paraId="0E0052DC"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Crothers, B. (2024) </w:t>
      </w:r>
      <w:r w:rsidRPr="00EA3713">
        <w:rPr>
          <w:rFonts w:ascii="Times New Roman" w:hAnsi="Times New Roman" w:cs="Times New Roman"/>
          <w:i/>
          <w:iCs/>
          <w:color w:val="000000" w:themeColor="text1"/>
          <w:sz w:val="24"/>
          <w:szCs w:val="24"/>
        </w:rPr>
        <w:t>Tesla Full Self Driving Vs. The Rest: Be Very Careful Choosing Your Next EV.</w:t>
      </w:r>
      <w:r>
        <w:rPr>
          <w:rFonts w:ascii="Times New Roman" w:hAnsi="Times New Roman" w:cs="Times New Roman"/>
          <w:color w:val="000000" w:themeColor="text1"/>
          <w:sz w:val="24"/>
          <w:szCs w:val="24"/>
        </w:rPr>
        <w:t xml:space="preserve"> </w:t>
      </w:r>
      <w:r w:rsidRPr="001C47C9">
        <w:rPr>
          <w:rFonts w:ascii="Times New Roman" w:hAnsi="Times New Roman" w:cs="Times New Roman"/>
          <w:color w:val="000000" w:themeColor="text1"/>
          <w:sz w:val="24"/>
          <w:szCs w:val="24"/>
        </w:rPr>
        <w:t xml:space="preserve">29 December. Available at: </w:t>
      </w:r>
      <w:hyperlink r:id="rId10" w:tgtFrame="_new" w:history="1">
        <w:r w:rsidRPr="001C47C9">
          <w:rPr>
            <w:rStyle w:val="af"/>
            <w:rFonts w:ascii="Times New Roman" w:hAnsi="Times New Roman" w:cs="Times New Roman"/>
            <w:color w:val="000000" w:themeColor="text1"/>
          </w:rPr>
          <w:t>https://www.forbes.com/sites/brookecrothers/2024/12/29/tesla-full-self-driving-vs-the-rest-be-very-careful-choosing-your-next-ev/</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17</w:t>
      </w:r>
      <w:r w:rsidRPr="001C47C9">
        <w:rPr>
          <w:rFonts w:ascii="Times New Roman" w:hAnsi="Times New Roman" w:cs="Times New Roman"/>
          <w:color w:val="000000" w:themeColor="text1"/>
          <w:sz w:val="24"/>
          <w:szCs w:val="24"/>
        </w:rPr>
        <w:t xml:space="preserve"> March 2026).</w:t>
      </w:r>
    </w:p>
    <w:p w14:paraId="3D778369"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D’Oria, L., Crook, T.R., Ketchen, D.J., Sirmon, D.G. and Wright, M. (2021) ‘The evolution of resource-based inquiry: A review and meta-analytic integration of the strategic resources–actions–performance pathway’, </w:t>
      </w:r>
      <w:r w:rsidRPr="001C47C9">
        <w:rPr>
          <w:rStyle w:val="ae"/>
          <w:rFonts w:ascii="Times New Roman" w:hAnsi="Times New Roman" w:cs="Times New Roman"/>
          <w:color w:val="000000" w:themeColor="text1"/>
          <w:sz w:val="24"/>
          <w:szCs w:val="24"/>
        </w:rPr>
        <w:t>Journal of Management</w:t>
      </w:r>
      <w:r w:rsidRPr="001C47C9">
        <w:rPr>
          <w:rFonts w:ascii="Times New Roman" w:hAnsi="Times New Roman" w:cs="Times New Roman"/>
          <w:color w:val="000000" w:themeColor="text1"/>
          <w:sz w:val="24"/>
          <w:szCs w:val="24"/>
        </w:rPr>
        <w:t>, 47(6), pp. 1383–1429. DOI: 10.1177/0149206321994182.</w:t>
      </w:r>
    </w:p>
    <w:p w14:paraId="2CF9238B"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Dahdal, S.M. (2024) </w:t>
      </w:r>
      <w:r w:rsidRPr="00EA3713">
        <w:rPr>
          <w:rFonts w:ascii="Times New Roman" w:hAnsi="Times New Roman" w:cs="Times New Roman"/>
          <w:i/>
          <w:iCs/>
          <w:color w:val="000000" w:themeColor="text1"/>
          <w:sz w:val="24"/>
          <w:szCs w:val="24"/>
        </w:rPr>
        <w:t>Tesla’s Bold Move</w:t>
      </w:r>
      <w:r>
        <w:rPr>
          <w:rFonts w:ascii="Times New Roman" w:hAnsi="Times New Roman" w:cs="Times New Roman"/>
          <w:i/>
          <w:iCs/>
          <w:color w:val="000000" w:themeColor="text1"/>
          <w:sz w:val="24"/>
          <w:szCs w:val="24"/>
        </w:rPr>
        <w:t xml:space="preserve">. </w:t>
      </w:r>
      <w:r w:rsidRPr="001C47C9">
        <w:rPr>
          <w:rFonts w:ascii="Times New Roman" w:hAnsi="Times New Roman" w:cs="Times New Roman"/>
          <w:color w:val="000000" w:themeColor="text1"/>
          <w:sz w:val="24"/>
          <w:szCs w:val="24"/>
        </w:rPr>
        <w:t xml:space="preserve">Available at: </w:t>
      </w:r>
      <w:hyperlink r:id="rId11" w:tgtFrame="_new" w:history="1">
        <w:r w:rsidRPr="001C47C9">
          <w:rPr>
            <w:rStyle w:val="af"/>
            <w:rFonts w:ascii="Times New Roman" w:hAnsi="Times New Roman" w:cs="Times New Roman"/>
            <w:color w:val="000000" w:themeColor="text1"/>
          </w:rPr>
          <w:t>https://medium.com/@sam_dahdal/teslas-bold-move-bb834e995bc0</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19</w:t>
      </w:r>
      <w:r w:rsidRPr="001C47C9">
        <w:rPr>
          <w:rFonts w:ascii="Times New Roman" w:hAnsi="Times New Roman" w:cs="Times New Roman"/>
          <w:color w:val="000000" w:themeColor="text1"/>
          <w:sz w:val="24"/>
          <w:szCs w:val="24"/>
        </w:rPr>
        <w:t xml:space="preserve"> March 2026).</w:t>
      </w:r>
    </w:p>
    <w:p w14:paraId="6CD56183"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Deo, K. and Prasad, A. (2024) ‘Factors influencing green energy consumer behaviour in Australia’, </w:t>
      </w:r>
      <w:r w:rsidRPr="001C47C9">
        <w:rPr>
          <w:rStyle w:val="ae"/>
          <w:rFonts w:ascii="Times New Roman" w:hAnsi="Times New Roman" w:cs="Times New Roman"/>
          <w:color w:val="000000" w:themeColor="text1"/>
          <w:sz w:val="24"/>
          <w:szCs w:val="24"/>
        </w:rPr>
        <w:t>Journal of Cleaner Production</w:t>
      </w:r>
      <w:r w:rsidRPr="001C47C9">
        <w:rPr>
          <w:rFonts w:ascii="Times New Roman" w:hAnsi="Times New Roman" w:cs="Times New Roman"/>
          <w:color w:val="000000" w:themeColor="text1"/>
          <w:sz w:val="24"/>
          <w:szCs w:val="24"/>
        </w:rPr>
        <w:t>, 460, p. 142609. DOI: 10.1016/j.jclepro.2024.142609.</w:t>
      </w:r>
    </w:p>
    <w:p w14:paraId="510ACC82" w14:textId="77777777" w:rsidR="007D2C07" w:rsidRPr="001C47C9" w:rsidRDefault="007D2C07" w:rsidP="007D2C07">
      <w:pPr>
        <w:spacing w:before="120" w:after="240" w:line="360" w:lineRule="auto"/>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lastRenderedPageBreak/>
        <w:t xml:space="preserve">Erickson, C. (2022) </w:t>
      </w:r>
      <w:r w:rsidRPr="00EA3713">
        <w:rPr>
          <w:rFonts w:ascii="Times New Roman" w:eastAsia="Times New Roman" w:hAnsi="Times New Roman" w:cs="Times New Roman"/>
          <w:i/>
          <w:iCs/>
          <w:color w:val="000000" w:themeColor="text1"/>
          <w:sz w:val="24"/>
          <w:szCs w:val="24"/>
          <w:lang w:val="en-AU" w:eastAsia="en-AU"/>
        </w:rPr>
        <w:t>Raw materials in short supply for EV makers struggling to meet customer demand.</w:t>
      </w:r>
      <w:r>
        <w:rPr>
          <w:rFonts w:ascii="Times New Roman" w:eastAsia="Times New Roman" w:hAnsi="Times New Roman" w:cs="Times New Roman"/>
          <w:color w:val="000000" w:themeColor="text1"/>
          <w:sz w:val="24"/>
          <w:szCs w:val="24"/>
          <w:lang w:val="en-AU" w:eastAsia="en-AU"/>
        </w:rPr>
        <w:t xml:space="preserve"> </w:t>
      </w:r>
      <w:r w:rsidRPr="001C47C9">
        <w:rPr>
          <w:rFonts w:ascii="Times New Roman" w:eastAsia="Times New Roman" w:hAnsi="Times New Roman" w:cs="Times New Roman"/>
          <w:color w:val="000000" w:themeColor="text1"/>
          <w:sz w:val="24"/>
          <w:szCs w:val="24"/>
          <w:lang w:val="en-AU" w:eastAsia="en-AU"/>
        </w:rPr>
        <w:t xml:space="preserve">Available at: </w:t>
      </w:r>
      <w:hyperlink r:id="rId12" w:tgtFrame="_new" w:history="1">
        <w:r w:rsidRPr="001C47C9">
          <w:rPr>
            <w:rFonts w:ascii="Times New Roman" w:eastAsia="Times New Roman" w:hAnsi="Times New Roman" w:cs="Times New Roman"/>
            <w:color w:val="000000" w:themeColor="text1"/>
            <w:sz w:val="24"/>
            <w:szCs w:val="24"/>
            <w:u w:val="single"/>
            <w:lang w:val="en-AU" w:eastAsia="en-AU"/>
          </w:rPr>
          <w:t>https://www.spglobal.com/market-intelligence/en/news-insights/articles/2022/3/raw-materials-in-short-supply-for-ev-makers-struggling-to-meet-customer-demand-69458070</w:t>
        </w:r>
      </w:hyperlink>
      <w:r w:rsidRPr="001C47C9">
        <w:rPr>
          <w:rFonts w:ascii="Times New Roman" w:eastAsia="Times New Roman" w:hAnsi="Times New Roman" w:cs="Times New Roman"/>
          <w:color w:val="000000" w:themeColor="text1"/>
          <w:sz w:val="24"/>
          <w:szCs w:val="24"/>
          <w:lang w:val="en-AU" w:eastAsia="en-AU"/>
        </w:rPr>
        <w:t xml:space="preserve"> (Accessed: </w:t>
      </w:r>
      <w:r>
        <w:rPr>
          <w:rFonts w:ascii="Times New Roman" w:eastAsia="Times New Roman" w:hAnsi="Times New Roman" w:cs="Times New Roman"/>
          <w:color w:val="000000" w:themeColor="text1"/>
          <w:sz w:val="24"/>
          <w:szCs w:val="24"/>
          <w:lang w:val="en-AU" w:eastAsia="en-AU"/>
        </w:rPr>
        <w:t>18</w:t>
      </w:r>
      <w:r w:rsidRPr="001C47C9">
        <w:rPr>
          <w:rFonts w:ascii="Times New Roman" w:eastAsia="Times New Roman" w:hAnsi="Times New Roman" w:cs="Times New Roman"/>
          <w:color w:val="000000" w:themeColor="text1"/>
          <w:sz w:val="24"/>
          <w:szCs w:val="24"/>
          <w:lang w:val="en-AU" w:eastAsia="en-AU"/>
        </w:rPr>
        <w:t xml:space="preserve"> March 2026).</w:t>
      </w:r>
    </w:p>
    <w:p w14:paraId="2654830D"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Euromonitor International (2024) </w:t>
      </w:r>
      <w:r w:rsidRPr="001C47C9">
        <w:rPr>
          <w:rStyle w:val="ae"/>
          <w:rFonts w:ascii="Times New Roman" w:hAnsi="Times New Roman" w:cs="Times New Roman"/>
          <w:color w:val="000000" w:themeColor="text1"/>
          <w:sz w:val="24"/>
          <w:szCs w:val="24"/>
        </w:rPr>
        <w:t>Is Tesla Abandoning Its Electric Vehicle Charging Business?</w:t>
      </w:r>
      <w:r w:rsidRPr="001C47C9">
        <w:rPr>
          <w:rFonts w:ascii="Times New Roman" w:hAnsi="Times New Roman" w:cs="Times New Roman"/>
          <w:color w:val="000000" w:themeColor="text1"/>
          <w:sz w:val="24"/>
          <w:szCs w:val="24"/>
        </w:rPr>
        <w:t xml:space="preserve"> Available at: </w:t>
      </w:r>
      <w:hyperlink r:id="rId13" w:tgtFrame="_new" w:history="1">
        <w:r w:rsidRPr="001C47C9">
          <w:rPr>
            <w:rStyle w:val="af"/>
            <w:rFonts w:ascii="Times New Roman" w:hAnsi="Times New Roman" w:cs="Times New Roman"/>
            <w:color w:val="000000" w:themeColor="text1"/>
          </w:rPr>
          <w:t>https://www.euromonitor.com/article/is-tesla-abandoning-its-electric-vehicle-charging-business</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20</w:t>
      </w:r>
      <w:r w:rsidRPr="001C47C9">
        <w:rPr>
          <w:rFonts w:ascii="Times New Roman" w:hAnsi="Times New Roman" w:cs="Times New Roman"/>
          <w:color w:val="000000" w:themeColor="text1"/>
          <w:sz w:val="24"/>
          <w:szCs w:val="24"/>
        </w:rPr>
        <w:t xml:space="preserve"> March 2026).</w:t>
      </w:r>
    </w:p>
    <w:p w14:paraId="13344BD0"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Ewing, J. (2026) ‘China’s BYD Surpasses Tesla as World Leader in Electric Car Sales’, </w:t>
      </w:r>
      <w:r w:rsidRPr="001C47C9">
        <w:rPr>
          <w:rStyle w:val="ae"/>
          <w:rFonts w:ascii="Times New Roman" w:hAnsi="Times New Roman" w:cs="Times New Roman"/>
          <w:color w:val="000000" w:themeColor="text1"/>
          <w:sz w:val="24"/>
          <w:szCs w:val="24"/>
        </w:rPr>
        <w:t>The New York Times</w:t>
      </w:r>
      <w:r w:rsidRPr="001C47C9">
        <w:rPr>
          <w:rFonts w:ascii="Times New Roman" w:hAnsi="Times New Roman" w:cs="Times New Roman"/>
          <w:color w:val="000000" w:themeColor="text1"/>
          <w:sz w:val="24"/>
          <w:szCs w:val="24"/>
        </w:rPr>
        <w:t xml:space="preserve">, 2 January. Available at: </w:t>
      </w:r>
      <w:hyperlink r:id="rId14" w:tgtFrame="_new" w:history="1">
        <w:r w:rsidRPr="001C47C9">
          <w:rPr>
            <w:rStyle w:val="af"/>
            <w:rFonts w:ascii="Times New Roman" w:hAnsi="Times New Roman" w:cs="Times New Roman"/>
            <w:color w:val="000000" w:themeColor="text1"/>
          </w:rPr>
          <w:t>https://www.nytimes.com/2026/01/02/business/tesla-electric-vehicles-fourth-quarter-sales.html</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18</w:t>
      </w:r>
      <w:r w:rsidRPr="001C47C9">
        <w:rPr>
          <w:rFonts w:ascii="Times New Roman" w:hAnsi="Times New Roman" w:cs="Times New Roman"/>
          <w:color w:val="000000" w:themeColor="text1"/>
          <w:sz w:val="24"/>
          <w:szCs w:val="24"/>
        </w:rPr>
        <w:t xml:space="preserve"> March 2026).</w:t>
      </w:r>
    </w:p>
    <w:p w14:paraId="584D25FB"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Faraonov, Y. and Tarasova, K. (2025) ‘Global Expansion Strategy of Tesla: Challenges and Opportunities’, </w:t>
      </w:r>
      <w:r w:rsidRPr="001C47C9">
        <w:rPr>
          <w:rStyle w:val="ae"/>
          <w:rFonts w:ascii="Times New Roman" w:hAnsi="Times New Roman" w:cs="Times New Roman"/>
          <w:color w:val="000000" w:themeColor="text1"/>
          <w:sz w:val="24"/>
          <w:szCs w:val="24"/>
        </w:rPr>
        <w:t>International Journal of Psychology and Strategic Communication</w:t>
      </w:r>
      <w:r w:rsidRPr="001C47C9">
        <w:rPr>
          <w:rFonts w:ascii="Times New Roman" w:hAnsi="Times New Roman" w:cs="Times New Roman"/>
          <w:color w:val="000000" w:themeColor="text1"/>
          <w:sz w:val="24"/>
          <w:szCs w:val="24"/>
        </w:rPr>
        <w:t xml:space="preserve">. DOI: 10.61030/GAJO4415. </w:t>
      </w:r>
    </w:p>
    <w:p w14:paraId="22B6E999"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Ferraz Soares Ferreira, A.P.P. and Marques Moscoso, M.B.P.S. (2024) ‘The importance of the Ansoff matrix for the study of the information services market’, </w:t>
      </w:r>
      <w:r w:rsidRPr="001C47C9">
        <w:rPr>
          <w:rStyle w:val="ae"/>
          <w:rFonts w:ascii="Times New Roman" w:hAnsi="Times New Roman" w:cs="Times New Roman"/>
          <w:color w:val="000000" w:themeColor="text1"/>
          <w:sz w:val="24"/>
          <w:szCs w:val="24"/>
        </w:rPr>
        <w:t>The Canadian Journal of Information and Library Science</w:t>
      </w:r>
      <w:r w:rsidRPr="001C47C9">
        <w:rPr>
          <w:rFonts w:ascii="Times New Roman" w:hAnsi="Times New Roman" w:cs="Times New Roman"/>
          <w:color w:val="000000" w:themeColor="text1"/>
          <w:sz w:val="24"/>
          <w:szCs w:val="24"/>
        </w:rPr>
        <w:t>, 47(2). DOI: 10.5206/cjils-rcsib.v47i2.17432.</w:t>
      </w:r>
    </w:p>
    <w:p w14:paraId="5E2C5D22"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Global Energy Prize (2023) </w:t>
      </w:r>
      <w:r w:rsidRPr="001C47C9">
        <w:rPr>
          <w:rStyle w:val="ae"/>
          <w:rFonts w:ascii="Times New Roman" w:hAnsi="Times New Roman" w:cs="Times New Roman"/>
          <w:color w:val="000000" w:themeColor="text1"/>
          <w:sz w:val="24"/>
          <w:szCs w:val="24"/>
        </w:rPr>
        <w:t>ICE vehicles still dominate in car sales in OECD countries</w:t>
      </w:r>
      <w:r w:rsidRPr="001C47C9">
        <w:rPr>
          <w:rFonts w:ascii="Times New Roman" w:hAnsi="Times New Roman" w:cs="Times New Roman"/>
          <w:color w:val="000000" w:themeColor="text1"/>
          <w:sz w:val="24"/>
          <w:szCs w:val="24"/>
        </w:rPr>
        <w:t xml:space="preserve">. Available at: </w:t>
      </w:r>
      <w:hyperlink r:id="rId15" w:tgtFrame="_new" w:history="1">
        <w:r w:rsidRPr="001C47C9">
          <w:rPr>
            <w:rStyle w:val="af"/>
            <w:rFonts w:ascii="Times New Roman" w:hAnsi="Times New Roman" w:cs="Times New Roman"/>
            <w:color w:val="000000" w:themeColor="text1"/>
          </w:rPr>
          <w:t>https://globalenergyprize.org/en/2023/12/01/ice-vehicles-still-dominate-in-car-sales-in-oecd-countries/</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20</w:t>
      </w:r>
      <w:r w:rsidRPr="001C47C9">
        <w:rPr>
          <w:rFonts w:ascii="Times New Roman" w:hAnsi="Times New Roman" w:cs="Times New Roman"/>
          <w:color w:val="000000" w:themeColor="text1"/>
          <w:sz w:val="24"/>
          <w:szCs w:val="24"/>
        </w:rPr>
        <w:t xml:space="preserve"> March 2026).</w:t>
      </w:r>
    </w:p>
    <w:p w14:paraId="66FDD749"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Hargreaves, L. (2026) </w:t>
      </w:r>
      <w:r w:rsidRPr="00BD0782">
        <w:rPr>
          <w:rFonts w:ascii="Times New Roman" w:hAnsi="Times New Roman" w:cs="Times New Roman"/>
          <w:i/>
          <w:iCs/>
          <w:color w:val="000000" w:themeColor="text1"/>
          <w:sz w:val="24"/>
          <w:szCs w:val="24"/>
        </w:rPr>
        <w:t>Tesla: The Acid-Free Future of the Lithium Supply Chain.</w:t>
      </w:r>
      <w:r>
        <w:rPr>
          <w:rFonts w:ascii="Times New Roman" w:hAnsi="Times New Roman" w:cs="Times New Roman"/>
          <w:color w:val="000000" w:themeColor="text1"/>
          <w:sz w:val="24"/>
          <w:szCs w:val="24"/>
        </w:rPr>
        <w:t xml:space="preserve"> </w:t>
      </w:r>
      <w:r w:rsidRPr="001C47C9">
        <w:rPr>
          <w:rFonts w:ascii="Times New Roman" w:hAnsi="Times New Roman" w:cs="Times New Roman"/>
          <w:color w:val="000000" w:themeColor="text1"/>
          <w:sz w:val="24"/>
          <w:szCs w:val="24"/>
        </w:rPr>
        <w:t xml:space="preserve">Available at: </w:t>
      </w:r>
      <w:hyperlink r:id="rId16" w:tgtFrame="_new" w:history="1">
        <w:r w:rsidRPr="001C47C9">
          <w:rPr>
            <w:rStyle w:val="af"/>
            <w:rFonts w:ascii="Times New Roman" w:hAnsi="Times New Roman" w:cs="Times New Roman"/>
            <w:color w:val="000000" w:themeColor="text1"/>
          </w:rPr>
          <w:t>https://supplychaindigital.com/news/tesla-acid-free-future-lithium-supply-chain</w:t>
        </w:r>
      </w:hyperlink>
      <w:r w:rsidRPr="001C47C9">
        <w:rPr>
          <w:rFonts w:ascii="Times New Roman" w:hAnsi="Times New Roman" w:cs="Times New Roman"/>
          <w:color w:val="000000" w:themeColor="text1"/>
          <w:sz w:val="24"/>
          <w:szCs w:val="24"/>
        </w:rPr>
        <w:t xml:space="preserve"> (Accessed: 2</w:t>
      </w:r>
      <w:r>
        <w:rPr>
          <w:rFonts w:ascii="Times New Roman" w:hAnsi="Times New Roman" w:cs="Times New Roman"/>
          <w:color w:val="000000" w:themeColor="text1"/>
          <w:sz w:val="24"/>
          <w:szCs w:val="24"/>
        </w:rPr>
        <w:t>0</w:t>
      </w:r>
      <w:r w:rsidRPr="001C47C9">
        <w:rPr>
          <w:rFonts w:ascii="Times New Roman" w:hAnsi="Times New Roman" w:cs="Times New Roman"/>
          <w:color w:val="000000" w:themeColor="text1"/>
          <w:sz w:val="24"/>
          <w:szCs w:val="24"/>
        </w:rPr>
        <w:t xml:space="preserve"> March 2026).</w:t>
      </w:r>
    </w:p>
    <w:p w14:paraId="333907FA"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Harmon, G. (2025) </w:t>
      </w:r>
      <w:r w:rsidRPr="00BD0782">
        <w:rPr>
          <w:rFonts w:ascii="Times New Roman" w:hAnsi="Times New Roman" w:cs="Times New Roman"/>
          <w:i/>
          <w:iCs/>
          <w:color w:val="000000" w:themeColor="text1"/>
          <w:sz w:val="24"/>
          <w:szCs w:val="24"/>
        </w:rPr>
        <w:t>Tesla struggles with margins as R&amp;D spending rises, vehicle costs drop.</w:t>
      </w:r>
      <w:r w:rsidRPr="001C47C9">
        <w:rPr>
          <w:rFonts w:ascii="Times New Roman" w:hAnsi="Times New Roman" w:cs="Times New Roman"/>
          <w:color w:val="000000" w:themeColor="text1"/>
          <w:sz w:val="24"/>
          <w:szCs w:val="24"/>
        </w:rPr>
        <w:t xml:space="preserve"> Available at: </w:t>
      </w:r>
      <w:hyperlink r:id="rId17" w:tgtFrame="_new" w:history="1">
        <w:r w:rsidRPr="001C47C9">
          <w:rPr>
            <w:rStyle w:val="af"/>
            <w:rFonts w:ascii="Times New Roman" w:hAnsi="Times New Roman" w:cs="Times New Roman"/>
            <w:color w:val="000000" w:themeColor="text1"/>
          </w:rPr>
          <w:t>https://www.emarketer.com/content/tesla-struggles-with-margins-r-d-spending-rises--vehicle-costs-drop</w:t>
        </w:r>
      </w:hyperlink>
      <w:r w:rsidRPr="001C47C9">
        <w:rPr>
          <w:rFonts w:ascii="Times New Roman" w:hAnsi="Times New Roman" w:cs="Times New Roman"/>
          <w:color w:val="000000" w:themeColor="text1"/>
          <w:sz w:val="24"/>
          <w:szCs w:val="24"/>
        </w:rPr>
        <w:t xml:space="preserve"> (Accessed: 2</w:t>
      </w:r>
      <w:r>
        <w:rPr>
          <w:rFonts w:ascii="Times New Roman" w:hAnsi="Times New Roman" w:cs="Times New Roman"/>
          <w:color w:val="000000" w:themeColor="text1"/>
          <w:sz w:val="24"/>
          <w:szCs w:val="24"/>
        </w:rPr>
        <w:t>1</w:t>
      </w:r>
      <w:r w:rsidRPr="001C47C9">
        <w:rPr>
          <w:rFonts w:ascii="Times New Roman" w:hAnsi="Times New Roman" w:cs="Times New Roman"/>
          <w:color w:val="000000" w:themeColor="text1"/>
          <w:sz w:val="24"/>
          <w:szCs w:val="24"/>
        </w:rPr>
        <w:t xml:space="preserve"> March 2026).</w:t>
      </w:r>
    </w:p>
    <w:p w14:paraId="2DF3D059" w14:textId="77777777" w:rsidR="007D2C07" w:rsidRPr="001C47C9" w:rsidRDefault="007D2C07" w:rsidP="007D2C07">
      <w:pPr>
        <w:spacing w:before="120" w:after="240" w:line="360" w:lineRule="auto"/>
        <w:rPr>
          <w:rFonts w:ascii="Times New Roman" w:eastAsia="Times New Roman" w:hAnsi="Times New Roman" w:cs="Times New Roman"/>
          <w:color w:val="000000" w:themeColor="text1"/>
          <w:sz w:val="24"/>
          <w:szCs w:val="24"/>
          <w:lang w:val="en-AU" w:eastAsia="en-AU"/>
        </w:rPr>
      </w:pPr>
      <w:r w:rsidRPr="001C47C9">
        <w:rPr>
          <w:rFonts w:ascii="Times New Roman" w:hAnsi="Times New Roman" w:cs="Times New Roman"/>
          <w:color w:val="000000" w:themeColor="text1"/>
          <w:sz w:val="24"/>
          <w:szCs w:val="24"/>
        </w:rPr>
        <w:t xml:space="preserve">Hertzke, P., Schaufuss, P., Kampshoff, P. and Möller, T. (2025) </w:t>
      </w:r>
      <w:r w:rsidRPr="00BD0782">
        <w:rPr>
          <w:rFonts w:ascii="Times New Roman" w:hAnsi="Times New Roman" w:cs="Times New Roman"/>
          <w:i/>
          <w:iCs/>
          <w:color w:val="000000" w:themeColor="text1"/>
          <w:sz w:val="24"/>
          <w:szCs w:val="24"/>
        </w:rPr>
        <w:t>New twists in the electric-vehicle transition: A consumer perspective.</w:t>
      </w:r>
      <w:r w:rsidRPr="001C47C9">
        <w:rPr>
          <w:rFonts w:ascii="Times New Roman" w:hAnsi="Times New Roman" w:cs="Times New Roman"/>
          <w:color w:val="000000" w:themeColor="text1"/>
          <w:sz w:val="24"/>
          <w:szCs w:val="24"/>
        </w:rPr>
        <w:t xml:space="preserve"> Available at: </w:t>
      </w:r>
      <w:hyperlink r:id="rId18" w:tgtFrame="_new" w:history="1">
        <w:r w:rsidRPr="001C47C9">
          <w:rPr>
            <w:rStyle w:val="af"/>
            <w:rFonts w:ascii="Times New Roman" w:hAnsi="Times New Roman" w:cs="Times New Roman"/>
            <w:color w:val="000000" w:themeColor="text1"/>
          </w:rPr>
          <w:t>https://www.mckinsey.com/features/mckinsey-center-for-future-mobility/our-insights/new-twists-in-the-electric-vehicle-transition-a-consumer-perspective</w:t>
        </w:r>
      </w:hyperlink>
      <w:r w:rsidRPr="001C47C9">
        <w:rPr>
          <w:rFonts w:ascii="Times New Roman" w:hAnsi="Times New Roman" w:cs="Times New Roman"/>
          <w:color w:val="000000" w:themeColor="text1"/>
          <w:sz w:val="24"/>
          <w:szCs w:val="24"/>
        </w:rPr>
        <w:t xml:space="preserve"> (Accessed: 22 March 2026).</w:t>
      </w:r>
    </w:p>
    <w:p w14:paraId="7D8CA797"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lastRenderedPageBreak/>
        <w:t xml:space="preserve">International Energy Agency (2020) </w:t>
      </w:r>
      <w:r w:rsidRPr="001C47C9">
        <w:rPr>
          <w:rStyle w:val="ae"/>
          <w:rFonts w:ascii="Times New Roman" w:hAnsi="Times New Roman" w:cs="Times New Roman"/>
          <w:color w:val="000000" w:themeColor="text1"/>
          <w:sz w:val="24"/>
          <w:szCs w:val="24"/>
        </w:rPr>
        <w:t>Innovation needs in the Sustainable Development Scenario</w:t>
      </w:r>
      <w:r w:rsidRPr="001C47C9">
        <w:rPr>
          <w:rFonts w:ascii="Times New Roman" w:hAnsi="Times New Roman" w:cs="Times New Roman"/>
          <w:color w:val="000000" w:themeColor="text1"/>
          <w:sz w:val="24"/>
          <w:szCs w:val="24"/>
        </w:rPr>
        <w:t xml:space="preserve">. Available at: </w:t>
      </w:r>
      <w:hyperlink r:id="rId19" w:tgtFrame="_new" w:history="1">
        <w:r w:rsidRPr="001C47C9">
          <w:rPr>
            <w:rStyle w:val="af"/>
            <w:rFonts w:ascii="Times New Roman" w:hAnsi="Times New Roman" w:cs="Times New Roman"/>
            <w:color w:val="000000" w:themeColor="text1"/>
          </w:rPr>
          <w:t>https://www.iea.org/reports/clean-energy-innovation/innovation-needs-in-the-sustainable-development-scenario</w:t>
        </w:r>
      </w:hyperlink>
      <w:r w:rsidRPr="001C47C9">
        <w:rPr>
          <w:rFonts w:ascii="Times New Roman" w:hAnsi="Times New Roman" w:cs="Times New Roman"/>
          <w:color w:val="000000" w:themeColor="text1"/>
          <w:sz w:val="24"/>
          <w:szCs w:val="24"/>
        </w:rPr>
        <w:t xml:space="preserve"> (Accessed: 22 March 2026).</w:t>
      </w:r>
    </w:p>
    <w:p w14:paraId="18065414"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International Energy Agency (2024a) </w:t>
      </w:r>
      <w:r w:rsidRPr="001C47C9">
        <w:rPr>
          <w:rStyle w:val="ae"/>
          <w:rFonts w:ascii="Times New Roman" w:hAnsi="Times New Roman" w:cs="Times New Roman"/>
          <w:color w:val="000000" w:themeColor="text1"/>
          <w:sz w:val="24"/>
          <w:szCs w:val="24"/>
        </w:rPr>
        <w:t>Outlook for emissions reductions</w:t>
      </w:r>
      <w:r w:rsidRPr="001C47C9">
        <w:rPr>
          <w:rFonts w:ascii="Times New Roman" w:hAnsi="Times New Roman" w:cs="Times New Roman"/>
          <w:color w:val="000000" w:themeColor="text1"/>
          <w:sz w:val="24"/>
          <w:szCs w:val="24"/>
        </w:rPr>
        <w:t xml:space="preserve">. Available at: </w:t>
      </w:r>
      <w:hyperlink r:id="rId20" w:tgtFrame="_new" w:history="1">
        <w:r w:rsidRPr="001C47C9">
          <w:rPr>
            <w:rStyle w:val="af"/>
            <w:rFonts w:ascii="Times New Roman" w:hAnsi="Times New Roman" w:cs="Times New Roman"/>
            <w:color w:val="000000" w:themeColor="text1"/>
          </w:rPr>
          <w:t>https://www.iea.org/reports/global-ev-outlook-2024/outlook-for-emissions-reductions</w:t>
        </w:r>
      </w:hyperlink>
      <w:r w:rsidRPr="001C47C9">
        <w:rPr>
          <w:rFonts w:ascii="Times New Roman" w:hAnsi="Times New Roman" w:cs="Times New Roman"/>
          <w:color w:val="000000" w:themeColor="text1"/>
          <w:sz w:val="24"/>
          <w:szCs w:val="24"/>
        </w:rPr>
        <w:t xml:space="preserve"> (Accessed: 22 March 2026).</w:t>
      </w:r>
    </w:p>
    <w:p w14:paraId="45D43F6F"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International Energy Agency (2024b) </w:t>
      </w:r>
      <w:r w:rsidRPr="001C47C9">
        <w:rPr>
          <w:rStyle w:val="ae"/>
          <w:rFonts w:ascii="Times New Roman" w:eastAsiaTheme="majorEastAsia" w:hAnsi="Times New Roman" w:cs="Times New Roman"/>
          <w:color w:val="000000" w:themeColor="text1"/>
          <w:sz w:val="24"/>
          <w:szCs w:val="24"/>
        </w:rPr>
        <w:t>Trends in electric cars</w:t>
      </w:r>
      <w:r w:rsidRPr="001C47C9">
        <w:rPr>
          <w:rFonts w:ascii="Times New Roman" w:hAnsi="Times New Roman" w:cs="Times New Roman"/>
          <w:color w:val="000000" w:themeColor="text1"/>
          <w:sz w:val="24"/>
          <w:szCs w:val="24"/>
        </w:rPr>
        <w:t xml:space="preserve">. Available at: </w:t>
      </w:r>
      <w:hyperlink r:id="rId21" w:tgtFrame="_new" w:history="1">
        <w:r w:rsidRPr="001C47C9">
          <w:rPr>
            <w:rStyle w:val="af"/>
            <w:rFonts w:ascii="Times New Roman" w:hAnsi="Times New Roman" w:cs="Times New Roman"/>
            <w:color w:val="000000" w:themeColor="text1"/>
          </w:rPr>
          <w:t>https://www.iea.org/reports/global-ev-outlook-2024/trends-in-electric-cars</w:t>
        </w:r>
      </w:hyperlink>
      <w:r w:rsidRPr="001C47C9">
        <w:rPr>
          <w:rFonts w:ascii="Times New Roman" w:hAnsi="Times New Roman" w:cs="Times New Roman"/>
          <w:color w:val="000000" w:themeColor="text1"/>
          <w:sz w:val="24"/>
          <w:szCs w:val="24"/>
        </w:rPr>
        <w:t xml:space="preserve"> (Accessed: 2</w:t>
      </w:r>
      <w:r>
        <w:rPr>
          <w:rFonts w:ascii="Times New Roman" w:hAnsi="Times New Roman" w:cs="Times New Roman"/>
          <w:color w:val="000000" w:themeColor="text1"/>
          <w:sz w:val="24"/>
          <w:szCs w:val="24"/>
        </w:rPr>
        <w:t>0</w:t>
      </w:r>
      <w:r w:rsidRPr="001C47C9">
        <w:rPr>
          <w:rFonts w:ascii="Times New Roman" w:hAnsi="Times New Roman" w:cs="Times New Roman"/>
          <w:color w:val="000000" w:themeColor="text1"/>
          <w:sz w:val="24"/>
          <w:szCs w:val="24"/>
        </w:rPr>
        <w:t xml:space="preserve"> March 2026).</w:t>
      </w:r>
    </w:p>
    <w:p w14:paraId="7A9259B1"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IRS (2025) </w:t>
      </w:r>
      <w:r w:rsidRPr="001C47C9">
        <w:rPr>
          <w:rStyle w:val="ae"/>
          <w:rFonts w:ascii="Times New Roman" w:hAnsi="Times New Roman" w:cs="Times New Roman"/>
          <w:color w:val="000000" w:themeColor="text1"/>
          <w:sz w:val="24"/>
          <w:szCs w:val="24"/>
        </w:rPr>
        <w:t>Credits for new electric vehicles purchased in 2022 or before</w:t>
      </w:r>
      <w:r w:rsidRPr="001C47C9">
        <w:rPr>
          <w:rFonts w:ascii="Times New Roman" w:hAnsi="Times New Roman" w:cs="Times New Roman"/>
          <w:color w:val="000000" w:themeColor="text1"/>
          <w:sz w:val="24"/>
          <w:szCs w:val="24"/>
        </w:rPr>
        <w:t xml:space="preserve">. Available at: </w:t>
      </w:r>
      <w:hyperlink r:id="rId22" w:tgtFrame="_new" w:history="1">
        <w:r w:rsidRPr="001C47C9">
          <w:rPr>
            <w:rStyle w:val="af"/>
            <w:rFonts w:ascii="Times New Roman" w:hAnsi="Times New Roman" w:cs="Times New Roman"/>
            <w:color w:val="000000" w:themeColor="text1"/>
          </w:rPr>
          <w:t>https://www.irs.gov/credits-deductions/credits-for-new-electric-vehicles-purchased-in-2022-or-before</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17</w:t>
      </w:r>
      <w:r w:rsidRPr="001C47C9">
        <w:rPr>
          <w:rFonts w:ascii="Times New Roman" w:hAnsi="Times New Roman" w:cs="Times New Roman"/>
          <w:color w:val="000000" w:themeColor="text1"/>
          <w:sz w:val="24"/>
          <w:szCs w:val="24"/>
        </w:rPr>
        <w:t xml:space="preserve"> March 2026).</w:t>
      </w:r>
    </w:p>
    <w:p w14:paraId="5B87C95E"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Jennifer, L. (2026) </w:t>
      </w:r>
      <w:r w:rsidRPr="00BD0782">
        <w:rPr>
          <w:rFonts w:ascii="Times New Roman" w:hAnsi="Times New Roman" w:cs="Times New Roman"/>
          <w:i/>
          <w:iCs/>
          <w:color w:val="000000" w:themeColor="text1"/>
          <w:sz w:val="24"/>
          <w:szCs w:val="24"/>
        </w:rPr>
        <w:t>The U.S. EV Supply Chain Race: Where Surge Battery Metals Fits in the National Critical Minerals Strategy.</w:t>
      </w:r>
      <w:r>
        <w:rPr>
          <w:rFonts w:ascii="Times New Roman" w:hAnsi="Times New Roman" w:cs="Times New Roman"/>
          <w:color w:val="000000" w:themeColor="text1"/>
          <w:sz w:val="24"/>
          <w:szCs w:val="24"/>
        </w:rPr>
        <w:t xml:space="preserve"> </w:t>
      </w:r>
      <w:r w:rsidRPr="001C47C9">
        <w:rPr>
          <w:rFonts w:ascii="Times New Roman" w:hAnsi="Times New Roman" w:cs="Times New Roman"/>
          <w:color w:val="000000" w:themeColor="text1"/>
          <w:sz w:val="24"/>
          <w:szCs w:val="24"/>
        </w:rPr>
        <w:t xml:space="preserve">Available at: </w:t>
      </w:r>
      <w:hyperlink r:id="rId23" w:tgtFrame="_new" w:history="1">
        <w:r w:rsidRPr="001C47C9">
          <w:rPr>
            <w:rStyle w:val="af"/>
            <w:rFonts w:ascii="Times New Roman" w:hAnsi="Times New Roman" w:cs="Times New Roman"/>
            <w:color w:val="000000" w:themeColor="text1"/>
          </w:rPr>
          <w:t>https://carboncredits.com/the-u-s-ev-supply-chain-race-where-surge-battery-metals-fits-in-the-national-critical-minerals-strategy-nili/</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19</w:t>
      </w:r>
      <w:r w:rsidRPr="001C47C9">
        <w:rPr>
          <w:rFonts w:ascii="Times New Roman" w:hAnsi="Times New Roman" w:cs="Times New Roman"/>
          <w:color w:val="000000" w:themeColor="text1"/>
          <w:sz w:val="24"/>
          <w:szCs w:val="24"/>
        </w:rPr>
        <w:t xml:space="preserve"> March 2026).</w:t>
      </w:r>
    </w:p>
    <w:p w14:paraId="034514E9"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Koetsier, J. (2019) ‘Tesla Spends Zero On Ads. Here’s Where BMW, Toyota, Ford, and Porsche Spend Digital Ad Dollars’, </w:t>
      </w:r>
      <w:r w:rsidRPr="001C47C9">
        <w:rPr>
          <w:rStyle w:val="ae"/>
          <w:rFonts w:ascii="Times New Roman" w:hAnsi="Times New Roman" w:cs="Times New Roman"/>
          <w:color w:val="000000" w:themeColor="text1"/>
          <w:sz w:val="24"/>
          <w:szCs w:val="24"/>
        </w:rPr>
        <w:t>Forbes</w:t>
      </w:r>
      <w:r w:rsidRPr="001C47C9">
        <w:rPr>
          <w:rFonts w:ascii="Times New Roman" w:hAnsi="Times New Roman" w:cs="Times New Roman"/>
          <w:color w:val="000000" w:themeColor="text1"/>
          <w:sz w:val="24"/>
          <w:szCs w:val="24"/>
        </w:rPr>
        <w:t xml:space="preserve">, 6 May. Available at: </w:t>
      </w:r>
      <w:hyperlink r:id="rId24" w:tgtFrame="_new" w:history="1">
        <w:r w:rsidRPr="001C47C9">
          <w:rPr>
            <w:rStyle w:val="af"/>
            <w:rFonts w:ascii="Times New Roman" w:hAnsi="Times New Roman" w:cs="Times New Roman"/>
            <w:color w:val="000000" w:themeColor="text1"/>
          </w:rPr>
          <w:t>https://www.forbes.com/sites/johnkoetsier/2019/05/06/tesla-spends-zero-on-ads-heres-where-bmw-toyota-ford-and-porsche-spend-digital-ad-dollars/</w:t>
        </w:r>
      </w:hyperlink>
      <w:r w:rsidRPr="001C47C9">
        <w:rPr>
          <w:rFonts w:ascii="Times New Roman" w:hAnsi="Times New Roman" w:cs="Times New Roman"/>
          <w:color w:val="000000" w:themeColor="text1"/>
          <w:sz w:val="24"/>
          <w:szCs w:val="24"/>
        </w:rPr>
        <w:t xml:space="preserve"> (Accessed: 2</w:t>
      </w:r>
      <w:r>
        <w:rPr>
          <w:rFonts w:ascii="Times New Roman" w:hAnsi="Times New Roman" w:cs="Times New Roman"/>
          <w:color w:val="000000" w:themeColor="text1"/>
          <w:sz w:val="24"/>
          <w:szCs w:val="24"/>
        </w:rPr>
        <w:t>1</w:t>
      </w:r>
      <w:r w:rsidRPr="001C47C9">
        <w:rPr>
          <w:rFonts w:ascii="Times New Roman" w:hAnsi="Times New Roman" w:cs="Times New Roman"/>
          <w:color w:val="000000" w:themeColor="text1"/>
          <w:sz w:val="24"/>
          <w:szCs w:val="24"/>
        </w:rPr>
        <w:t xml:space="preserve"> March 2026).</w:t>
      </w:r>
    </w:p>
    <w:p w14:paraId="0C3FE87E"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Kohnová, L. and Salajová, N. (2023) ‘Impact of Industry 4.0 on companies: Value chain model analysis’, </w:t>
      </w:r>
      <w:r w:rsidRPr="001C47C9">
        <w:rPr>
          <w:rStyle w:val="ae"/>
          <w:rFonts w:ascii="Times New Roman" w:hAnsi="Times New Roman" w:cs="Times New Roman"/>
          <w:color w:val="000000" w:themeColor="text1"/>
          <w:sz w:val="24"/>
          <w:szCs w:val="24"/>
        </w:rPr>
        <w:t>Administrative Sciences</w:t>
      </w:r>
      <w:r w:rsidRPr="001C47C9">
        <w:rPr>
          <w:rFonts w:ascii="Times New Roman" w:hAnsi="Times New Roman" w:cs="Times New Roman"/>
          <w:color w:val="000000" w:themeColor="text1"/>
          <w:sz w:val="24"/>
          <w:szCs w:val="24"/>
        </w:rPr>
        <w:t>, 13(2), p. 35. DOI: 10.3390/admsci13020035.</w:t>
      </w:r>
    </w:p>
    <w:p w14:paraId="0AC6E5F2"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Konish, L. (2026) ‘More drivers have $1,000-plus car loan payments. Here’s what buyers can expect in 2026’, </w:t>
      </w:r>
      <w:r w:rsidRPr="001C47C9">
        <w:rPr>
          <w:rStyle w:val="ae"/>
          <w:rFonts w:ascii="Times New Roman" w:eastAsiaTheme="majorEastAsia" w:hAnsi="Times New Roman" w:cs="Times New Roman"/>
          <w:color w:val="000000" w:themeColor="text1"/>
          <w:sz w:val="24"/>
          <w:szCs w:val="24"/>
        </w:rPr>
        <w:t>CNBC</w:t>
      </w:r>
      <w:r w:rsidRPr="001C47C9">
        <w:rPr>
          <w:rFonts w:ascii="Times New Roman" w:hAnsi="Times New Roman" w:cs="Times New Roman"/>
          <w:color w:val="000000" w:themeColor="text1"/>
          <w:sz w:val="24"/>
          <w:szCs w:val="24"/>
        </w:rPr>
        <w:t xml:space="preserve">, 13 January. Available at: </w:t>
      </w:r>
      <w:hyperlink r:id="rId25" w:tgtFrame="_new" w:history="1">
        <w:r w:rsidRPr="001C47C9">
          <w:rPr>
            <w:rStyle w:val="af"/>
            <w:rFonts w:ascii="Times New Roman" w:hAnsi="Times New Roman" w:cs="Times New Roman"/>
            <w:color w:val="000000" w:themeColor="text1"/>
          </w:rPr>
          <w:t>https://www.cnbc.com/2026/01/13/car-loan-payments-top-1000-for-more-drivers.html</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18</w:t>
      </w:r>
      <w:r w:rsidRPr="001C47C9">
        <w:rPr>
          <w:rFonts w:ascii="Times New Roman" w:hAnsi="Times New Roman" w:cs="Times New Roman"/>
          <w:color w:val="000000" w:themeColor="text1"/>
          <w:sz w:val="24"/>
          <w:szCs w:val="24"/>
        </w:rPr>
        <w:t xml:space="preserve"> March 2026).</w:t>
      </w:r>
    </w:p>
    <w:p w14:paraId="0B7039EB"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Kothari, S. (2026) ‘Tesla’s fastest-growing business isn’t cars anymore—or even robots’, </w:t>
      </w:r>
      <w:r w:rsidRPr="001C47C9">
        <w:rPr>
          <w:rStyle w:val="ae"/>
          <w:rFonts w:ascii="Times New Roman" w:hAnsi="Times New Roman" w:cs="Times New Roman"/>
          <w:color w:val="000000" w:themeColor="text1"/>
          <w:sz w:val="24"/>
          <w:szCs w:val="24"/>
        </w:rPr>
        <w:t>InsideEVs</w:t>
      </w:r>
      <w:r w:rsidRPr="001C47C9">
        <w:rPr>
          <w:rFonts w:ascii="Times New Roman" w:hAnsi="Times New Roman" w:cs="Times New Roman"/>
          <w:color w:val="000000" w:themeColor="text1"/>
          <w:sz w:val="24"/>
          <w:szCs w:val="24"/>
        </w:rPr>
        <w:t xml:space="preserve">, 28 January. Available at: </w:t>
      </w:r>
      <w:hyperlink r:id="rId26" w:tgtFrame="_new" w:history="1">
        <w:r w:rsidRPr="001C47C9">
          <w:rPr>
            <w:rStyle w:val="af"/>
            <w:rFonts w:ascii="Times New Roman" w:hAnsi="Times New Roman" w:cs="Times New Roman"/>
            <w:color w:val="000000" w:themeColor="text1"/>
          </w:rPr>
          <w:t>https://insideevs.com/news/785759/tesla-energy-storage-record-deployments/</w:t>
        </w:r>
      </w:hyperlink>
      <w:r w:rsidRPr="001C47C9">
        <w:rPr>
          <w:rFonts w:ascii="Times New Roman" w:hAnsi="Times New Roman" w:cs="Times New Roman"/>
          <w:color w:val="000000" w:themeColor="text1"/>
          <w:sz w:val="24"/>
          <w:szCs w:val="24"/>
        </w:rPr>
        <w:t xml:space="preserve"> (Accessed: 23 March 2026).</w:t>
      </w:r>
    </w:p>
    <w:p w14:paraId="6B6A9BC0"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lastRenderedPageBreak/>
        <w:t xml:space="preserve">Lakhani, N. (2023) ‘Revealed: how US transition to electric cars threatens environmental havoc’, </w:t>
      </w:r>
      <w:r w:rsidRPr="001C47C9">
        <w:rPr>
          <w:rStyle w:val="ae"/>
          <w:rFonts w:ascii="Times New Roman" w:hAnsi="Times New Roman" w:cs="Times New Roman"/>
          <w:color w:val="000000" w:themeColor="text1"/>
          <w:sz w:val="24"/>
          <w:szCs w:val="24"/>
        </w:rPr>
        <w:t>The Guardian</w:t>
      </w:r>
      <w:r w:rsidRPr="001C47C9">
        <w:rPr>
          <w:rFonts w:ascii="Times New Roman" w:hAnsi="Times New Roman" w:cs="Times New Roman"/>
          <w:color w:val="000000" w:themeColor="text1"/>
          <w:sz w:val="24"/>
          <w:szCs w:val="24"/>
        </w:rPr>
        <w:t xml:space="preserve">, 24 January. Available at: </w:t>
      </w:r>
      <w:hyperlink r:id="rId27" w:tgtFrame="_new" w:history="1">
        <w:r w:rsidRPr="001C47C9">
          <w:rPr>
            <w:rStyle w:val="af"/>
            <w:rFonts w:ascii="Times New Roman" w:hAnsi="Times New Roman" w:cs="Times New Roman"/>
            <w:color w:val="000000" w:themeColor="text1"/>
          </w:rPr>
          <w:t>https://www.theguardian.com/us-news/2023/jan/24/us-electric-vehicles-lithium-consequences-research</w:t>
        </w:r>
      </w:hyperlink>
      <w:r w:rsidRPr="001C47C9">
        <w:rPr>
          <w:rFonts w:ascii="Times New Roman" w:hAnsi="Times New Roman" w:cs="Times New Roman"/>
          <w:color w:val="000000" w:themeColor="text1"/>
          <w:sz w:val="24"/>
          <w:szCs w:val="24"/>
        </w:rPr>
        <w:t xml:space="preserve"> (Accessed: 22 March 2026).</w:t>
      </w:r>
    </w:p>
    <w:p w14:paraId="73E61491"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lang w:val="en-AU"/>
        </w:rPr>
      </w:pPr>
      <w:r w:rsidRPr="001C47C9">
        <w:rPr>
          <w:rFonts w:ascii="Times New Roman" w:hAnsi="Times New Roman" w:cs="Times New Roman"/>
          <w:color w:val="000000" w:themeColor="text1"/>
          <w:sz w:val="24"/>
          <w:szCs w:val="24"/>
        </w:rPr>
        <w:t xml:space="preserve">Lambert, F. (2026) ‘Washington opens Tesla’s direct EV sales loophole to Rivian and Lucid’, </w:t>
      </w:r>
      <w:r w:rsidRPr="001C47C9">
        <w:rPr>
          <w:rStyle w:val="ae"/>
          <w:rFonts w:ascii="Times New Roman" w:hAnsi="Times New Roman" w:cs="Times New Roman"/>
          <w:color w:val="000000" w:themeColor="text1"/>
          <w:sz w:val="24"/>
          <w:szCs w:val="24"/>
        </w:rPr>
        <w:t>Electrek</w:t>
      </w:r>
      <w:r w:rsidRPr="001C47C9">
        <w:rPr>
          <w:rFonts w:ascii="Times New Roman" w:hAnsi="Times New Roman" w:cs="Times New Roman"/>
          <w:color w:val="000000" w:themeColor="text1"/>
          <w:sz w:val="24"/>
          <w:szCs w:val="24"/>
        </w:rPr>
        <w:t xml:space="preserve">, 18 March. Available at: </w:t>
      </w:r>
      <w:hyperlink r:id="rId28" w:tgtFrame="_new" w:history="1">
        <w:r w:rsidRPr="001C47C9">
          <w:rPr>
            <w:rStyle w:val="af"/>
            <w:rFonts w:ascii="Times New Roman" w:hAnsi="Times New Roman" w:cs="Times New Roman"/>
            <w:color w:val="000000" w:themeColor="text1"/>
          </w:rPr>
          <w:t>https://electrek.co/2026/03/18/washington-rivian-lucid-direct-ev-sales-tesla-loophole/</w:t>
        </w:r>
      </w:hyperlink>
      <w:r w:rsidRPr="001C47C9">
        <w:rPr>
          <w:rFonts w:ascii="Times New Roman" w:hAnsi="Times New Roman" w:cs="Times New Roman"/>
          <w:color w:val="000000" w:themeColor="text1"/>
          <w:sz w:val="24"/>
          <w:szCs w:val="24"/>
        </w:rPr>
        <w:t xml:space="preserve"> (Accessed: 2</w:t>
      </w:r>
      <w:r>
        <w:rPr>
          <w:rFonts w:ascii="Times New Roman" w:hAnsi="Times New Roman" w:cs="Times New Roman"/>
          <w:color w:val="000000" w:themeColor="text1"/>
          <w:sz w:val="24"/>
          <w:szCs w:val="24"/>
        </w:rPr>
        <w:t>1</w:t>
      </w:r>
      <w:r w:rsidRPr="001C47C9">
        <w:rPr>
          <w:rFonts w:ascii="Times New Roman" w:hAnsi="Times New Roman" w:cs="Times New Roman"/>
          <w:color w:val="000000" w:themeColor="text1"/>
          <w:sz w:val="24"/>
          <w:szCs w:val="24"/>
        </w:rPr>
        <w:t xml:space="preserve"> March 2026).</w:t>
      </w:r>
    </w:p>
    <w:p w14:paraId="5CAFEB18"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Lincoln, A. (2025) ‘Tesla accelerating shift away from China-made components, WSJ reports’, </w:t>
      </w:r>
      <w:r w:rsidRPr="001C47C9">
        <w:rPr>
          <w:rStyle w:val="ae"/>
          <w:rFonts w:ascii="Times New Roman" w:hAnsi="Times New Roman" w:cs="Times New Roman"/>
          <w:color w:val="000000" w:themeColor="text1"/>
          <w:sz w:val="24"/>
          <w:szCs w:val="24"/>
        </w:rPr>
        <w:t>CBT News</w:t>
      </w:r>
      <w:r w:rsidRPr="001C47C9">
        <w:rPr>
          <w:rFonts w:ascii="Times New Roman" w:hAnsi="Times New Roman" w:cs="Times New Roman"/>
          <w:color w:val="000000" w:themeColor="text1"/>
          <w:sz w:val="24"/>
          <w:szCs w:val="24"/>
        </w:rPr>
        <w:t xml:space="preserve">, 17 November. Available at: </w:t>
      </w:r>
      <w:hyperlink r:id="rId29" w:tgtFrame="_new" w:history="1">
        <w:r w:rsidRPr="001C47C9">
          <w:rPr>
            <w:rStyle w:val="af"/>
            <w:rFonts w:ascii="Times New Roman" w:hAnsi="Times New Roman" w:cs="Times New Roman"/>
            <w:color w:val="000000" w:themeColor="text1"/>
          </w:rPr>
          <w:t>https://www.cbtnews.com/tesla-accelerating-shift-away-from-china-made-components-wsj-reports/</w:t>
        </w:r>
      </w:hyperlink>
      <w:r w:rsidRPr="001C47C9">
        <w:rPr>
          <w:rFonts w:ascii="Times New Roman" w:hAnsi="Times New Roman" w:cs="Times New Roman"/>
          <w:color w:val="000000" w:themeColor="text1"/>
          <w:sz w:val="24"/>
          <w:szCs w:val="24"/>
        </w:rPr>
        <w:t xml:space="preserve"> (Accessed: 22 March 2026).</w:t>
      </w:r>
    </w:p>
    <w:p w14:paraId="63DAF1A0"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Muratori, M., Ledna, C., Jadun, P., Hoehne, C., Yip, A. and Podkaminer, K. (2025) ‘Electrification pathways for U.S. passenger vehicles’, </w:t>
      </w:r>
      <w:r w:rsidRPr="001C47C9">
        <w:rPr>
          <w:rStyle w:val="ae"/>
          <w:rFonts w:ascii="Times New Roman" w:hAnsi="Times New Roman" w:cs="Times New Roman"/>
          <w:color w:val="000000" w:themeColor="text1"/>
          <w:sz w:val="24"/>
          <w:szCs w:val="24"/>
        </w:rPr>
        <w:t>npj Sustainable Mobility and Transport</w:t>
      </w:r>
      <w:r w:rsidRPr="001C47C9">
        <w:rPr>
          <w:rFonts w:ascii="Times New Roman" w:hAnsi="Times New Roman" w:cs="Times New Roman"/>
          <w:color w:val="000000" w:themeColor="text1"/>
          <w:sz w:val="24"/>
          <w:szCs w:val="24"/>
        </w:rPr>
        <w:t>, 2, p. 33. DOI: 10.1038/s44333-025-00052-6.</w:t>
      </w:r>
    </w:p>
    <w:p w14:paraId="61747545"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National Bureau of Economic Research (2025) </w:t>
      </w:r>
      <w:r w:rsidRPr="001C47C9">
        <w:rPr>
          <w:rStyle w:val="ae"/>
          <w:rFonts w:ascii="Times New Roman" w:hAnsi="Times New Roman" w:cs="Times New Roman"/>
          <w:color w:val="000000" w:themeColor="text1"/>
          <w:sz w:val="24"/>
          <w:szCs w:val="24"/>
        </w:rPr>
        <w:t>The Inflation Reduction Act and the Electric Vehicle Market</w:t>
      </w:r>
      <w:r w:rsidRPr="001C47C9">
        <w:rPr>
          <w:rFonts w:ascii="Times New Roman" w:hAnsi="Times New Roman" w:cs="Times New Roman"/>
          <w:color w:val="000000" w:themeColor="text1"/>
          <w:sz w:val="24"/>
          <w:szCs w:val="24"/>
        </w:rPr>
        <w:t xml:space="preserve">. Available at: </w:t>
      </w:r>
      <w:hyperlink r:id="rId30" w:tgtFrame="_new" w:history="1">
        <w:r w:rsidRPr="001C47C9">
          <w:rPr>
            <w:rStyle w:val="af"/>
            <w:rFonts w:ascii="Times New Roman" w:hAnsi="Times New Roman" w:cs="Times New Roman"/>
            <w:color w:val="000000" w:themeColor="text1"/>
          </w:rPr>
          <w:t>https://www.nber.org/digest/202501/inflation-reduction-act-and-electric-vehicle-market?page=1&amp;perPage=50</w:t>
        </w:r>
      </w:hyperlink>
      <w:r w:rsidRPr="001C47C9">
        <w:rPr>
          <w:rFonts w:ascii="Times New Roman" w:hAnsi="Times New Roman" w:cs="Times New Roman"/>
          <w:color w:val="000000" w:themeColor="text1"/>
          <w:sz w:val="24"/>
          <w:szCs w:val="24"/>
        </w:rPr>
        <w:t xml:space="preserve"> (Accessed: 22 March 2026).</w:t>
      </w:r>
    </w:p>
    <w:p w14:paraId="4BC3B25B"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Qin, K. (2023) ‘Analysis of Tesla’s innovation strategy and influence of leadership’, </w:t>
      </w:r>
      <w:r w:rsidRPr="001C47C9">
        <w:rPr>
          <w:rStyle w:val="ae"/>
          <w:rFonts w:ascii="Times New Roman" w:hAnsi="Times New Roman" w:cs="Times New Roman"/>
          <w:color w:val="000000" w:themeColor="text1"/>
          <w:sz w:val="24"/>
          <w:szCs w:val="24"/>
        </w:rPr>
        <w:t>Advances in Economics, Business and Management Research</w:t>
      </w:r>
      <w:r w:rsidRPr="001C47C9">
        <w:rPr>
          <w:rFonts w:ascii="Times New Roman" w:hAnsi="Times New Roman" w:cs="Times New Roman"/>
          <w:color w:val="000000" w:themeColor="text1"/>
          <w:sz w:val="24"/>
          <w:szCs w:val="24"/>
        </w:rPr>
        <w:t>, pp. 228–238. DOI: 10.2991/978-94-6463-054-1_26.</w:t>
      </w:r>
    </w:p>
    <w:p w14:paraId="2D9E222E"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Reiff, N. (2026) ‘Car payments just reached a new high—even with loan rates at a 3-year low’, </w:t>
      </w:r>
      <w:r w:rsidRPr="001C47C9">
        <w:rPr>
          <w:rStyle w:val="ae"/>
          <w:rFonts w:ascii="Times New Roman" w:hAnsi="Times New Roman" w:cs="Times New Roman"/>
          <w:color w:val="000000" w:themeColor="text1"/>
          <w:sz w:val="24"/>
          <w:szCs w:val="24"/>
        </w:rPr>
        <w:t>MSN</w:t>
      </w:r>
      <w:r w:rsidRPr="001C47C9">
        <w:rPr>
          <w:rFonts w:ascii="Times New Roman" w:hAnsi="Times New Roman" w:cs="Times New Roman"/>
          <w:color w:val="000000" w:themeColor="text1"/>
          <w:sz w:val="24"/>
          <w:szCs w:val="24"/>
        </w:rPr>
        <w:t xml:space="preserve">. Available at: </w:t>
      </w:r>
      <w:hyperlink r:id="rId31" w:tgtFrame="_new" w:history="1">
        <w:r w:rsidRPr="001C47C9">
          <w:rPr>
            <w:rStyle w:val="af"/>
            <w:rFonts w:ascii="Times New Roman" w:hAnsi="Times New Roman" w:cs="Times New Roman"/>
            <w:color w:val="000000" w:themeColor="text1"/>
          </w:rPr>
          <w:t>https://www.msn.com/en-us/autos/buying/car-payments-just-reached-a-new-high-even-with-loan-rates-at-a-3-year-low/ar-AA1USBth?ocid=BingNewsVerp</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18</w:t>
      </w:r>
      <w:r w:rsidRPr="001C47C9">
        <w:rPr>
          <w:rFonts w:ascii="Times New Roman" w:hAnsi="Times New Roman" w:cs="Times New Roman"/>
          <w:color w:val="000000" w:themeColor="text1"/>
          <w:sz w:val="24"/>
          <w:szCs w:val="24"/>
        </w:rPr>
        <w:t xml:space="preserve"> March 2026).</w:t>
      </w:r>
    </w:p>
    <w:p w14:paraId="2691FF60"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Roy, A. and Sriram, A. (2025) ‘Tesla earnings in focus as cheaper models raise questions about profitability’, </w:t>
      </w:r>
      <w:r w:rsidRPr="001C47C9">
        <w:rPr>
          <w:rStyle w:val="ae"/>
          <w:rFonts w:ascii="Times New Roman" w:hAnsi="Times New Roman" w:cs="Times New Roman"/>
          <w:color w:val="000000" w:themeColor="text1"/>
          <w:sz w:val="24"/>
          <w:szCs w:val="24"/>
        </w:rPr>
        <w:t>USA Today</w:t>
      </w:r>
      <w:r w:rsidRPr="001C47C9">
        <w:rPr>
          <w:rFonts w:ascii="Times New Roman" w:hAnsi="Times New Roman" w:cs="Times New Roman"/>
          <w:color w:val="000000" w:themeColor="text1"/>
          <w:sz w:val="24"/>
          <w:szCs w:val="24"/>
        </w:rPr>
        <w:t xml:space="preserve">, 21 October. Available at: </w:t>
      </w:r>
      <w:hyperlink r:id="rId32" w:tgtFrame="_new" w:history="1">
        <w:r w:rsidRPr="001C47C9">
          <w:rPr>
            <w:rStyle w:val="af"/>
            <w:rFonts w:ascii="Times New Roman" w:hAnsi="Times New Roman" w:cs="Times New Roman"/>
            <w:color w:val="000000" w:themeColor="text1"/>
          </w:rPr>
          <w:t>https://www.usatoday.com/story/cars/news/2025/10/21/tesla-earnings-price-cuts-profit-margins/86814210007/</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18</w:t>
      </w:r>
      <w:r w:rsidRPr="001C47C9">
        <w:rPr>
          <w:rFonts w:ascii="Times New Roman" w:hAnsi="Times New Roman" w:cs="Times New Roman"/>
          <w:color w:val="000000" w:themeColor="text1"/>
          <w:sz w:val="24"/>
          <w:szCs w:val="24"/>
        </w:rPr>
        <w:t xml:space="preserve"> March 2026).</w:t>
      </w:r>
    </w:p>
    <w:p w14:paraId="49FED659"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Tesla (2019) ‘Tesla completes acquisition of Maxwell Technologies’, </w:t>
      </w:r>
      <w:r w:rsidRPr="001C47C9">
        <w:rPr>
          <w:rStyle w:val="ae"/>
          <w:rFonts w:ascii="Times New Roman" w:eastAsiaTheme="majorEastAsia" w:hAnsi="Times New Roman" w:cs="Times New Roman"/>
          <w:color w:val="000000" w:themeColor="text1"/>
          <w:sz w:val="24"/>
          <w:szCs w:val="24"/>
        </w:rPr>
        <w:t>GlobeNewswire</w:t>
      </w:r>
      <w:r w:rsidRPr="001C47C9">
        <w:rPr>
          <w:rFonts w:ascii="Times New Roman" w:hAnsi="Times New Roman" w:cs="Times New Roman"/>
          <w:color w:val="000000" w:themeColor="text1"/>
          <w:sz w:val="24"/>
          <w:szCs w:val="24"/>
        </w:rPr>
        <w:t xml:space="preserve">, 16 May. Available at: </w:t>
      </w:r>
      <w:hyperlink r:id="rId33" w:tgtFrame="_new" w:history="1">
        <w:r w:rsidRPr="001C47C9">
          <w:rPr>
            <w:rStyle w:val="af"/>
            <w:rFonts w:ascii="Times New Roman" w:hAnsi="Times New Roman" w:cs="Times New Roman"/>
            <w:color w:val="000000" w:themeColor="text1"/>
          </w:rPr>
          <w:t>https://ir.tesla.com/press-release/tesla-completes-acquisition-maxwell-technologies</w:t>
        </w:r>
      </w:hyperlink>
      <w:r w:rsidRPr="001C47C9">
        <w:rPr>
          <w:rFonts w:ascii="Times New Roman" w:hAnsi="Times New Roman" w:cs="Times New Roman"/>
          <w:color w:val="000000" w:themeColor="text1"/>
          <w:sz w:val="24"/>
          <w:szCs w:val="24"/>
        </w:rPr>
        <w:t xml:space="preserve"> (Accessed: 23 March 2026).</w:t>
      </w:r>
    </w:p>
    <w:p w14:paraId="5071F151"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lastRenderedPageBreak/>
        <w:t xml:space="preserve">Tesla (2024) </w:t>
      </w:r>
      <w:r w:rsidRPr="001C47C9">
        <w:rPr>
          <w:rStyle w:val="ae"/>
          <w:rFonts w:ascii="Times New Roman" w:hAnsi="Times New Roman" w:cs="Times New Roman"/>
          <w:color w:val="000000" w:themeColor="text1"/>
          <w:sz w:val="24"/>
          <w:szCs w:val="24"/>
        </w:rPr>
        <w:t>Impact Report</w:t>
      </w:r>
      <w:r w:rsidRPr="001C47C9">
        <w:rPr>
          <w:rFonts w:ascii="Times New Roman" w:hAnsi="Times New Roman" w:cs="Times New Roman"/>
          <w:color w:val="000000" w:themeColor="text1"/>
          <w:sz w:val="24"/>
          <w:szCs w:val="24"/>
        </w:rPr>
        <w:t xml:space="preserve">. Available at: </w:t>
      </w:r>
      <w:hyperlink r:id="rId34" w:tgtFrame="_new" w:history="1">
        <w:r w:rsidRPr="001C47C9">
          <w:rPr>
            <w:rStyle w:val="af"/>
            <w:rFonts w:ascii="Times New Roman" w:hAnsi="Times New Roman" w:cs="Times New Roman"/>
            <w:color w:val="000000" w:themeColor="text1"/>
          </w:rPr>
          <w:t>https://www.tesla.com/ns_videos/2024-tesla-impact-report-highlights.pdf</w:t>
        </w:r>
      </w:hyperlink>
      <w:r w:rsidRPr="001C47C9">
        <w:rPr>
          <w:rFonts w:ascii="Times New Roman" w:hAnsi="Times New Roman" w:cs="Times New Roman"/>
          <w:color w:val="000000" w:themeColor="text1"/>
          <w:sz w:val="24"/>
          <w:szCs w:val="24"/>
        </w:rPr>
        <w:t xml:space="preserve"> (Accessed: </w:t>
      </w:r>
      <w:r>
        <w:rPr>
          <w:rFonts w:ascii="Times New Roman" w:hAnsi="Times New Roman" w:cs="Times New Roman"/>
          <w:color w:val="000000" w:themeColor="text1"/>
          <w:sz w:val="24"/>
          <w:szCs w:val="24"/>
        </w:rPr>
        <w:t>16</w:t>
      </w:r>
      <w:r w:rsidRPr="001C47C9">
        <w:rPr>
          <w:rFonts w:ascii="Times New Roman" w:hAnsi="Times New Roman" w:cs="Times New Roman"/>
          <w:color w:val="000000" w:themeColor="text1"/>
          <w:sz w:val="24"/>
          <w:szCs w:val="24"/>
        </w:rPr>
        <w:t xml:space="preserve"> March 2026).</w:t>
      </w:r>
    </w:p>
    <w:p w14:paraId="3E439A3A"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Tesla (2026) </w:t>
      </w:r>
      <w:r w:rsidRPr="001C47C9">
        <w:rPr>
          <w:rStyle w:val="ae"/>
          <w:rFonts w:ascii="Times New Roman" w:hAnsi="Times New Roman" w:cs="Times New Roman"/>
          <w:color w:val="000000" w:themeColor="text1"/>
          <w:sz w:val="24"/>
          <w:szCs w:val="24"/>
        </w:rPr>
        <w:t>Software Updates</w:t>
      </w:r>
      <w:r w:rsidRPr="001C47C9">
        <w:rPr>
          <w:rFonts w:ascii="Times New Roman" w:hAnsi="Times New Roman" w:cs="Times New Roman"/>
          <w:color w:val="000000" w:themeColor="text1"/>
          <w:sz w:val="24"/>
          <w:szCs w:val="24"/>
        </w:rPr>
        <w:t xml:space="preserve">. Available at: </w:t>
      </w:r>
      <w:hyperlink r:id="rId35" w:tgtFrame="_new" w:history="1">
        <w:r w:rsidRPr="001C47C9">
          <w:rPr>
            <w:rStyle w:val="af"/>
            <w:rFonts w:ascii="Times New Roman" w:hAnsi="Times New Roman" w:cs="Times New Roman"/>
            <w:color w:val="000000" w:themeColor="text1"/>
          </w:rPr>
          <w:t>https://www.tesla.com/support/software-updates</w:t>
        </w:r>
      </w:hyperlink>
      <w:r w:rsidRPr="001C47C9">
        <w:rPr>
          <w:rFonts w:ascii="Times New Roman" w:hAnsi="Times New Roman" w:cs="Times New Roman"/>
          <w:color w:val="000000" w:themeColor="text1"/>
          <w:sz w:val="24"/>
          <w:szCs w:val="24"/>
        </w:rPr>
        <w:t xml:space="preserve"> (Accessed: 22 March 2026).</w:t>
      </w:r>
    </w:p>
    <w:p w14:paraId="428068D4"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Weber, P. (2023) ‘How Tesla’s direct sales model is roiling the car dealership industry’, </w:t>
      </w:r>
      <w:r w:rsidRPr="001C47C9">
        <w:rPr>
          <w:rStyle w:val="ae"/>
          <w:rFonts w:ascii="Times New Roman" w:hAnsi="Times New Roman" w:cs="Times New Roman"/>
          <w:color w:val="000000" w:themeColor="text1"/>
          <w:sz w:val="24"/>
          <w:szCs w:val="24"/>
        </w:rPr>
        <w:t>The Week US</w:t>
      </w:r>
      <w:r w:rsidRPr="001C47C9">
        <w:rPr>
          <w:rFonts w:ascii="Times New Roman" w:hAnsi="Times New Roman" w:cs="Times New Roman"/>
          <w:color w:val="000000" w:themeColor="text1"/>
          <w:sz w:val="24"/>
          <w:szCs w:val="24"/>
        </w:rPr>
        <w:t xml:space="preserve">, 21 June. Available at: </w:t>
      </w:r>
      <w:hyperlink r:id="rId36" w:tgtFrame="_new" w:history="1">
        <w:r w:rsidRPr="001C47C9">
          <w:rPr>
            <w:rStyle w:val="af"/>
            <w:rFonts w:ascii="Times New Roman" w:hAnsi="Times New Roman" w:cs="Times New Roman"/>
            <w:color w:val="000000" w:themeColor="text1"/>
          </w:rPr>
          <w:t>https://theweek.com/us/1024416/tesla-vs-car-dealerships</w:t>
        </w:r>
      </w:hyperlink>
      <w:r w:rsidRPr="001C47C9">
        <w:rPr>
          <w:rFonts w:ascii="Times New Roman" w:hAnsi="Times New Roman" w:cs="Times New Roman"/>
          <w:color w:val="000000" w:themeColor="text1"/>
          <w:sz w:val="24"/>
          <w:szCs w:val="24"/>
        </w:rPr>
        <w:t xml:space="preserve"> (Accessed: 2</w:t>
      </w:r>
      <w:r>
        <w:rPr>
          <w:rFonts w:ascii="Times New Roman" w:hAnsi="Times New Roman" w:cs="Times New Roman"/>
          <w:color w:val="000000" w:themeColor="text1"/>
          <w:sz w:val="24"/>
          <w:szCs w:val="24"/>
        </w:rPr>
        <w:t>0</w:t>
      </w:r>
      <w:r w:rsidRPr="001C47C9">
        <w:rPr>
          <w:rFonts w:ascii="Times New Roman" w:hAnsi="Times New Roman" w:cs="Times New Roman"/>
          <w:color w:val="000000" w:themeColor="text1"/>
          <w:sz w:val="24"/>
          <w:szCs w:val="24"/>
        </w:rPr>
        <w:t xml:space="preserve"> March 2026).</w:t>
      </w:r>
    </w:p>
    <w:p w14:paraId="53426AFA"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White, E. (2026) ‘U.S. Safety Regulators Open Another Tesla Full-Self Driving Investigation’, </w:t>
      </w:r>
      <w:r w:rsidRPr="001C47C9">
        <w:rPr>
          <w:rStyle w:val="ae"/>
          <w:rFonts w:ascii="Times New Roman" w:hAnsi="Times New Roman" w:cs="Times New Roman"/>
          <w:color w:val="000000" w:themeColor="text1"/>
          <w:sz w:val="24"/>
          <w:szCs w:val="24"/>
        </w:rPr>
        <w:t>Road &amp; Track</w:t>
      </w:r>
      <w:r w:rsidRPr="001C47C9">
        <w:rPr>
          <w:rFonts w:ascii="Times New Roman" w:hAnsi="Times New Roman" w:cs="Times New Roman"/>
          <w:color w:val="000000" w:themeColor="text1"/>
          <w:sz w:val="24"/>
          <w:szCs w:val="24"/>
        </w:rPr>
        <w:t xml:space="preserve">, 19 March. Available at: </w:t>
      </w:r>
      <w:hyperlink r:id="rId37" w:tgtFrame="_new" w:history="1">
        <w:r w:rsidRPr="001C47C9">
          <w:rPr>
            <w:rStyle w:val="af"/>
            <w:rFonts w:ascii="Times New Roman" w:hAnsi="Times New Roman" w:cs="Times New Roman"/>
            <w:color w:val="000000" w:themeColor="text1"/>
          </w:rPr>
          <w:t>https://www.roadandtrack.com/news/a70791560/nhtsa-another-tesla-full-self-driving-federal-investigation/</w:t>
        </w:r>
      </w:hyperlink>
      <w:r w:rsidRPr="001C47C9">
        <w:rPr>
          <w:rFonts w:ascii="Times New Roman" w:hAnsi="Times New Roman" w:cs="Times New Roman"/>
          <w:color w:val="000000" w:themeColor="text1"/>
          <w:sz w:val="24"/>
          <w:szCs w:val="24"/>
        </w:rPr>
        <w:t xml:space="preserve"> (Accessed: 22 March 2026).</w:t>
      </w:r>
    </w:p>
    <w:p w14:paraId="360ECA1E"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Zadeh, J. (2025) ‘Tesla and LGES Sign $4.3 Billion Battery Deal’, </w:t>
      </w:r>
      <w:r w:rsidRPr="001C47C9">
        <w:rPr>
          <w:rStyle w:val="ae"/>
          <w:rFonts w:ascii="Times New Roman" w:hAnsi="Times New Roman" w:cs="Times New Roman"/>
          <w:color w:val="000000" w:themeColor="text1"/>
          <w:sz w:val="24"/>
          <w:szCs w:val="24"/>
        </w:rPr>
        <w:t>Discovery Alert</w:t>
      </w:r>
      <w:r w:rsidRPr="001C47C9">
        <w:rPr>
          <w:rFonts w:ascii="Times New Roman" w:hAnsi="Times New Roman" w:cs="Times New Roman"/>
          <w:color w:val="000000" w:themeColor="text1"/>
          <w:sz w:val="24"/>
          <w:szCs w:val="24"/>
        </w:rPr>
        <w:t xml:space="preserve">, 1 August. Available at: </w:t>
      </w:r>
      <w:hyperlink r:id="rId38" w:tgtFrame="_new" w:history="1">
        <w:r w:rsidRPr="001C47C9">
          <w:rPr>
            <w:rStyle w:val="af"/>
            <w:rFonts w:ascii="Times New Roman" w:hAnsi="Times New Roman" w:cs="Times New Roman"/>
            <w:color w:val="000000" w:themeColor="text1"/>
          </w:rPr>
          <w:t>https://discoveryalert.com.au/tesla-lg-energy-4-3-billion-battery-deal-2025/</w:t>
        </w:r>
      </w:hyperlink>
      <w:r w:rsidRPr="001C47C9">
        <w:rPr>
          <w:rFonts w:ascii="Times New Roman" w:hAnsi="Times New Roman" w:cs="Times New Roman"/>
          <w:color w:val="000000" w:themeColor="text1"/>
          <w:sz w:val="24"/>
          <w:szCs w:val="24"/>
        </w:rPr>
        <w:t xml:space="preserve"> (Accessed: 2</w:t>
      </w:r>
      <w:r>
        <w:rPr>
          <w:rFonts w:ascii="Times New Roman" w:hAnsi="Times New Roman" w:cs="Times New Roman"/>
          <w:color w:val="000000" w:themeColor="text1"/>
          <w:sz w:val="24"/>
          <w:szCs w:val="24"/>
        </w:rPr>
        <w:t>1</w:t>
      </w:r>
      <w:r w:rsidRPr="001C47C9">
        <w:rPr>
          <w:rFonts w:ascii="Times New Roman" w:hAnsi="Times New Roman" w:cs="Times New Roman"/>
          <w:color w:val="000000" w:themeColor="text1"/>
          <w:sz w:val="24"/>
          <w:szCs w:val="24"/>
        </w:rPr>
        <w:t xml:space="preserve"> March 2026).</w:t>
      </w:r>
    </w:p>
    <w:p w14:paraId="706CBDCF"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 xml:space="preserve">Zima, K., Gil-Mastalerczyk, J. and Proskuryakov, V. (2025) ‘A SWOT/TOWS analysis of inventory methods for buildings damaged or might be damaged’, </w:t>
      </w:r>
      <w:r w:rsidRPr="001C47C9">
        <w:rPr>
          <w:rStyle w:val="ae"/>
          <w:rFonts w:ascii="Times New Roman" w:hAnsi="Times New Roman" w:cs="Times New Roman"/>
          <w:color w:val="000000" w:themeColor="text1"/>
          <w:sz w:val="24"/>
          <w:szCs w:val="24"/>
        </w:rPr>
        <w:t>Buildings</w:t>
      </w:r>
      <w:r w:rsidRPr="001C47C9">
        <w:rPr>
          <w:rFonts w:ascii="Times New Roman" w:hAnsi="Times New Roman" w:cs="Times New Roman"/>
          <w:color w:val="000000" w:themeColor="text1"/>
          <w:sz w:val="24"/>
          <w:szCs w:val="24"/>
        </w:rPr>
        <w:t>, 15(21), p. 3971. DOI: 10.3390/buildings15213971.</w:t>
      </w:r>
    </w:p>
    <w:p w14:paraId="16BA9108"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br w:type="page"/>
      </w:r>
    </w:p>
    <w:p w14:paraId="0E5AA9DD" w14:textId="77777777" w:rsidR="007D2C07" w:rsidRPr="001C47C9" w:rsidRDefault="007D2C07" w:rsidP="007D2C07">
      <w:pPr>
        <w:pStyle w:val="1"/>
        <w:rPr>
          <w:rFonts w:hint="eastAsia"/>
          <w:color w:val="000000" w:themeColor="text1"/>
        </w:rPr>
      </w:pPr>
      <w:bookmarkStart w:id="20" w:name="_Toc225283213"/>
      <w:r w:rsidRPr="001C47C9">
        <w:rPr>
          <w:color w:val="000000" w:themeColor="text1"/>
        </w:rPr>
        <w:lastRenderedPageBreak/>
        <w:t>Appendices</w:t>
      </w:r>
      <w:bookmarkEnd w:id="20"/>
    </w:p>
    <w:p w14:paraId="4733417A" w14:textId="77777777" w:rsidR="007D2C07" w:rsidRPr="001C47C9" w:rsidRDefault="007D2C07" w:rsidP="007D2C07">
      <w:pPr>
        <w:pStyle w:val="2"/>
        <w:rPr>
          <w:rFonts w:hint="eastAsia"/>
          <w:color w:val="000000" w:themeColor="text1"/>
        </w:rPr>
      </w:pPr>
      <w:bookmarkStart w:id="21" w:name="_Toc225283214"/>
      <w:r w:rsidRPr="001C47C9">
        <w:rPr>
          <w:color w:val="000000" w:themeColor="text1"/>
        </w:rPr>
        <w:t>Appendix 1: PESTLE Analysis</w:t>
      </w:r>
      <w:bookmarkEnd w:id="21"/>
    </w:p>
    <w:p w14:paraId="1463B605" w14:textId="77777777" w:rsidR="007D2C07" w:rsidRPr="001C47C9" w:rsidRDefault="007D2C07" w:rsidP="007D2C07">
      <w:pPr>
        <w:spacing w:before="120" w:after="240" w:line="360" w:lineRule="auto"/>
        <w:jc w:val="center"/>
        <w:rPr>
          <w:rFonts w:ascii="Times New Roman" w:eastAsia="Times New Roman" w:hAnsi="Times New Roman" w:cs="Times New Roman"/>
          <w:b/>
          <w:color w:val="000000" w:themeColor="text1"/>
          <w:sz w:val="24"/>
          <w:szCs w:val="24"/>
          <w:lang w:val="en-AU" w:eastAsia="en-AU"/>
        </w:rPr>
      </w:pPr>
      <w:r w:rsidRPr="001C47C9">
        <w:rPr>
          <w:rFonts w:ascii="Times New Roman" w:eastAsia="Times New Roman" w:hAnsi="Times New Roman" w:cs="Times New Roman"/>
          <w:b/>
          <w:color w:val="000000" w:themeColor="text1"/>
          <w:sz w:val="24"/>
          <w:szCs w:val="24"/>
          <w:lang w:val="en-AU" w:eastAsia="en-AU"/>
        </w:rPr>
        <w:t>Table 1: PESTLE for Tesla (U.S.A.)</w:t>
      </w:r>
    </w:p>
    <w:tbl>
      <w:tblPr>
        <w:tblStyle w:val="af1"/>
        <w:tblW w:w="0" w:type="auto"/>
        <w:tblLook w:val="04A0" w:firstRow="1" w:lastRow="0" w:firstColumn="1" w:lastColumn="0" w:noHBand="0" w:noVBand="1"/>
      </w:tblPr>
      <w:tblGrid>
        <w:gridCol w:w="1763"/>
        <w:gridCol w:w="7253"/>
      </w:tblGrid>
      <w:tr w:rsidR="007D2C07" w:rsidRPr="001C47C9" w14:paraId="11E4C6AB" w14:textId="77777777" w:rsidTr="00992246">
        <w:tc>
          <w:tcPr>
            <w:tcW w:w="0" w:type="auto"/>
            <w:hideMark/>
          </w:tcPr>
          <w:p w14:paraId="504AA958"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Factor</w:t>
            </w:r>
          </w:p>
        </w:tc>
        <w:tc>
          <w:tcPr>
            <w:tcW w:w="0" w:type="auto"/>
            <w:hideMark/>
          </w:tcPr>
          <w:p w14:paraId="5B4F7267"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 xml:space="preserve">Key Points </w:t>
            </w:r>
          </w:p>
        </w:tc>
      </w:tr>
      <w:tr w:rsidR="007D2C07" w:rsidRPr="001C47C9" w14:paraId="2E241A27" w14:textId="77777777" w:rsidTr="00992246">
        <w:tc>
          <w:tcPr>
            <w:tcW w:w="0" w:type="auto"/>
            <w:hideMark/>
          </w:tcPr>
          <w:p w14:paraId="10A63B28"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Political</w:t>
            </w:r>
          </w:p>
        </w:tc>
        <w:tc>
          <w:tcPr>
            <w:tcW w:w="0" w:type="auto"/>
            <w:hideMark/>
          </w:tcPr>
          <w:p w14:paraId="54382760" w14:textId="77777777" w:rsidR="007D2C07" w:rsidRPr="001C47C9" w:rsidRDefault="007D2C07" w:rsidP="007D2C07">
            <w:pPr>
              <w:pStyle w:val="a9"/>
              <w:numPr>
                <w:ilvl w:val="0"/>
                <w:numId w:val="1"/>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US government EV incentives (e.g., Inflation Reduction Act tax credits up to $7,500) (IRS, 2025) </w:t>
            </w:r>
          </w:p>
          <w:p w14:paraId="094B7069" w14:textId="77777777" w:rsidR="007D2C07" w:rsidRPr="001C47C9" w:rsidRDefault="007D2C07" w:rsidP="007D2C07">
            <w:pPr>
              <w:pStyle w:val="a9"/>
              <w:numPr>
                <w:ilvl w:val="0"/>
                <w:numId w:val="1"/>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Trade tensions (US-China) impact Tesla’s Shanghai operations and supply chain exposure (Lincoln, 2025)</w:t>
            </w:r>
          </w:p>
        </w:tc>
      </w:tr>
      <w:tr w:rsidR="007D2C07" w:rsidRPr="001C47C9" w14:paraId="53F1CAE7" w14:textId="77777777" w:rsidTr="00992246">
        <w:tc>
          <w:tcPr>
            <w:tcW w:w="0" w:type="auto"/>
            <w:hideMark/>
          </w:tcPr>
          <w:p w14:paraId="3A0C11E0"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Economic</w:t>
            </w:r>
          </w:p>
        </w:tc>
        <w:tc>
          <w:tcPr>
            <w:tcW w:w="0" w:type="auto"/>
            <w:hideMark/>
          </w:tcPr>
          <w:p w14:paraId="7C1691B1" w14:textId="77777777" w:rsidR="007D2C07" w:rsidRPr="001C47C9" w:rsidRDefault="007D2C07" w:rsidP="007D2C07">
            <w:pPr>
              <w:pStyle w:val="a9"/>
              <w:numPr>
                <w:ilvl w:val="0"/>
                <w:numId w:val="4"/>
              </w:numPr>
              <w:spacing w:before="120" w:after="240" w:line="360" w:lineRule="auto"/>
              <w:contextualSpacing w:val="0"/>
              <w:jc w:val="both"/>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US Federal Reserve interest rates remain elevated at 3.50%-3.75% (2025-2026) (Cox, 2026)</w:t>
            </w:r>
          </w:p>
          <w:p w14:paraId="08E032E8" w14:textId="77777777" w:rsidR="007D2C07" w:rsidRPr="001C47C9" w:rsidRDefault="007D2C07" w:rsidP="007D2C07">
            <w:pPr>
              <w:pStyle w:val="a9"/>
              <w:numPr>
                <w:ilvl w:val="0"/>
                <w:numId w:val="4"/>
              </w:numPr>
              <w:spacing w:before="120" w:after="240" w:line="360" w:lineRule="auto"/>
              <w:contextualSpacing w:val="0"/>
              <w:jc w:val="both"/>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Average new car loan rates ~6.5%–7% in 2025-2026, significantly higher than pre-pandemic levels (Konish, 2026)</w:t>
            </w:r>
          </w:p>
          <w:p w14:paraId="1C0DAEA6" w14:textId="77777777" w:rsidR="007D2C07" w:rsidRPr="001C47C9" w:rsidRDefault="007D2C07" w:rsidP="007D2C07">
            <w:pPr>
              <w:pStyle w:val="a9"/>
              <w:numPr>
                <w:ilvl w:val="0"/>
                <w:numId w:val="4"/>
              </w:numPr>
              <w:spacing w:before="120" w:after="240" w:line="360" w:lineRule="auto"/>
              <w:contextualSpacing w:val="0"/>
              <w:jc w:val="both"/>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t>Higher financing costs have pushed average monthly car payments to ~$781 in 2025, reducing affordability for consumers (Reiff, 2026)</w:t>
            </w:r>
          </w:p>
        </w:tc>
      </w:tr>
      <w:tr w:rsidR="007D2C07" w:rsidRPr="001C47C9" w14:paraId="31562184" w14:textId="77777777" w:rsidTr="00992246">
        <w:tc>
          <w:tcPr>
            <w:tcW w:w="0" w:type="auto"/>
            <w:hideMark/>
          </w:tcPr>
          <w:p w14:paraId="7E01ED62"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Social</w:t>
            </w:r>
          </w:p>
        </w:tc>
        <w:tc>
          <w:tcPr>
            <w:tcW w:w="0" w:type="auto"/>
            <w:hideMark/>
          </w:tcPr>
          <w:p w14:paraId="2AFCD744" w14:textId="77777777" w:rsidR="007D2C07" w:rsidRPr="001C47C9" w:rsidRDefault="007D2C07" w:rsidP="007D2C07">
            <w:pPr>
              <w:pStyle w:val="a9"/>
              <w:numPr>
                <w:ilvl w:val="0"/>
                <w:numId w:val="1"/>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Growing consumer preference for sustainable transport, with EV adoption increasing globally </w:t>
            </w:r>
            <w:r w:rsidRPr="001C47C9">
              <w:rPr>
                <w:rFonts w:ascii="Times New Roman" w:hAnsi="Times New Roman" w:cs="Times New Roman"/>
                <w:color w:val="000000" w:themeColor="text1"/>
                <w:sz w:val="24"/>
                <w:szCs w:val="24"/>
              </w:rPr>
              <w:t xml:space="preserve">(Muratori </w:t>
            </w:r>
            <w:r w:rsidRPr="00EA3713">
              <w:rPr>
                <w:rFonts w:ascii="Times New Roman" w:hAnsi="Times New Roman" w:cs="Times New Roman"/>
                <w:i/>
                <w:iCs/>
                <w:color w:val="000000" w:themeColor="text1"/>
                <w:sz w:val="24"/>
                <w:szCs w:val="24"/>
              </w:rPr>
              <w:t>et al</w:t>
            </w:r>
            <w:r w:rsidRPr="001C47C9">
              <w:rPr>
                <w:rFonts w:ascii="Times New Roman" w:hAnsi="Times New Roman" w:cs="Times New Roman"/>
                <w:color w:val="000000" w:themeColor="text1"/>
                <w:sz w:val="24"/>
                <w:szCs w:val="24"/>
              </w:rPr>
              <w:t>., 2025</w:t>
            </w:r>
            <w:r w:rsidRPr="001C47C9">
              <w:rPr>
                <w:rFonts w:ascii="Times New Roman" w:eastAsia="Times New Roman" w:hAnsi="Times New Roman" w:cs="Times New Roman"/>
                <w:color w:val="000000" w:themeColor="text1"/>
                <w:sz w:val="24"/>
                <w:szCs w:val="24"/>
                <w:lang w:val="en-AU" w:eastAsia="en-AU"/>
              </w:rPr>
              <w:t xml:space="preserve">) </w:t>
            </w:r>
          </w:p>
          <w:p w14:paraId="40DB1F8C" w14:textId="77777777" w:rsidR="007D2C07" w:rsidRPr="001C47C9" w:rsidRDefault="007D2C07" w:rsidP="007D2C07">
            <w:pPr>
              <w:pStyle w:val="a9"/>
              <w:numPr>
                <w:ilvl w:val="0"/>
                <w:numId w:val="1"/>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Demand volatility due to affordability concerns and range anxiety persists </w:t>
            </w:r>
            <w:r w:rsidRPr="001C47C9">
              <w:rPr>
                <w:rFonts w:ascii="Times New Roman" w:hAnsi="Times New Roman" w:cs="Times New Roman"/>
                <w:color w:val="000000" w:themeColor="text1"/>
                <w:sz w:val="24"/>
                <w:szCs w:val="24"/>
              </w:rPr>
              <w:t xml:space="preserve">(Hertzke </w:t>
            </w:r>
            <w:r w:rsidRPr="00EA3713">
              <w:rPr>
                <w:rFonts w:ascii="Times New Roman" w:hAnsi="Times New Roman" w:cs="Times New Roman"/>
                <w:i/>
                <w:iCs/>
                <w:color w:val="000000" w:themeColor="text1"/>
                <w:sz w:val="24"/>
                <w:szCs w:val="24"/>
              </w:rPr>
              <w:t>et al</w:t>
            </w:r>
            <w:r w:rsidRPr="001C47C9">
              <w:rPr>
                <w:rFonts w:ascii="Times New Roman" w:hAnsi="Times New Roman" w:cs="Times New Roman"/>
                <w:color w:val="000000" w:themeColor="text1"/>
                <w:sz w:val="24"/>
                <w:szCs w:val="24"/>
              </w:rPr>
              <w:t>., 2025)</w:t>
            </w:r>
          </w:p>
        </w:tc>
      </w:tr>
      <w:tr w:rsidR="007D2C07" w:rsidRPr="001C47C9" w14:paraId="0754E22D" w14:textId="77777777" w:rsidTr="00992246">
        <w:tc>
          <w:tcPr>
            <w:tcW w:w="0" w:type="auto"/>
            <w:hideMark/>
          </w:tcPr>
          <w:p w14:paraId="50508EC2"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Technological</w:t>
            </w:r>
          </w:p>
        </w:tc>
        <w:tc>
          <w:tcPr>
            <w:tcW w:w="0" w:type="auto"/>
            <w:hideMark/>
          </w:tcPr>
          <w:p w14:paraId="3D817F18" w14:textId="77777777" w:rsidR="007D2C07" w:rsidRPr="001C47C9" w:rsidRDefault="007D2C07" w:rsidP="007D2C07">
            <w:pPr>
              <w:pStyle w:val="a9"/>
              <w:numPr>
                <w:ilvl w:val="0"/>
                <w:numId w:val="1"/>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Tesla’s competitive edge in battery tech and autonomous driving (Full Self-Driving) </w:t>
            </w:r>
            <w:r w:rsidRPr="001C47C9">
              <w:rPr>
                <w:rFonts w:ascii="Times New Roman" w:hAnsi="Times New Roman" w:cs="Times New Roman"/>
                <w:color w:val="000000" w:themeColor="text1"/>
                <w:sz w:val="24"/>
                <w:szCs w:val="24"/>
              </w:rPr>
              <w:t>(Crothers, 2024)</w:t>
            </w:r>
          </w:p>
          <w:p w14:paraId="2BF594A9" w14:textId="77777777" w:rsidR="007D2C07" w:rsidRPr="001C47C9" w:rsidRDefault="007D2C07" w:rsidP="007D2C07">
            <w:pPr>
              <w:pStyle w:val="a9"/>
              <w:numPr>
                <w:ilvl w:val="0"/>
                <w:numId w:val="1"/>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Rapid innovation cycles require high R&amp;D investment </w:t>
            </w:r>
            <w:r w:rsidRPr="001C47C9">
              <w:rPr>
                <w:rFonts w:ascii="Times New Roman" w:hAnsi="Times New Roman" w:cs="Times New Roman"/>
                <w:color w:val="000000" w:themeColor="text1"/>
                <w:sz w:val="24"/>
                <w:szCs w:val="24"/>
              </w:rPr>
              <w:t>(International Energy Agency, 2020)</w:t>
            </w:r>
          </w:p>
        </w:tc>
      </w:tr>
      <w:tr w:rsidR="007D2C07" w:rsidRPr="001C47C9" w14:paraId="7AF34B83" w14:textId="77777777" w:rsidTr="00992246">
        <w:tc>
          <w:tcPr>
            <w:tcW w:w="0" w:type="auto"/>
            <w:hideMark/>
          </w:tcPr>
          <w:p w14:paraId="5E759676"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lastRenderedPageBreak/>
              <w:t>Environmental</w:t>
            </w:r>
          </w:p>
        </w:tc>
        <w:tc>
          <w:tcPr>
            <w:tcW w:w="0" w:type="auto"/>
            <w:hideMark/>
          </w:tcPr>
          <w:p w14:paraId="601A1CF5" w14:textId="77777777" w:rsidR="007D2C07" w:rsidRPr="001C47C9" w:rsidRDefault="007D2C07" w:rsidP="007D2C07">
            <w:pPr>
              <w:pStyle w:val="a9"/>
              <w:numPr>
                <w:ilvl w:val="0"/>
                <w:numId w:val="1"/>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Strong alignment with decarbonisation goals, as EVs reduce lifecycle emissions vs ICE vehicles </w:t>
            </w:r>
            <w:r w:rsidRPr="001C47C9">
              <w:rPr>
                <w:rFonts w:ascii="Times New Roman" w:hAnsi="Times New Roman" w:cs="Times New Roman"/>
                <w:color w:val="000000" w:themeColor="text1"/>
                <w:sz w:val="24"/>
                <w:szCs w:val="24"/>
              </w:rPr>
              <w:t>(International Energy Agency, 2024a</w:t>
            </w:r>
            <w:r w:rsidRPr="001C47C9">
              <w:rPr>
                <w:rFonts w:ascii="Times New Roman" w:eastAsia="Times New Roman" w:hAnsi="Times New Roman" w:cs="Times New Roman"/>
                <w:color w:val="000000" w:themeColor="text1"/>
                <w:sz w:val="24"/>
                <w:szCs w:val="24"/>
                <w:lang w:val="en-AU" w:eastAsia="en-AU"/>
              </w:rPr>
              <w:t xml:space="preserve">) </w:t>
            </w:r>
          </w:p>
          <w:p w14:paraId="64D5D904" w14:textId="77777777" w:rsidR="007D2C07" w:rsidRPr="001C47C9" w:rsidRDefault="007D2C07" w:rsidP="007D2C07">
            <w:pPr>
              <w:pStyle w:val="a9"/>
              <w:numPr>
                <w:ilvl w:val="0"/>
                <w:numId w:val="1"/>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Criticism over battery production environmental impact (mining, lithium use) </w:t>
            </w:r>
            <w:r w:rsidRPr="001C47C9">
              <w:rPr>
                <w:rFonts w:ascii="Times New Roman" w:hAnsi="Times New Roman" w:cs="Times New Roman"/>
                <w:color w:val="000000" w:themeColor="text1"/>
                <w:sz w:val="24"/>
                <w:szCs w:val="24"/>
              </w:rPr>
              <w:t>(Lakhani, 2023)</w:t>
            </w:r>
          </w:p>
        </w:tc>
      </w:tr>
      <w:tr w:rsidR="007D2C07" w:rsidRPr="001C47C9" w14:paraId="253317B0" w14:textId="77777777" w:rsidTr="00992246">
        <w:tc>
          <w:tcPr>
            <w:tcW w:w="0" w:type="auto"/>
            <w:hideMark/>
          </w:tcPr>
          <w:p w14:paraId="62A4D15B"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Legal</w:t>
            </w:r>
          </w:p>
        </w:tc>
        <w:tc>
          <w:tcPr>
            <w:tcW w:w="0" w:type="auto"/>
            <w:hideMark/>
          </w:tcPr>
          <w:p w14:paraId="68007822" w14:textId="77777777" w:rsidR="007D2C07" w:rsidRPr="001C47C9" w:rsidRDefault="007D2C07" w:rsidP="007D2C07">
            <w:pPr>
              <w:pStyle w:val="a9"/>
              <w:numPr>
                <w:ilvl w:val="0"/>
                <w:numId w:val="1"/>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Increasing regulatory scrutiny on autonomous driving safety (NHTSA investigations into Tesla Autopilot) </w:t>
            </w:r>
            <w:r w:rsidRPr="001C47C9">
              <w:rPr>
                <w:rFonts w:ascii="Times New Roman" w:hAnsi="Times New Roman" w:cs="Times New Roman"/>
                <w:color w:val="000000" w:themeColor="text1"/>
                <w:sz w:val="24"/>
                <w:szCs w:val="24"/>
              </w:rPr>
              <w:t>(White, 2026</w:t>
            </w:r>
            <w:r w:rsidRPr="001C47C9">
              <w:rPr>
                <w:rFonts w:ascii="Times New Roman" w:eastAsia="Times New Roman" w:hAnsi="Times New Roman" w:cs="Times New Roman"/>
                <w:color w:val="000000" w:themeColor="text1"/>
                <w:sz w:val="24"/>
                <w:szCs w:val="24"/>
                <w:lang w:val="en-AU" w:eastAsia="en-AU"/>
              </w:rPr>
              <w:t xml:space="preserve">) </w:t>
            </w:r>
          </w:p>
          <w:p w14:paraId="750D95A7" w14:textId="77777777" w:rsidR="007D2C07" w:rsidRPr="001C47C9" w:rsidRDefault="007D2C07" w:rsidP="007D2C07">
            <w:pPr>
              <w:pStyle w:val="a9"/>
              <w:numPr>
                <w:ilvl w:val="0"/>
                <w:numId w:val="1"/>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Compliance with global emissions standards critical to market access</w:t>
            </w:r>
          </w:p>
        </w:tc>
      </w:tr>
    </w:tbl>
    <w:p w14:paraId="342083B2" w14:textId="77777777" w:rsidR="007D2C07" w:rsidRPr="001C47C9" w:rsidRDefault="007D2C07" w:rsidP="007D2C07">
      <w:pPr>
        <w:pStyle w:val="2"/>
        <w:rPr>
          <w:rFonts w:hint="eastAsia"/>
          <w:color w:val="000000" w:themeColor="text1"/>
        </w:rPr>
      </w:pPr>
      <w:bookmarkStart w:id="22" w:name="_Toc225283215"/>
      <w:r w:rsidRPr="001C47C9">
        <w:rPr>
          <w:color w:val="000000" w:themeColor="text1"/>
        </w:rPr>
        <w:t>Appendix 2: Porter’s Five Forces Analysis</w:t>
      </w:r>
      <w:bookmarkEnd w:id="22"/>
    </w:p>
    <w:p w14:paraId="5E690573" w14:textId="77777777" w:rsidR="007D2C07" w:rsidRPr="001C47C9" w:rsidRDefault="007D2C07" w:rsidP="007D2C07">
      <w:pPr>
        <w:spacing w:before="120" w:after="240" w:line="360" w:lineRule="auto"/>
        <w:jc w:val="center"/>
        <w:rPr>
          <w:rFonts w:ascii="Times New Roman" w:eastAsia="Times New Roman" w:hAnsi="Times New Roman" w:cs="Times New Roman"/>
          <w:b/>
          <w:color w:val="000000" w:themeColor="text1"/>
          <w:sz w:val="24"/>
          <w:szCs w:val="24"/>
          <w:lang w:val="en-AU" w:eastAsia="en-AU"/>
        </w:rPr>
      </w:pPr>
      <w:r w:rsidRPr="001C47C9">
        <w:rPr>
          <w:rFonts w:ascii="Times New Roman" w:eastAsia="Times New Roman" w:hAnsi="Times New Roman" w:cs="Times New Roman"/>
          <w:b/>
          <w:color w:val="000000" w:themeColor="text1"/>
          <w:sz w:val="24"/>
          <w:szCs w:val="24"/>
          <w:lang w:val="en-AU" w:eastAsia="en-AU"/>
        </w:rPr>
        <w:t>Table 2: Porter’s Five Forces Analysis</w:t>
      </w:r>
    </w:p>
    <w:tbl>
      <w:tblPr>
        <w:tblStyle w:val="af1"/>
        <w:tblW w:w="0" w:type="auto"/>
        <w:tblLook w:val="04A0" w:firstRow="1" w:lastRow="0" w:firstColumn="1" w:lastColumn="0" w:noHBand="0" w:noVBand="1"/>
      </w:tblPr>
      <w:tblGrid>
        <w:gridCol w:w="2312"/>
        <w:gridCol w:w="6704"/>
      </w:tblGrid>
      <w:tr w:rsidR="007D2C07" w:rsidRPr="001C47C9" w14:paraId="07EA0609" w14:textId="77777777" w:rsidTr="00992246">
        <w:tc>
          <w:tcPr>
            <w:tcW w:w="0" w:type="auto"/>
            <w:hideMark/>
          </w:tcPr>
          <w:p w14:paraId="7E02F90C"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Force</w:t>
            </w:r>
          </w:p>
        </w:tc>
        <w:tc>
          <w:tcPr>
            <w:tcW w:w="0" w:type="auto"/>
            <w:hideMark/>
          </w:tcPr>
          <w:p w14:paraId="53192D41"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Tesla-Specific Analysis</w:t>
            </w:r>
          </w:p>
        </w:tc>
      </w:tr>
      <w:tr w:rsidR="007D2C07" w:rsidRPr="001C47C9" w14:paraId="53680573" w14:textId="77777777" w:rsidTr="00992246">
        <w:tc>
          <w:tcPr>
            <w:tcW w:w="0" w:type="auto"/>
            <w:hideMark/>
          </w:tcPr>
          <w:p w14:paraId="37F63E91"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Threat of New Entrants</w:t>
            </w:r>
          </w:p>
        </w:tc>
        <w:tc>
          <w:tcPr>
            <w:tcW w:w="0" w:type="auto"/>
            <w:hideMark/>
          </w:tcPr>
          <w:p w14:paraId="7CCB1C76"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Moderate-Low</w:t>
            </w:r>
          </w:p>
          <w:p w14:paraId="170FC844" w14:textId="77777777" w:rsidR="007D2C07" w:rsidRPr="001C47C9" w:rsidRDefault="007D2C07" w:rsidP="007D2C07">
            <w:pPr>
              <w:pStyle w:val="a9"/>
              <w:numPr>
                <w:ilvl w:val="0"/>
                <w:numId w:val="2"/>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High capital requirements, but new EV firms (Rivian, Lucid) emerging </w:t>
            </w:r>
            <w:r w:rsidRPr="001C47C9">
              <w:rPr>
                <w:rFonts w:ascii="Times New Roman" w:hAnsi="Times New Roman" w:cs="Times New Roman"/>
                <w:color w:val="000000" w:themeColor="text1"/>
                <w:sz w:val="24"/>
                <w:szCs w:val="24"/>
              </w:rPr>
              <w:t>(Lambert, 2026)</w:t>
            </w:r>
          </w:p>
          <w:p w14:paraId="538293AC" w14:textId="77777777" w:rsidR="007D2C07" w:rsidRPr="001C47C9" w:rsidRDefault="007D2C07" w:rsidP="007D2C07">
            <w:pPr>
              <w:pStyle w:val="a9"/>
              <w:numPr>
                <w:ilvl w:val="0"/>
                <w:numId w:val="2"/>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Government subsidies lowering entry barriers in EV sector </w:t>
            </w:r>
            <w:r w:rsidRPr="001C47C9">
              <w:rPr>
                <w:rFonts w:ascii="Times New Roman" w:hAnsi="Times New Roman" w:cs="Times New Roman"/>
                <w:color w:val="000000" w:themeColor="text1"/>
                <w:sz w:val="24"/>
                <w:szCs w:val="24"/>
              </w:rPr>
              <w:t>(National Bureau of Economic Research, 2025)</w:t>
            </w:r>
          </w:p>
        </w:tc>
      </w:tr>
      <w:tr w:rsidR="007D2C07" w:rsidRPr="001C47C9" w14:paraId="757C080D" w14:textId="77777777" w:rsidTr="00992246">
        <w:tc>
          <w:tcPr>
            <w:tcW w:w="0" w:type="auto"/>
            <w:hideMark/>
          </w:tcPr>
          <w:p w14:paraId="58A5F00E"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Bargaining Power of Suppliers</w:t>
            </w:r>
          </w:p>
        </w:tc>
        <w:tc>
          <w:tcPr>
            <w:tcW w:w="0" w:type="auto"/>
            <w:hideMark/>
          </w:tcPr>
          <w:p w14:paraId="70F73CC6"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Moderate </w:t>
            </w:r>
          </w:p>
          <w:p w14:paraId="57E36327" w14:textId="77777777" w:rsidR="007D2C07" w:rsidRPr="001C47C9" w:rsidRDefault="007D2C07" w:rsidP="007D2C07">
            <w:pPr>
              <w:pStyle w:val="a9"/>
              <w:numPr>
                <w:ilvl w:val="0"/>
                <w:numId w:val="2"/>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Dependence on lithium, nickel, cobalt suppliers increases price volatility </w:t>
            </w:r>
            <w:r w:rsidRPr="001C47C9">
              <w:rPr>
                <w:rFonts w:ascii="Times New Roman" w:hAnsi="Times New Roman" w:cs="Times New Roman"/>
                <w:color w:val="000000" w:themeColor="text1"/>
                <w:sz w:val="24"/>
                <w:szCs w:val="24"/>
              </w:rPr>
              <w:t>(Jennifer, 2026)</w:t>
            </w:r>
          </w:p>
          <w:p w14:paraId="495FA64F" w14:textId="77777777" w:rsidR="007D2C07" w:rsidRPr="001C47C9" w:rsidRDefault="007D2C07" w:rsidP="007D2C07">
            <w:pPr>
              <w:pStyle w:val="a9"/>
              <w:numPr>
                <w:ilvl w:val="0"/>
                <w:numId w:val="2"/>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Tesla investing in vertical integration (battery supply agreements) to reduce dependency </w:t>
            </w:r>
            <w:r w:rsidRPr="001C47C9">
              <w:rPr>
                <w:rFonts w:ascii="Times New Roman" w:hAnsi="Times New Roman" w:cs="Times New Roman"/>
                <w:color w:val="000000" w:themeColor="text1"/>
                <w:sz w:val="24"/>
                <w:szCs w:val="24"/>
              </w:rPr>
              <w:t>(Hargreaves, 2026)</w:t>
            </w:r>
          </w:p>
        </w:tc>
      </w:tr>
      <w:tr w:rsidR="007D2C07" w:rsidRPr="001C47C9" w14:paraId="29E77416" w14:textId="77777777" w:rsidTr="00992246">
        <w:tc>
          <w:tcPr>
            <w:tcW w:w="0" w:type="auto"/>
            <w:hideMark/>
          </w:tcPr>
          <w:p w14:paraId="324DD562"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lastRenderedPageBreak/>
              <w:t>Bargaining Power of Buyers</w:t>
            </w:r>
          </w:p>
        </w:tc>
        <w:tc>
          <w:tcPr>
            <w:tcW w:w="0" w:type="auto"/>
            <w:hideMark/>
          </w:tcPr>
          <w:p w14:paraId="6EFFD169"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High</w:t>
            </w:r>
          </w:p>
          <w:p w14:paraId="6711ADEA" w14:textId="77777777" w:rsidR="007D2C07" w:rsidRPr="001C47C9" w:rsidRDefault="007D2C07" w:rsidP="007D2C07">
            <w:pPr>
              <w:pStyle w:val="a9"/>
              <w:numPr>
                <w:ilvl w:val="0"/>
                <w:numId w:val="2"/>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Consumers highly price-sensitive, due to which Tesla forced to cut prices multiple times in 2023-2024 </w:t>
            </w:r>
            <w:r w:rsidRPr="001C47C9">
              <w:rPr>
                <w:rFonts w:ascii="Times New Roman" w:hAnsi="Times New Roman" w:cs="Times New Roman"/>
                <w:color w:val="000000" w:themeColor="text1"/>
                <w:sz w:val="24"/>
                <w:szCs w:val="24"/>
              </w:rPr>
              <w:t>(Dahdal, 2024)</w:t>
            </w:r>
            <w:r w:rsidRPr="001C47C9">
              <w:rPr>
                <w:rFonts w:ascii="Times New Roman" w:eastAsia="Times New Roman" w:hAnsi="Times New Roman" w:cs="Times New Roman"/>
                <w:color w:val="000000" w:themeColor="text1"/>
                <w:sz w:val="24"/>
                <w:szCs w:val="24"/>
                <w:lang w:val="en-AU" w:eastAsia="en-AU"/>
              </w:rPr>
              <w:t xml:space="preserve"> </w:t>
            </w:r>
          </w:p>
          <w:p w14:paraId="2C49E51E" w14:textId="77777777" w:rsidR="007D2C07" w:rsidRPr="001C47C9" w:rsidRDefault="007D2C07" w:rsidP="007D2C07">
            <w:pPr>
              <w:pStyle w:val="a9"/>
              <w:numPr>
                <w:ilvl w:val="0"/>
                <w:numId w:val="2"/>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Increasing EV alternatives, due to which switching costs decreasing (</w:t>
            </w:r>
            <w:r w:rsidRPr="001C47C9">
              <w:rPr>
                <w:rFonts w:ascii="Times New Roman" w:hAnsi="Times New Roman" w:cs="Times New Roman"/>
                <w:color w:val="000000" w:themeColor="text1"/>
                <w:sz w:val="24"/>
                <w:szCs w:val="24"/>
              </w:rPr>
              <w:t xml:space="preserve">Hertzke </w:t>
            </w:r>
            <w:r w:rsidRPr="00EA3713">
              <w:rPr>
                <w:rFonts w:ascii="Times New Roman" w:hAnsi="Times New Roman" w:cs="Times New Roman"/>
                <w:i/>
                <w:iCs/>
                <w:color w:val="000000" w:themeColor="text1"/>
                <w:sz w:val="24"/>
                <w:szCs w:val="24"/>
              </w:rPr>
              <w:t>et al</w:t>
            </w:r>
            <w:r w:rsidRPr="001C47C9">
              <w:rPr>
                <w:rFonts w:ascii="Times New Roman" w:hAnsi="Times New Roman" w:cs="Times New Roman"/>
                <w:color w:val="000000" w:themeColor="text1"/>
                <w:sz w:val="24"/>
                <w:szCs w:val="24"/>
              </w:rPr>
              <w:t>., 2025)</w:t>
            </w:r>
          </w:p>
        </w:tc>
      </w:tr>
      <w:tr w:rsidR="007D2C07" w:rsidRPr="001C47C9" w14:paraId="11E1BD05" w14:textId="77777777" w:rsidTr="00992246">
        <w:tc>
          <w:tcPr>
            <w:tcW w:w="0" w:type="auto"/>
            <w:hideMark/>
          </w:tcPr>
          <w:p w14:paraId="2F5D2EB5"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Threat of Substitutes</w:t>
            </w:r>
          </w:p>
        </w:tc>
        <w:tc>
          <w:tcPr>
            <w:tcW w:w="0" w:type="auto"/>
            <w:hideMark/>
          </w:tcPr>
          <w:p w14:paraId="24D5B0DE"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Moderate</w:t>
            </w:r>
          </w:p>
          <w:p w14:paraId="34EF09B1" w14:textId="77777777" w:rsidR="007D2C07" w:rsidRPr="001C47C9" w:rsidRDefault="007D2C07" w:rsidP="007D2C07">
            <w:pPr>
              <w:pStyle w:val="a9"/>
              <w:numPr>
                <w:ilvl w:val="0"/>
                <w:numId w:val="2"/>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ICE vehicles still dominant globally </w:t>
            </w:r>
            <w:r w:rsidRPr="001C47C9">
              <w:rPr>
                <w:rFonts w:ascii="Times New Roman" w:hAnsi="Times New Roman" w:cs="Times New Roman"/>
                <w:color w:val="000000" w:themeColor="text1"/>
                <w:sz w:val="24"/>
                <w:szCs w:val="24"/>
              </w:rPr>
              <w:t>(Global Energy Prize, 2023)</w:t>
            </w:r>
          </w:p>
          <w:p w14:paraId="5153AB5C" w14:textId="77777777" w:rsidR="007D2C07" w:rsidRPr="001C47C9" w:rsidRDefault="007D2C07" w:rsidP="007D2C07">
            <w:pPr>
              <w:pStyle w:val="a9"/>
              <w:numPr>
                <w:ilvl w:val="0"/>
                <w:numId w:val="2"/>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Public transport and hybrid vehicles remain alternatives</w:t>
            </w:r>
          </w:p>
        </w:tc>
      </w:tr>
      <w:tr w:rsidR="007D2C07" w:rsidRPr="001C47C9" w14:paraId="01D7E5FB" w14:textId="77777777" w:rsidTr="00992246">
        <w:tc>
          <w:tcPr>
            <w:tcW w:w="0" w:type="auto"/>
            <w:hideMark/>
          </w:tcPr>
          <w:p w14:paraId="1C1D1F11"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Competitive Rivalry</w:t>
            </w:r>
          </w:p>
        </w:tc>
        <w:tc>
          <w:tcPr>
            <w:tcW w:w="0" w:type="auto"/>
            <w:hideMark/>
          </w:tcPr>
          <w:p w14:paraId="243D9623"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Very High</w:t>
            </w:r>
          </w:p>
          <w:p w14:paraId="69B570B6" w14:textId="77777777" w:rsidR="007D2C07" w:rsidRPr="001C47C9" w:rsidRDefault="007D2C07" w:rsidP="007D2C07">
            <w:pPr>
              <w:pStyle w:val="a9"/>
              <w:numPr>
                <w:ilvl w:val="0"/>
                <w:numId w:val="2"/>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Tesla vs BYD, Volkswagen, Ford, GM </w:t>
            </w:r>
          </w:p>
          <w:p w14:paraId="70B1F891" w14:textId="77777777" w:rsidR="007D2C07" w:rsidRPr="001C47C9" w:rsidRDefault="007D2C07" w:rsidP="007D2C07">
            <w:pPr>
              <w:pStyle w:val="a9"/>
              <w:numPr>
                <w:ilvl w:val="0"/>
                <w:numId w:val="2"/>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BYD surpassed Tesla in global EV sales in 2023 (Ewing, 2026) </w:t>
            </w:r>
          </w:p>
          <w:p w14:paraId="7699B594" w14:textId="77777777" w:rsidR="007D2C07" w:rsidRPr="001C47C9" w:rsidRDefault="007D2C07" w:rsidP="007D2C07">
            <w:pPr>
              <w:pStyle w:val="a9"/>
              <w:numPr>
                <w:ilvl w:val="0"/>
                <w:numId w:val="2"/>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Price wars reducing margins</w:t>
            </w:r>
          </w:p>
        </w:tc>
      </w:tr>
    </w:tbl>
    <w:p w14:paraId="529E815C" w14:textId="77777777" w:rsidR="007D2C07" w:rsidRPr="001C47C9" w:rsidRDefault="007D2C07" w:rsidP="007D2C07">
      <w:pPr>
        <w:spacing w:before="120" w:after="240" w:line="360" w:lineRule="auto"/>
        <w:jc w:val="both"/>
        <w:rPr>
          <w:rFonts w:ascii="Times New Roman" w:eastAsia="Times New Roman" w:hAnsi="Times New Roman" w:cs="Times New Roman"/>
          <w:color w:val="000000" w:themeColor="text1"/>
          <w:sz w:val="24"/>
          <w:szCs w:val="24"/>
          <w:lang w:val="en-AU" w:eastAsia="en-AU"/>
        </w:rPr>
      </w:pPr>
    </w:p>
    <w:p w14:paraId="25D58297"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br w:type="page"/>
      </w:r>
    </w:p>
    <w:p w14:paraId="0AFF8F02" w14:textId="77777777" w:rsidR="007D2C07" w:rsidRPr="001C47C9" w:rsidRDefault="007D2C07" w:rsidP="007D2C07">
      <w:pPr>
        <w:pStyle w:val="2"/>
        <w:rPr>
          <w:rFonts w:hint="eastAsia"/>
          <w:color w:val="000000" w:themeColor="text1"/>
        </w:rPr>
      </w:pPr>
      <w:bookmarkStart w:id="23" w:name="_Toc225283216"/>
      <w:r w:rsidRPr="001C47C9">
        <w:rPr>
          <w:color w:val="000000" w:themeColor="text1"/>
        </w:rPr>
        <w:lastRenderedPageBreak/>
        <w:t>Appendix 3:</w:t>
      </w:r>
      <w:r w:rsidRPr="001C47C9">
        <w:rPr>
          <w:rFonts w:eastAsia="Times New Roman"/>
          <w:color w:val="000000" w:themeColor="text1"/>
          <w:lang w:val="en-AU" w:eastAsia="en-AU"/>
        </w:rPr>
        <w:t xml:space="preserve"> Key Economic Trends</w:t>
      </w:r>
      <w:bookmarkEnd w:id="23"/>
    </w:p>
    <w:p w14:paraId="091E0364" w14:textId="77777777" w:rsidR="007D2C07" w:rsidRPr="001C47C9" w:rsidRDefault="007D2C07" w:rsidP="007D2C07">
      <w:pPr>
        <w:spacing w:before="120" w:after="240" w:line="360" w:lineRule="auto"/>
        <w:jc w:val="center"/>
        <w:rPr>
          <w:rFonts w:ascii="Times New Roman" w:eastAsia="Times New Roman" w:hAnsi="Times New Roman" w:cs="Times New Roman"/>
          <w:b/>
          <w:color w:val="000000" w:themeColor="text1"/>
          <w:sz w:val="24"/>
          <w:szCs w:val="24"/>
          <w:lang w:val="en-AU" w:eastAsia="en-AU"/>
        </w:rPr>
      </w:pPr>
      <w:r w:rsidRPr="001C47C9">
        <w:rPr>
          <w:rFonts w:ascii="Times New Roman" w:eastAsia="Times New Roman" w:hAnsi="Times New Roman" w:cs="Times New Roman"/>
          <w:b/>
          <w:color w:val="000000" w:themeColor="text1"/>
          <w:sz w:val="24"/>
          <w:szCs w:val="24"/>
          <w:lang w:val="en-AU" w:eastAsia="en-AU"/>
        </w:rPr>
        <w:t>Table 3: Key Economic Trends influencing Tesla</w:t>
      </w:r>
    </w:p>
    <w:tbl>
      <w:tblPr>
        <w:tblStyle w:val="af1"/>
        <w:tblW w:w="0" w:type="auto"/>
        <w:tblLook w:val="04A0" w:firstRow="1" w:lastRow="0" w:firstColumn="1" w:lastColumn="0" w:noHBand="0" w:noVBand="1"/>
      </w:tblPr>
      <w:tblGrid>
        <w:gridCol w:w="3039"/>
        <w:gridCol w:w="5977"/>
      </w:tblGrid>
      <w:tr w:rsidR="007D2C07" w:rsidRPr="001C47C9" w14:paraId="1603476B" w14:textId="77777777" w:rsidTr="00992246">
        <w:tc>
          <w:tcPr>
            <w:tcW w:w="0" w:type="auto"/>
            <w:hideMark/>
          </w:tcPr>
          <w:p w14:paraId="5F74C7A0"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Trend</w:t>
            </w:r>
          </w:p>
        </w:tc>
        <w:tc>
          <w:tcPr>
            <w:tcW w:w="0" w:type="auto"/>
            <w:hideMark/>
          </w:tcPr>
          <w:p w14:paraId="1E1B3D16"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Impact on Tesla Strategy</w:t>
            </w:r>
          </w:p>
        </w:tc>
      </w:tr>
      <w:tr w:rsidR="007D2C07" w:rsidRPr="001C47C9" w14:paraId="1AAC1410" w14:textId="77777777" w:rsidTr="00992246">
        <w:tc>
          <w:tcPr>
            <w:tcW w:w="0" w:type="auto"/>
            <w:hideMark/>
          </w:tcPr>
          <w:p w14:paraId="16D77FDB"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Global EV Market Growth</w:t>
            </w:r>
          </w:p>
        </w:tc>
        <w:tc>
          <w:tcPr>
            <w:tcW w:w="0" w:type="auto"/>
            <w:hideMark/>
          </w:tcPr>
          <w:p w14:paraId="6450BFEF" w14:textId="77777777" w:rsidR="007D2C07" w:rsidRPr="001C47C9" w:rsidRDefault="007D2C07" w:rsidP="007D2C07">
            <w:pPr>
              <w:pStyle w:val="a9"/>
              <w:numPr>
                <w:ilvl w:val="0"/>
                <w:numId w:val="3"/>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EV sales reached ~14 million globally in 2023 </w:t>
            </w:r>
            <w:r w:rsidRPr="001C47C9">
              <w:rPr>
                <w:rFonts w:ascii="Times New Roman" w:hAnsi="Times New Roman" w:cs="Times New Roman"/>
                <w:color w:val="000000" w:themeColor="text1"/>
                <w:sz w:val="24"/>
                <w:szCs w:val="24"/>
              </w:rPr>
              <w:t>(International Energy Agency, 2024b)</w:t>
            </w:r>
            <w:r w:rsidRPr="001C47C9">
              <w:rPr>
                <w:rFonts w:ascii="Times New Roman" w:eastAsia="Times New Roman" w:hAnsi="Times New Roman" w:cs="Times New Roman"/>
                <w:color w:val="000000" w:themeColor="text1"/>
                <w:sz w:val="24"/>
                <w:szCs w:val="24"/>
                <w:lang w:val="en-AU" w:eastAsia="en-AU"/>
              </w:rPr>
              <w:t xml:space="preserve"> </w:t>
            </w:r>
          </w:p>
          <w:p w14:paraId="08E029B1" w14:textId="77777777" w:rsidR="007D2C07" w:rsidRPr="001C47C9" w:rsidRDefault="007D2C07" w:rsidP="007D2C07">
            <w:pPr>
              <w:pStyle w:val="a9"/>
              <w:numPr>
                <w:ilvl w:val="0"/>
                <w:numId w:val="3"/>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Supports Tesla’s expansion strategy</w:t>
            </w:r>
          </w:p>
        </w:tc>
      </w:tr>
      <w:tr w:rsidR="007D2C07" w:rsidRPr="001C47C9" w14:paraId="57C33265" w14:textId="77777777" w:rsidTr="00992246">
        <w:tc>
          <w:tcPr>
            <w:tcW w:w="0" w:type="auto"/>
            <w:hideMark/>
          </w:tcPr>
          <w:p w14:paraId="568A7C75"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Price Competition in EV Market</w:t>
            </w:r>
          </w:p>
        </w:tc>
        <w:tc>
          <w:tcPr>
            <w:tcW w:w="0" w:type="auto"/>
            <w:hideMark/>
          </w:tcPr>
          <w:p w14:paraId="19D57BC2" w14:textId="77777777" w:rsidR="007D2C07" w:rsidRPr="001C47C9" w:rsidRDefault="007D2C07" w:rsidP="007D2C07">
            <w:pPr>
              <w:pStyle w:val="a9"/>
              <w:numPr>
                <w:ilvl w:val="0"/>
                <w:numId w:val="3"/>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Tesla reduced prices across key models to maintain demand </w:t>
            </w:r>
            <w:r w:rsidRPr="001C47C9">
              <w:rPr>
                <w:rFonts w:ascii="Times New Roman" w:hAnsi="Times New Roman" w:cs="Times New Roman"/>
                <w:color w:val="000000" w:themeColor="text1"/>
                <w:sz w:val="24"/>
                <w:szCs w:val="24"/>
              </w:rPr>
              <w:t>(Roy and Sriram, 2025</w:t>
            </w:r>
            <w:r w:rsidRPr="001C47C9">
              <w:rPr>
                <w:rFonts w:ascii="Times New Roman" w:eastAsia="Times New Roman" w:hAnsi="Times New Roman" w:cs="Times New Roman"/>
                <w:color w:val="000000" w:themeColor="text1"/>
                <w:sz w:val="24"/>
                <w:szCs w:val="24"/>
                <w:lang w:val="en-AU" w:eastAsia="en-AU"/>
              </w:rPr>
              <w:t xml:space="preserve">) </w:t>
            </w:r>
          </w:p>
          <w:p w14:paraId="2DF9807E" w14:textId="77777777" w:rsidR="007D2C07" w:rsidRPr="001C47C9" w:rsidRDefault="007D2C07" w:rsidP="007D2C07">
            <w:pPr>
              <w:pStyle w:val="a9"/>
              <w:numPr>
                <w:ilvl w:val="0"/>
                <w:numId w:val="3"/>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Margin pressure but volume growth strategy</w:t>
            </w:r>
          </w:p>
        </w:tc>
      </w:tr>
      <w:tr w:rsidR="007D2C07" w:rsidRPr="001C47C9" w14:paraId="1E926A4E" w14:textId="77777777" w:rsidTr="00992246">
        <w:tc>
          <w:tcPr>
            <w:tcW w:w="0" w:type="auto"/>
            <w:hideMark/>
          </w:tcPr>
          <w:p w14:paraId="7671379C"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Supply Chain Volatility</w:t>
            </w:r>
          </w:p>
        </w:tc>
        <w:tc>
          <w:tcPr>
            <w:tcW w:w="0" w:type="auto"/>
            <w:hideMark/>
          </w:tcPr>
          <w:p w14:paraId="706F6397" w14:textId="77777777" w:rsidR="007D2C07" w:rsidRPr="001C47C9" w:rsidRDefault="007D2C07" w:rsidP="007D2C07">
            <w:pPr>
              <w:pStyle w:val="a9"/>
              <w:numPr>
                <w:ilvl w:val="0"/>
                <w:numId w:val="3"/>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Semiconductor shortages and raw material costs impact production </w:t>
            </w:r>
            <w:r w:rsidRPr="001C47C9">
              <w:rPr>
                <w:rFonts w:ascii="Times New Roman" w:hAnsi="Times New Roman" w:cs="Times New Roman"/>
                <w:color w:val="000000" w:themeColor="text1"/>
                <w:sz w:val="24"/>
                <w:szCs w:val="24"/>
              </w:rPr>
              <w:t>(Erickson, 2022)</w:t>
            </w:r>
            <w:r w:rsidRPr="001C47C9">
              <w:rPr>
                <w:rFonts w:ascii="Times New Roman" w:eastAsia="Times New Roman" w:hAnsi="Times New Roman" w:cs="Times New Roman"/>
                <w:color w:val="000000" w:themeColor="text1"/>
                <w:sz w:val="24"/>
                <w:szCs w:val="24"/>
                <w:lang w:val="en-AU" w:eastAsia="en-AU"/>
              </w:rPr>
              <w:t xml:space="preserve"> </w:t>
            </w:r>
          </w:p>
          <w:p w14:paraId="7C4C84DF" w14:textId="77777777" w:rsidR="007D2C07" w:rsidRPr="001C47C9" w:rsidRDefault="007D2C07" w:rsidP="007D2C07">
            <w:pPr>
              <w:pStyle w:val="a9"/>
              <w:numPr>
                <w:ilvl w:val="0"/>
                <w:numId w:val="3"/>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Push toward vertical integration</w:t>
            </w:r>
          </w:p>
        </w:tc>
      </w:tr>
      <w:tr w:rsidR="007D2C07" w:rsidRPr="001C47C9" w14:paraId="7CD1BE27" w14:textId="77777777" w:rsidTr="00992246">
        <w:tc>
          <w:tcPr>
            <w:tcW w:w="0" w:type="auto"/>
            <w:hideMark/>
          </w:tcPr>
          <w:p w14:paraId="7204FF96"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Interest Rate Increases</w:t>
            </w:r>
          </w:p>
        </w:tc>
        <w:tc>
          <w:tcPr>
            <w:tcW w:w="0" w:type="auto"/>
            <w:hideMark/>
          </w:tcPr>
          <w:p w14:paraId="44CE01BF" w14:textId="77777777" w:rsidR="007D2C07" w:rsidRPr="001C47C9" w:rsidRDefault="007D2C07" w:rsidP="007D2C07">
            <w:pPr>
              <w:pStyle w:val="a9"/>
              <w:numPr>
                <w:ilvl w:val="0"/>
                <w:numId w:val="3"/>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Higher borrowing costs reduce affordability of EV purchases  </w:t>
            </w:r>
          </w:p>
          <w:p w14:paraId="2E25D7BA" w14:textId="77777777" w:rsidR="007D2C07" w:rsidRPr="001C47C9" w:rsidRDefault="007D2C07" w:rsidP="007D2C07">
            <w:pPr>
              <w:pStyle w:val="a9"/>
              <w:numPr>
                <w:ilvl w:val="0"/>
                <w:numId w:val="3"/>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Demand sensitivity</w:t>
            </w:r>
          </w:p>
        </w:tc>
      </w:tr>
      <w:tr w:rsidR="007D2C07" w:rsidRPr="001C47C9" w14:paraId="4B6584B8" w14:textId="77777777" w:rsidTr="00992246">
        <w:tc>
          <w:tcPr>
            <w:tcW w:w="0" w:type="auto"/>
            <w:hideMark/>
          </w:tcPr>
          <w:p w14:paraId="1578D83B"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Government Subsidies and Regulation</w:t>
            </w:r>
          </w:p>
        </w:tc>
        <w:tc>
          <w:tcPr>
            <w:tcW w:w="0" w:type="auto"/>
            <w:hideMark/>
          </w:tcPr>
          <w:p w14:paraId="580BFEDD" w14:textId="77777777" w:rsidR="007D2C07" w:rsidRPr="001C47C9" w:rsidRDefault="007D2C07" w:rsidP="007D2C07">
            <w:pPr>
              <w:pStyle w:val="a9"/>
              <w:numPr>
                <w:ilvl w:val="0"/>
                <w:numId w:val="3"/>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EV incentives drive adoption but vary by region (IRS, 2025)  </w:t>
            </w:r>
          </w:p>
          <w:p w14:paraId="5F3D3D4C" w14:textId="77777777" w:rsidR="007D2C07" w:rsidRPr="001C47C9" w:rsidRDefault="007D2C07" w:rsidP="007D2C07">
            <w:pPr>
              <w:pStyle w:val="a9"/>
              <w:numPr>
                <w:ilvl w:val="0"/>
                <w:numId w:val="3"/>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Influences Tesla’s global market prioritisation</w:t>
            </w:r>
          </w:p>
        </w:tc>
      </w:tr>
      <w:tr w:rsidR="007D2C07" w:rsidRPr="001C47C9" w14:paraId="3803D7AC" w14:textId="77777777" w:rsidTr="00992246">
        <w:tc>
          <w:tcPr>
            <w:tcW w:w="0" w:type="auto"/>
            <w:hideMark/>
          </w:tcPr>
          <w:p w14:paraId="10A16734"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Shift Toward Energy and AI Integration</w:t>
            </w:r>
          </w:p>
        </w:tc>
        <w:tc>
          <w:tcPr>
            <w:tcW w:w="0" w:type="auto"/>
            <w:hideMark/>
          </w:tcPr>
          <w:p w14:paraId="1B00FFFF" w14:textId="77777777" w:rsidR="007D2C07" w:rsidRPr="001C47C9" w:rsidRDefault="007D2C07" w:rsidP="007D2C07">
            <w:pPr>
              <w:pStyle w:val="a9"/>
              <w:numPr>
                <w:ilvl w:val="0"/>
                <w:numId w:val="3"/>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Tesla expanding into energy storage and AI </w:t>
            </w:r>
            <w:r w:rsidRPr="001C47C9">
              <w:rPr>
                <w:rFonts w:ascii="Times New Roman" w:hAnsi="Times New Roman" w:cs="Times New Roman"/>
                <w:color w:val="000000" w:themeColor="text1"/>
                <w:sz w:val="24"/>
                <w:szCs w:val="24"/>
              </w:rPr>
              <w:t>(Colthorpe, 2026)</w:t>
            </w:r>
            <w:r w:rsidRPr="001C47C9">
              <w:rPr>
                <w:rFonts w:ascii="Times New Roman" w:eastAsia="Times New Roman" w:hAnsi="Times New Roman" w:cs="Times New Roman"/>
                <w:color w:val="000000" w:themeColor="text1"/>
                <w:sz w:val="24"/>
                <w:szCs w:val="24"/>
                <w:lang w:val="en-AU" w:eastAsia="en-AU"/>
              </w:rPr>
              <w:t xml:space="preserve"> </w:t>
            </w:r>
          </w:p>
          <w:p w14:paraId="1069A5C4" w14:textId="77777777" w:rsidR="007D2C07" w:rsidRPr="001C47C9" w:rsidRDefault="007D2C07" w:rsidP="007D2C07">
            <w:pPr>
              <w:pStyle w:val="a9"/>
              <w:numPr>
                <w:ilvl w:val="0"/>
                <w:numId w:val="3"/>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Diversification beyond automotive revenue</w:t>
            </w:r>
          </w:p>
          <w:p w14:paraId="400918A9"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p>
        </w:tc>
      </w:tr>
    </w:tbl>
    <w:p w14:paraId="0675B7E1"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p>
    <w:p w14:paraId="6D1BF6C5" w14:textId="77777777" w:rsidR="007D2C07" w:rsidRPr="001C47C9" w:rsidRDefault="007D2C07" w:rsidP="007D2C07">
      <w:pPr>
        <w:pStyle w:val="2"/>
        <w:rPr>
          <w:rFonts w:hint="eastAsia"/>
          <w:color w:val="000000" w:themeColor="text1"/>
        </w:rPr>
      </w:pPr>
      <w:bookmarkStart w:id="24" w:name="_Toc225283217"/>
      <w:r w:rsidRPr="001C47C9">
        <w:rPr>
          <w:color w:val="000000" w:themeColor="text1"/>
        </w:rPr>
        <w:lastRenderedPageBreak/>
        <w:t>Appendix 4: VRIO Analysis</w:t>
      </w:r>
      <w:bookmarkEnd w:id="24"/>
    </w:p>
    <w:p w14:paraId="64D6E112" w14:textId="77777777" w:rsidR="007D2C07" w:rsidRPr="001C47C9" w:rsidRDefault="007D2C07" w:rsidP="007D2C07">
      <w:pPr>
        <w:spacing w:before="120" w:after="240" w:line="360" w:lineRule="auto"/>
        <w:jc w:val="center"/>
        <w:rPr>
          <w:rFonts w:ascii="Times New Roman" w:hAnsi="Times New Roman" w:cs="Times New Roman"/>
          <w:b/>
          <w:color w:val="000000" w:themeColor="text1"/>
          <w:sz w:val="24"/>
          <w:szCs w:val="24"/>
        </w:rPr>
      </w:pPr>
      <w:r w:rsidRPr="001C47C9">
        <w:rPr>
          <w:rFonts w:ascii="Times New Roman" w:hAnsi="Times New Roman" w:cs="Times New Roman"/>
          <w:b/>
          <w:color w:val="000000" w:themeColor="text1"/>
          <w:sz w:val="24"/>
          <w:szCs w:val="24"/>
        </w:rPr>
        <w:t>Table 4: RBV and VRIO Analysis</w:t>
      </w:r>
    </w:p>
    <w:tbl>
      <w:tblPr>
        <w:tblStyle w:val="af1"/>
        <w:tblW w:w="0" w:type="auto"/>
        <w:tblLook w:val="04A0" w:firstRow="1" w:lastRow="0" w:firstColumn="1" w:lastColumn="0" w:noHBand="0" w:noVBand="1"/>
      </w:tblPr>
      <w:tblGrid>
        <w:gridCol w:w="2492"/>
        <w:gridCol w:w="1137"/>
        <w:gridCol w:w="723"/>
        <w:gridCol w:w="1283"/>
        <w:gridCol w:w="1283"/>
        <w:gridCol w:w="2098"/>
      </w:tblGrid>
      <w:tr w:rsidR="007D2C07" w:rsidRPr="001C47C9" w14:paraId="4F8766B1" w14:textId="77777777" w:rsidTr="00992246">
        <w:tc>
          <w:tcPr>
            <w:tcW w:w="0" w:type="auto"/>
            <w:hideMark/>
          </w:tcPr>
          <w:p w14:paraId="228552F9"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Resource / Capability</w:t>
            </w:r>
          </w:p>
        </w:tc>
        <w:tc>
          <w:tcPr>
            <w:tcW w:w="0" w:type="auto"/>
            <w:hideMark/>
          </w:tcPr>
          <w:p w14:paraId="6FCCCF5B"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Valuable</w:t>
            </w:r>
          </w:p>
        </w:tc>
        <w:tc>
          <w:tcPr>
            <w:tcW w:w="0" w:type="auto"/>
            <w:hideMark/>
          </w:tcPr>
          <w:p w14:paraId="1F3BB90B"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Rare</w:t>
            </w:r>
          </w:p>
        </w:tc>
        <w:tc>
          <w:tcPr>
            <w:tcW w:w="0" w:type="auto"/>
            <w:hideMark/>
          </w:tcPr>
          <w:p w14:paraId="51368C86"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Inimitable</w:t>
            </w:r>
          </w:p>
        </w:tc>
        <w:tc>
          <w:tcPr>
            <w:tcW w:w="0" w:type="auto"/>
            <w:hideMark/>
          </w:tcPr>
          <w:p w14:paraId="34B9CCFE"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Organised</w:t>
            </w:r>
          </w:p>
        </w:tc>
        <w:tc>
          <w:tcPr>
            <w:tcW w:w="0" w:type="auto"/>
            <w:hideMark/>
          </w:tcPr>
          <w:p w14:paraId="56F9FDB8"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Outcome</w:t>
            </w:r>
          </w:p>
        </w:tc>
      </w:tr>
      <w:tr w:rsidR="007D2C07" w:rsidRPr="001C47C9" w14:paraId="10E18B4F" w14:textId="77777777" w:rsidTr="00992246">
        <w:tc>
          <w:tcPr>
            <w:tcW w:w="0" w:type="auto"/>
            <w:hideMark/>
          </w:tcPr>
          <w:p w14:paraId="187B6EE4"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Brand and Market Leadership</w:t>
            </w:r>
          </w:p>
        </w:tc>
        <w:tc>
          <w:tcPr>
            <w:tcW w:w="0" w:type="auto"/>
            <w:hideMark/>
          </w:tcPr>
          <w:p w14:paraId="5259EB75"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5EAABE0B"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5749A454"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3F321FC7"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00F9F967"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Long-term competitive advantage</w:t>
            </w:r>
          </w:p>
        </w:tc>
      </w:tr>
      <w:tr w:rsidR="007D2C07" w:rsidRPr="001C47C9" w14:paraId="24295D02" w14:textId="77777777" w:rsidTr="00992246">
        <w:tc>
          <w:tcPr>
            <w:tcW w:w="0" w:type="auto"/>
            <w:hideMark/>
          </w:tcPr>
          <w:p w14:paraId="37AA1398"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Battery Technology and Gigafactories</w:t>
            </w:r>
          </w:p>
        </w:tc>
        <w:tc>
          <w:tcPr>
            <w:tcW w:w="0" w:type="auto"/>
            <w:hideMark/>
          </w:tcPr>
          <w:p w14:paraId="12BE6E8C"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2EA3B532"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596B0BD1"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7AB123CB"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78B71EE6"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Long-term competitive advantage</w:t>
            </w:r>
          </w:p>
        </w:tc>
      </w:tr>
      <w:tr w:rsidR="007D2C07" w:rsidRPr="001C47C9" w14:paraId="14BBBB3F" w14:textId="77777777" w:rsidTr="00992246">
        <w:tc>
          <w:tcPr>
            <w:tcW w:w="0" w:type="auto"/>
            <w:hideMark/>
          </w:tcPr>
          <w:p w14:paraId="61E1EE84"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Autonomous Driving (FSD)</w:t>
            </w:r>
          </w:p>
        </w:tc>
        <w:tc>
          <w:tcPr>
            <w:tcW w:w="0" w:type="auto"/>
            <w:hideMark/>
          </w:tcPr>
          <w:p w14:paraId="33882129"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086CE842"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5516CE98"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No</w:t>
            </w:r>
          </w:p>
        </w:tc>
        <w:tc>
          <w:tcPr>
            <w:tcW w:w="0" w:type="auto"/>
            <w:hideMark/>
          </w:tcPr>
          <w:p w14:paraId="670073E9"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176B918E"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Temporary competitive advantage</w:t>
            </w:r>
          </w:p>
        </w:tc>
      </w:tr>
      <w:tr w:rsidR="007D2C07" w:rsidRPr="001C47C9" w14:paraId="0F441F1B" w14:textId="77777777" w:rsidTr="00992246">
        <w:tc>
          <w:tcPr>
            <w:tcW w:w="0" w:type="auto"/>
            <w:hideMark/>
          </w:tcPr>
          <w:p w14:paraId="010B1E62"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Supercharger Network</w:t>
            </w:r>
          </w:p>
        </w:tc>
        <w:tc>
          <w:tcPr>
            <w:tcW w:w="0" w:type="auto"/>
            <w:hideMark/>
          </w:tcPr>
          <w:p w14:paraId="22993573"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6AA437D2"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38FE5DBA"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115E700E"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6EFD8780"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Long-term competitive advantage</w:t>
            </w:r>
          </w:p>
        </w:tc>
      </w:tr>
      <w:tr w:rsidR="007D2C07" w:rsidRPr="001C47C9" w14:paraId="3F9AA978" w14:textId="77777777" w:rsidTr="00992246">
        <w:tc>
          <w:tcPr>
            <w:tcW w:w="0" w:type="auto"/>
            <w:hideMark/>
          </w:tcPr>
          <w:p w14:paraId="436A0DF9"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Cost Efficiency and Scale</w:t>
            </w:r>
          </w:p>
        </w:tc>
        <w:tc>
          <w:tcPr>
            <w:tcW w:w="0" w:type="auto"/>
            <w:hideMark/>
          </w:tcPr>
          <w:p w14:paraId="56A6E804"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5C1FC422"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No</w:t>
            </w:r>
          </w:p>
        </w:tc>
        <w:tc>
          <w:tcPr>
            <w:tcW w:w="0" w:type="auto"/>
            <w:hideMark/>
          </w:tcPr>
          <w:p w14:paraId="49B42EA8"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No</w:t>
            </w:r>
          </w:p>
        </w:tc>
        <w:tc>
          <w:tcPr>
            <w:tcW w:w="0" w:type="auto"/>
            <w:hideMark/>
          </w:tcPr>
          <w:p w14:paraId="206EC8DC"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Yes</w:t>
            </w:r>
          </w:p>
        </w:tc>
        <w:tc>
          <w:tcPr>
            <w:tcW w:w="0" w:type="auto"/>
            <w:hideMark/>
          </w:tcPr>
          <w:p w14:paraId="551C73FE"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Temporary competitive advantage</w:t>
            </w:r>
          </w:p>
        </w:tc>
      </w:tr>
    </w:tbl>
    <w:p w14:paraId="2B644466" w14:textId="77777777" w:rsidR="007D2C07" w:rsidRPr="001C47C9" w:rsidRDefault="007D2C07" w:rsidP="007D2C07">
      <w:pPr>
        <w:spacing w:before="120" w:after="240" w:line="360" w:lineRule="auto"/>
        <w:jc w:val="both"/>
        <w:outlineLvl w:val="0"/>
        <w:rPr>
          <w:rFonts w:ascii="Times New Roman" w:hAnsi="Times New Roman" w:cs="Times New Roman"/>
          <w:color w:val="000000" w:themeColor="text1"/>
          <w:sz w:val="24"/>
          <w:szCs w:val="24"/>
        </w:rPr>
      </w:pPr>
    </w:p>
    <w:p w14:paraId="40A0D4CC"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r w:rsidRPr="001C47C9">
        <w:rPr>
          <w:rFonts w:ascii="Times New Roman" w:hAnsi="Times New Roman" w:cs="Times New Roman"/>
          <w:color w:val="000000" w:themeColor="text1"/>
          <w:sz w:val="24"/>
          <w:szCs w:val="24"/>
        </w:rPr>
        <w:br w:type="page"/>
      </w:r>
    </w:p>
    <w:p w14:paraId="7510647B" w14:textId="77777777" w:rsidR="007D2C07" w:rsidRPr="001C47C9" w:rsidRDefault="007D2C07" w:rsidP="007D2C07">
      <w:pPr>
        <w:pStyle w:val="2"/>
        <w:rPr>
          <w:rFonts w:hint="eastAsia"/>
          <w:color w:val="000000" w:themeColor="text1"/>
        </w:rPr>
      </w:pPr>
      <w:bookmarkStart w:id="25" w:name="_Toc225283218"/>
      <w:r w:rsidRPr="001C47C9">
        <w:rPr>
          <w:color w:val="000000" w:themeColor="text1"/>
        </w:rPr>
        <w:lastRenderedPageBreak/>
        <w:t>Appendix 5: Value Chain Analysis</w:t>
      </w:r>
      <w:bookmarkEnd w:id="25"/>
    </w:p>
    <w:p w14:paraId="10EBC2BD" w14:textId="77777777" w:rsidR="007D2C07" w:rsidRPr="001C47C9" w:rsidRDefault="007D2C07" w:rsidP="007D2C07">
      <w:pPr>
        <w:spacing w:before="120" w:after="240" w:line="360" w:lineRule="auto"/>
        <w:jc w:val="center"/>
        <w:rPr>
          <w:rFonts w:ascii="Times New Roman" w:hAnsi="Times New Roman" w:cs="Times New Roman"/>
          <w:b/>
          <w:color w:val="000000" w:themeColor="text1"/>
          <w:sz w:val="24"/>
          <w:szCs w:val="24"/>
        </w:rPr>
      </w:pPr>
      <w:r w:rsidRPr="001C47C9">
        <w:rPr>
          <w:rFonts w:ascii="Times New Roman" w:hAnsi="Times New Roman" w:cs="Times New Roman"/>
          <w:b/>
          <w:color w:val="000000" w:themeColor="text1"/>
          <w:sz w:val="24"/>
          <w:szCs w:val="24"/>
        </w:rPr>
        <w:t>Table 5: Value Chain Analysis</w:t>
      </w:r>
    </w:p>
    <w:tbl>
      <w:tblPr>
        <w:tblStyle w:val="af1"/>
        <w:tblW w:w="0" w:type="auto"/>
        <w:tblLook w:val="04A0" w:firstRow="1" w:lastRow="0" w:firstColumn="1" w:lastColumn="0" w:noHBand="0" w:noVBand="1"/>
      </w:tblPr>
      <w:tblGrid>
        <w:gridCol w:w="1991"/>
        <w:gridCol w:w="3747"/>
        <w:gridCol w:w="3278"/>
      </w:tblGrid>
      <w:tr w:rsidR="007D2C07" w:rsidRPr="001C47C9" w14:paraId="5822607C" w14:textId="77777777" w:rsidTr="00992246">
        <w:tc>
          <w:tcPr>
            <w:tcW w:w="0" w:type="auto"/>
            <w:hideMark/>
          </w:tcPr>
          <w:p w14:paraId="3F9A9078"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Value Chain Activity</w:t>
            </w:r>
          </w:p>
        </w:tc>
        <w:tc>
          <w:tcPr>
            <w:tcW w:w="0" w:type="auto"/>
            <w:hideMark/>
          </w:tcPr>
          <w:p w14:paraId="27A53432"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Analysis</w:t>
            </w:r>
          </w:p>
        </w:tc>
        <w:tc>
          <w:tcPr>
            <w:tcW w:w="0" w:type="auto"/>
            <w:hideMark/>
          </w:tcPr>
          <w:p w14:paraId="07D02B86"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Strategic Implication</w:t>
            </w:r>
          </w:p>
        </w:tc>
      </w:tr>
      <w:tr w:rsidR="007D2C07" w:rsidRPr="001C47C9" w14:paraId="5700BE83" w14:textId="77777777" w:rsidTr="00992246">
        <w:tc>
          <w:tcPr>
            <w:tcW w:w="0" w:type="auto"/>
            <w:hideMark/>
          </w:tcPr>
          <w:p w14:paraId="39DC66B7"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Inbound Logistics</w:t>
            </w:r>
          </w:p>
        </w:tc>
        <w:tc>
          <w:tcPr>
            <w:tcW w:w="0" w:type="auto"/>
            <w:hideMark/>
          </w:tcPr>
          <w:p w14:paraId="575D4303"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Long-term supply agreements for lithium, nickel, and battery materials (Lambert, 2022; Zadeh, 2025)</w:t>
            </w:r>
          </w:p>
        </w:tc>
        <w:tc>
          <w:tcPr>
            <w:tcW w:w="0" w:type="auto"/>
            <w:hideMark/>
          </w:tcPr>
          <w:p w14:paraId="2FE09D56"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Reduces supplier dependency but still exposed to commodity price volatility</w:t>
            </w:r>
          </w:p>
        </w:tc>
      </w:tr>
      <w:tr w:rsidR="007D2C07" w:rsidRPr="001C47C9" w14:paraId="1F538093" w14:textId="77777777" w:rsidTr="00992246">
        <w:tc>
          <w:tcPr>
            <w:tcW w:w="0" w:type="auto"/>
            <w:hideMark/>
          </w:tcPr>
          <w:p w14:paraId="5299925D"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Operations</w:t>
            </w:r>
          </w:p>
        </w:tc>
        <w:tc>
          <w:tcPr>
            <w:tcW w:w="0" w:type="auto"/>
            <w:hideMark/>
          </w:tcPr>
          <w:p w14:paraId="6890CD67"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Gigafactories (USA, China, Germany) enable high-volume EV production (Akhtar, 2025)</w:t>
            </w:r>
          </w:p>
        </w:tc>
        <w:tc>
          <w:tcPr>
            <w:tcW w:w="0" w:type="auto"/>
            <w:hideMark/>
          </w:tcPr>
          <w:p w14:paraId="1624DD89"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Strong economies of scale and cost efficiency</w:t>
            </w:r>
          </w:p>
        </w:tc>
      </w:tr>
      <w:tr w:rsidR="007D2C07" w:rsidRPr="001C47C9" w14:paraId="184F660E" w14:textId="77777777" w:rsidTr="00992246">
        <w:tc>
          <w:tcPr>
            <w:tcW w:w="0" w:type="auto"/>
            <w:hideMark/>
          </w:tcPr>
          <w:p w14:paraId="61785CE5"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Outbound Logistics</w:t>
            </w:r>
          </w:p>
        </w:tc>
        <w:tc>
          <w:tcPr>
            <w:tcW w:w="0" w:type="auto"/>
            <w:hideMark/>
          </w:tcPr>
          <w:p w14:paraId="6190A0B2"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Direct-to-consumer sales model (no dealerships) </w:t>
            </w:r>
            <w:r w:rsidRPr="001C47C9">
              <w:rPr>
                <w:rFonts w:ascii="Times New Roman" w:hAnsi="Times New Roman" w:cs="Times New Roman"/>
                <w:color w:val="000000" w:themeColor="text1"/>
                <w:sz w:val="24"/>
                <w:szCs w:val="24"/>
              </w:rPr>
              <w:t>(Weber, 2023)</w:t>
            </w:r>
          </w:p>
        </w:tc>
        <w:tc>
          <w:tcPr>
            <w:tcW w:w="0" w:type="auto"/>
            <w:hideMark/>
          </w:tcPr>
          <w:p w14:paraId="0471AEE6"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Eliminates intermediaries; cost advantage; control over customer experience</w:t>
            </w:r>
          </w:p>
        </w:tc>
      </w:tr>
      <w:tr w:rsidR="007D2C07" w:rsidRPr="001C47C9" w14:paraId="0A451C08" w14:textId="77777777" w:rsidTr="00992246">
        <w:tc>
          <w:tcPr>
            <w:tcW w:w="0" w:type="auto"/>
            <w:hideMark/>
          </w:tcPr>
          <w:p w14:paraId="390AD8EA"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Marketing and Sales</w:t>
            </w:r>
          </w:p>
        </w:tc>
        <w:tc>
          <w:tcPr>
            <w:tcW w:w="0" w:type="auto"/>
            <w:hideMark/>
          </w:tcPr>
          <w:p w14:paraId="70305AD4"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Minimal advertising spend compared to competitors </w:t>
            </w:r>
            <w:r w:rsidRPr="001C47C9">
              <w:rPr>
                <w:rFonts w:ascii="Times New Roman" w:hAnsi="Times New Roman" w:cs="Times New Roman"/>
                <w:color w:val="000000" w:themeColor="text1"/>
                <w:sz w:val="24"/>
                <w:szCs w:val="24"/>
              </w:rPr>
              <w:t>(Koetsier, 2019)</w:t>
            </w:r>
          </w:p>
        </w:tc>
        <w:tc>
          <w:tcPr>
            <w:tcW w:w="0" w:type="auto"/>
            <w:hideMark/>
          </w:tcPr>
          <w:p w14:paraId="0A195E58"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Cost savings, but reliance on brand and CEO visibility creates reputational risk</w:t>
            </w:r>
          </w:p>
        </w:tc>
      </w:tr>
      <w:tr w:rsidR="007D2C07" w:rsidRPr="001C47C9" w14:paraId="4C8E8647" w14:textId="77777777" w:rsidTr="00992246">
        <w:tc>
          <w:tcPr>
            <w:tcW w:w="0" w:type="auto"/>
            <w:hideMark/>
          </w:tcPr>
          <w:p w14:paraId="18510C04"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Service</w:t>
            </w:r>
          </w:p>
        </w:tc>
        <w:tc>
          <w:tcPr>
            <w:tcW w:w="0" w:type="auto"/>
            <w:hideMark/>
          </w:tcPr>
          <w:p w14:paraId="7846B643"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Over-the-air (OTA) software updates enhance vehicle performance remotely (Tesla, 2026)</w:t>
            </w:r>
          </w:p>
        </w:tc>
        <w:tc>
          <w:tcPr>
            <w:tcW w:w="0" w:type="auto"/>
            <w:hideMark/>
          </w:tcPr>
          <w:p w14:paraId="4BCB2D1D"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Strong differentiation, though service capacity constraints remain</w:t>
            </w:r>
          </w:p>
        </w:tc>
      </w:tr>
      <w:tr w:rsidR="007D2C07" w:rsidRPr="001C47C9" w14:paraId="540E82FB" w14:textId="77777777" w:rsidTr="00992246">
        <w:tc>
          <w:tcPr>
            <w:tcW w:w="0" w:type="auto"/>
            <w:hideMark/>
          </w:tcPr>
          <w:p w14:paraId="12C23C58"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Technology Development</w:t>
            </w:r>
          </w:p>
        </w:tc>
        <w:tc>
          <w:tcPr>
            <w:tcW w:w="0" w:type="auto"/>
            <w:hideMark/>
          </w:tcPr>
          <w:p w14:paraId="4091BAAF"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~$3.1 billion R&amp;D investment in AI, battery tech, and automation </w:t>
            </w:r>
            <w:r w:rsidRPr="001C47C9">
              <w:rPr>
                <w:rFonts w:ascii="Times New Roman" w:hAnsi="Times New Roman" w:cs="Times New Roman"/>
                <w:color w:val="000000" w:themeColor="text1"/>
                <w:sz w:val="24"/>
                <w:szCs w:val="24"/>
              </w:rPr>
              <w:t>(Harmon, 2025)</w:t>
            </w:r>
          </w:p>
        </w:tc>
        <w:tc>
          <w:tcPr>
            <w:tcW w:w="0" w:type="auto"/>
            <w:hideMark/>
          </w:tcPr>
          <w:p w14:paraId="31B3A6B0"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Sustains innovation-driven competitive advantage</w:t>
            </w:r>
          </w:p>
        </w:tc>
      </w:tr>
      <w:tr w:rsidR="007D2C07" w:rsidRPr="001C47C9" w14:paraId="74FC618B" w14:textId="77777777" w:rsidTr="00992246">
        <w:tc>
          <w:tcPr>
            <w:tcW w:w="0" w:type="auto"/>
            <w:hideMark/>
          </w:tcPr>
          <w:p w14:paraId="4BC3B73E"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Firm Infrastructure</w:t>
            </w:r>
          </w:p>
        </w:tc>
        <w:tc>
          <w:tcPr>
            <w:tcW w:w="0" w:type="auto"/>
            <w:hideMark/>
          </w:tcPr>
          <w:p w14:paraId="2E599A1E"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Integrated ecosystem (EVs, energy storage, AI systems)</w:t>
            </w:r>
          </w:p>
        </w:tc>
        <w:tc>
          <w:tcPr>
            <w:tcW w:w="0" w:type="auto"/>
            <w:hideMark/>
          </w:tcPr>
          <w:p w14:paraId="3E7A4D83"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Supports diversification and long-term growth strategy</w:t>
            </w:r>
          </w:p>
        </w:tc>
      </w:tr>
    </w:tbl>
    <w:p w14:paraId="1137123A" w14:textId="77777777" w:rsidR="007D2C07" w:rsidRPr="001C47C9" w:rsidRDefault="007D2C07" w:rsidP="007D2C07">
      <w:pPr>
        <w:spacing w:before="120" w:after="240" w:line="360" w:lineRule="auto"/>
        <w:rPr>
          <w:rFonts w:ascii="Times New Roman" w:hAnsi="Times New Roman" w:cs="Times New Roman"/>
          <w:color w:val="000000" w:themeColor="text1"/>
          <w:sz w:val="24"/>
          <w:szCs w:val="24"/>
        </w:rPr>
      </w:pPr>
    </w:p>
    <w:p w14:paraId="08C2F0F3" w14:textId="77777777" w:rsidR="007D2C07" w:rsidRPr="001C47C9" w:rsidRDefault="007D2C07" w:rsidP="007D2C07">
      <w:pPr>
        <w:pStyle w:val="2"/>
        <w:rPr>
          <w:rFonts w:hint="eastAsia"/>
          <w:color w:val="000000" w:themeColor="text1"/>
        </w:rPr>
      </w:pPr>
      <w:bookmarkStart w:id="26" w:name="_Toc225283219"/>
      <w:r w:rsidRPr="001C47C9">
        <w:rPr>
          <w:color w:val="000000" w:themeColor="text1"/>
        </w:rPr>
        <w:lastRenderedPageBreak/>
        <w:t>Appendix 6: SWOT/TOWS Analysis</w:t>
      </w:r>
      <w:bookmarkEnd w:id="26"/>
    </w:p>
    <w:p w14:paraId="39A23E65" w14:textId="77777777" w:rsidR="007D2C07" w:rsidRPr="001C47C9" w:rsidRDefault="007D2C07" w:rsidP="007D2C07">
      <w:pPr>
        <w:spacing w:before="120" w:after="240" w:line="360" w:lineRule="auto"/>
        <w:jc w:val="center"/>
        <w:rPr>
          <w:rFonts w:ascii="Times New Roman" w:hAnsi="Times New Roman" w:cs="Times New Roman"/>
          <w:b/>
          <w:color w:val="000000" w:themeColor="text1"/>
          <w:sz w:val="24"/>
          <w:szCs w:val="24"/>
          <w:lang w:val="en-AU"/>
        </w:rPr>
      </w:pPr>
      <w:r w:rsidRPr="001C47C9">
        <w:rPr>
          <w:rFonts w:ascii="Times New Roman" w:hAnsi="Times New Roman" w:cs="Times New Roman"/>
          <w:b/>
          <w:color w:val="000000" w:themeColor="text1"/>
          <w:sz w:val="24"/>
          <w:szCs w:val="24"/>
          <w:lang w:val="en-AU"/>
        </w:rPr>
        <w:t>Table 6: SWOT Analysis</w:t>
      </w:r>
    </w:p>
    <w:tbl>
      <w:tblPr>
        <w:tblStyle w:val="af1"/>
        <w:tblW w:w="0" w:type="auto"/>
        <w:tblLook w:val="04A0" w:firstRow="1" w:lastRow="0" w:firstColumn="1" w:lastColumn="0" w:noHBand="0" w:noVBand="1"/>
      </w:tblPr>
      <w:tblGrid>
        <w:gridCol w:w="4892"/>
        <w:gridCol w:w="4124"/>
      </w:tblGrid>
      <w:tr w:rsidR="007D2C07" w:rsidRPr="001C47C9" w14:paraId="410E4ECE" w14:textId="77777777" w:rsidTr="00992246">
        <w:tc>
          <w:tcPr>
            <w:tcW w:w="0" w:type="auto"/>
            <w:hideMark/>
          </w:tcPr>
          <w:p w14:paraId="2040714D"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Strengths (S)</w:t>
            </w:r>
          </w:p>
        </w:tc>
        <w:tc>
          <w:tcPr>
            <w:tcW w:w="0" w:type="auto"/>
            <w:hideMark/>
          </w:tcPr>
          <w:p w14:paraId="63474AD2"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Weaknesses (W)</w:t>
            </w:r>
          </w:p>
        </w:tc>
      </w:tr>
      <w:tr w:rsidR="007D2C07" w:rsidRPr="001C47C9" w14:paraId="539DF534" w14:textId="77777777" w:rsidTr="00992246">
        <w:trPr>
          <w:trHeight w:val="3395"/>
        </w:trPr>
        <w:tc>
          <w:tcPr>
            <w:tcW w:w="0" w:type="auto"/>
            <w:hideMark/>
          </w:tcPr>
          <w:p w14:paraId="5CF1F99E" w14:textId="77777777" w:rsidR="007D2C07" w:rsidRPr="001C47C9" w:rsidRDefault="007D2C07" w:rsidP="007D2C07">
            <w:pPr>
              <w:pStyle w:val="a9"/>
              <w:numPr>
                <w:ilvl w:val="0"/>
                <w:numId w:val="5"/>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Strong global brand value and innovation leadership in EV market </w:t>
            </w:r>
          </w:p>
          <w:p w14:paraId="4A0218DC" w14:textId="77777777" w:rsidR="007D2C07" w:rsidRPr="001C47C9" w:rsidRDefault="007D2C07" w:rsidP="007D2C07">
            <w:pPr>
              <w:pStyle w:val="a9"/>
              <w:numPr>
                <w:ilvl w:val="0"/>
                <w:numId w:val="5"/>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Advanced battery technology and vertically integrated production (Gigafactories) </w:t>
            </w:r>
            <w:r w:rsidRPr="001C47C9">
              <w:rPr>
                <w:rFonts w:ascii="Times New Roman" w:hAnsi="Times New Roman" w:cs="Times New Roman"/>
                <w:color w:val="000000" w:themeColor="text1"/>
                <w:sz w:val="24"/>
                <w:szCs w:val="24"/>
              </w:rPr>
              <w:t>(Hargreaves, 2026)</w:t>
            </w:r>
          </w:p>
          <w:p w14:paraId="4D80906E" w14:textId="77777777" w:rsidR="007D2C07" w:rsidRPr="001C47C9" w:rsidRDefault="007D2C07" w:rsidP="007D2C07">
            <w:pPr>
              <w:pStyle w:val="a9"/>
              <w:numPr>
                <w:ilvl w:val="0"/>
                <w:numId w:val="5"/>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Extensive Supercharger network (50,000+ globally) enhancing customer convenience </w:t>
            </w:r>
            <w:r w:rsidRPr="001C47C9">
              <w:rPr>
                <w:rFonts w:ascii="Times New Roman" w:hAnsi="Times New Roman" w:cs="Times New Roman"/>
                <w:color w:val="000000" w:themeColor="text1"/>
                <w:sz w:val="24"/>
                <w:szCs w:val="24"/>
              </w:rPr>
              <w:t>(Euromonitor International, 2024</w:t>
            </w:r>
            <w:r w:rsidRPr="001C47C9">
              <w:rPr>
                <w:rFonts w:ascii="Times New Roman" w:eastAsia="Times New Roman" w:hAnsi="Times New Roman" w:cs="Times New Roman"/>
                <w:color w:val="000000" w:themeColor="text1"/>
                <w:sz w:val="24"/>
                <w:szCs w:val="24"/>
                <w:lang w:val="en-AU" w:eastAsia="en-AU"/>
              </w:rPr>
              <w:t>)</w:t>
            </w:r>
          </w:p>
          <w:p w14:paraId="5831A400" w14:textId="77777777" w:rsidR="007D2C07" w:rsidRPr="001C47C9" w:rsidRDefault="007D2C07" w:rsidP="007D2C07">
            <w:pPr>
              <w:pStyle w:val="a9"/>
              <w:numPr>
                <w:ilvl w:val="0"/>
                <w:numId w:val="5"/>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Strong R&amp;D capability in AI, autonomy, and energy systems (~$3.1B investment) </w:t>
            </w:r>
            <w:r w:rsidRPr="001C47C9">
              <w:rPr>
                <w:rFonts w:ascii="Times New Roman" w:hAnsi="Times New Roman" w:cs="Times New Roman"/>
                <w:color w:val="000000" w:themeColor="text1"/>
                <w:sz w:val="24"/>
                <w:szCs w:val="24"/>
              </w:rPr>
              <w:t>(Harmon, 2025)</w:t>
            </w:r>
          </w:p>
        </w:tc>
        <w:tc>
          <w:tcPr>
            <w:tcW w:w="0" w:type="auto"/>
            <w:hideMark/>
          </w:tcPr>
          <w:p w14:paraId="036D7E41" w14:textId="77777777" w:rsidR="007D2C07" w:rsidRPr="001C47C9" w:rsidRDefault="007D2C07" w:rsidP="007D2C07">
            <w:pPr>
              <w:pStyle w:val="a9"/>
              <w:numPr>
                <w:ilvl w:val="0"/>
                <w:numId w:val="5"/>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Profit margins pressured due to aggressive price cuts in 2023-2024 </w:t>
            </w:r>
            <w:r w:rsidRPr="001C47C9">
              <w:rPr>
                <w:rFonts w:ascii="Times New Roman" w:hAnsi="Times New Roman" w:cs="Times New Roman"/>
                <w:color w:val="000000" w:themeColor="text1"/>
                <w:sz w:val="24"/>
                <w:szCs w:val="24"/>
              </w:rPr>
              <w:t>(Dahdal, 2024)</w:t>
            </w:r>
          </w:p>
          <w:p w14:paraId="1A912675" w14:textId="77777777" w:rsidR="007D2C07" w:rsidRPr="001C47C9" w:rsidRDefault="007D2C07" w:rsidP="007D2C07">
            <w:pPr>
              <w:pStyle w:val="a9"/>
              <w:numPr>
                <w:ilvl w:val="0"/>
                <w:numId w:val="5"/>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Limited after-sales service capacity and reported service delays </w:t>
            </w:r>
          </w:p>
          <w:p w14:paraId="4D7D1BBD" w14:textId="77777777" w:rsidR="007D2C07" w:rsidRPr="001C47C9" w:rsidRDefault="007D2C07" w:rsidP="007D2C07">
            <w:pPr>
              <w:pStyle w:val="a9"/>
              <w:numPr>
                <w:ilvl w:val="0"/>
                <w:numId w:val="5"/>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Heavy reliance on CEO-led brand perception and leadership decisions</w:t>
            </w:r>
          </w:p>
        </w:tc>
      </w:tr>
      <w:tr w:rsidR="007D2C07" w:rsidRPr="001C47C9" w14:paraId="1A34D425" w14:textId="77777777" w:rsidTr="00992246">
        <w:tc>
          <w:tcPr>
            <w:tcW w:w="0" w:type="auto"/>
            <w:hideMark/>
          </w:tcPr>
          <w:p w14:paraId="6DD4BA08" w14:textId="77777777" w:rsidR="007D2C07" w:rsidRPr="001C47C9" w:rsidRDefault="007D2C07" w:rsidP="00992246">
            <w:pPr>
              <w:spacing w:before="120" w:after="240" w:line="360" w:lineRule="auto"/>
              <w:jc w:val="both"/>
              <w:rPr>
                <w:rFonts w:ascii="Times New Roman" w:eastAsia="Times New Roman" w:hAnsi="Times New Roman" w:cs="Times New Roman"/>
                <w:b/>
                <w:color w:val="000000" w:themeColor="text1"/>
                <w:sz w:val="24"/>
                <w:szCs w:val="24"/>
                <w:lang w:val="en-AU" w:eastAsia="en-AU"/>
              </w:rPr>
            </w:pPr>
            <w:r w:rsidRPr="001C47C9">
              <w:rPr>
                <w:rFonts w:ascii="Times New Roman" w:eastAsia="Times New Roman" w:hAnsi="Times New Roman" w:cs="Times New Roman"/>
                <w:b/>
                <w:color w:val="000000" w:themeColor="text1"/>
                <w:sz w:val="24"/>
                <w:szCs w:val="24"/>
                <w:lang w:val="en-AU" w:eastAsia="en-AU"/>
              </w:rPr>
              <w:t>Opportunities (O)</w:t>
            </w:r>
          </w:p>
        </w:tc>
        <w:tc>
          <w:tcPr>
            <w:tcW w:w="0" w:type="auto"/>
            <w:hideMark/>
          </w:tcPr>
          <w:p w14:paraId="14F1C590" w14:textId="77777777" w:rsidR="007D2C07" w:rsidRPr="001C47C9" w:rsidRDefault="007D2C07" w:rsidP="00992246">
            <w:pPr>
              <w:spacing w:before="120" w:after="240" w:line="360" w:lineRule="auto"/>
              <w:jc w:val="both"/>
              <w:rPr>
                <w:rFonts w:ascii="Times New Roman" w:eastAsia="Times New Roman" w:hAnsi="Times New Roman" w:cs="Times New Roman"/>
                <w:b/>
                <w:color w:val="000000" w:themeColor="text1"/>
                <w:sz w:val="24"/>
                <w:szCs w:val="24"/>
                <w:lang w:val="en-AU" w:eastAsia="en-AU"/>
              </w:rPr>
            </w:pPr>
            <w:r w:rsidRPr="001C47C9">
              <w:rPr>
                <w:rFonts w:ascii="Times New Roman" w:eastAsia="Times New Roman" w:hAnsi="Times New Roman" w:cs="Times New Roman"/>
                <w:b/>
                <w:color w:val="000000" w:themeColor="text1"/>
                <w:sz w:val="24"/>
                <w:szCs w:val="24"/>
                <w:lang w:val="en-AU" w:eastAsia="en-AU"/>
              </w:rPr>
              <w:t>Threats (T)</w:t>
            </w:r>
          </w:p>
        </w:tc>
      </w:tr>
      <w:tr w:rsidR="007D2C07" w:rsidRPr="001C47C9" w14:paraId="727CBC60" w14:textId="77777777" w:rsidTr="00992246">
        <w:trPr>
          <w:trHeight w:val="3418"/>
        </w:trPr>
        <w:tc>
          <w:tcPr>
            <w:tcW w:w="0" w:type="auto"/>
            <w:hideMark/>
          </w:tcPr>
          <w:p w14:paraId="77BB5712" w14:textId="77777777" w:rsidR="007D2C07" w:rsidRPr="001C47C9" w:rsidRDefault="007D2C07" w:rsidP="007D2C07">
            <w:pPr>
              <w:pStyle w:val="a9"/>
              <w:numPr>
                <w:ilvl w:val="0"/>
                <w:numId w:val="3"/>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Rapid global EV market growth (~14 million EV sales in 2023) </w:t>
            </w:r>
            <w:r w:rsidRPr="001C47C9">
              <w:rPr>
                <w:rFonts w:ascii="Times New Roman" w:hAnsi="Times New Roman" w:cs="Times New Roman"/>
                <w:color w:val="000000" w:themeColor="text1"/>
                <w:sz w:val="24"/>
                <w:szCs w:val="24"/>
              </w:rPr>
              <w:t>(International Energy Agency, 2024b)</w:t>
            </w:r>
            <w:r w:rsidRPr="001C47C9">
              <w:rPr>
                <w:rFonts w:ascii="Times New Roman" w:eastAsia="Times New Roman" w:hAnsi="Times New Roman" w:cs="Times New Roman"/>
                <w:color w:val="000000" w:themeColor="text1"/>
                <w:sz w:val="24"/>
                <w:szCs w:val="24"/>
                <w:lang w:val="en-AU" w:eastAsia="en-AU"/>
              </w:rPr>
              <w:t xml:space="preserve"> </w:t>
            </w:r>
          </w:p>
          <w:p w14:paraId="69084041" w14:textId="77777777" w:rsidR="007D2C07" w:rsidRPr="001C47C9" w:rsidRDefault="007D2C07" w:rsidP="007D2C07">
            <w:pPr>
              <w:pStyle w:val="a9"/>
              <w:numPr>
                <w:ilvl w:val="0"/>
                <w:numId w:val="6"/>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Expansion into energy storage and AI-driven technologies (</w:t>
            </w:r>
            <w:r w:rsidRPr="001C47C9">
              <w:rPr>
                <w:rFonts w:ascii="Times New Roman" w:hAnsi="Times New Roman" w:cs="Times New Roman"/>
                <w:color w:val="000000" w:themeColor="text1"/>
                <w:sz w:val="24"/>
                <w:szCs w:val="24"/>
              </w:rPr>
              <w:t>Colthorpe, 2026</w:t>
            </w:r>
            <w:r w:rsidRPr="001C47C9">
              <w:rPr>
                <w:rFonts w:ascii="Times New Roman" w:eastAsia="Times New Roman" w:hAnsi="Times New Roman" w:cs="Times New Roman"/>
                <w:color w:val="000000" w:themeColor="text1"/>
                <w:sz w:val="24"/>
                <w:szCs w:val="24"/>
                <w:lang w:val="en-AU" w:eastAsia="en-AU"/>
              </w:rPr>
              <w:t>)</w:t>
            </w:r>
          </w:p>
          <w:p w14:paraId="7C95DB0C" w14:textId="77777777" w:rsidR="007D2C07" w:rsidRPr="001C47C9" w:rsidRDefault="007D2C07" w:rsidP="007D2C07">
            <w:pPr>
              <w:pStyle w:val="a9"/>
              <w:numPr>
                <w:ilvl w:val="0"/>
                <w:numId w:val="6"/>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Government incentives supporting EV adoption (e.g., U.S. tax credits) (IRS, 2025)</w:t>
            </w:r>
          </w:p>
          <w:p w14:paraId="1C01489B" w14:textId="77777777" w:rsidR="007D2C07" w:rsidRPr="001C47C9" w:rsidRDefault="007D2C07" w:rsidP="007D2C07">
            <w:pPr>
              <w:pStyle w:val="a9"/>
              <w:numPr>
                <w:ilvl w:val="0"/>
                <w:numId w:val="6"/>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lastRenderedPageBreak/>
              <w:t xml:space="preserve">Increasing consumer shift toward sustainability and clean energy </w:t>
            </w:r>
            <w:r w:rsidRPr="001C47C9">
              <w:rPr>
                <w:rFonts w:ascii="Times New Roman" w:hAnsi="Times New Roman" w:cs="Times New Roman"/>
                <w:color w:val="000000" w:themeColor="text1"/>
                <w:sz w:val="24"/>
                <w:szCs w:val="24"/>
              </w:rPr>
              <w:t>(Deo and Prasad, 2024)</w:t>
            </w:r>
          </w:p>
        </w:tc>
        <w:tc>
          <w:tcPr>
            <w:tcW w:w="0" w:type="auto"/>
            <w:hideMark/>
          </w:tcPr>
          <w:p w14:paraId="784B35DA" w14:textId="77777777" w:rsidR="007D2C07" w:rsidRPr="001C47C9" w:rsidRDefault="007D2C07" w:rsidP="007D2C07">
            <w:pPr>
              <w:pStyle w:val="a9"/>
              <w:numPr>
                <w:ilvl w:val="0"/>
                <w:numId w:val="6"/>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lastRenderedPageBreak/>
              <w:t xml:space="preserve">Intensifying competition from BYD, Volkswagen, Ford, and GM </w:t>
            </w:r>
          </w:p>
          <w:p w14:paraId="785DDA56" w14:textId="77777777" w:rsidR="007D2C07" w:rsidRPr="001C47C9" w:rsidRDefault="007D2C07" w:rsidP="007D2C07">
            <w:pPr>
              <w:pStyle w:val="a9"/>
              <w:numPr>
                <w:ilvl w:val="0"/>
                <w:numId w:val="6"/>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Regulatory scrutiny on autonomous driving systems </w:t>
            </w:r>
            <w:r w:rsidRPr="001C47C9">
              <w:rPr>
                <w:rFonts w:ascii="Times New Roman" w:hAnsi="Times New Roman" w:cs="Times New Roman"/>
                <w:color w:val="000000" w:themeColor="text1"/>
                <w:sz w:val="24"/>
                <w:szCs w:val="24"/>
              </w:rPr>
              <w:t>(White, 2026</w:t>
            </w:r>
            <w:r w:rsidRPr="001C47C9">
              <w:rPr>
                <w:rFonts w:ascii="Times New Roman" w:eastAsia="Times New Roman" w:hAnsi="Times New Roman" w:cs="Times New Roman"/>
                <w:color w:val="000000" w:themeColor="text1"/>
                <w:sz w:val="24"/>
                <w:szCs w:val="24"/>
                <w:lang w:val="en-AU" w:eastAsia="en-AU"/>
              </w:rPr>
              <w:t>)</w:t>
            </w:r>
          </w:p>
          <w:p w14:paraId="438E160B" w14:textId="77777777" w:rsidR="007D2C07" w:rsidRPr="001C47C9" w:rsidRDefault="007D2C07" w:rsidP="007D2C07">
            <w:pPr>
              <w:pStyle w:val="a9"/>
              <w:numPr>
                <w:ilvl w:val="0"/>
                <w:numId w:val="6"/>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Supply chain risks due to dependence on lithium, nickel, </w:t>
            </w:r>
            <w:r w:rsidRPr="001C47C9">
              <w:rPr>
                <w:rFonts w:ascii="Times New Roman" w:eastAsia="Times New Roman" w:hAnsi="Times New Roman" w:cs="Times New Roman"/>
                <w:color w:val="000000" w:themeColor="text1"/>
                <w:sz w:val="24"/>
                <w:szCs w:val="24"/>
                <w:lang w:val="en-AU" w:eastAsia="en-AU"/>
              </w:rPr>
              <w:lastRenderedPageBreak/>
              <w:t xml:space="preserve">and critical minerals </w:t>
            </w:r>
            <w:r w:rsidRPr="001C47C9">
              <w:rPr>
                <w:rFonts w:ascii="Times New Roman" w:hAnsi="Times New Roman" w:cs="Times New Roman"/>
                <w:color w:val="000000" w:themeColor="text1"/>
                <w:sz w:val="24"/>
                <w:szCs w:val="24"/>
              </w:rPr>
              <w:t>(Jennifer, 2026)</w:t>
            </w:r>
          </w:p>
          <w:p w14:paraId="3CF08720" w14:textId="77777777" w:rsidR="007D2C07" w:rsidRPr="001C47C9" w:rsidRDefault="007D2C07" w:rsidP="007D2C07">
            <w:pPr>
              <w:pStyle w:val="a9"/>
              <w:numPr>
                <w:ilvl w:val="0"/>
                <w:numId w:val="6"/>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Price wars in EV market reducing industry profitability </w:t>
            </w:r>
          </w:p>
        </w:tc>
      </w:tr>
    </w:tbl>
    <w:p w14:paraId="3653A257"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lang w:val="en-AU"/>
        </w:rPr>
      </w:pPr>
    </w:p>
    <w:p w14:paraId="4187B9FF" w14:textId="77777777" w:rsidR="007D2C07" w:rsidRPr="001C47C9" w:rsidRDefault="007D2C07" w:rsidP="007D2C07">
      <w:pPr>
        <w:spacing w:before="120" w:after="240" w:line="360" w:lineRule="auto"/>
        <w:jc w:val="center"/>
        <w:rPr>
          <w:rFonts w:ascii="Times New Roman" w:hAnsi="Times New Roman" w:cs="Times New Roman"/>
          <w:b/>
          <w:color w:val="000000" w:themeColor="text1"/>
          <w:sz w:val="24"/>
          <w:szCs w:val="24"/>
          <w:lang w:val="en-AU"/>
        </w:rPr>
      </w:pPr>
      <w:r w:rsidRPr="001C47C9">
        <w:rPr>
          <w:rFonts w:ascii="Times New Roman" w:hAnsi="Times New Roman" w:cs="Times New Roman"/>
          <w:b/>
          <w:color w:val="000000" w:themeColor="text1"/>
          <w:sz w:val="24"/>
          <w:szCs w:val="24"/>
          <w:lang w:val="en-AU"/>
        </w:rPr>
        <w:t>Table 7: TOWS Analysis</w:t>
      </w:r>
    </w:p>
    <w:tbl>
      <w:tblPr>
        <w:tblStyle w:val="af1"/>
        <w:tblW w:w="0" w:type="auto"/>
        <w:tblLook w:val="04A0" w:firstRow="1" w:lastRow="0" w:firstColumn="1" w:lastColumn="0" w:noHBand="0" w:noVBand="1"/>
      </w:tblPr>
      <w:tblGrid>
        <w:gridCol w:w="1528"/>
        <w:gridCol w:w="3730"/>
        <w:gridCol w:w="3758"/>
      </w:tblGrid>
      <w:tr w:rsidR="007D2C07" w:rsidRPr="001C47C9" w14:paraId="23B823CC" w14:textId="77777777" w:rsidTr="00992246">
        <w:tc>
          <w:tcPr>
            <w:tcW w:w="0" w:type="auto"/>
            <w:hideMark/>
          </w:tcPr>
          <w:p w14:paraId="0EF7560A"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p>
        </w:tc>
        <w:tc>
          <w:tcPr>
            <w:tcW w:w="0" w:type="auto"/>
            <w:hideMark/>
          </w:tcPr>
          <w:p w14:paraId="41AC6E69"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Opportunities (O)</w:t>
            </w:r>
          </w:p>
        </w:tc>
        <w:tc>
          <w:tcPr>
            <w:tcW w:w="0" w:type="auto"/>
            <w:hideMark/>
          </w:tcPr>
          <w:p w14:paraId="0F149581" w14:textId="77777777" w:rsidR="007D2C07" w:rsidRPr="001C47C9" w:rsidRDefault="007D2C07" w:rsidP="00992246">
            <w:pPr>
              <w:spacing w:before="120" w:after="240" w:line="360" w:lineRule="auto"/>
              <w:jc w:val="both"/>
              <w:rPr>
                <w:rFonts w:ascii="Times New Roman" w:eastAsia="Times New Roman" w:hAnsi="Times New Roman" w:cs="Times New Roman"/>
                <w:b/>
                <w:bCs/>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Threats (T)</w:t>
            </w:r>
          </w:p>
        </w:tc>
      </w:tr>
      <w:tr w:rsidR="007D2C07" w:rsidRPr="001C47C9" w14:paraId="7631CE6B" w14:textId="77777777" w:rsidTr="00992246">
        <w:tc>
          <w:tcPr>
            <w:tcW w:w="0" w:type="auto"/>
            <w:hideMark/>
          </w:tcPr>
          <w:p w14:paraId="6A4209D8"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Strengths (S)</w:t>
            </w:r>
          </w:p>
        </w:tc>
        <w:tc>
          <w:tcPr>
            <w:tcW w:w="0" w:type="auto"/>
            <w:hideMark/>
          </w:tcPr>
          <w:p w14:paraId="0280A147"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SO Strategies</w:t>
            </w:r>
          </w:p>
        </w:tc>
        <w:tc>
          <w:tcPr>
            <w:tcW w:w="0" w:type="auto"/>
            <w:hideMark/>
          </w:tcPr>
          <w:p w14:paraId="1BB7D34C"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ST Strategies</w:t>
            </w:r>
          </w:p>
        </w:tc>
      </w:tr>
      <w:tr w:rsidR="007D2C07" w:rsidRPr="001C47C9" w14:paraId="16C97DEB" w14:textId="77777777" w:rsidTr="00992246">
        <w:trPr>
          <w:trHeight w:val="2242"/>
        </w:trPr>
        <w:tc>
          <w:tcPr>
            <w:tcW w:w="0" w:type="auto"/>
            <w:hideMark/>
          </w:tcPr>
          <w:p w14:paraId="6FC8DE79"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p>
        </w:tc>
        <w:tc>
          <w:tcPr>
            <w:tcW w:w="0" w:type="auto"/>
            <w:hideMark/>
          </w:tcPr>
          <w:p w14:paraId="080BAEB0" w14:textId="77777777" w:rsidR="007D2C07" w:rsidRPr="001C47C9" w:rsidRDefault="007D2C07" w:rsidP="007D2C07">
            <w:pPr>
              <w:pStyle w:val="a9"/>
              <w:numPr>
                <w:ilvl w:val="0"/>
                <w:numId w:val="7"/>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Leverage strong brand and innovation capabilities to expand in high-growth EV markets </w:t>
            </w:r>
          </w:p>
          <w:p w14:paraId="43394A9D" w14:textId="77777777" w:rsidR="007D2C07" w:rsidRPr="001C47C9" w:rsidRDefault="007D2C07" w:rsidP="007D2C07">
            <w:pPr>
              <w:pStyle w:val="a9"/>
              <w:numPr>
                <w:ilvl w:val="0"/>
                <w:numId w:val="7"/>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Utilise R&amp;D and technological leadership to scale energy storage and AI businesses </w:t>
            </w:r>
          </w:p>
        </w:tc>
        <w:tc>
          <w:tcPr>
            <w:tcW w:w="0" w:type="auto"/>
            <w:hideMark/>
          </w:tcPr>
          <w:p w14:paraId="07F0371D" w14:textId="77777777" w:rsidR="007D2C07" w:rsidRPr="001C47C9" w:rsidRDefault="007D2C07" w:rsidP="007D2C07">
            <w:pPr>
              <w:pStyle w:val="a9"/>
              <w:numPr>
                <w:ilvl w:val="0"/>
                <w:numId w:val="7"/>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Use advanced battery and charging infrastructure to differentiate against low-cost competitors</w:t>
            </w:r>
          </w:p>
          <w:p w14:paraId="257F115A" w14:textId="77777777" w:rsidR="007D2C07" w:rsidRPr="001C47C9" w:rsidRDefault="007D2C07" w:rsidP="007D2C07">
            <w:pPr>
              <w:pStyle w:val="a9"/>
              <w:numPr>
                <w:ilvl w:val="0"/>
                <w:numId w:val="7"/>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Strengthen autonomous driving capabilities to maintain technological edge amid rising competition</w:t>
            </w:r>
          </w:p>
        </w:tc>
      </w:tr>
      <w:tr w:rsidR="007D2C07" w:rsidRPr="001C47C9" w14:paraId="6B45B7DF" w14:textId="77777777" w:rsidTr="00992246">
        <w:tc>
          <w:tcPr>
            <w:tcW w:w="0" w:type="auto"/>
            <w:hideMark/>
          </w:tcPr>
          <w:p w14:paraId="4AF05A24"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Weaknesses (W)</w:t>
            </w:r>
          </w:p>
        </w:tc>
        <w:tc>
          <w:tcPr>
            <w:tcW w:w="0" w:type="auto"/>
            <w:hideMark/>
          </w:tcPr>
          <w:p w14:paraId="01BEF2A5"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WO Strategies</w:t>
            </w:r>
          </w:p>
        </w:tc>
        <w:tc>
          <w:tcPr>
            <w:tcW w:w="0" w:type="auto"/>
            <w:hideMark/>
          </w:tcPr>
          <w:p w14:paraId="156F5612"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b/>
                <w:bCs/>
                <w:color w:val="000000" w:themeColor="text1"/>
                <w:sz w:val="24"/>
                <w:szCs w:val="24"/>
                <w:lang w:val="en-AU" w:eastAsia="en-AU"/>
              </w:rPr>
              <w:t>WT Strategies</w:t>
            </w:r>
          </w:p>
        </w:tc>
      </w:tr>
      <w:tr w:rsidR="007D2C07" w:rsidRPr="001C47C9" w14:paraId="6CA270C8" w14:textId="77777777" w:rsidTr="00992246">
        <w:trPr>
          <w:trHeight w:val="2518"/>
        </w:trPr>
        <w:tc>
          <w:tcPr>
            <w:tcW w:w="0" w:type="auto"/>
            <w:hideMark/>
          </w:tcPr>
          <w:p w14:paraId="6CABD3DB" w14:textId="77777777" w:rsidR="007D2C07" w:rsidRPr="001C47C9" w:rsidRDefault="007D2C07" w:rsidP="00992246">
            <w:pPr>
              <w:spacing w:before="120" w:after="240" w:line="360" w:lineRule="auto"/>
              <w:jc w:val="both"/>
              <w:rPr>
                <w:rFonts w:ascii="Times New Roman" w:eastAsia="Times New Roman" w:hAnsi="Times New Roman" w:cs="Times New Roman"/>
                <w:color w:val="000000" w:themeColor="text1"/>
                <w:sz w:val="24"/>
                <w:szCs w:val="24"/>
                <w:lang w:val="en-AU" w:eastAsia="en-AU"/>
              </w:rPr>
            </w:pPr>
          </w:p>
        </w:tc>
        <w:tc>
          <w:tcPr>
            <w:tcW w:w="0" w:type="auto"/>
            <w:hideMark/>
          </w:tcPr>
          <w:p w14:paraId="16EB5D7D" w14:textId="77777777" w:rsidR="007D2C07" w:rsidRPr="001C47C9" w:rsidRDefault="007D2C07" w:rsidP="007D2C07">
            <w:pPr>
              <w:pStyle w:val="a9"/>
              <w:numPr>
                <w:ilvl w:val="0"/>
                <w:numId w:val="8"/>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Reduce dependence on automotive revenue by expanding energy and software segments </w:t>
            </w:r>
          </w:p>
          <w:p w14:paraId="5E6E51A9" w14:textId="77777777" w:rsidR="007D2C07" w:rsidRPr="001C47C9" w:rsidRDefault="007D2C07" w:rsidP="007D2C07">
            <w:pPr>
              <w:pStyle w:val="a9"/>
              <w:numPr>
                <w:ilvl w:val="0"/>
                <w:numId w:val="8"/>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Enhance service infrastructure to support growing EV adoption and improve customer experience</w:t>
            </w:r>
          </w:p>
        </w:tc>
        <w:tc>
          <w:tcPr>
            <w:tcW w:w="0" w:type="auto"/>
            <w:hideMark/>
          </w:tcPr>
          <w:p w14:paraId="493FA4A6" w14:textId="77777777" w:rsidR="007D2C07" w:rsidRPr="001C47C9" w:rsidRDefault="007D2C07" w:rsidP="007D2C07">
            <w:pPr>
              <w:pStyle w:val="a9"/>
              <w:numPr>
                <w:ilvl w:val="0"/>
                <w:numId w:val="8"/>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Improve operational efficiency and cost control to offset margin pressure from price competition </w:t>
            </w:r>
          </w:p>
          <w:p w14:paraId="299C4F7E" w14:textId="77777777" w:rsidR="007D2C07" w:rsidRPr="001C47C9" w:rsidRDefault="007D2C07" w:rsidP="007D2C07">
            <w:pPr>
              <w:pStyle w:val="a9"/>
              <w:numPr>
                <w:ilvl w:val="0"/>
                <w:numId w:val="8"/>
              </w:numPr>
              <w:spacing w:before="120" w:after="240" w:line="360" w:lineRule="auto"/>
              <w:contextualSpacing w:val="0"/>
              <w:jc w:val="both"/>
              <w:rPr>
                <w:rFonts w:ascii="Times New Roman" w:eastAsia="Times New Roman" w:hAnsi="Times New Roman" w:cs="Times New Roman"/>
                <w:color w:val="000000" w:themeColor="text1"/>
                <w:sz w:val="24"/>
                <w:szCs w:val="24"/>
                <w:lang w:val="en-AU" w:eastAsia="en-AU"/>
              </w:rPr>
            </w:pPr>
            <w:r w:rsidRPr="001C47C9">
              <w:rPr>
                <w:rFonts w:ascii="Times New Roman" w:eastAsia="Times New Roman" w:hAnsi="Times New Roman" w:cs="Times New Roman"/>
                <w:color w:val="000000" w:themeColor="text1"/>
                <w:sz w:val="24"/>
                <w:szCs w:val="24"/>
                <w:lang w:val="en-AU" w:eastAsia="en-AU"/>
              </w:rPr>
              <w:t xml:space="preserve">Strengthen regulatory compliance and risk management in autonomous driving technologies </w:t>
            </w:r>
          </w:p>
        </w:tc>
      </w:tr>
    </w:tbl>
    <w:p w14:paraId="2ECDAAF5" w14:textId="77777777" w:rsidR="007D2C07" w:rsidRPr="001C47C9" w:rsidRDefault="007D2C07" w:rsidP="007D2C07">
      <w:pPr>
        <w:spacing w:before="120" w:after="240" w:line="360" w:lineRule="auto"/>
        <w:jc w:val="both"/>
        <w:rPr>
          <w:rFonts w:ascii="Times New Roman" w:hAnsi="Times New Roman" w:cs="Times New Roman"/>
          <w:color w:val="000000" w:themeColor="text1"/>
          <w:sz w:val="24"/>
          <w:szCs w:val="24"/>
          <w:lang w:val="en-AU"/>
        </w:rPr>
      </w:pPr>
    </w:p>
    <w:p w14:paraId="23244E0D" w14:textId="77777777" w:rsidR="007D2C07" w:rsidRPr="001C47C9" w:rsidRDefault="007D2C07" w:rsidP="007D2C07">
      <w:pPr>
        <w:spacing w:before="120" w:after="240" w:line="360" w:lineRule="auto"/>
        <w:jc w:val="both"/>
        <w:outlineLvl w:val="0"/>
        <w:rPr>
          <w:rFonts w:ascii="Times New Roman" w:hAnsi="Times New Roman" w:cs="Times New Roman"/>
          <w:color w:val="000000" w:themeColor="text1"/>
          <w:sz w:val="24"/>
          <w:szCs w:val="24"/>
          <w:lang w:val="en-AU"/>
        </w:rPr>
      </w:pPr>
    </w:p>
    <w:p w14:paraId="5523B24B" w14:textId="77777777" w:rsidR="00561DD0" w:rsidRPr="007D2C07" w:rsidRDefault="00561DD0">
      <w:pPr>
        <w:rPr>
          <w:rFonts w:hint="eastAsia"/>
          <w:lang w:val="en-AU"/>
        </w:rPr>
      </w:pPr>
    </w:p>
    <w:sectPr w:rsidR="00561DD0" w:rsidRPr="007D2C07" w:rsidSect="007D2C07">
      <w:footerReference w:type="even"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281EE" w14:textId="77777777" w:rsidR="00C0261B" w:rsidRDefault="00C0261B">
      <w:pPr>
        <w:spacing w:after="0" w:line="240" w:lineRule="auto"/>
        <w:rPr>
          <w:rFonts w:hint="eastAsia"/>
        </w:rPr>
      </w:pPr>
      <w:r>
        <w:separator/>
      </w:r>
    </w:p>
  </w:endnote>
  <w:endnote w:type="continuationSeparator" w:id="0">
    <w:p w14:paraId="5C9A8A0C" w14:textId="77777777" w:rsidR="00C0261B" w:rsidRDefault="00C0261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4"/>
      </w:rPr>
      <w:id w:val="117651450"/>
      <w:docPartObj>
        <w:docPartGallery w:val="Page Numbers (Bottom of Page)"/>
        <w:docPartUnique/>
      </w:docPartObj>
    </w:sdtPr>
    <w:sdtContent>
      <w:p w14:paraId="42D3026B" w14:textId="77777777" w:rsidR="007D2C07" w:rsidRDefault="007D2C07" w:rsidP="00992246">
        <w:pPr>
          <w:pStyle w:val="af2"/>
          <w:framePr w:wrap="none" w:vAnchor="text" w:hAnchor="margin" w:xAlign="right" w:y="1"/>
          <w:rPr>
            <w:rStyle w:val="af4"/>
            <w:rFonts w:hint="eastAsia"/>
          </w:rPr>
        </w:pPr>
        <w:r>
          <w:rPr>
            <w:rStyle w:val="af4"/>
          </w:rPr>
          <w:fldChar w:fldCharType="begin"/>
        </w:r>
        <w:r>
          <w:rPr>
            <w:rStyle w:val="af4"/>
          </w:rPr>
          <w:instrText xml:space="preserve"> PAGE </w:instrText>
        </w:r>
        <w:r>
          <w:rPr>
            <w:rStyle w:val="af4"/>
            <w:rFonts w:hint="eastAsia"/>
          </w:rPr>
          <w:fldChar w:fldCharType="separate"/>
        </w:r>
        <w:r>
          <w:rPr>
            <w:rStyle w:val="af4"/>
          </w:rPr>
          <w:fldChar w:fldCharType="end"/>
        </w:r>
      </w:p>
    </w:sdtContent>
  </w:sdt>
  <w:p w14:paraId="34109777" w14:textId="77777777" w:rsidR="007D2C07" w:rsidRDefault="007D2C07" w:rsidP="00992246">
    <w:pPr>
      <w:pStyle w:val="af2"/>
      <w:ind w:right="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4"/>
      </w:rPr>
      <w:id w:val="-1029487363"/>
      <w:docPartObj>
        <w:docPartGallery w:val="Page Numbers (Bottom of Page)"/>
        <w:docPartUnique/>
      </w:docPartObj>
    </w:sdtPr>
    <w:sdtContent>
      <w:p w14:paraId="4D1B016D" w14:textId="77777777" w:rsidR="007D2C07" w:rsidRDefault="007D2C07" w:rsidP="00992246">
        <w:pPr>
          <w:pStyle w:val="af2"/>
          <w:framePr w:wrap="none" w:vAnchor="text" w:hAnchor="margin" w:xAlign="right" w:y="1"/>
          <w:rPr>
            <w:rStyle w:val="af4"/>
            <w:rFonts w:hint="eastAsia"/>
          </w:rPr>
        </w:pPr>
        <w:r>
          <w:rPr>
            <w:rStyle w:val="af4"/>
          </w:rPr>
          <w:fldChar w:fldCharType="begin"/>
        </w:r>
        <w:r>
          <w:rPr>
            <w:rStyle w:val="af4"/>
          </w:rPr>
          <w:instrText xml:space="preserve"> PAGE </w:instrText>
        </w:r>
        <w:r>
          <w:rPr>
            <w:rStyle w:val="af4"/>
          </w:rPr>
          <w:fldChar w:fldCharType="separate"/>
        </w:r>
        <w:r>
          <w:rPr>
            <w:rStyle w:val="af4"/>
            <w:noProof/>
          </w:rPr>
          <w:t>3</w:t>
        </w:r>
        <w:r>
          <w:rPr>
            <w:rStyle w:val="af4"/>
          </w:rPr>
          <w:fldChar w:fldCharType="end"/>
        </w:r>
      </w:p>
    </w:sdtContent>
  </w:sdt>
  <w:p w14:paraId="20128D0A" w14:textId="77777777" w:rsidR="007D2C07" w:rsidRDefault="007D2C07" w:rsidP="00992246">
    <w:pPr>
      <w:pStyle w:val="af2"/>
      <w:ind w:right="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A30E6" w14:textId="77777777" w:rsidR="00C0261B" w:rsidRDefault="00C0261B">
      <w:pPr>
        <w:spacing w:after="0" w:line="240" w:lineRule="auto"/>
        <w:rPr>
          <w:rFonts w:hint="eastAsia"/>
        </w:rPr>
      </w:pPr>
      <w:r>
        <w:separator/>
      </w:r>
    </w:p>
  </w:footnote>
  <w:footnote w:type="continuationSeparator" w:id="0">
    <w:p w14:paraId="33C3BE50" w14:textId="77777777" w:rsidR="00C0261B" w:rsidRDefault="00C0261B">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2175F"/>
    <w:multiLevelType w:val="hybridMultilevel"/>
    <w:tmpl w:val="9814BE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B2585A"/>
    <w:multiLevelType w:val="hybridMultilevel"/>
    <w:tmpl w:val="D6423D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D1D4C9D"/>
    <w:multiLevelType w:val="hybridMultilevel"/>
    <w:tmpl w:val="EA58D7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6794BA4"/>
    <w:multiLevelType w:val="hybridMultilevel"/>
    <w:tmpl w:val="43AA34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9451253"/>
    <w:multiLevelType w:val="hybridMultilevel"/>
    <w:tmpl w:val="69766E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E9874AD"/>
    <w:multiLevelType w:val="hybridMultilevel"/>
    <w:tmpl w:val="D4A66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441B06C9"/>
    <w:multiLevelType w:val="hybridMultilevel"/>
    <w:tmpl w:val="FD5A11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53CD369D"/>
    <w:multiLevelType w:val="hybridMultilevel"/>
    <w:tmpl w:val="C62643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046565542">
    <w:abstractNumId w:val="3"/>
  </w:num>
  <w:num w:numId="2" w16cid:durableId="905839947">
    <w:abstractNumId w:val="7"/>
  </w:num>
  <w:num w:numId="3" w16cid:durableId="261766985">
    <w:abstractNumId w:val="2"/>
  </w:num>
  <w:num w:numId="4" w16cid:durableId="2067607647">
    <w:abstractNumId w:val="0"/>
  </w:num>
  <w:num w:numId="5" w16cid:durableId="737702624">
    <w:abstractNumId w:val="1"/>
  </w:num>
  <w:num w:numId="6" w16cid:durableId="962006590">
    <w:abstractNumId w:val="5"/>
  </w:num>
  <w:num w:numId="7" w16cid:durableId="1339965535">
    <w:abstractNumId w:val="6"/>
  </w:num>
  <w:num w:numId="8" w16cid:durableId="3950136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C07"/>
    <w:rsid w:val="000661A8"/>
    <w:rsid w:val="001E79B2"/>
    <w:rsid w:val="002F3BAC"/>
    <w:rsid w:val="00324F31"/>
    <w:rsid w:val="004A069F"/>
    <w:rsid w:val="00535544"/>
    <w:rsid w:val="00561DD0"/>
    <w:rsid w:val="005E7A3E"/>
    <w:rsid w:val="00647B44"/>
    <w:rsid w:val="006F48EA"/>
    <w:rsid w:val="007767BB"/>
    <w:rsid w:val="007D2C07"/>
    <w:rsid w:val="00992246"/>
    <w:rsid w:val="00A137F0"/>
    <w:rsid w:val="00C0261B"/>
    <w:rsid w:val="00CD2E37"/>
    <w:rsid w:val="00D7222B"/>
    <w:rsid w:val="00E01136"/>
    <w:rsid w:val="00E85585"/>
    <w:rsid w:val="00EC2C09"/>
    <w:rsid w:val="00ED7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490546"/>
  <w15:chartTrackingRefBased/>
  <w15:docId w15:val="{986EB739-8796-4223-83F0-202D9294A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2C07"/>
    <w:pPr>
      <w:spacing w:after="160" w:line="259" w:lineRule="auto"/>
    </w:pPr>
    <w:rPr>
      <w:kern w:val="0"/>
      <w:sz w:val="22"/>
      <w:lang w:val="en-GB" w:eastAsia="en-US"/>
    </w:rPr>
  </w:style>
  <w:style w:type="paragraph" w:styleId="1">
    <w:name w:val="heading 1"/>
    <w:basedOn w:val="a"/>
    <w:next w:val="a"/>
    <w:link w:val="10"/>
    <w:uiPriority w:val="9"/>
    <w:qFormat/>
    <w:rsid w:val="007D2C0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7D2C0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D2C0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D2C0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D2C07"/>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7D2C0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D2C0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D2C0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D2C0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D2C0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7D2C0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D2C0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D2C07"/>
    <w:rPr>
      <w:rFonts w:cstheme="majorBidi"/>
      <w:color w:val="0F4761" w:themeColor="accent1" w:themeShade="BF"/>
      <w:sz w:val="28"/>
      <w:szCs w:val="28"/>
    </w:rPr>
  </w:style>
  <w:style w:type="character" w:customStyle="1" w:styleId="50">
    <w:name w:val="标题 5 字符"/>
    <w:basedOn w:val="a0"/>
    <w:link w:val="5"/>
    <w:uiPriority w:val="9"/>
    <w:semiHidden/>
    <w:rsid w:val="007D2C07"/>
    <w:rPr>
      <w:rFonts w:cstheme="majorBidi"/>
      <w:color w:val="0F4761" w:themeColor="accent1" w:themeShade="BF"/>
      <w:sz w:val="24"/>
      <w:szCs w:val="24"/>
    </w:rPr>
  </w:style>
  <w:style w:type="character" w:customStyle="1" w:styleId="60">
    <w:name w:val="标题 6 字符"/>
    <w:basedOn w:val="a0"/>
    <w:link w:val="6"/>
    <w:uiPriority w:val="9"/>
    <w:semiHidden/>
    <w:rsid w:val="007D2C07"/>
    <w:rPr>
      <w:rFonts w:cstheme="majorBidi"/>
      <w:b/>
      <w:bCs/>
      <w:color w:val="0F4761" w:themeColor="accent1" w:themeShade="BF"/>
    </w:rPr>
  </w:style>
  <w:style w:type="character" w:customStyle="1" w:styleId="70">
    <w:name w:val="标题 7 字符"/>
    <w:basedOn w:val="a0"/>
    <w:link w:val="7"/>
    <w:uiPriority w:val="9"/>
    <w:semiHidden/>
    <w:rsid w:val="007D2C07"/>
    <w:rPr>
      <w:rFonts w:cstheme="majorBidi"/>
      <w:b/>
      <w:bCs/>
      <w:color w:val="595959" w:themeColor="text1" w:themeTint="A6"/>
    </w:rPr>
  </w:style>
  <w:style w:type="character" w:customStyle="1" w:styleId="80">
    <w:name w:val="标题 8 字符"/>
    <w:basedOn w:val="a0"/>
    <w:link w:val="8"/>
    <w:uiPriority w:val="9"/>
    <w:semiHidden/>
    <w:rsid w:val="007D2C07"/>
    <w:rPr>
      <w:rFonts w:cstheme="majorBidi"/>
      <w:color w:val="595959" w:themeColor="text1" w:themeTint="A6"/>
    </w:rPr>
  </w:style>
  <w:style w:type="character" w:customStyle="1" w:styleId="90">
    <w:name w:val="标题 9 字符"/>
    <w:basedOn w:val="a0"/>
    <w:link w:val="9"/>
    <w:uiPriority w:val="9"/>
    <w:semiHidden/>
    <w:rsid w:val="007D2C07"/>
    <w:rPr>
      <w:rFonts w:eastAsiaTheme="majorEastAsia" w:cstheme="majorBidi"/>
      <w:color w:val="595959" w:themeColor="text1" w:themeTint="A6"/>
    </w:rPr>
  </w:style>
  <w:style w:type="paragraph" w:styleId="a3">
    <w:name w:val="Title"/>
    <w:basedOn w:val="a"/>
    <w:next w:val="a"/>
    <w:link w:val="a4"/>
    <w:uiPriority w:val="10"/>
    <w:qFormat/>
    <w:rsid w:val="007D2C0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D2C0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D2C0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D2C0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D2C07"/>
    <w:pPr>
      <w:spacing w:before="160"/>
      <w:jc w:val="center"/>
    </w:pPr>
    <w:rPr>
      <w:i/>
      <w:iCs/>
      <w:color w:val="404040" w:themeColor="text1" w:themeTint="BF"/>
    </w:rPr>
  </w:style>
  <w:style w:type="character" w:customStyle="1" w:styleId="a8">
    <w:name w:val="引用 字符"/>
    <w:basedOn w:val="a0"/>
    <w:link w:val="a7"/>
    <w:uiPriority w:val="29"/>
    <w:rsid w:val="007D2C07"/>
    <w:rPr>
      <w:i/>
      <w:iCs/>
      <w:color w:val="404040" w:themeColor="text1" w:themeTint="BF"/>
    </w:rPr>
  </w:style>
  <w:style w:type="paragraph" w:styleId="a9">
    <w:name w:val="List Paragraph"/>
    <w:basedOn w:val="a"/>
    <w:uiPriority w:val="34"/>
    <w:qFormat/>
    <w:rsid w:val="007D2C07"/>
    <w:pPr>
      <w:ind w:left="720"/>
      <w:contextualSpacing/>
    </w:pPr>
  </w:style>
  <w:style w:type="character" w:styleId="aa">
    <w:name w:val="Intense Emphasis"/>
    <w:basedOn w:val="a0"/>
    <w:uiPriority w:val="21"/>
    <w:qFormat/>
    <w:rsid w:val="007D2C07"/>
    <w:rPr>
      <w:i/>
      <w:iCs/>
      <w:color w:val="0F4761" w:themeColor="accent1" w:themeShade="BF"/>
    </w:rPr>
  </w:style>
  <w:style w:type="paragraph" w:styleId="ab">
    <w:name w:val="Intense Quote"/>
    <w:basedOn w:val="a"/>
    <w:next w:val="a"/>
    <w:link w:val="ac"/>
    <w:uiPriority w:val="30"/>
    <w:qFormat/>
    <w:rsid w:val="007D2C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D2C07"/>
    <w:rPr>
      <w:i/>
      <w:iCs/>
      <w:color w:val="0F4761" w:themeColor="accent1" w:themeShade="BF"/>
    </w:rPr>
  </w:style>
  <w:style w:type="character" w:styleId="ad">
    <w:name w:val="Intense Reference"/>
    <w:basedOn w:val="a0"/>
    <w:uiPriority w:val="32"/>
    <w:qFormat/>
    <w:rsid w:val="007D2C07"/>
    <w:rPr>
      <w:b/>
      <w:bCs/>
      <w:smallCaps/>
      <w:color w:val="0F4761" w:themeColor="accent1" w:themeShade="BF"/>
      <w:spacing w:val="5"/>
    </w:rPr>
  </w:style>
  <w:style w:type="character" w:styleId="ae">
    <w:name w:val="Emphasis"/>
    <w:basedOn w:val="a0"/>
    <w:uiPriority w:val="20"/>
    <w:qFormat/>
    <w:rsid w:val="007D2C07"/>
    <w:rPr>
      <w:i/>
      <w:iCs/>
    </w:rPr>
  </w:style>
  <w:style w:type="character" w:styleId="af">
    <w:name w:val="Hyperlink"/>
    <w:basedOn w:val="a0"/>
    <w:uiPriority w:val="99"/>
    <w:unhideWhenUsed/>
    <w:rsid w:val="007D2C07"/>
    <w:rPr>
      <w:color w:val="0000FF"/>
      <w:u w:val="single"/>
    </w:rPr>
  </w:style>
  <w:style w:type="character" w:styleId="af0">
    <w:name w:val="Strong"/>
    <w:basedOn w:val="a0"/>
    <w:uiPriority w:val="22"/>
    <w:qFormat/>
    <w:rsid w:val="007D2C07"/>
    <w:rPr>
      <w:b/>
      <w:bCs/>
    </w:rPr>
  </w:style>
  <w:style w:type="table" w:styleId="af1">
    <w:name w:val="Table Grid"/>
    <w:basedOn w:val="a1"/>
    <w:uiPriority w:val="39"/>
    <w:rsid w:val="007D2C07"/>
    <w:rPr>
      <w:kern w:val="0"/>
      <w:sz w:val="22"/>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er"/>
    <w:basedOn w:val="a"/>
    <w:link w:val="af3"/>
    <w:uiPriority w:val="99"/>
    <w:unhideWhenUsed/>
    <w:rsid w:val="007D2C07"/>
    <w:pPr>
      <w:tabs>
        <w:tab w:val="center" w:pos="4513"/>
        <w:tab w:val="right" w:pos="9026"/>
      </w:tabs>
      <w:spacing w:after="0" w:line="240" w:lineRule="auto"/>
    </w:pPr>
  </w:style>
  <w:style w:type="character" w:customStyle="1" w:styleId="af3">
    <w:name w:val="页脚 字符"/>
    <w:basedOn w:val="a0"/>
    <w:link w:val="af2"/>
    <w:uiPriority w:val="99"/>
    <w:rsid w:val="007D2C07"/>
    <w:rPr>
      <w:kern w:val="0"/>
      <w:sz w:val="22"/>
      <w:lang w:val="en-GB" w:eastAsia="en-US"/>
    </w:rPr>
  </w:style>
  <w:style w:type="character" w:styleId="af4">
    <w:name w:val="page number"/>
    <w:basedOn w:val="a0"/>
    <w:uiPriority w:val="99"/>
    <w:semiHidden/>
    <w:unhideWhenUsed/>
    <w:rsid w:val="007D2C07"/>
  </w:style>
  <w:style w:type="paragraph" w:styleId="TOC">
    <w:name w:val="TOC Heading"/>
    <w:basedOn w:val="1"/>
    <w:next w:val="a"/>
    <w:uiPriority w:val="39"/>
    <w:unhideWhenUsed/>
    <w:qFormat/>
    <w:rsid w:val="007D2C07"/>
    <w:pPr>
      <w:spacing w:after="0" w:line="276" w:lineRule="auto"/>
      <w:outlineLvl w:val="9"/>
    </w:pPr>
    <w:rPr>
      <w:b/>
      <w:bCs/>
      <w:sz w:val="28"/>
      <w:szCs w:val="28"/>
    </w:rPr>
  </w:style>
  <w:style w:type="paragraph" w:styleId="TOC1">
    <w:name w:val="toc 1"/>
    <w:basedOn w:val="a"/>
    <w:next w:val="a"/>
    <w:autoRedefine/>
    <w:uiPriority w:val="39"/>
    <w:unhideWhenUsed/>
    <w:rsid w:val="007D2C07"/>
    <w:pPr>
      <w:spacing w:before="120" w:after="0"/>
    </w:pPr>
    <w:rPr>
      <w:rFonts w:cstheme="minorHAnsi"/>
      <w:b/>
      <w:bCs/>
      <w:i/>
      <w:iCs/>
      <w:sz w:val="24"/>
      <w:szCs w:val="24"/>
    </w:rPr>
  </w:style>
  <w:style w:type="paragraph" w:styleId="TOC2">
    <w:name w:val="toc 2"/>
    <w:basedOn w:val="a"/>
    <w:next w:val="a"/>
    <w:autoRedefine/>
    <w:uiPriority w:val="39"/>
    <w:unhideWhenUsed/>
    <w:rsid w:val="007D2C07"/>
    <w:pPr>
      <w:spacing w:before="120" w:after="0"/>
      <w:ind w:left="220"/>
    </w:pPr>
    <w:rPr>
      <w:rFonts w:cstheme="minorHAnsi"/>
      <w:b/>
      <w:bCs/>
    </w:rPr>
  </w:style>
  <w:style w:type="paragraph" w:styleId="af5">
    <w:name w:val="header"/>
    <w:basedOn w:val="a"/>
    <w:link w:val="af6"/>
    <w:uiPriority w:val="99"/>
    <w:unhideWhenUsed/>
    <w:rsid w:val="00D7222B"/>
    <w:pPr>
      <w:tabs>
        <w:tab w:val="center" w:pos="4153"/>
        <w:tab w:val="right" w:pos="8306"/>
      </w:tabs>
      <w:snapToGrid w:val="0"/>
      <w:spacing w:line="240" w:lineRule="auto"/>
      <w:jc w:val="center"/>
    </w:pPr>
    <w:rPr>
      <w:sz w:val="18"/>
      <w:szCs w:val="18"/>
    </w:rPr>
  </w:style>
  <w:style w:type="character" w:customStyle="1" w:styleId="af6">
    <w:name w:val="页眉 字符"/>
    <w:basedOn w:val="a0"/>
    <w:link w:val="af5"/>
    <w:uiPriority w:val="99"/>
    <w:rsid w:val="00D7222B"/>
    <w:rPr>
      <w:kern w:val="0"/>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uromonitor.com/article/is-tesla-abandoning-its-electric-vehicle-charging-business" TargetMode="External"/><Relationship Id="rId18" Type="http://schemas.openxmlformats.org/officeDocument/2006/relationships/hyperlink" Target="https://www.mckinsey.com/features/mckinsey-center-for-future-mobility/our-insights/new-twists-in-the-electric-vehicle-transition-a-consumer-perspective" TargetMode="External"/><Relationship Id="rId26" Type="http://schemas.openxmlformats.org/officeDocument/2006/relationships/hyperlink" Target="https://insideevs.com/news/785759/tesla-energy-storage-record-deployments/" TargetMode="External"/><Relationship Id="rId39" Type="http://schemas.openxmlformats.org/officeDocument/2006/relationships/footer" Target="footer1.xml"/><Relationship Id="rId21" Type="http://schemas.openxmlformats.org/officeDocument/2006/relationships/hyperlink" Target="https://www.iea.org/reports/global-ev-outlook-2024/trends-in-electric-cars" TargetMode="External"/><Relationship Id="rId34" Type="http://schemas.openxmlformats.org/officeDocument/2006/relationships/hyperlink" Target="https://www.tesla.com/ns_videos/2024-tesla-impact-report-highlights.pdf" TargetMode="External"/><Relationship Id="rId42" Type="http://schemas.openxmlformats.org/officeDocument/2006/relationships/theme" Target="theme/theme1.xml"/><Relationship Id="rId7" Type="http://schemas.openxmlformats.org/officeDocument/2006/relationships/hyperlink" Target="https://thedriven.io/2025/12/09/tesla-produces-4-million-evs-at-its-most-productive-factory/" TargetMode="External"/><Relationship Id="rId2" Type="http://schemas.openxmlformats.org/officeDocument/2006/relationships/styles" Target="styles.xml"/><Relationship Id="rId16" Type="http://schemas.openxmlformats.org/officeDocument/2006/relationships/hyperlink" Target="https://supplychaindigital.com/news/tesla-acid-free-future-lithium-supply-chain" TargetMode="External"/><Relationship Id="rId20" Type="http://schemas.openxmlformats.org/officeDocument/2006/relationships/hyperlink" Target="https://www.iea.org/reports/global-ev-outlook-2024/outlook-for-emissions-reductions" TargetMode="External"/><Relationship Id="rId29" Type="http://schemas.openxmlformats.org/officeDocument/2006/relationships/hyperlink" Target="https://www.cbtnews.com/tesla-accelerating-shift-away-from-china-made-components-wsj-report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ium.com/@sam_dahdal/teslas-bold-move-bb834e995bc0" TargetMode="External"/><Relationship Id="rId24" Type="http://schemas.openxmlformats.org/officeDocument/2006/relationships/hyperlink" Target="https://www.forbes.com/sites/johnkoetsier/2019/05/06/tesla-spends-zero-on-ads-heres-where-bmw-toyota-ford-and-porsche-spend-digital-ad-dollars/" TargetMode="External"/><Relationship Id="rId32" Type="http://schemas.openxmlformats.org/officeDocument/2006/relationships/hyperlink" Target="https://www.usatoday.com/story/cars/news/2025/10/21/tesla-earnings-price-cuts-profit-margins/86814210007/" TargetMode="External"/><Relationship Id="rId37" Type="http://schemas.openxmlformats.org/officeDocument/2006/relationships/hyperlink" Target="https://www.roadandtrack.com/news/a70791560/nhtsa-another-tesla-full-self-driving-federal-investigation/" TargetMode="Externa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globalenergyprize.org/en/2023/12/01/ice-vehicles-still-dominate-in-car-sales-in-oecd-countries/" TargetMode="External"/><Relationship Id="rId23" Type="http://schemas.openxmlformats.org/officeDocument/2006/relationships/hyperlink" Target="https://carboncredits.com/the-u-s-ev-supply-chain-race-where-surge-battery-metals-fits-in-the-national-critical-minerals-strategy-nili/" TargetMode="External"/><Relationship Id="rId28" Type="http://schemas.openxmlformats.org/officeDocument/2006/relationships/hyperlink" Target="https://electrek.co/2026/03/18/washington-rivian-lucid-direct-ev-sales-tesla-loophole/" TargetMode="External"/><Relationship Id="rId36" Type="http://schemas.openxmlformats.org/officeDocument/2006/relationships/hyperlink" Target="https://theweek.com/us/1024416/tesla-vs-car-dealerships" TargetMode="External"/><Relationship Id="rId10" Type="http://schemas.openxmlformats.org/officeDocument/2006/relationships/hyperlink" Target="https://www.forbes.com/sites/brookecrothers/2024/12/29/tesla-full-self-driving-vs-the-rest-be-very-careful-choosing-your-next-ev/" TargetMode="External"/><Relationship Id="rId19" Type="http://schemas.openxmlformats.org/officeDocument/2006/relationships/hyperlink" Target="https://www.iea.org/reports/clean-energy-innovation/innovation-needs-in-the-sustainable-development-scenario" TargetMode="External"/><Relationship Id="rId31" Type="http://schemas.openxmlformats.org/officeDocument/2006/relationships/hyperlink" Target="https://www.msn.com/en-us/autos/buying/car-payments-just-reached-a-new-high-even-with-loan-rates-at-a-3-year-low/ar-AA1USBth?ocid=BingNewsVerp" TargetMode="External"/><Relationship Id="rId4" Type="http://schemas.openxmlformats.org/officeDocument/2006/relationships/webSettings" Target="webSettings.xml"/><Relationship Id="rId9" Type="http://schemas.openxmlformats.org/officeDocument/2006/relationships/hyperlink" Target="https://www.cnbc.com/2026/03/18/fed-interest-rate-decision-march-2026.html" TargetMode="External"/><Relationship Id="rId14" Type="http://schemas.openxmlformats.org/officeDocument/2006/relationships/hyperlink" Target="https://www.nytimes.com/2026/01/02/business/tesla-electric-vehicles-fourth-quarter-sales.html" TargetMode="External"/><Relationship Id="rId22" Type="http://schemas.openxmlformats.org/officeDocument/2006/relationships/hyperlink" Target="https://www.irs.gov/credits-deductions/credits-for-new-electric-vehicles-purchased-in-2022-or-before" TargetMode="External"/><Relationship Id="rId27" Type="http://schemas.openxmlformats.org/officeDocument/2006/relationships/hyperlink" Target="https://www.theguardian.com/us-news/2023/jan/24/us-electric-vehicles-lithium-consequences-research" TargetMode="External"/><Relationship Id="rId30" Type="http://schemas.openxmlformats.org/officeDocument/2006/relationships/hyperlink" Target="https://www.nber.org/digest/202501/inflation-reduction-act-and-electric-vehicle-market?page=1&amp;perPage=50" TargetMode="External"/><Relationship Id="rId35" Type="http://schemas.openxmlformats.org/officeDocument/2006/relationships/hyperlink" Target="https://www.tesla.com/support/software-updates" TargetMode="External"/><Relationship Id="rId8" Type="http://schemas.openxmlformats.org/officeDocument/2006/relationships/hyperlink" Target="https://www.energy-storage.news/tesla-energy-storage-deployments-jumped-in-crucial-ai-transformation-year-company-expects-margin-compression-in-2026/" TargetMode="External"/><Relationship Id="rId3" Type="http://schemas.openxmlformats.org/officeDocument/2006/relationships/settings" Target="settings.xml"/><Relationship Id="rId12" Type="http://schemas.openxmlformats.org/officeDocument/2006/relationships/hyperlink" Target="https://www.spglobal.com/market-intelligence/en/news-insights/articles/2022/3/raw-materials-in-short-supply-for-ev-makers-struggling-to-meet-customer-demand-69458070" TargetMode="External"/><Relationship Id="rId17" Type="http://schemas.openxmlformats.org/officeDocument/2006/relationships/hyperlink" Target="https://www.emarketer.com/content/tesla-struggles-with-margins-r-d-spending-rises--vehicle-costs-drop" TargetMode="External"/><Relationship Id="rId25" Type="http://schemas.openxmlformats.org/officeDocument/2006/relationships/hyperlink" Target="https://www.cnbc.com/2026/01/13/car-loan-payments-top-1000-for-more-drivers.html" TargetMode="External"/><Relationship Id="rId33" Type="http://schemas.openxmlformats.org/officeDocument/2006/relationships/hyperlink" Target="https://ir.tesla.com/press-release/tesla-completes-acquisition-maxwell-technologies" TargetMode="External"/><Relationship Id="rId38" Type="http://schemas.openxmlformats.org/officeDocument/2006/relationships/hyperlink" Target="https://discoveryalert.com.au/tesla-lg-energy-4-3-billion-battery-deal-2025/"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922</TotalTime>
  <Pages>25</Pages>
  <Words>4932</Words>
  <Characters>33786</Characters>
  <Application>Microsoft Office Word</Application>
  <DocSecurity>0</DocSecurity>
  <Lines>804</Lines>
  <Paragraphs>379</Paragraphs>
  <ScaleCrop>false</ScaleCrop>
  <Company/>
  <LinksUpToDate>false</LinksUpToDate>
  <CharactersWithSpaces>38339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YUHAO LI</dc:creator>
  <cp:keywords/>
  <dc:description/>
  <cp:lastModifiedBy>YUHAO LI</cp:lastModifiedBy>
  <cp:revision>2</cp:revision>
  <dcterms:created xsi:type="dcterms:W3CDTF">2026-03-26T08:36:00Z</dcterms:created>
  <dcterms:modified xsi:type="dcterms:W3CDTF">2026-03-27T11:51:00Z</dcterms:modified>
</cp:coreProperties>
</file>