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C1DCA" w14:textId="4A9D7CE8" w:rsidR="00D95395" w:rsidRPr="00430B6D" w:rsidRDefault="00AD1F17" w:rsidP="00D12817">
      <w:pPr>
        <w:spacing w:after="0" w:line="480" w:lineRule="auto"/>
        <w:jc w:val="center"/>
        <w:rPr>
          <w:rFonts w:ascii="Tahoma" w:hAnsi="Tahoma" w:cs="Tahoma"/>
          <w:b/>
          <w:bCs/>
          <w:u w:val="single"/>
        </w:rPr>
      </w:pPr>
      <w:r>
        <w:rPr>
          <w:rFonts w:ascii="Tahoma" w:hAnsi="Tahoma" w:cs="Tahoma"/>
          <w:b/>
          <w:bCs/>
          <w:u w:val="single"/>
        </w:rPr>
        <w:t xml:space="preserve">REPORT </w:t>
      </w:r>
    </w:p>
    <w:p w14:paraId="38EB9B21" w14:textId="2CB89EF2" w:rsidR="005D7DA4" w:rsidRPr="00430B6D" w:rsidRDefault="00AD1F17" w:rsidP="00D12817">
      <w:pPr>
        <w:spacing w:after="0" w:line="480" w:lineRule="auto"/>
        <w:jc w:val="center"/>
        <w:rPr>
          <w:rFonts w:ascii="Tahoma" w:hAnsi="Tahoma" w:cs="Tahoma"/>
          <w:b/>
          <w:bCs/>
          <w:u w:val="single"/>
        </w:rPr>
      </w:pPr>
      <w:r>
        <w:rPr>
          <w:rFonts w:ascii="Tahoma" w:hAnsi="Tahoma" w:cs="Tahoma"/>
          <w:b/>
          <w:bCs/>
          <w:u w:val="single"/>
        </w:rPr>
        <w:t xml:space="preserve">EXPLORING GENDER DIFFERENCES IN AXNIETY </w:t>
      </w:r>
    </w:p>
    <w:p w14:paraId="253ED0E6" w14:textId="22CBF6E7" w:rsidR="005D7DA4" w:rsidRPr="00430B6D" w:rsidRDefault="00AD1F17" w:rsidP="00D12817">
      <w:pPr>
        <w:spacing w:after="0" w:line="480" w:lineRule="auto"/>
        <w:jc w:val="center"/>
        <w:rPr>
          <w:rFonts w:ascii="Tahoma" w:hAnsi="Tahoma" w:cs="Tahoma"/>
          <w:b/>
          <w:bCs/>
        </w:rPr>
      </w:pPr>
      <w:r>
        <w:rPr>
          <w:rFonts w:ascii="Tahoma" w:hAnsi="Tahoma" w:cs="Tahoma"/>
          <w:b/>
          <w:bCs/>
        </w:rPr>
        <w:t>ABSTRACT</w:t>
      </w:r>
    </w:p>
    <w:p w14:paraId="32916A47" w14:textId="21518754" w:rsidR="005D7DA4" w:rsidRPr="00D12817" w:rsidRDefault="00D12817" w:rsidP="00D12817">
      <w:pPr>
        <w:spacing w:after="0" w:line="480" w:lineRule="auto"/>
        <w:rPr>
          <w:rFonts w:ascii="Tahoma" w:hAnsi="Tahoma" w:cs="Tahoma"/>
        </w:rPr>
      </w:pPr>
      <w:r>
        <w:rPr>
          <w:rFonts w:ascii="Tahoma" w:hAnsi="Tahoma" w:cs="Tahoma"/>
        </w:rPr>
        <w:t xml:space="preserve">This research </w:t>
      </w:r>
      <w:r w:rsidR="007F43E4">
        <w:rPr>
          <w:rFonts w:ascii="Tahoma" w:hAnsi="Tahoma" w:cs="Tahoma"/>
        </w:rPr>
        <w:t>examines</w:t>
      </w:r>
      <w:r>
        <w:rPr>
          <w:rFonts w:ascii="Tahoma" w:hAnsi="Tahoma" w:cs="Tahoma"/>
        </w:rPr>
        <w:t xml:space="preserve"> gender differences in anxiety. The study looks at previous literature conducted surrounding anxiety in both genders. It is interesting to see whether there is enough evidence out there, if the evidence is biased to a certain gender and what research has been carried out to investigate this issue. Results from a questionnaire </w:t>
      </w:r>
      <w:r w:rsidR="007F43E4">
        <w:rPr>
          <w:rFonts w:ascii="Tahoma" w:hAnsi="Tahoma" w:cs="Tahoma"/>
        </w:rPr>
        <w:t>investigate</w:t>
      </w:r>
      <w:r>
        <w:rPr>
          <w:rFonts w:ascii="Tahoma" w:hAnsi="Tahoma" w:cs="Tahoma"/>
        </w:rPr>
        <w:t xml:space="preserve"> if previous literature supports or contradicts. </w:t>
      </w:r>
      <w:r w:rsidR="007F43E4">
        <w:rPr>
          <w:rFonts w:ascii="Tahoma" w:hAnsi="Tahoma" w:cs="Tahoma"/>
        </w:rPr>
        <w:t>Gathering</w:t>
      </w:r>
      <w:r>
        <w:rPr>
          <w:rFonts w:ascii="Tahoma" w:hAnsi="Tahoma" w:cs="Tahoma"/>
        </w:rPr>
        <w:t xml:space="preserve"> mean averages and range averages, seeing if there is any trend. This study is important as it displays a need for more research to be put </w:t>
      </w:r>
      <w:r w:rsidR="007F43E4">
        <w:rPr>
          <w:rFonts w:ascii="Tahoma" w:hAnsi="Tahoma" w:cs="Tahoma"/>
        </w:rPr>
        <w:t>into</w:t>
      </w:r>
      <w:r>
        <w:rPr>
          <w:rFonts w:ascii="Tahoma" w:hAnsi="Tahoma" w:cs="Tahoma"/>
        </w:rPr>
        <w:t xml:space="preserve"> this issue, and to look at both genders fairly and equally. In order to gain results, a questionnaire was completed. The study will explain the questionnaire used, and how it is used. Then gather the scores together and look at them in a comparison of genders. Overall, an important study going forward with anxiety in genders. </w:t>
      </w:r>
    </w:p>
    <w:p w14:paraId="38FB790E" w14:textId="1D9070B3" w:rsidR="005D7DA4" w:rsidRPr="00430B6D" w:rsidRDefault="00AD1F17" w:rsidP="00D12817">
      <w:pPr>
        <w:spacing w:after="0" w:line="480" w:lineRule="auto"/>
        <w:jc w:val="center"/>
        <w:rPr>
          <w:rFonts w:ascii="Tahoma" w:hAnsi="Tahoma" w:cs="Tahoma"/>
          <w:b/>
          <w:bCs/>
        </w:rPr>
      </w:pPr>
      <w:r>
        <w:rPr>
          <w:rFonts w:ascii="Tahoma" w:hAnsi="Tahoma" w:cs="Tahoma"/>
          <w:b/>
          <w:bCs/>
        </w:rPr>
        <w:t xml:space="preserve">INTRODUCTION </w:t>
      </w:r>
    </w:p>
    <w:p w14:paraId="0A48E983" w14:textId="6D245FCF" w:rsidR="005D7DA4" w:rsidRDefault="005D7DA4" w:rsidP="00D12817">
      <w:pPr>
        <w:spacing w:after="0" w:line="480" w:lineRule="auto"/>
        <w:rPr>
          <w:rFonts w:ascii="Tahoma" w:hAnsi="Tahoma" w:cs="Tahoma"/>
        </w:rPr>
      </w:pPr>
      <w:bookmarkStart w:id="0" w:name="_Hlk30177705"/>
      <w:r w:rsidRPr="00430B6D">
        <w:rPr>
          <w:rFonts w:ascii="Tahoma" w:hAnsi="Tahoma" w:cs="Tahoma"/>
        </w:rPr>
        <w:t xml:space="preserve">This research report will be looking at the gender differences in anxiety. </w:t>
      </w:r>
      <w:r w:rsidR="00BB0B16">
        <w:rPr>
          <w:rFonts w:ascii="Tahoma" w:hAnsi="Tahoma" w:cs="Tahoma"/>
        </w:rPr>
        <w:t xml:space="preserve">One might assume females have a higher anxiety level than men. </w:t>
      </w:r>
    </w:p>
    <w:p w14:paraId="70D0A122" w14:textId="54F6BCEA" w:rsidR="005B5826" w:rsidRDefault="009A2438" w:rsidP="00D12817">
      <w:pPr>
        <w:spacing w:after="0" w:line="480" w:lineRule="auto"/>
        <w:rPr>
          <w:rFonts w:ascii="Tahoma" w:hAnsi="Tahoma" w:cs="Tahoma"/>
        </w:rPr>
      </w:pPr>
      <w:bookmarkStart w:id="1" w:name="_Hlk30178736"/>
      <w:r>
        <w:rPr>
          <w:rFonts w:ascii="Tahoma" w:hAnsi="Tahoma" w:cs="Tahoma"/>
        </w:rPr>
        <w:t>Anxiety disorder is said to be the most common class of mental health disorders. With nearly 1 in 5 adults being affected (J Psychiatry research). This research supports the theory of anxiety rates being higher in women compared to men.</w:t>
      </w:r>
      <w:r w:rsidR="00BD45B0">
        <w:rPr>
          <w:rFonts w:ascii="Tahoma" w:hAnsi="Tahoma" w:cs="Tahoma"/>
        </w:rPr>
        <w:t xml:space="preserve"> Many anxiety disorders are studies, and research carried out on specific disorders, the results still showing that levels are higher in women. It is possible that is because less research has been done on males. Research shows that women are significantly more than likely to meet the criteria for all anxiety disorders. Men who are possibly diagnosed with anxiety are more likely to self-medicate, possibly with alcohol, than to get professional help. Whereas women are likely to seek help.</w:t>
      </w:r>
      <w:r>
        <w:rPr>
          <w:rFonts w:ascii="Tahoma" w:hAnsi="Tahoma" w:cs="Tahoma"/>
        </w:rPr>
        <w:t xml:space="preserve"> </w:t>
      </w:r>
      <w:r w:rsidR="00BB0B16">
        <w:rPr>
          <w:rFonts w:ascii="Tahoma" w:hAnsi="Tahoma" w:cs="Tahoma"/>
        </w:rPr>
        <w:t>According to (J. Folk &amp; M. Folk) anxiety in men is different to anxiety in women, as the aspect of anxiety tends to be over different experiences.</w:t>
      </w:r>
      <w:r>
        <w:rPr>
          <w:rFonts w:ascii="Tahoma" w:hAnsi="Tahoma" w:cs="Tahoma"/>
        </w:rPr>
        <w:t xml:space="preserve"> Anxiety can present itself </w:t>
      </w:r>
      <w:r>
        <w:rPr>
          <w:rFonts w:ascii="Tahoma" w:hAnsi="Tahoma" w:cs="Tahoma"/>
        </w:rPr>
        <w:lastRenderedPageBreak/>
        <w:t>differently in each individual,</w:t>
      </w:r>
      <w:r w:rsidR="00BB0B16">
        <w:rPr>
          <w:rFonts w:ascii="Tahoma" w:hAnsi="Tahoma" w:cs="Tahoma"/>
        </w:rPr>
        <w:t xml:space="preserve"> </w:t>
      </w:r>
      <w:r>
        <w:rPr>
          <w:rFonts w:ascii="Tahoma" w:hAnsi="Tahoma" w:cs="Tahoma"/>
        </w:rPr>
        <w:t xml:space="preserve">with research showing that anxiety is more disabling in women. </w:t>
      </w:r>
      <w:r w:rsidR="0035623C">
        <w:rPr>
          <w:rFonts w:ascii="Tahoma" w:hAnsi="Tahoma" w:cs="Tahoma"/>
        </w:rPr>
        <w:t xml:space="preserve">Anxiety can be associated with a variety of biological, psychological and cultural factors. </w:t>
      </w:r>
      <w:r>
        <w:rPr>
          <w:rFonts w:ascii="Tahoma" w:hAnsi="Tahoma" w:cs="Tahoma"/>
        </w:rPr>
        <w:t>M</w:t>
      </w:r>
      <w:r w:rsidR="00BB0B16">
        <w:rPr>
          <w:rFonts w:ascii="Tahoma" w:hAnsi="Tahoma" w:cs="Tahoma"/>
        </w:rPr>
        <w:t xml:space="preserve">en tend to be more anxious about things such as supporting a family, finances, being financial and being the man of the household. Whereas anxiety levels for women could arise around different things, women also (J. Folk &amp; M. Folk) can experience an increase in anxiety symptoms during their monthly cycle and can be affected by hormones. This article explains that men also secrete less oxytocin, which is a hormone that reduces stress’s impact. Whereas women produce more. Contradicting this slightly, (Women health) states “women are more than twice as likely as men to get an anxiety disorder in their lifetime”. A big contributor being postpartum disorder. </w:t>
      </w:r>
      <w:r w:rsidR="00EE16AA">
        <w:rPr>
          <w:rFonts w:ascii="Tahoma" w:hAnsi="Tahoma" w:cs="Tahoma"/>
        </w:rPr>
        <w:t xml:space="preserve">(D. M. Christiansen) </w:t>
      </w:r>
      <w:r w:rsidR="001A0E6F">
        <w:rPr>
          <w:rFonts w:ascii="Tahoma" w:hAnsi="Tahoma" w:cs="Tahoma"/>
        </w:rPr>
        <w:t>Studies</w:t>
      </w:r>
      <w:r w:rsidR="00EE16AA">
        <w:rPr>
          <w:rFonts w:ascii="Tahoma" w:hAnsi="Tahoma" w:cs="Tahoma"/>
        </w:rPr>
        <w:t xml:space="preserve"> show</w:t>
      </w:r>
      <w:r w:rsidR="001A0E6F">
        <w:rPr>
          <w:rFonts w:ascii="Tahoma" w:hAnsi="Tahoma" w:cs="Tahoma"/>
        </w:rPr>
        <w:t xml:space="preserve"> </w:t>
      </w:r>
      <w:r w:rsidR="00EE16AA">
        <w:rPr>
          <w:rFonts w:ascii="Tahoma" w:hAnsi="Tahoma" w:cs="Tahoma"/>
        </w:rPr>
        <w:t xml:space="preserve">the difference in any anxiety disorder in both male and female. Male being scored at 22.4% and female being scored at 32.4% showing a vast difference. </w:t>
      </w:r>
      <w:r w:rsidR="001A0E6F">
        <w:rPr>
          <w:rFonts w:ascii="Tahoma" w:hAnsi="Tahoma" w:cs="Tahoma"/>
        </w:rPr>
        <w:t>In some case</w:t>
      </w:r>
      <w:r w:rsidR="00BD45B0">
        <w:rPr>
          <w:rFonts w:ascii="Tahoma" w:hAnsi="Tahoma" w:cs="Tahoma"/>
        </w:rPr>
        <w:t>’</w:t>
      </w:r>
      <w:r w:rsidR="001A0E6F">
        <w:rPr>
          <w:rFonts w:ascii="Tahoma" w:hAnsi="Tahoma" w:cs="Tahoma"/>
        </w:rPr>
        <w:t xml:space="preserve">s men can be diagnosed with a different disorder, not anxiety, even if they’re displaying all the symptoms and behaviours associated with anxiety (World Health Organisation). In the same study it is also said that many health care workers either over-treat or under-treat women when it comes to anxiety as they have their own gender biases. </w:t>
      </w:r>
      <w:bookmarkEnd w:id="0"/>
    </w:p>
    <w:p w14:paraId="2EEE5714" w14:textId="77777777" w:rsidR="0035623C" w:rsidRDefault="0035623C" w:rsidP="00D12817">
      <w:pPr>
        <w:spacing w:after="0" w:line="480" w:lineRule="auto"/>
        <w:rPr>
          <w:rFonts w:ascii="Tahoma" w:hAnsi="Tahoma" w:cs="Tahoma"/>
        </w:rPr>
      </w:pPr>
      <w:r>
        <w:rPr>
          <w:rFonts w:ascii="Tahoma" w:hAnsi="Tahoma" w:cs="Tahoma"/>
        </w:rPr>
        <w:t xml:space="preserve">Hypothesis; Anxiety levels will be higher in females than it is in males. </w:t>
      </w:r>
    </w:p>
    <w:bookmarkEnd w:id="1"/>
    <w:p w14:paraId="5561AB7D" w14:textId="77777777" w:rsidR="00BD45B0" w:rsidRPr="00430B6D" w:rsidRDefault="00BD45B0" w:rsidP="00D12817">
      <w:pPr>
        <w:spacing w:after="0" w:line="480" w:lineRule="auto"/>
        <w:rPr>
          <w:rFonts w:ascii="Tahoma" w:hAnsi="Tahoma" w:cs="Tahoma"/>
        </w:rPr>
      </w:pPr>
    </w:p>
    <w:p w14:paraId="5ADBEFBA" w14:textId="4A96A80C"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METHOD</w:t>
      </w:r>
    </w:p>
    <w:p w14:paraId="1F06BB0F" w14:textId="6042FFE5" w:rsidR="005B5826" w:rsidRPr="00430B6D" w:rsidRDefault="005B5826" w:rsidP="00D12817">
      <w:pPr>
        <w:spacing w:after="0" w:line="480" w:lineRule="auto"/>
        <w:jc w:val="center"/>
        <w:rPr>
          <w:rFonts w:ascii="Tahoma" w:hAnsi="Tahoma" w:cs="Tahoma"/>
          <w:b/>
          <w:bCs/>
        </w:rPr>
      </w:pPr>
    </w:p>
    <w:p w14:paraId="055FDF0B" w14:textId="10B9B2EC"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PARTICIPANTS</w:t>
      </w:r>
    </w:p>
    <w:p w14:paraId="7FAD7479" w14:textId="46C84509" w:rsidR="00D07E00" w:rsidRPr="00430B6D" w:rsidRDefault="00D07E00" w:rsidP="00D12817">
      <w:pPr>
        <w:spacing w:after="0" w:line="480" w:lineRule="auto"/>
        <w:rPr>
          <w:rFonts w:ascii="Tahoma" w:hAnsi="Tahoma" w:cs="Tahoma"/>
        </w:rPr>
      </w:pPr>
      <w:r w:rsidRPr="00430B6D">
        <w:rPr>
          <w:rFonts w:ascii="Tahoma" w:hAnsi="Tahoma" w:cs="Tahoma"/>
        </w:rPr>
        <w:t>The participants for this study were founded through an opportunity sampling of undergraduate students. If students participated, course credit was awarded in return.                                                                     The total number of participants in this study was 40; 20 male and 20 female. The age range being 18-39 – Mean (male) = 25.3) Mean (female) = 25.1.</w:t>
      </w:r>
      <w:r w:rsidR="00343F14">
        <w:rPr>
          <w:rFonts w:ascii="Tahoma" w:hAnsi="Tahoma" w:cs="Tahoma"/>
        </w:rPr>
        <w:t xml:space="preserve"> The lowest age for male = </w:t>
      </w:r>
      <w:r w:rsidR="00343F14">
        <w:rPr>
          <w:rFonts w:ascii="Tahoma" w:hAnsi="Tahoma" w:cs="Tahoma"/>
        </w:rPr>
        <w:lastRenderedPageBreak/>
        <w:t>18, highest = 39. The lowest age for female = 18, highest = 21. Range for male = 21. Range for female = 14.</w:t>
      </w:r>
    </w:p>
    <w:p w14:paraId="06FE03E7" w14:textId="01A8FA4A"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DESIGN</w:t>
      </w:r>
    </w:p>
    <w:p w14:paraId="416AD555" w14:textId="30220401" w:rsidR="00F779FE" w:rsidRPr="00430B6D" w:rsidRDefault="00F779FE" w:rsidP="00D12817">
      <w:pPr>
        <w:spacing w:after="0" w:line="480" w:lineRule="auto"/>
        <w:rPr>
          <w:rFonts w:ascii="Tahoma" w:hAnsi="Tahoma" w:cs="Tahoma"/>
        </w:rPr>
      </w:pPr>
      <w:r w:rsidRPr="00430B6D">
        <w:rPr>
          <w:rFonts w:ascii="Tahoma" w:hAnsi="Tahoma" w:cs="Tahoma"/>
        </w:rPr>
        <w:t xml:space="preserve">The design of this research report is a between subject. The independent variable is gender, the two categories are male and female. The dependent variable is the scoring of anxiety, this is assessed through a total score on the Beck Anxiety Inventory. </w:t>
      </w:r>
    </w:p>
    <w:p w14:paraId="3794C4D1" w14:textId="5C09DE7B"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MATERIALS</w:t>
      </w:r>
    </w:p>
    <w:p w14:paraId="0515D7B5" w14:textId="50A339FF" w:rsidR="00EF288E" w:rsidRPr="00430B6D" w:rsidRDefault="00F779FE" w:rsidP="00D12817">
      <w:pPr>
        <w:spacing w:after="0" w:line="480" w:lineRule="auto"/>
        <w:rPr>
          <w:rFonts w:ascii="Tahoma" w:hAnsi="Tahoma" w:cs="Tahoma"/>
        </w:rPr>
      </w:pPr>
      <w:r w:rsidRPr="00430B6D">
        <w:rPr>
          <w:rFonts w:ascii="Tahoma" w:hAnsi="Tahoma" w:cs="Tahoma"/>
        </w:rPr>
        <w:t xml:space="preserve">The Beck Anxiety Inventory (BAI – Beck, Epstein, Brown &amp; Greer, 1988) is used to measure self-reported levels of anxiety. This measure has a total of </w:t>
      </w:r>
      <w:r w:rsidR="005B11E6" w:rsidRPr="00430B6D">
        <w:rPr>
          <w:rFonts w:ascii="Tahoma" w:hAnsi="Tahoma" w:cs="Tahoma"/>
        </w:rPr>
        <w:t>twenty-one</w:t>
      </w:r>
      <w:r w:rsidRPr="00430B6D">
        <w:rPr>
          <w:rFonts w:ascii="Tahoma" w:hAnsi="Tahoma" w:cs="Tahoma"/>
        </w:rPr>
        <w:t xml:space="preserve"> items.</w:t>
      </w:r>
      <w:r w:rsidR="00D14FC0">
        <w:rPr>
          <w:rFonts w:ascii="Tahoma" w:hAnsi="Tahoma" w:cs="Tahoma"/>
        </w:rPr>
        <w:t xml:space="preserve"> The questions on the BAI are fixed in terms of ‘indicate how much you have been bothered by a symptom in the past month’ For example = difficulty in breathing. The BAI has four possible scoring answers, 0 = not at all. 1 = mildly, but it didn’t bother me much. 2 = Moderately – it wasn’t pleasant at times. Lastly, 3 = Severely – it bothered me a lot. </w:t>
      </w:r>
      <w:r w:rsidR="00343F14">
        <w:rPr>
          <w:rFonts w:ascii="Tahoma" w:hAnsi="Tahoma" w:cs="Tahoma"/>
        </w:rPr>
        <w:t xml:space="preserve">If the participant scored anything between 0-21 = low anxiety, 22-35 = moderate anxiety, 36+ = potentially concerning levels of anxiety. </w:t>
      </w:r>
      <w:r w:rsidR="0035623C">
        <w:rPr>
          <w:rFonts w:ascii="Tahoma" w:hAnsi="Tahoma" w:cs="Tahoma"/>
        </w:rPr>
        <w:t xml:space="preserve">The scoring ranged from 0-63. The demographic information sheet required for participants to indicate their gender and age. </w:t>
      </w:r>
    </w:p>
    <w:p w14:paraId="27F9B39B" w14:textId="1680DE5D"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PROCEDURE</w:t>
      </w:r>
    </w:p>
    <w:p w14:paraId="19CC4D15" w14:textId="4925F93E" w:rsidR="00B543DD" w:rsidRPr="00430B6D" w:rsidRDefault="00F779FE" w:rsidP="00D12817">
      <w:pPr>
        <w:spacing w:after="0" w:line="480" w:lineRule="auto"/>
        <w:rPr>
          <w:rFonts w:ascii="Tahoma" w:hAnsi="Tahoma" w:cs="Tahoma"/>
        </w:rPr>
      </w:pPr>
      <w:r w:rsidRPr="00430B6D">
        <w:rPr>
          <w:rFonts w:ascii="Tahoma" w:hAnsi="Tahoma" w:cs="Tahoma"/>
        </w:rPr>
        <w:t xml:space="preserve">For this study the participants were recruited through </w:t>
      </w:r>
      <w:r w:rsidR="00820EEA" w:rsidRPr="00430B6D">
        <w:rPr>
          <w:rFonts w:ascii="Tahoma" w:hAnsi="Tahoma" w:cs="Tahoma"/>
        </w:rPr>
        <w:t>opportunity</w:t>
      </w:r>
      <w:r w:rsidRPr="00430B6D">
        <w:rPr>
          <w:rFonts w:ascii="Tahoma" w:hAnsi="Tahoma" w:cs="Tahoma"/>
        </w:rPr>
        <w:t xml:space="preserve"> sampling, the information was posted out by a modules Virtual Learning Environment, this included the main aims of the study, how to participate and what was expected. Participants gathered at laboratories and asked to read the study consent form, and sign if they still wanted to take part in the study. The participants were then asked to complete the demographic information sheet before completing the Beck Anxiety Inventory. Once the</w:t>
      </w:r>
      <w:r w:rsidR="00573FA6" w:rsidRPr="00430B6D">
        <w:rPr>
          <w:rFonts w:ascii="Tahoma" w:hAnsi="Tahoma" w:cs="Tahoma"/>
        </w:rPr>
        <w:t xml:space="preserve"> BAI was completed, the participants were given a debrief form. This form outlined the aims of the study, also ensuring the participants were aware it was their right to withdraw at any time throughout the study. The participants were thanked for taking part in the study</w:t>
      </w:r>
      <w:r w:rsidR="00D12817">
        <w:rPr>
          <w:rFonts w:ascii="Tahoma" w:hAnsi="Tahoma" w:cs="Tahoma"/>
        </w:rPr>
        <w:t>.</w:t>
      </w:r>
    </w:p>
    <w:p w14:paraId="66B7103C" w14:textId="68DF5D44"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lastRenderedPageBreak/>
        <w:t>RESULTS</w:t>
      </w:r>
    </w:p>
    <w:p w14:paraId="61E9DAE9" w14:textId="525C3F01" w:rsidR="005B5826" w:rsidRPr="00430B6D" w:rsidRDefault="0031022E" w:rsidP="00D12817">
      <w:pPr>
        <w:spacing w:after="0" w:line="480" w:lineRule="auto"/>
        <w:rPr>
          <w:rFonts w:ascii="Tahoma" w:hAnsi="Tahoma" w:cs="Tahoma"/>
        </w:rPr>
      </w:pPr>
      <w:r w:rsidRPr="00430B6D">
        <w:rPr>
          <w:rFonts w:ascii="Tahoma" w:hAnsi="Tahoma" w:cs="Tahoma"/>
          <w:noProof/>
        </w:rPr>
        <w:drawing>
          <wp:anchor distT="0" distB="0" distL="114300" distR="114300" simplePos="0" relativeHeight="251658240" behindDoc="1" locked="0" layoutInCell="1" allowOverlap="1" wp14:anchorId="4DFEF701" wp14:editId="4418A4BD">
            <wp:simplePos x="0" y="0"/>
            <wp:positionH relativeFrom="column">
              <wp:posOffset>1050837</wp:posOffset>
            </wp:positionH>
            <wp:positionV relativeFrom="paragraph">
              <wp:posOffset>284</wp:posOffset>
            </wp:positionV>
            <wp:extent cx="3825850" cy="2553005"/>
            <wp:effectExtent l="0" t="0" r="3810" b="0"/>
            <wp:wrapTight wrapText="bothSides">
              <wp:wrapPolygon edited="0">
                <wp:start x="0" y="0"/>
                <wp:lineTo x="0" y="21439"/>
                <wp:lineTo x="21514" y="21439"/>
                <wp:lineTo x="21514" y="0"/>
                <wp:lineTo x="0" y="0"/>
              </wp:wrapPolygon>
            </wp:wrapTight>
            <wp:docPr id="1" name="Chart 1">
              <a:extLst xmlns:a="http://schemas.openxmlformats.org/drawingml/2006/main">
                <a:ext uri="{FF2B5EF4-FFF2-40B4-BE49-F238E27FC236}">
                  <a16:creationId xmlns:a16="http://schemas.microsoft.com/office/drawing/2014/main" id="{DE2A9F73-0FE3-45FB-B3C6-F537667C2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V relativeFrom="margin">
              <wp14:pctHeight>0</wp14:pctHeight>
            </wp14:sizeRelV>
          </wp:anchor>
        </w:drawing>
      </w:r>
    </w:p>
    <w:p w14:paraId="38DC83A9" w14:textId="1586B8CA" w:rsidR="005B5826" w:rsidRPr="00430B6D" w:rsidRDefault="005B5826" w:rsidP="00D12817">
      <w:pPr>
        <w:spacing w:after="0" w:line="480" w:lineRule="auto"/>
        <w:rPr>
          <w:rFonts w:ascii="Tahoma" w:hAnsi="Tahoma" w:cs="Tahoma"/>
        </w:rPr>
      </w:pPr>
    </w:p>
    <w:p w14:paraId="4F205EA0" w14:textId="69316E2A" w:rsidR="005B5826" w:rsidRPr="00430B6D" w:rsidRDefault="005B5826" w:rsidP="00D12817">
      <w:pPr>
        <w:spacing w:after="0" w:line="480" w:lineRule="auto"/>
        <w:rPr>
          <w:rFonts w:ascii="Tahoma" w:hAnsi="Tahoma" w:cs="Tahoma"/>
        </w:rPr>
      </w:pPr>
    </w:p>
    <w:p w14:paraId="1B9A6A0F" w14:textId="60C9252B" w:rsidR="005B5826" w:rsidRPr="00430B6D" w:rsidRDefault="005B5826" w:rsidP="00D12817">
      <w:pPr>
        <w:spacing w:after="0" w:line="480" w:lineRule="auto"/>
        <w:rPr>
          <w:rFonts w:ascii="Tahoma" w:hAnsi="Tahoma" w:cs="Tahoma"/>
        </w:rPr>
      </w:pPr>
    </w:p>
    <w:p w14:paraId="6A6E153E" w14:textId="349C1ECC" w:rsidR="005B5826" w:rsidRPr="00430B6D" w:rsidRDefault="005B5826" w:rsidP="00D12817">
      <w:pPr>
        <w:spacing w:after="0" w:line="480" w:lineRule="auto"/>
        <w:rPr>
          <w:rFonts w:ascii="Tahoma" w:hAnsi="Tahoma" w:cs="Tahoma"/>
        </w:rPr>
      </w:pPr>
    </w:p>
    <w:p w14:paraId="3DBDA354" w14:textId="122ED36A" w:rsidR="005B5826" w:rsidRPr="00430B6D" w:rsidRDefault="005B5826" w:rsidP="00D12817">
      <w:pPr>
        <w:spacing w:after="0" w:line="480" w:lineRule="auto"/>
        <w:rPr>
          <w:rFonts w:ascii="Tahoma" w:hAnsi="Tahoma" w:cs="Tahoma"/>
        </w:rPr>
      </w:pPr>
    </w:p>
    <w:p w14:paraId="4EDE6624" w14:textId="1F7B92C9" w:rsidR="005B5826" w:rsidRPr="00430B6D" w:rsidRDefault="005B5826" w:rsidP="00D12817">
      <w:pPr>
        <w:spacing w:after="0" w:line="480" w:lineRule="auto"/>
        <w:rPr>
          <w:rFonts w:ascii="Tahoma" w:hAnsi="Tahoma" w:cs="Tahoma"/>
        </w:rPr>
      </w:pPr>
    </w:p>
    <w:p w14:paraId="5D528C28" w14:textId="441A4AA9" w:rsidR="005B5826" w:rsidRPr="00430B6D" w:rsidRDefault="005B5826" w:rsidP="00D12817">
      <w:pPr>
        <w:spacing w:after="0" w:line="480" w:lineRule="auto"/>
        <w:rPr>
          <w:rFonts w:ascii="Tahoma" w:hAnsi="Tahoma" w:cs="Tahoma"/>
        </w:rPr>
      </w:pPr>
    </w:p>
    <w:p w14:paraId="67971909" w14:textId="355A20E7" w:rsidR="005B5826" w:rsidRPr="00430B6D" w:rsidRDefault="005B5826" w:rsidP="00D12817">
      <w:pPr>
        <w:spacing w:after="0" w:line="480" w:lineRule="auto"/>
        <w:rPr>
          <w:rFonts w:ascii="Tahoma" w:hAnsi="Tahoma" w:cs="Tahoma"/>
        </w:rPr>
      </w:pPr>
    </w:p>
    <w:p w14:paraId="18CE5EB6" w14:textId="5DAD1FB3" w:rsidR="005B5826" w:rsidRPr="00430B6D" w:rsidRDefault="00430B6D" w:rsidP="00D12817">
      <w:pPr>
        <w:spacing w:after="0" w:line="480" w:lineRule="auto"/>
        <w:rPr>
          <w:rFonts w:ascii="Tahoma" w:hAnsi="Tahoma" w:cs="Tahoma"/>
        </w:rPr>
      </w:pPr>
      <w:r w:rsidRPr="00430B6D">
        <w:rPr>
          <w:rFonts w:ascii="Tahoma" w:hAnsi="Tahoma" w:cs="Tahoma"/>
          <w:noProof/>
        </w:rPr>
        <mc:AlternateContent>
          <mc:Choice Requires="wps">
            <w:drawing>
              <wp:anchor distT="45720" distB="45720" distL="114300" distR="114300" simplePos="0" relativeHeight="251660288" behindDoc="0" locked="0" layoutInCell="1" allowOverlap="1" wp14:anchorId="7DA10C2D" wp14:editId="5B37CF4B">
                <wp:simplePos x="0" y="0"/>
                <wp:positionH relativeFrom="column">
                  <wp:posOffset>2305773</wp:posOffset>
                </wp:positionH>
                <wp:positionV relativeFrom="paragraph">
                  <wp:posOffset>278765</wp:posOffset>
                </wp:positionV>
                <wp:extent cx="1552575" cy="285115"/>
                <wp:effectExtent l="0" t="0" r="2857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285115"/>
                        </a:xfrm>
                        <a:prstGeom prst="rect">
                          <a:avLst/>
                        </a:prstGeom>
                        <a:solidFill>
                          <a:srgbClr val="FFFFFF"/>
                        </a:solidFill>
                        <a:ln w="9525">
                          <a:solidFill>
                            <a:srgbClr val="000000"/>
                          </a:solidFill>
                          <a:miter lim="800000"/>
                          <a:headEnd/>
                          <a:tailEnd/>
                        </a:ln>
                      </wps:spPr>
                      <wps:txbx>
                        <w:txbxContent>
                          <w:p w14:paraId="6C7F0268" w14:textId="6B8AD787" w:rsidR="003F1BD6" w:rsidRDefault="003F1BD6">
                            <w:r>
                              <w:t xml:space="preserve">Mean of anxiety scores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A10C2D" id="_x0000_t202" coordsize="21600,21600" o:spt="202" path="m,l,21600r21600,l21600,xe">
                <v:stroke joinstyle="miter"/>
                <v:path gradientshapeok="t" o:connecttype="rect"/>
              </v:shapetype>
              <v:shape id="Text Box 2" o:spid="_x0000_s1026" type="#_x0000_t202" style="position:absolute;margin-left:181.55pt;margin-top:21.95pt;width:122.25pt;height:22.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">
                <v:textbox>
                  <w:txbxContent>
                    <w:p w14:paraId="6C7F0268" w14:textId="6B8AD787" w:rsidR="003F1BD6" w:rsidRDefault="003F1BD6">
                      <w:r>
                        <w:t xml:space="preserve">Mean of anxiety scores </w:t>
                      </w:r>
                    </w:p>
                  </w:txbxContent>
                </v:textbox>
                <w10:wrap type="square"/>
              </v:shape>
            </w:pict>
          </mc:Fallback>
        </mc:AlternateContent>
      </w:r>
    </w:p>
    <w:p w14:paraId="19D92632" w14:textId="60768FC1" w:rsidR="005B5826" w:rsidRPr="00430B6D" w:rsidRDefault="005B5826" w:rsidP="00D12817">
      <w:pPr>
        <w:spacing w:after="0" w:line="480" w:lineRule="auto"/>
        <w:rPr>
          <w:rFonts w:ascii="Tahoma" w:hAnsi="Tahoma" w:cs="Tahoma"/>
        </w:rPr>
      </w:pPr>
    </w:p>
    <w:p w14:paraId="0747A0F3" w14:textId="77777777" w:rsidR="0031022E" w:rsidRPr="00430B6D" w:rsidRDefault="0031022E" w:rsidP="00D12817">
      <w:pPr>
        <w:spacing w:after="0" w:line="480" w:lineRule="auto"/>
        <w:rPr>
          <w:rFonts w:ascii="Tahoma" w:hAnsi="Tahoma" w:cs="Tahoma"/>
        </w:rPr>
      </w:pPr>
    </w:p>
    <w:p w14:paraId="3F35E094" w14:textId="7AF95A9C" w:rsidR="0031022E" w:rsidRDefault="00DA33FA" w:rsidP="00D12817">
      <w:pPr>
        <w:spacing w:after="0" w:line="480" w:lineRule="auto"/>
        <w:rPr>
          <w:rFonts w:ascii="Tahoma" w:hAnsi="Tahoma" w:cs="Tahoma"/>
        </w:rPr>
      </w:pPr>
      <w:r w:rsidRPr="00DA33FA">
        <w:rPr>
          <w:rFonts w:ascii="Tahoma" w:hAnsi="Tahoma" w:cs="Tahoma"/>
          <w:b/>
          <w:bCs/>
        </w:rPr>
        <w:t>Quantitative date</w:t>
      </w:r>
      <w:r>
        <w:rPr>
          <w:rFonts w:ascii="Tahoma" w:hAnsi="Tahoma" w:cs="Tahoma"/>
        </w:rPr>
        <w:t xml:space="preserve">. </w:t>
      </w:r>
      <w:r w:rsidR="00A91A67">
        <w:rPr>
          <w:rFonts w:ascii="Tahoma" w:hAnsi="Tahoma" w:cs="Tahoma"/>
        </w:rPr>
        <w:t xml:space="preserve">As seen in the chart above, the mean difference between male and female is slim. </w:t>
      </w:r>
      <w:r w:rsidR="00EF288E">
        <w:rPr>
          <w:rFonts w:ascii="Tahoma" w:hAnsi="Tahoma" w:cs="Tahoma"/>
        </w:rPr>
        <w:t xml:space="preserve">This doesn’t support the NIH Public Access research (J Psychiatry research), as in the research conducted in that study states that women suffer with anxiety more immensely than men. J Psychiatry states “women have consistently higher prevalence rates of anxiety disorders”. From the results shown above this, although females scored higher it was by a drastic amount.  </w:t>
      </w:r>
    </w:p>
    <w:tbl>
      <w:tblPr>
        <w:tblStyle w:val="TableGrid"/>
        <w:tblW w:w="0" w:type="auto"/>
        <w:tblInd w:w="1124" w:type="dxa"/>
        <w:tblLook w:val="04A0" w:firstRow="1" w:lastRow="0" w:firstColumn="1" w:lastColumn="0" w:noHBand="0" w:noVBand="1"/>
      </w:tblPr>
      <w:tblGrid>
        <w:gridCol w:w="2547"/>
        <w:gridCol w:w="1961"/>
        <w:gridCol w:w="2254"/>
      </w:tblGrid>
      <w:tr w:rsidR="00542650" w14:paraId="5738B4E6" w14:textId="77777777" w:rsidTr="00542650">
        <w:tc>
          <w:tcPr>
            <w:tcW w:w="2547" w:type="dxa"/>
          </w:tcPr>
          <w:p w14:paraId="04C25391" w14:textId="68ED8596" w:rsidR="00542650" w:rsidRPr="00542650" w:rsidRDefault="00542650" w:rsidP="00D12817">
            <w:pPr>
              <w:spacing w:line="480" w:lineRule="auto"/>
              <w:rPr>
                <w:rFonts w:ascii="Tahoma" w:hAnsi="Tahoma" w:cs="Tahoma"/>
                <w:b/>
                <w:bCs/>
              </w:rPr>
            </w:pPr>
            <w:r w:rsidRPr="00542650">
              <w:rPr>
                <w:rFonts w:ascii="Tahoma" w:hAnsi="Tahoma" w:cs="Tahoma"/>
                <w:b/>
                <w:bCs/>
              </w:rPr>
              <w:t xml:space="preserve">Anxiety </w:t>
            </w:r>
          </w:p>
        </w:tc>
        <w:tc>
          <w:tcPr>
            <w:tcW w:w="1961" w:type="dxa"/>
          </w:tcPr>
          <w:p w14:paraId="2E0CA3C4" w14:textId="70DBDCE1" w:rsidR="00542650" w:rsidRPr="00542650" w:rsidRDefault="00542650" w:rsidP="00D12817">
            <w:pPr>
              <w:spacing w:line="480" w:lineRule="auto"/>
              <w:rPr>
                <w:rFonts w:ascii="Tahoma" w:hAnsi="Tahoma" w:cs="Tahoma"/>
                <w:b/>
                <w:bCs/>
              </w:rPr>
            </w:pPr>
            <w:r w:rsidRPr="00542650">
              <w:rPr>
                <w:rFonts w:ascii="Tahoma" w:hAnsi="Tahoma" w:cs="Tahoma"/>
                <w:b/>
                <w:bCs/>
              </w:rPr>
              <w:t xml:space="preserve">Female </w:t>
            </w:r>
          </w:p>
        </w:tc>
        <w:tc>
          <w:tcPr>
            <w:tcW w:w="2254" w:type="dxa"/>
          </w:tcPr>
          <w:p w14:paraId="35F3519F" w14:textId="240E27C4" w:rsidR="00542650" w:rsidRPr="00542650" w:rsidRDefault="00542650" w:rsidP="00D12817">
            <w:pPr>
              <w:spacing w:line="480" w:lineRule="auto"/>
              <w:rPr>
                <w:rFonts w:ascii="Tahoma" w:hAnsi="Tahoma" w:cs="Tahoma"/>
                <w:b/>
                <w:bCs/>
              </w:rPr>
            </w:pPr>
            <w:r w:rsidRPr="00542650">
              <w:rPr>
                <w:rFonts w:ascii="Tahoma" w:hAnsi="Tahoma" w:cs="Tahoma"/>
                <w:b/>
                <w:bCs/>
              </w:rPr>
              <w:t>Male</w:t>
            </w:r>
          </w:p>
        </w:tc>
      </w:tr>
      <w:tr w:rsidR="00542650" w14:paraId="241F8488" w14:textId="77777777" w:rsidTr="00542650">
        <w:tc>
          <w:tcPr>
            <w:tcW w:w="2547" w:type="dxa"/>
          </w:tcPr>
          <w:p w14:paraId="3580D17E" w14:textId="6ECE0034" w:rsidR="00542650" w:rsidRDefault="00542650" w:rsidP="00D12817">
            <w:pPr>
              <w:spacing w:line="480" w:lineRule="auto"/>
              <w:rPr>
                <w:rFonts w:ascii="Tahoma" w:hAnsi="Tahoma" w:cs="Tahoma"/>
              </w:rPr>
            </w:pPr>
            <w:r>
              <w:rPr>
                <w:rFonts w:ascii="Tahoma" w:hAnsi="Tahoma" w:cs="Tahoma"/>
              </w:rPr>
              <w:t>Low</w:t>
            </w:r>
          </w:p>
        </w:tc>
        <w:tc>
          <w:tcPr>
            <w:tcW w:w="1961" w:type="dxa"/>
          </w:tcPr>
          <w:p w14:paraId="29F1A4DE" w14:textId="3F3C49B5" w:rsidR="00542650" w:rsidRDefault="00542650" w:rsidP="00D12817">
            <w:pPr>
              <w:spacing w:line="480" w:lineRule="auto"/>
              <w:rPr>
                <w:rFonts w:ascii="Tahoma" w:hAnsi="Tahoma" w:cs="Tahoma"/>
              </w:rPr>
            </w:pPr>
            <w:r>
              <w:rPr>
                <w:rFonts w:ascii="Tahoma" w:hAnsi="Tahoma" w:cs="Tahoma"/>
              </w:rPr>
              <w:t>7</w:t>
            </w:r>
          </w:p>
        </w:tc>
        <w:tc>
          <w:tcPr>
            <w:tcW w:w="2254" w:type="dxa"/>
          </w:tcPr>
          <w:p w14:paraId="364EA72D" w14:textId="073C8DB2" w:rsidR="00542650" w:rsidRDefault="00542650" w:rsidP="00D12817">
            <w:pPr>
              <w:spacing w:line="480" w:lineRule="auto"/>
              <w:rPr>
                <w:rFonts w:ascii="Tahoma" w:hAnsi="Tahoma" w:cs="Tahoma"/>
              </w:rPr>
            </w:pPr>
            <w:r>
              <w:rPr>
                <w:rFonts w:ascii="Tahoma" w:hAnsi="Tahoma" w:cs="Tahoma"/>
              </w:rPr>
              <w:t>13</w:t>
            </w:r>
          </w:p>
        </w:tc>
      </w:tr>
      <w:tr w:rsidR="00542650" w14:paraId="09445344" w14:textId="77777777" w:rsidTr="00542650">
        <w:tc>
          <w:tcPr>
            <w:tcW w:w="2547" w:type="dxa"/>
          </w:tcPr>
          <w:p w14:paraId="682C116D" w14:textId="619F8739" w:rsidR="00542650" w:rsidRDefault="00542650" w:rsidP="00D12817">
            <w:pPr>
              <w:spacing w:line="480" w:lineRule="auto"/>
              <w:rPr>
                <w:rFonts w:ascii="Tahoma" w:hAnsi="Tahoma" w:cs="Tahoma"/>
              </w:rPr>
            </w:pPr>
            <w:r>
              <w:rPr>
                <w:rFonts w:ascii="Tahoma" w:hAnsi="Tahoma" w:cs="Tahoma"/>
              </w:rPr>
              <w:t>Moderate</w:t>
            </w:r>
          </w:p>
        </w:tc>
        <w:tc>
          <w:tcPr>
            <w:tcW w:w="1961" w:type="dxa"/>
          </w:tcPr>
          <w:p w14:paraId="7DA56008" w14:textId="06E481F8" w:rsidR="00542650" w:rsidRDefault="00542650" w:rsidP="00D12817">
            <w:pPr>
              <w:spacing w:line="480" w:lineRule="auto"/>
              <w:rPr>
                <w:rFonts w:ascii="Tahoma" w:hAnsi="Tahoma" w:cs="Tahoma"/>
              </w:rPr>
            </w:pPr>
            <w:r>
              <w:rPr>
                <w:rFonts w:ascii="Tahoma" w:hAnsi="Tahoma" w:cs="Tahoma"/>
              </w:rPr>
              <w:t>8</w:t>
            </w:r>
          </w:p>
        </w:tc>
        <w:tc>
          <w:tcPr>
            <w:tcW w:w="2254" w:type="dxa"/>
          </w:tcPr>
          <w:p w14:paraId="4C620027" w14:textId="3914AC66" w:rsidR="00542650" w:rsidRDefault="00542650" w:rsidP="00D12817">
            <w:pPr>
              <w:spacing w:line="480" w:lineRule="auto"/>
              <w:rPr>
                <w:rFonts w:ascii="Tahoma" w:hAnsi="Tahoma" w:cs="Tahoma"/>
              </w:rPr>
            </w:pPr>
            <w:r>
              <w:rPr>
                <w:rFonts w:ascii="Tahoma" w:hAnsi="Tahoma" w:cs="Tahoma"/>
              </w:rPr>
              <w:t>4</w:t>
            </w:r>
          </w:p>
        </w:tc>
      </w:tr>
      <w:tr w:rsidR="00542650" w14:paraId="338FDD57" w14:textId="77777777" w:rsidTr="00542650">
        <w:tc>
          <w:tcPr>
            <w:tcW w:w="2547" w:type="dxa"/>
          </w:tcPr>
          <w:p w14:paraId="1D3B0BA2" w14:textId="73F1FFAA" w:rsidR="00542650" w:rsidRDefault="00542650" w:rsidP="00D12817">
            <w:pPr>
              <w:spacing w:line="480" w:lineRule="auto"/>
              <w:rPr>
                <w:rFonts w:ascii="Tahoma" w:hAnsi="Tahoma" w:cs="Tahoma"/>
              </w:rPr>
            </w:pPr>
            <w:r>
              <w:rPr>
                <w:rFonts w:ascii="Tahoma" w:hAnsi="Tahoma" w:cs="Tahoma"/>
              </w:rPr>
              <w:t xml:space="preserve">Potentially concerning </w:t>
            </w:r>
          </w:p>
        </w:tc>
        <w:tc>
          <w:tcPr>
            <w:tcW w:w="1961" w:type="dxa"/>
          </w:tcPr>
          <w:p w14:paraId="7D39F49A" w14:textId="075AB913" w:rsidR="00542650" w:rsidRDefault="00542650" w:rsidP="00D12817">
            <w:pPr>
              <w:spacing w:line="480" w:lineRule="auto"/>
              <w:rPr>
                <w:rFonts w:ascii="Tahoma" w:hAnsi="Tahoma" w:cs="Tahoma"/>
              </w:rPr>
            </w:pPr>
            <w:r>
              <w:rPr>
                <w:rFonts w:ascii="Tahoma" w:hAnsi="Tahoma" w:cs="Tahoma"/>
              </w:rPr>
              <w:t>5</w:t>
            </w:r>
          </w:p>
        </w:tc>
        <w:tc>
          <w:tcPr>
            <w:tcW w:w="2254" w:type="dxa"/>
          </w:tcPr>
          <w:p w14:paraId="3369C556" w14:textId="69268A83" w:rsidR="00542650" w:rsidRDefault="00542650" w:rsidP="00D12817">
            <w:pPr>
              <w:spacing w:line="480" w:lineRule="auto"/>
              <w:rPr>
                <w:rFonts w:ascii="Tahoma" w:hAnsi="Tahoma" w:cs="Tahoma"/>
              </w:rPr>
            </w:pPr>
            <w:r>
              <w:rPr>
                <w:rFonts w:ascii="Tahoma" w:hAnsi="Tahoma" w:cs="Tahoma"/>
              </w:rPr>
              <w:t>3</w:t>
            </w:r>
          </w:p>
        </w:tc>
      </w:tr>
    </w:tbl>
    <w:p w14:paraId="06A7DEB1" w14:textId="77777777" w:rsidR="00542650" w:rsidRPr="00430B6D" w:rsidRDefault="00542650" w:rsidP="00D12817">
      <w:pPr>
        <w:spacing w:after="0" w:line="480" w:lineRule="auto"/>
        <w:rPr>
          <w:rFonts w:ascii="Tahoma" w:hAnsi="Tahoma" w:cs="Tahoma"/>
        </w:rPr>
      </w:pPr>
    </w:p>
    <w:p w14:paraId="71076830" w14:textId="65645DBE" w:rsidR="0031022E" w:rsidRDefault="00617069" w:rsidP="00D12817">
      <w:pPr>
        <w:spacing w:after="0" w:line="480" w:lineRule="auto"/>
        <w:rPr>
          <w:rFonts w:ascii="Tahoma" w:hAnsi="Tahoma" w:cs="Tahoma"/>
        </w:rPr>
      </w:pPr>
      <w:r>
        <w:rPr>
          <w:rFonts w:ascii="Tahoma" w:hAnsi="Tahoma" w:cs="Tahoma"/>
        </w:rPr>
        <w:t xml:space="preserve">The scores of anxiety for women ranged from 10 (lowest) to 51 (highest) range = 41. </w:t>
      </w:r>
      <w:r w:rsidR="003E2039">
        <w:rPr>
          <w:rFonts w:ascii="Tahoma" w:hAnsi="Tahoma" w:cs="Tahoma"/>
        </w:rPr>
        <w:t xml:space="preserve">The scores of anxiety for males ranged from 10 (lowest) to 40 (highest) range = 30. The age </w:t>
      </w:r>
      <w:r w:rsidR="003E2039">
        <w:rPr>
          <w:rFonts w:ascii="Tahoma" w:hAnsi="Tahoma" w:cs="Tahoma"/>
        </w:rPr>
        <w:lastRenderedPageBreak/>
        <w:t xml:space="preserve">range for females were 18 (lowest) and 32 (highest) range = 14 and for males it was 18 (lowest) and 39 (highest) range = 21. The difference in ranges might have made some of the results differ slightly, as life experiences can have an affect on anxiety levels. It might have been a different outcome of anxiety scores if the age range was the same for both genders. </w:t>
      </w:r>
      <w:r w:rsidR="00542650">
        <w:rPr>
          <w:rFonts w:ascii="Tahoma" w:hAnsi="Tahoma" w:cs="Tahoma"/>
        </w:rPr>
        <w:t xml:space="preserve">The mean of anxiety scores for female = 28.25 The anxiety scores for male = 23.35. From these results, there is a slight difference with female levels being higher. Although if you look at the table above, the amount of males who scored potentially concerning results </w:t>
      </w:r>
      <w:r w:rsidR="00343F14">
        <w:rPr>
          <w:rFonts w:ascii="Tahoma" w:hAnsi="Tahoma" w:cs="Tahoma"/>
        </w:rPr>
        <w:t xml:space="preserve">was only 2 less than female scores. This shows that there possibly might not be a major difference in genders surrounding anxiety levels. </w:t>
      </w:r>
    </w:p>
    <w:p w14:paraId="68E5FE96" w14:textId="7360D017" w:rsidR="00542650" w:rsidRDefault="00542650" w:rsidP="00D12817">
      <w:pPr>
        <w:spacing w:after="0" w:line="480" w:lineRule="auto"/>
        <w:rPr>
          <w:rFonts w:ascii="Tahoma" w:hAnsi="Tahoma" w:cs="Tahoma"/>
        </w:rPr>
      </w:pPr>
    </w:p>
    <w:p w14:paraId="641BE6E8" w14:textId="1D76497F" w:rsidR="00695B17" w:rsidRDefault="00695B17" w:rsidP="00D12817">
      <w:pPr>
        <w:spacing w:after="0" w:line="480" w:lineRule="auto"/>
        <w:rPr>
          <w:rFonts w:ascii="Tahoma" w:hAnsi="Tahoma" w:cs="Tahoma"/>
        </w:rPr>
      </w:pPr>
    </w:p>
    <w:p w14:paraId="5DEE403C" w14:textId="77777777" w:rsidR="00695B17" w:rsidRPr="00430B6D" w:rsidRDefault="00695B17" w:rsidP="00D12817">
      <w:pPr>
        <w:spacing w:after="0" w:line="480" w:lineRule="auto"/>
        <w:rPr>
          <w:rFonts w:ascii="Tahoma" w:hAnsi="Tahoma" w:cs="Tahoma"/>
        </w:rPr>
      </w:pPr>
    </w:p>
    <w:p w14:paraId="66C9CE32" w14:textId="69CB80A4" w:rsidR="005B5826" w:rsidRPr="00430B6D" w:rsidRDefault="005B5826" w:rsidP="00D12817">
      <w:pPr>
        <w:spacing w:after="0" w:line="480" w:lineRule="auto"/>
        <w:jc w:val="center"/>
        <w:rPr>
          <w:rFonts w:ascii="Tahoma" w:hAnsi="Tahoma" w:cs="Tahoma"/>
          <w:b/>
          <w:bCs/>
        </w:rPr>
      </w:pPr>
      <w:r w:rsidRPr="00430B6D">
        <w:rPr>
          <w:rFonts w:ascii="Tahoma" w:hAnsi="Tahoma" w:cs="Tahoma"/>
          <w:b/>
          <w:bCs/>
        </w:rPr>
        <w:t>DISCUSSION</w:t>
      </w:r>
    </w:p>
    <w:p w14:paraId="71F0FFF0" w14:textId="6E367D33" w:rsidR="005B5826" w:rsidRDefault="0003453E" w:rsidP="00D12817">
      <w:pPr>
        <w:spacing w:after="0" w:line="480" w:lineRule="auto"/>
        <w:rPr>
          <w:rFonts w:ascii="Tahoma" w:hAnsi="Tahoma" w:cs="Tahoma"/>
        </w:rPr>
      </w:pPr>
      <w:r>
        <w:rPr>
          <w:rFonts w:ascii="Tahoma" w:hAnsi="Tahoma" w:cs="Tahoma"/>
        </w:rPr>
        <w:t>Conducting a study of gender differences in anxiety has founded that majority of research done conclude that ‘anxiety is a much more common problem for women than it is for men’ (M. Abraham). Majority of studies have researched more about anxiety in women than in men, meaning that the outcomes will more than likely have higher rates in women. Following my results, although it does support the claim that female</w:t>
      </w:r>
      <w:r w:rsidR="00F8601D">
        <w:rPr>
          <w:rFonts w:ascii="Tahoma" w:hAnsi="Tahoma" w:cs="Tahoma"/>
        </w:rPr>
        <w:t>’</w:t>
      </w:r>
      <w:r>
        <w:rPr>
          <w:rFonts w:ascii="Tahoma" w:hAnsi="Tahoma" w:cs="Tahoma"/>
        </w:rPr>
        <w:t xml:space="preserve">s levels of anxiety are higher than men, it is not considerably higher like most studies show. The results support the research to some degree, but also contradicts slightly. </w:t>
      </w:r>
    </w:p>
    <w:p w14:paraId="7EC03D3D" w14:textId="48900780" w:rsidR="0003453E" w:rsidRDefault="0003453E" w:rsidP="00D12817">
      <w:pPr>
        <w:spacing w:after="0" w:line="480" w:lineRule="auto"/>
        <w:rPr>
          <w:rFonts w:ascii="Tahoma" w:hAnsi="Tahoma" w:cs="Tahoma"/>
        </w:rPr>
      </w:pPr>
      <w:r>
        <w:rPr>
          <w:rFonts w:ascii="Tahoma" w:hAnsi="Tahoma" w:cs="Tahoma"/>
        </w:rPr>
        <w:t>While researching gender differences in anxiety, it’s evident that there are more studies done with women than there are men. Another issue with anxiety diagnoses is that sometimes it can be misdiagnosed. In men it can be misdiagnosed</w:t>
      </w:r>
      <w:r w:rsidR="00F8601D">
        <w:rPr>
          <w:rFonts w:ascii="Tahoma" w:hAnsi="Tahoma" w:cs="Tahoma"/>
        </w:rPr>
        <w:t xml:space="preserve">, so it might be possible that there are a larger number of males suffering with anxiety, but have been diagnosed and therefore are having an incorrect treatment. Likewise, mis diagnostic can also happen in women. Many women struggle with hormonal changes, and during part of the month </w:t>
      </w:r>
      <w:r w:rsidR="00F8601D">
        <w:rPr>
          <w:rFonts w:ascii="Tahoma" w:hAnsi="Tahoma" w:cs="Tahoma"/>
        </w:rPr>
        <w:lastRenderedPageBreak/>
        <w:t xml:space="preserve">hormones are very much up and down, this sometimes can lead to misdiagnosis, for example of anxiety, meaning the results of women will be considerably higher than men. Individuals can be misdiagnosed may times with anxiety, making it difficult for medication (if prescribed) to have effect. (social anxiety institute).  </w:t>
      </w:r>
    </w:p>
    <w:p w14:paraId="587C99B5" w14:textId="07A29D73" w:rsidR="00DA33FA" w:rsidRDefault="00DA33FA" w:rsidP="00D12817">
      <w:pPr>
        <w:spacing w:after="0" w:line="480" w:lineRule="auto"/>
        <w:rPr>
          <w:rFonts w:ascii="Tahoma" w:hAnsi="Tahoma" w:cs="Tahoma"/>
        </w:rPr>
      </w:pPr>
      <w:r>
        <w:rPr>
          <w:rFonts w:ascii="Tahoma" w:hAnsi="Tahoma" w:cs="Tahoma"/>
        </w:rPr>
        <w:t xml:space="preserve">More research around misdiagnosing anxiety in both genders would be beneficial, along with more studies done on men regarding anxiety. </w:t>
      </w:r>
      <w:r w:rsidR="0047660C">
        <w:rPr>
          <w:rFonts w:ascii="Tahoma" w:hAnsi="Tahoma" w:cs="Tahoma"/>
        </w:rPr>
        <w:t xml:space="preserve">Research into how anxiety can be misdiagnosed in men would also be interesting to investigate </w:t>
      </w:r>
      <w:bookmarkStart w:id="2" w:name="_GoBack"/>
      <w:bookmarkEnd w:id="2"/>
      <w:r w:rsidR="0047660C">
        <w:rPr>
          <w:rFonts w:ascii="Tahoma" w:hAnsi="Tahoma" w:cs="Tahoma"/>
        </w:rPr>
        <w:t xml:space="preserve">further, and possible ways of avoiding the misdiagnosis. </w:t>
      </w:r>
      <w:r>
        <w:rPr>
          <w:rFonts w:ascii="Tahoma" w:hAnsi="Tahoma" w:cs="Tahoma"/>
        </w:rPr>
        <w:t xml:space="preserve">In future research, the same amount of men and female participants of the same age range could potentially work better and gather more accurate results. </w:t>
      </w:r>
    </w:p>
    <w:p w14:paraId="7688FAFB" w14:textId="3C4C58ED" w:rsidR="00DA33FA" w:rsidRPr="0003453E" w:rsidRDefault="00DA33FA" w:rsidP="00D12817">
      <w:pPr>
        <w:spacing w:after="0" w:line="480" w:lineRule="auto"/>
        <w:rPr>
          <w:rFonts w:ascii="Tahoma" w:hAnsi="Tahoma" w:cs="Tahoma"/>
        </w:rPr>
      </w:pPr>
      <w:r>
        <w:rPr>
          <w:rFonts w:ascii="Tahoma" w:hAnsi="Tahoma" w:cs="Tahoma"/>
        </w:rPr>
        <w:t xml:space="preserve">In conclusion, the results founded do support </w:t>
      </w:r>
      <w:r w:rsidR="0035623C">
        <w:rPr>
          <w:rFonts w:ascii="Tahoma" w:hAnsi="Tahoma" w:cs="Tahoma"/>
        </w:rPr>
        <w:t>the hypothesis</w:t>
      </w:r>
      <w:r>
        <w:rPr>
          <w:rFonts w:ascii="Tahoma" w:hAnsi="Tahoma" w:cs="Tahoma"/>
        </w:rPr>
        <w:t xml:space="preserve"> in which females have a higher diagnosis/scores than males. Although, not by a large amount. The results show that there is not a drastic different in mean scores between both genders on their anxiety levels, as was expected </w:t>
      </w:r>
      <w:r w:rsidR="009A2438">
        <w:rPr>
          <w:rFonts w:ascii="Tahoma" w:hAnsi="Tahoma" w:cs="Tahoma"/>
        </w:rPr>
        <w:t xml:space="preserve">due to previous studies conducted. </w:t>
      </w:r>
    </w:p>
    <w:p w14:paraId="65275358" w14:textId="30B54C4F" w:rsidR="005B5826" w:rsidRPr="00430B6D" w:rsidRDefault="005B5826" w:rsidP="00D12817">
      <w:pPr>
        <w:spacing w:after="0" w:line="480" w:lineRule="auto"/>
        <w:jc w:val="center"/>
        <w:rPr>
          <w:rFonts w:ascii="Tahoma" w:hAnsi="Tahoma" w:cs="Tahoma"/>
          <w:b/>
          <w:bCs/>
        </w:rPr>
      </w:pPr>
    </w:p>
    <w:p w14:paraId="363D3769" w14:textId="65838046" w:rsidR="005B5826" w:rsidRPr="00430B6D" w:rsidRDefault="005B5826" w:rsidP="00D12817">
      <w:pPr>
        <w:spacing w:after="0" w:line="480" w:lineRule="auto"/>
        <w:jc w:val="center"/>
        <w:rPr>
          <w:rFonts w:ascii="Tahoma" w:hAnsi="Tahoma" w:cs="Tahoma"/>
          <w:b/>
          <w:bCs/>
        </w:rPr>
      </w:pPr>
    </w:p>
    <w:p w14:paraId="00DCE210" w14:textId="48010D31" w:rsidR="005B5826" w:rsidRDefault="005B5826" w:rsidP="00D12817">
      <w:pPr>
        <w:spacing w:after="0" w:line="480" w:lineRule="auto"/>
        <w:jc w:val="center"/>
        <w:rPr>
          <w:rFonts w:ascii="Tahoma" w:hAnsi="Tahoma" w:cs="Tahoma"/>
          <w:b/>
          <w:bCs/>
        </w:rPr>
      </w:pPr>
    </w:p>
    <w:p w14:paraId="6B63DB94" w14:textId="70EBB83F" w:rsidR="00343F14" w:rsidRDefault="00343F14" w:rsidP="00D12817">
      <w:pPr>
        <w:spacing w:after="0" w:line="480" w:lineRule="auto"/>
        <w:jc w:val="center"/>
        <w:rPr>
          <w:rFonts w:ascii="Tahoma" w:hAnsi="Tahoma" w:cs="Tahoma"/>
          <w:b/>
          <w:bCs/>
        </w:rPr>
      </w:pPr>
    </w:p>
    <w:p w14:paraId="1E082FEA" w14:textId="3B22F48E" w:rsidR="00343F14" w:rsidRDefault="00343F14" w:rsidP="00D12817">
      <w:pPr>
        <w:spacing w:after="0" w:line="480" w:lineRule="auto"/>
        <w:jc w:val="center"/>
        <w:rPr>
          <w:rFonts w:ascii="Tahoma" w:hAnsi="Tahoma" w:cs="Tahoma"/>
          <w:b/>
          <w:bCs/>
        </w:rPr>
      </w:pPr>
    </w:p>
    <w:p w14:paraId="470CCF8A" w14:textId="5182C6CF" w:rsidR="00343F14" w:rsidRDefault="00343F14" w:rsidP="00D12817">
      <w:pPr>
        <w:spacing w:after="0" w:line="480" w:lineRule="auto"/>
        <w:jc w:val="center"/>
        <w:rPr>
          <w:rFonts w:ascii="Tahoma" w:hAnsi="Tahoma" w:cs="Tahoma"/>
          <w:b/>
          <w:bCs/>
        </w:rPr>
      </w:pPr>
    </w:p>
    <w:p w14:paraId="2111DFB3" w14:textId="45BF8A1A" w:rsidR="00343F14" w:rsidRDefault="00343F14" w:rsidP="00D12817">
      <w:pPr>
        <w:spacing w:after="0" w:line="480" w:lineRule="auto"/>
        <w:jc w:val="center"/>
        <w:rPr>
          <w:rFonts w:ascii="Tahoma" w:hAnsi="Tahoma" w:cs="Tahoma"/>
          <w:b/>
          <w:bCs/>
        </w:rPr>
      </w:pPr>
    </w:p>
    <w:p w14:paraId="6021EA80" w14:textId="102E0F4A" w:rsidR="00343F14" w:rsidRDefault="00343F14" w:rsidP="00D12817">
      <w:pPr>
        <w:spacing w:after="0" w:line="480" w:lineRule="auto"/>
        <w:jc w:val="center"/>
        <w:rPr>
          <w:rFonts w:ascii="Tahoma" w:hAnsi="Tahoma" w:cs="Tahoma"/>
          <w:b/>
          <w:bCs/>
        </w:rPr>
      </w:pPr>
    </w:p>
    <w:p w14:paraId="520D34BE" w14:textId="5FAD32F7" w:rsidR="00343F14" w:rsidRDefault="00343F14" w:rsidP="00D12817">
      <w:pPr>
        <w:spacing w:after="0" w:line="480" w:lineRule="auto"/>
        <w:jc w:val="center"/>
        <w:rPr>
          <w:rFonts w:ascii="Tahoma" w:hAnsi="Tahoma" w:cs="Tahoma"/>
          <w:b/>
          <w:bCs/>
        </w:rPr>
      </w:pPr>
    </w:p>
    <w:p w14:paraId="128914AF" w14:textId="7673A69F" w:rsidR="00343F14" w:rsidRDefault="00343F14" w:rsidP="00D12817">
      <w:pPr>
        <w:spacing w:after="0" w:line="480" w:lineRule="auto"/>
        <w:jc w:val="center"/>
        <w:rPr>
          <w:rFonts w:ascii="Tahoma" w:hAnsi="Tahoma" w:cs="Tahoma"/>
          <w:b/>
          <w:bCs/>
        </w:rPr>
      </w:pPr>
    </w:p>
    <w:p w14:paraId="4DCC1A8C" w14:textId="2A233F35" w:rsidR="00B543DD" w:rsidRDefault="00B543DD" w:rsidP="00D12817">
      <w:pPr>
        <w:spacing w:after="0" w:line="480" w:lineRule="auto"/>
        <w:jc w:val="center"/>
        <w:rPr>
          <w:rFonts w:ascii="Tahoma" w:hAnsi="Tahoma" w:cs="Tahoma"/>
          <w:b/>
          <w:bCs/>
        </w:rPr>
      </w:pPr>
    </w:p>
    <w:p w14:paraId="2CF02F64" w14:textId="71D167F5" w:rsidR="00B543DD" w:rsidRDefault="00B543DD" w:rsidP="00D12817">
      <w:pPr>
        <w:spacing w:after="0" w:line="480" w:lineRule="auto"/>
        <w:jc w:val="center"/>
        <w:rPr>
          <w:rFonts w:ascii="Tahoma" w:hAnsi="Tahoma" w:cs="Tahoma"/>
          <w:b/>
          <w:bCs/>
        </w:rPr>
      </w:pPr>
    </w:p>
    <w:p w14:paraId="098E26DB" w14:textId="50D78ECC" w:rsidR="00D12817" w:rsidRDefault="00D12817" w:rsidP="00D12817">
      <w:pPr>
        <w:spacing w:after="0" w:line="480" w:lineRule="auto"/>
        <w:jc w:val="center"/>
        <w:rPr>
          <w:rFonts w:ascii="Tahoma" w:hAnsi="Tahoma" w:cs="Tahoma"/>
          <w:b/>
          <w:bCs/>
        </w:rPr>
      </w:pPr>
    </w:p>
    <w:p w14:paraId="788E08B0" w14:textId="77777777" w:rsidR="00D12817" w:rsidRPr="00430B6D" w:rsidRDefault="00D12817" w:rsidP="00D12817">
      <w:pPr>
        <w:spacing w:after="0" w:line="480" w:lineRule="auto"/>
        <w:jc w:val="center"/>
        <w:rPr>
          <w:rFonts w:ascii="Tahoma" w:hAnsi="Tahoma" w:cs="Tahoma"/>
          <w:b/>
          <w:bCs/>
        </w:rPr>
      </w:pPr>
    </w:p>
    <w:p w14:paraId="0B3E134F" w14:textId="448FBEE5" w:rsidR="005B5826" w:rsidRDefault="005B5826" w:rsidP="00D12817">
      <w:pPr>
        <w:spacing w:after="0" w:line="480" w:lineRule="auto"/>
        <w:jc w:val="center"/>
        <w:rPr>
          <w:rFonts w:ascii="Tahoma" w:hAnsi="Tahoma" w:cs="Tahoma"/>
          <w:b/>
          <w:bCs/>
        </w:rPr>
      </w:pPr>
      <w:r w:rsidRPr="00430B6D">
        <w:rPr>
          <w:rFonts w:ascii="Tahoma" w:hAnsi="Tahoma" w:cs="Tahoma"/>
          <w:b/>
          <w:bCs/>
        </w:rPr>
        <w:t>REFERENCES</w:t>
      </w:r>
    </w:p>
    <w:p w14:paraId="599B1E99" w14:textId="2EF1B165" w:rsidR="00B543DD" w:rsidRDefault="00B543DD" w:rsidP="00D12817">
      <w:pPr>
        <w:spacing w:after="0" w:line="480" w:lineRule="auto"/>
        <w:jc w:val="center"/>
        <w:rPr>
          <w:rFonts w:ascii="Tahoma" w:hAnsi="Tahoma" w:cs="Tahoma"/>
          <w:b/>
          <w:bCs/>
        </w:rPr>
      </w:pPr>
    </w:p>
    <w:p w14:paraId="092F330E" w14:textId="59BDC710" w:rsidR="00B543DD" w:rsidRDefault="00B543DD" w:rsidP="00D12817">
      <w:pPr>
        <w:spacing w:after="0" w:line="480" w:lineRule="auto"/>
        <w:ind w:left="567" w:hanging="567"/>
        <w:rPr>
          <w:rFonts w:ascii="Tahoma" w:hAnsi="Tahoma" w:cs="Tahoma"/>
        </w:rPr>
      </w:pPr>
      <w:r>
        <w:rPr>
          <w:rFonts w:ascii="Tahoma" w:hAnsi="Tahoma" w:cs="Tahoma"/>
        </w:rPr>
        <w:t xml:space="preserve">Beck, Brown, Epstein &amp; Greer, </w:t>
      </w:r>
      <w:r w:rsidRPr="00D12817">
        <w:rPr>
          <w:rFonts w:ascii="Tahoma" w:hAnsi="Tahoma" w:cs="Tahoma"/>
          <w:i/>
          <w:iCs/>
        </w:rPr>
        <w:t>(1988)</w:t>
      </w:r>
      <w:r>
        <w:rPr>
          <w:rFonts w:ascii="Tahoma" w:hAnsi="Tahoma" w:cs="Tahoma"/>
        </w:rPr>
        <w:t xml:space="preserve">, Beck Anxiety Inventory </w:t>
      </w:r>
    </w:p>
    <w:p w14:paraId="4CFC3A25" w14:textId="77777777" w:rsidR="00B543DD" w:rsidRDefault="00B543DD" w:rsidP="00D12817">
      <w:pPr>
        <w:spacing w:after="0" w:line="480" w:lineRule="auto"/>
        <w:ind w:left="567" w:hanging="567"/>
        <w:rPr>
          <w:rFonts w:ascii="Tahoma" w:hAnsi="Tahoma" w:cs="Tahoma"/>
        </w:rPr>
      </w:pPr>
      <w:r>
        <w:rPr>
          <w:rFonts w:ascii="Tahoma" w:hAnsi="Tahoma" w:cs="Tahoma"/>
        </w:rPr>
        <w:t>D. M. Christiansen</w:t>
      </w:r>
      <w:r w:rsidRPr="00D12817">
        <w:rPr>
          <w:rFonts w:ascii="Tahoma" w:hAnsi="Tahoma" w:cs="Tahoma"/>
          <w:i/>
          <w:iCs/>
        </w:rPr>
        <w:t>, (September 9</w:t>
      </w:r>
      <w:r w:rsidRPr="00D12817">
        <w:rPr>
          <w:rFonts w:ascii="Tahoma" w:hAnsi="Tahoma" w:cs="Tahoma"/>
          <w:i/>
          <w:iCs/>
          <w:vertAlign w:val="superscript"/>
        </w:rPr>
        <w:t>th</w:t>
      </w:r>
      <w:r w:rsidRPr="00D12817">
        <w:rPr>
          <w:rFonts w:ascii="Tahoma" w:hAnsi="Tahoma" w:cs="Tahoma"/>
          <w:i/>
          <w:iCs/>
        </w:rPr>
        <w:t xml:space="preserve"> 2015)</w:t>
      </w:r>
      <w:r>
        <w:rPr>
          <w:rFonts w:ascii="Tahoma" w:hAnsi="Tahoma" w:cs="Tahoma"/>
        </w:rPr>
        <w:t xml:space="preserve">, </w:t>
      </w:r>
      <w:proofErr w:type="spellStart"/>
      <w:r>
        <w:rPr>
          <w:rFonts w:ascii="Tahoma" w:hAnsi="Tahoma" w:cs="Tahoma"/>
        </w:rPr>
        <w:t>Examing</w:t>
      </w:r>
      <w:proofErr w:type="spellEnd"/>
      <w:r>
        <w:rPr>
          <w:rFonts w:ascii="Tahoma" w:hAnsi="Tahoma" w:cs="Tahoma"/>
        </w:rPr>
        <w:t xml:space="preserve"> sex &amp; gender differences in anxiety disorders, </w:t>
      </w:r>
      <w:hyperlink r:id="rId5" w:history="1">
        <w:r w:rsidRPr="00E56FC7">
          <w:rPr>
            <w:rStyle w:val="Hyperlink"/>
            <w:rFonts w:ascii="Tahoma" w:hAnsi="Tahoma" w:cs="Tahoma"/>
          </w:rPr>
          <w:t>https://www.intechopen.com/books/a-fresh-look-at-anxiety-disorders/examining-sex-and-gender-differences-in-anxiety-disorders</w:t>
        </w:r>
      </w:hyperlink>
      <w:r>
        <w:rPr>
          <w:rFonts w:ascii="Tahoma" w:hAnsi="Tahoma" w:cs="Tahoma"/>
        </w:rPr>
        <w:t xml:space="preserve"> </w:t>
      </w:r>
    </w:p>
    <w:p w14:paraId="62DE8126" w14:textId="085B3E3C" w:rsidR="00B543DD" w:rsidRDefault="00B543DD" w:rsidP="00D12817">
      <w:pPr>
        <w:spacing w:after="0" w:line="480" w:lineRule="auto"/>
        <w:ind w:left="567" w:hanging="567"/>
        <w:rPr>
          <w:rFonts w:ascii="Tahoma" w:hAnsi="Tahoma" w:cs="Tahoma"/>
        </w:rPr>
      </w:pPr>
      <w:r>
        <w:rPr>
          <w:rFonts w:ascii="Tahoma" w:hAnsi="Tahoma" w:cs="Tahoma"/>
        </w:rPr>
        <w:t>J. Folk &amp; M. Folk</w:t>
      </w:r>
      <w:r w:rsidR="00D12817">
        <w:rPr>
          <w:rFonts w:ascii="Tahoma" w:hAnsi="Tahoma" w:cs="Tahoma"/>
        </w:rPr>
        <w:t>,</w:t>
      </w:r>
      <w:r w:rsidRPr="00D12817">
        <w:rPr>
          <w:rFonts w:ascii="Tahoma" w:hAnsi="Tahoma" w:cs="Tahoma"/>
          <w:i/>
          <w:iCs/>
        </w:rPr>
        <w:t xml:space="preserve"> (August 11</w:t>
      </w:r>
      <w:r w:rsidRPr="00D12817">
        <w:rPr>
          <w:rFonts w:ascii="Tahoma" w:hAnsi="Tahoma" w:cs="Tahoma"/>
          <w:i/>
          <w:iCs/>
          <w:vertAlign w:val="superscript"/>
        </w:rPr>
        <w:t>th</w:t>
      </w:r>
      <w:r w:rsidRPr="00D12817">
        <w:rPr>
          <w:rFonts w:ascii="Tahoma" w:hAnsi="Tahoma" w:cs="Tahoma"/>
          <w:i/>
          <w:iCs/>
        </w:rPr>
        <w:t xml:space="preserve"> 2019),</w:t>
      </w:r>
      <w:r>
        <w:rPr>
          <w:rFonts w:ascii="Tahoma" w:hAnsi="Tahoma" w:cs="Tahoma"/>
        </w:rPr>
        <w:t xml:space="preserve"> Anxiety symptoms in men, </w:t>
      </w:r>
      <w:hyperlink r:id="rId6" w:history="1">
        <w:r w:rsidRPr="00E56FC7">
          <w:rPr>
            <w:rStyle w:val="Hyperlink"/>
            <w:rFonts w:ascii="Tahoma" w:hAnsi="Tahoma" w:cs="Tahoma"/>
          </w:rPr>
          <w:t>www.anxietycentre.com/anixety-symptoms/anixety-symptoms-in-men.shtml</w:t>
        </w:r>
      </w:hyperlink>
      <w:r>
        <w:rPr>
          <w:rFonts w:ascii="Tahoma" w:hAnsi="Tahoma" w:cs="Tahoma"/>
        </w:rPr>
        <w:t xml:space="preserve"> </w:t>
      </w:r>
    </w:p>
    <w:p w14:paraId="25B6C071" w14:textId="72930B46" w:rsidR="00B543DD" w:rsidRDefault="00B543DD" w:rsidP="00D12817">
      <w:pPr>
        <w:spacing w:after="0" w:line="480" w:lineRule="auto"/>
        <w:ind w:left="567" w:hanging="567"/>
        <w:rPr>
          <w:rFonts w:ascii="Tahoma" w:hAnsi="Tahoma" w:cs="Tahoma"/>
        </w:rPr>
      </w:pPr>
      <w:r>
        <w:rPr>
          <w:rFonts w:ascii="Tahoma" w:hAnsi="Tahoma" w:cs="Tahoma"/>
        </w:rPr>
        <w:t xml:space="preserve">M. Abraham, </w:t>
      </w:r>
      <w:r w:rsidRPr="00D12817">
        <w:rPr>
          <w:rFonts w:ascii="Tahoma" w:hAnsi="Tahoma" w:cs="Tahoma"/>
          <w:i/>
          <w:iCs/>
        </w:rPr>
        <w:t>(October 29</w:t>
      </w:r>
      <w:r w:rsidRPr="00D12817">
        <w:rPr>
          <w:rFonts w:ascii="Tahoma" w:hAnsi="Tahoma" w:cs="Tahoma"/>
          <w:i/>
          <w:iCs/>
          <w:vertAlign w:val="superscript"/>
        </w:rPr>
        <w:t>th</w:t>
      </w:r>
      <w:r w:rsidRPr="00D12817">
        <w:rPr>
          <w:rFonts w:ascii="Tahoma" w:hAnsi="Tahoma" w:cs="Tahoma"/>
          <w:i/>
          <w:iCs/>
        </w:rPr>
        <w:t xml:space="preserve"> 2018)</w:t>
      </w:r>
      <w:r>
        <w:rPr>
          <w:rFonts w:ascii="Tahoma" w:hAnsi="Tahoma" w:cs="Tahoma"/>
        </w:rPr>
        <w:t xml:space="preserve">, </w:t>
      </w:r>
      <w:hyperlink r:id="rId7" w:history="1">
        <w:r w:rsidRPr="00B543DD">
          <w:rPr>
            <w:rStyle w:val="Hyperlink"/>
            <w:rFonts w:ascii="Tahoma" w:hAnsi="Tahoma" w:cs="Tahoma"/>
          </w:rPr>
          <w:t>https://www.calmclinic.com/anxiety-in-women</w:t>
        </w:r>
      </w:hyperlink>
    </w:p>
    <w:p w14:paraId="17B5D1BE" w14:textId="18531E28" w:rsidR="00B543DD" w:rsidRDefault="00B543DD" w:rsidP="00D12817">
      <w:pPr>
        <w:spacing w:after="0" w:line="480" w:lineRule="auto"/>
        <w:ind w:left="567" w:hanging="567"/>
        <w:rPr>
          <w:rFonts w:ascii="Tahoma" w:hAnsi="Tahoma" w:cs="Tahoma"/>
        </w:rPr>
      </w:pPr>
      <w:r>
        <w:rPr>
          <w:rFonts w:ascii="Tahoma" w:hAnsi="Tahoma" w:cs="Tahoma"/>
        </w:rPr>
        <w:t xml:space="preserve">Social anxiety institute, </w:t>
      </w:r>
      <w:r w:rsidRPr="00D12817">
        <w:rPr>
          <w:rFonts w:ascii="Tahoma" w:hAnsi="Tahoma" w:cs="Tahoma"/>
          <w:i/>
          <w:iCs/>
        </w:rPr>
        <w:t>(2019)</w:t>
      </w:r>
      <w:r>
        <w:rPr>
          <w:rFonts w:ascii="Tahoma" w:hAnsi="Tahoma" w:cs="Tahoma"/>
        </w:rPr>
        <w:t xml:space="preserve">, </w:t>
      </w:r>
      <w:hyperlink r:id="rId8" w:history="1">
        <w:r w:rsidRPr="00B543DD">
          <w:rPr>
            <w:rStyle w:val="Hyperlink"/>
            <w:rFonts w:ascii="Tahoma" w:hAnsi="Tahoma" w:cs="Tahoma"/>
          </w:rPr>
          <w:t>https://socialanxietyinstitute.org/social-anxiety-commonly-misdiagnosed</w:t>
        </w:r>
      </w:hyperlink>
      <w:r>
        <w:rPr>
          <w:rFonts w:ascii="Tahoma" w:hAnsi="Tahoma" w:cs="Tahoma"/>
        </w:rPr>
        <w:t xml:space="preserve"> </w:t>
      </w:r>
    </w:p>
    <w:p w14:paraId="47B8AB7D" w14:textId="5EA28EAB" w:rsidR="00B543DD" w:rsidRDefault="00B543DD" w:rsidP="00D12817">
      <w:pPr>
        <w:spacing w:after="0" w:line="480" w:lineRule="auto"/>
        <w:ind w:left="567" w:hanging="567"/>
        <w:rPr>
          <w:rFonts w:ascii="Tahoma" w:hAnsi="Tahoma" w:cs="Tahoma"/>
        </w:rPr>
      </w:pPr>
      <w:r>
        <w:rPr>
          <w:rFonts w:ascii="Tahoma" w:hAnsi="Tahoma" w:cs="Tahoma"/>
        </w:rPr>
        <w:t xml:space="preserve">Women’s Health, </w:t>
      </w:r>
      <w:r w:rsidRPr="00D12817">
        <w:rPr>
          <w:rFonts w:ascii="Tahoma" w:hAnsi="Tahoma" w:cs="Tahoma"/>
          <w:i/>
          <w:iCs/>
        </w:rPr>
        <w:t>(January 30</w:t>
      </w:r>
      <w:r w:rsidRPr="00D12817">
        <w:rPr>
          <w:rFonts w:ascii="Tahoma" w:hAnsi="Tahoma" w:cs="Tahoma"/>
          <w:i/>
          <w:iCs/>
          <w:vertAlign w:val="superscript"/>
        </w:rPr>
        <w:t>th</w:t>
      </w:r>
      <w:r w:rsidRPr="00D12817">
        <w:rPr>
          <w:rFonts w:ascii="Tahoma" w:hAnsi="Tahoma" w:cs="Tahoma"/>
          <w:i/>
          <w:iCs/>
        </w:rPr>
        <w:t xml:space="preserve"> 2019)</w:t>
      </w:r>
      <w:r>
        <w:rPr>
          <w:rFonts w:ascii="Tahoma" w:hAnsi="Tahoma" w:cs="Tahoma"/>
        </w:rPr>
        <w:t xml:space="preserve">, </w:t>
      </w:r>
      <w:hyperlink r:id="rId9" w:history="1">
        <w:r w:rsidRPr="00E56FC7">
          <w:rPr>
            <w:rStyle w:val="Hyperlink"/>
            <w:rFonts w:ascii="Tahoma" w:hAnsi="Tahoma" w:cs="Tahoma"/>
          </w:rPr>
          <w:t>www.womenshealth.gov/mental-health/mental-health-conditions/anxiety-disorders/</w:t>
        </w:r>
      </w:hyperlink>
      <w:r>
        <w:rPr>
          <w:rFonts w:ascii="Tahoma" w:hAnsi="Tahoma" w:cs="Tahoma"/>
        </w:rPr>
        <w:t xml:space="preserve"> </w:t>
      </w:r>
    </w:p>
    <w:p w14:paraId="1D481D26" w14:textId="77777777" w:rsidR="00B543DD" w:rsidRDefault="00B543DD" w:rsidP="00D12817">
      <w:pPr>
        <w:spacing w:after="0" w:line="480" w:lineRule="auto"/>
        <w:rPr>
          <w:rFonts w:ascii="Tahoma" w:hAnsi="Tahoma" w:cs="Tahoma"/>
        </w:rPr>
      </w:pPr>
    </w:p>
    <w:p w14:paraId="0450C82D" w14:textId="77777777" w:rsidR="00B543DD" w:rsidRPr="00B543DD" w:rsidRDefault="00B543DD" w:rsidP="00D12817">
      <w:pPr>
        <w:spacing w:after="0" w:line="480" w:lineRule="auto"/>
        <w:rPr>
          <w:rFonts w:ascii="Tahoma" w:hAnsi="Tahoma" w:cs="Tahoma"/>
        </w:rPr>
      </w:pPr>
    </w:p>
    <w:p w14:paraId="3F329975" w14:textId="1335EE81" w:rsidR="00B543DD" w:rsidRDefault="00B543DD" w:rsidP="00D12817">
      <w:pPr>
        <w:spacing w:after="0" w:line="480" w:lineRule="auto"/>
        <w:jc w:val="center"/>
        <w:rPr>
          <w:rFonts w:ascii="Tahoma" w:hAnsi="Tahoma" w:cs="Tahoma"/>
          <w:b/>
          <w:bCs/>
        </w:rPr>
      </w:pPr>
    </w:p>
    <w:p w14:paraId="170B8BE7" w14:textId="3102E9DF" w:rsidR="00B543DD" w:rsidRDefault="00B543DD" w:rsidP="00D12817">
      <w:pPr>
        <w:spacing w:after="0" w:line="480" w:lineRule="auto"/>
        <w:jc w:val="center"/>
        <w:rPr>
          <w:rFonts w:ascii="Tahoma" w:hAnsi="Tahoma" w:cs="Tahoma"/>
          <w:b/>
          <w:bCs/>
        </w:rPr>
      </w:pPr>
    </w:p>
    <w:p w14:paraId="57D2D864" w14:textId="4EC46000" w:rsidR="00B543DD" w:rsidRDefault="00B543DD" w:rsidP="00D12817">
      <w:pPr>
        <w:spacing w:after="0" w:line="480" w:lineRule="auto"/>
        <w:jc w:val="center"/>
        <w:rPr>
          <w:rFonts w:ascii="Tahoma" w:hAnsi="Tahoma" w:cs="Tahoma"/>
          <w:b/>
          <w:bCs/>
        </w:rPr>
      </w:pPr>
    </w:p>
    <w:p w14:paraId="5EA3BA83" w14:textId="4A371D9D" w:rsidR="00B543DD" w:rsidRDefault="00B543DD" w:rsidP="00D12817">
      <w:pPr>
        <w:spacing w:after="0" w:line="480" w:lineRule="auto"/>
        <w:jc w:val="center"/>
        <w:rPr>
          <w:rFonts w:ascii="Tahoma" w:hAnsi="Tahoma" w:cs="Tahoma"/>
          <w:b/>
          <w:bCs/>
        </w:rPr>
      </w:pPr>
    </w:p>
    <w:p w14:paraId="3F77EAB3" w14:textId="77777777" w:rsidR="00B543DD" w:rsidRPr="00430B6D" w:rsidRDefault="00B543DD" w:rsidP="00D12817">
      <w:pPr>
        <w:spacing w:after="0" w:line="480" w:lineRule="auto"/>
        <w:jc w:val="center"/>
        <w:rPr>
          <w:rFonts w:ascii="Tahoma" w:hAnsi="Tahoma" w:cs="Tahoma"/>
          <w:b/>
          <w:bCs/>
        </w:rPr>
      </w:pPr>
    </w:p>
    <w:p w14:paraId="43245F49" w14:textId="65685CA4" w:rsidR="005B5826" w:rsidRPr="00430B6D" w:rsidRDefault="005B5826" w:rsidP="00D12817">
      <w:pPr>
        <w:spacing w:after="0" w:line="480" w:lineRule="auto"/>
        <w:jc w:val="center"/>
        <w:rPr>
          <w:rFonts w:ascii="Tahoma" w:hAnsi="Tahoma" w:cs="Tahoma"/>
          <w:b/>
          <w:bCs/>
        </w:rPr>
      </w:pPr>
    </w:p>
    <w:p w14:paraId="014A87D7" w14:textId="2349F9F4" w:rsidR="005B5826" w:rsidRPr="00430B6D" w:rsidRDefault="005B5826" w:rsidP="00D12817">
      <w:pPr>
        <w:spacing w:after="0" w:line="480" w:lineRule="auto"/>
        <w:jc w:val="center"/>
        <w:rPr>
          <w:rFonts w:ascii="Tahoma" w:hAnsi="Tahoma" w:cs="Tahoma"/>
          <w:b/>
          <w:bCs/>
        </w:rPr>
      </w:pPr>
    </w:p>
    <w:p w14:paraId="1E35C9C0" w14:textId="10897B3B" w:rsidR="005B5826" w:rsidRPr="00430B6D" w:rsidRDefault="005B5826" w:rsidP="00D12817">
      <w:pPr>
        <w:spacing w:after="0" w:line="480" w:lineRule="auto"/>
        <w:jc w:val="center"/>
        <w:rPr>
          <w:rFonts w:ascii="Tahoma" w:hAnsi="Tahoma" w:cs="Tahoma"/>
          <w:b/>
          <w:bCs/>
        </w:rPr>
      </w:pPr>
    </w:p>
    <w:p w14:paraId="05494DEB" w14:textId="683EEEC9" w:rsidR="005B5826" w:rsidRPr="00430B6D" w:rsidRDefault="005B5826" w:rsidP="00D12817">
      <w:pPr>
        <w:spacing w:after="0" w:line="480" w:lineRule="auto"/>
        <w:jc w:val="center"/>
        <w:rPr>
          <w:rFonts w:ascii="Tahoma" w:hAnsi="Tahoma" w:cs="Tahoma"/>
          <w:b/>
          <w:bCs/>
        </w:rPr>
      </w:pPr>
    </w:p>
    <w:p w14:paraId="6C4D1847" w14:textId="77777777" w:rsidR="00343F14" w:rsidRDefault="00343F14" w:rsidP="00D12817">
      <w:pPr>
        <w:spacing w:after="0" w:line="480" w:lineRule="auto"/>
        <w:jc w:val="center"/>
        <w:rPr>
          <w:rFonts w:ascii="Tahoma" w:hAnsi="Tahoma" w:cs="Tahoma"/>
          <w:b/>
          <w:bCs/>
        </w:rPr>
      </w:pPr>
    </w:p>
    <w:p w14:paraId="03114141" w14:textId="77777777" w:rsidR="00343F14" w:rsidRDefault="00343F14" w:rsidP="00355D9D">
      <w:pPr>
        <w:spacing w:after="0" w:line="480" w:lineRule="auto"/>
        <w:rPr>
          <w:rFonts w:ascii="Tahoma" w:hAnsi="Tahoma" w:cs="Tahoma"/>
          <w:b/>
          <w:bCs/>
        </w:rPr>
      </w:pPr>
    </w:p>
    <w:p w14:paraId="515B7A9F" w14:textId="1AA9E70B" w:rsidR="005B5826" w:rsidRDefault="005B5826" w:rsidP="00D12817">
      <w:pPr>
        <w:spacing w:after="0" w:line="480" w:lineRule="auto"/>
        <w:jc w:val="center"/>
        <w:rPr>
          <w:rFonts w:ascii="Tahoma" w:hAnsi="Tahoma" w:cs="Tahoma"/>
          <w:b/>
          <w:bCs/>
        </w:rPr>
      </w:pPr>
      <w:r w:rsidRPr="00430B6D">
        <w:rPr>
          <w:rFonts w:ascii="Tahoma" w:hAnsi="Tahoma" w:cs="Tahoma"/>
          <w:b/>
          <w:bCs/>
        </w:rPr>
        <w:t>APPENDICES</w:t>
      </w:r>
    </w:p>
    <w:p w14:paraId="6623E365" w14:textId="2559AE2C" w:rsidR="003E2039" w:rsidRDefault="003E2039" w:rsidP="00D12817">
      <w:pPr>
        <w:spacing w:after="0" w:line="480" w:lineRule="auto"/>
        <w:jc w:val="center"/>
        <w:rPr>
          <w:rFonts w:ascii="Tahoma" w:hAnsi="Tahoma" w:cs="Tahoma"/>
          <w:b/>
          <w:bCs/>
        </w:rPr>
      </w:pPr>
      <w:r>
        <w:rPr>
          <w:noProof/>
        </w:rPr>
        <w:drawing>
          <wp:anchor distT="0" distB="0" distL="114300" distR="114300" simplePos="0" relativeHeight="251661312" behindDoc="0" locked="0" layoutInCell="1" allowOverlap="1" wp14:anchorId="5A0858FA" wp14:editId="6B0A4ADB">
            <wp:simplePos x="0" y="0"/>
            <wp:positionH relativeFrom="column">
              <wp:posOffset>318135</wp:posOffset>
            </wp:positionH>
            <wp:positionV relativeFrom="paragraph">
              <wp:posOffset>116454</wp:posOffset>
            </wp:positionV>
            <wp:extent cx="4966970" cy="2940685"/>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34283" r="54774" b="18110"/>
                    <a:stretch/>
                  </pic:blipFill>
                  <pic:spPr bwMode="auto">
                    <a:xfrm>
                      <a:off x="0" y="0"/>
                      <a:ext cx="4966970" cy="2940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3865E8" w14:textId="4A83710F" w:rsidR="003E2039" w:rsidRDefault="003E2039" w:rsidP="00D12817">
      <w:pPr>
        <w:spacing w:after="0" w:line="480" w:lineRule="auto"/>
        <w:jc w:val="center"/>
        <w:rPr>
          <w:rFonts w:ascii="Tahoma" w:hAnsi="Tahoma" w:cs="Tahoma"/>
          <w:b/>
          <w:bCs/>
        </w:rPr>
      </w:pPr>
    </w:p>
    <w:p w14:paraId="753D9CE3" w14:textId="57B8964B" w:rsidR="003E2039" w:rsidRDefault="003E2039" w:rsidP="00D12817">
      <w:pPr>
        <w:spacing w:after="0" w:line="480" w:lineRule="auto"/>
        <w:jc w:val="center"/>
        <w:rPr>
          <w:rFonts w:ascii="Tahoma" w:hAnsi="Tahoma" w:cs="Tahoma"/>
          <w:b/>
          <w:bCs/>
        </w:rPr>
      </w:pPr>
    </w:p>
    <w:p w14:paraId="5F6A8F64" w14:textId="7C7B9B62" w:rsidR="003E2039" w:rsidRDefault="003E2039" w:rsidP="00D12817">
      <w:pPr>
        <w:spacing w:after="0" w:line="480" w:lineRule="auto"/>
        <w:jc w:val="center"/>
        <w:rPr>
          <w:rFonts w:ascii="Tahoma" w:hAnsi="Tahoma" w:cs="Tahoma"/>
          <w:b/>
          <w:bCs/>
        </w:rPr>
      </w:pPr>
    </w:p>
    <w:p w14:paraId="2D04F0CB" w14:textId="31966EB1" w:rsidR="003E2039" w:rsidRPr="003E2039" w:rsidRDefault="003E2039" w:rsidP="00D12817">
      <w:pPr>
        <w:spacing w:after="0" w:line="480" w:lineRule="auto"/>
        <w:rPr>
          <w:rFonts w:ascii="Tahoma" w:hAnsi="Tahoma" w:cs="Tahoma"/>
        </w:rPr>
      </w:pPr>
    </w:p>
    <w:p w14:paraId="7321590F" w14:textId="61628FB4" w:rsidR="003E2039" w:rsidRPr="003E2039" w:rsidRDefault="003E2039" w:rsidP="00D12817">
      <w:pPr>
        <w:spacing w:after="0" w:line="480" w:lineRule="auto"/>
        <w:rPr>
          <w:rFonts w:ascii="Tahoma" w:hAnsi="Tahoma" w:cs="Tahoma"/>
        </w:rPr>
      </w:pPr>
    </w:p>
    <w:p w14:paraId="1D2FE4F4" w14:textId="516F2215" w:rsidR="003E2039" w:rsidRPr="003E2039" w:rsidRDefault="003E2039" w:rsidP="00D12817">
      <w:pPr>
        <w:spacing w:after="0" w:line="480" w:lineRule="auto"/>
        <w:rPr>
          <w:rFonts w:ascii="Tahoma" w:hAnsi="Tahoma" w:cs="Tahoma"/>
        </w:rPr>
      </w:pPr>
    </w:p>
    <w:p w14:paraId="2F7B575F" w14:textId="29D3A5E3" w:rsidR="003E2039" w:rsidRPr="003E2039" w:rsidRDefault="003E2039" w:rsidP="00D12817">
      <w:pPr>
        <w:spacing w:after="0" w:line="480" w:lineRule="auto"/>
        <w:rPr>
          <w:rFonts w:ascii="Tahoma" w:hAnsi="Tahoma" w:cs="Tahoma"/>
        </w:rPr>
      </w:pPr>
    </w:p>
    <w:p w14:paraId="378FCF28" w14:textId="230AF545" w:rsidR="003E2039" w:rsidRPr="003E2039" w:rsidRDefault="003E2039" w:rsidP="00D12817">
      <w:pPr>
        <w:spacing w:after="0" w:line="480" w:lineRule="auto"/>
        <w:rPr>
          <w:rFonts w:ascii="Tahoma" w:hAnsi="Tahoma" w:cs="Tahoma"/>
        </w:rPr>
      </w:pPr>
    </w:p>
    <w:p w14:paraId="76701355" w14:textId="44A297B8" w:rsidR="003E2039" w:rsidRPr="003E2039" w:rsidRDefault="003E2039" w:rsidP="00D12817">
      <w:pPr>
        <w:spacing w:after="0" w:line="480" w:lineRule="auto"/>
        <w:rPr>
          <w:rFonts w:ascii="Tahoma" w:hAnsi="Tahoma" w:cs="Tahoma"/>
        </w:rPr>
      </w:pPr>
    </w:p>
    <w:p w14:paraId="2CA340CA" w14:textId="0DF96226" w:rsidR="003E2039" w:rsidRDefault="003E2039" w:rsidP="00D12817">
      <w:pPr>
        <w:spacing w:after="0" w:line="480" w:lineRule="auto"/>
        <w:rPr>
          <w:rFonts w:ascii="Tahoma" w:hAnsi="Tahoma" w:cs="Tahoma"/>
          <w:b/>
          <w:bCs/>
        </w:rPr>
      </w:pPr>
    </w:p>
    <w:p w14:paraId="3336FA56" w14:textId="3A36AF2B" w:rsidR="003E2039" w:rsidRDefault="003E2039" w:rsidP="00D12817">
      <w:pPr>
        <w:tabs>
          <w:tab w:val="left" w:pos="1240"/>
        </w:tabs>
        <w:spacing w:after="0" w:line="480" w:lineRule="auto"/>
        <w:rPr>
          <w:rFonts w:ascii="Tahoma" w:hAnsi="Tahoma" w:cs="Tahoma"/>
        </w:rPr>
      </w:pPr>
      <w:r>
        <w:rPr>
          <w:rFonts w:ascii="Tahoma" w:hAnsi="Tahoma" w:cs="Tahoma"/>
        </w:rPr>
        <w:tab/>
        <w:t xml:space="preserve">Excel sums – mean of anxiety scores &amp; ages. </w:t>
      </w:r>
      <w:r w:rsidR="00EF288E">
        <w:rPr>
          <w:rFonts w:ascii="Tahoma" w:hAnsi="Tahoma" w:cs="Tahoma"/>
        </w:rPr>
        <w:t xml:space="preserve">Table of low, moderate and potentially concerning anxiety scores, ranked. </w:t>
      </w:r>
    </w:p>
    <w:p w14:paraId="5EEAE042" w14:textId="73AA236F" w:rsidR="00343F14" w:rsidRDefault="00343F14" w:rsidP="00D12817">
      <w:pPr>
        <w:tabs>
          <w:tab w:val="left" w:pos="1240"/>
        </w:tabs>
        <w:spacing w:after="0" w:line="480" w:lineRule="auto"/>
        <w:rPr>
          <w:rFonts w:ascii="Tahoma" w:hAnsi="Tahoma" w:cs="Tahoma"/>
        </w:rPr>
      </w:pPr>
    </w:p>
    <w:tbl>
      <w:tblPr>
        <w:tblW w:w="5000" w:type="pct"/>
        <w:tblCellMar>
          <w:top w:w="15" w:type="dxa"/>
          <w:left w:w="15" w:type="dxa"/>
          <w:bottom w:w="15" w:type="dxa"/>
          <w:right w:w="15" w:type="dxa"/>
        </w:tblCellMar>
        <w:tblLook w:val="04A0" w:firstRow="1" w:lastRow="0" w:firstColumn="1" w:lastColumn="0" w:noHBand="0" w:noVBand="1"/>
      </w:tblPr>
      <w:tblGrid>
        <w:gridCol w:w="2613"/>
        <w:gridCol w:w="1347"/>
        <w:gridCol w:w="1635"/>
        <w:gridCol w:w="1465"/>
        <w:gridCol w:w="1950"/>
      </w:tblGrid>
      <w:tr w:rsidR="00343F14" w:rsidRPr="00343F14" w14:paraId="2B1336A7" w14:textId="77777777" w:rsidTr="00343F14">
        <w:trPr>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55E38B2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b/>
                <w:bCs/>
                <w:color w:val="000000"/>
                <w:sz w:val="30"/>
                <w:szCs w:val="30"/>
                <w:lang w:eastAsia="en-GB"/>
              </w:rPr>
              <w:t>Diagnosis</w:t>
            </w:r>
            <w:r w:rsidRPr="00343F14">
              <w:rPr>
                <w:rFonts w:ascii="Times New Roman" w:eastAsia="Times New Roman" w:hAnsi="Times New Roman" w:cs="Times New Roman"/>
                <w:color w:val="000000"/>
                <w:sz w:val="30"/>
                <w:szCs w:val="30"/>
                <w:lang w:eastAsia="en-GB"/>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155D3374"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b/>
                <w:bCs/>
                <w:color w:val="000000"/>
                <w:sz w:val="30"/>
                <w:szCs w:val="30"/>
                <w:lang w:eastAsia="en-GB"/>
              </w:rPr>
              <w:t xml:space="preserve">Males %1 </w:t>
            </w:r>
          </w:p>
        </w:tc>
        <w:tc>
          <w:tcPr>
            <w:tcW w:w="0" w:type="auto"/>
            <w:tcBorders>
              <w:top w:val="single" w:sz="6" w:space="0" w:color="auto"/>
              <w:left w:val="single" w:sz="6" w:space="0" w:color="auto"/>
              <w:bottom w:val="single" w:sz="6" w:space="0" w:color="auto"/>
              <w:right w:val="single" w:sz="6" w:space="0" w:color="auto"/>
            </w:tcBorders>
            <w:vAlign w:val="center"/>
            <w:hideMark/>
          </w:tcPr>
          <w:p w14:paraId="338BA10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b/>
                <w:bCs/>
                <w:color w:val="000000"/>
                <w:sz w:val="30"/>
                <w:szCs w:val="30"/>
                <w:lang w:eastAsia="en-GB"/>
              </w:rPr>
              <w:t xml:space="preserve">Females %1 </w:t>
            </w:r>
          </w:p>
        </w:tc>
        <w:tc>
          <w:tcPr>
            <w:tcW w:w="0" w:type="auto"/>
            <w:tcBorders>
              <w:top w:val="single" w:sz="6" w:space="0" w:color="auto"/>
              <w:left w:val="single" w:sz="6" w:space="0" w:color="auto"/>
              <w:bottom w:val="single" w:sz="6" w:space="0" w:color="auto"/>
              <w:right w:val="single" w:sz="6" w:space="0" w:color="auto"/>
            </w:tcBorders>
            <w:vAlign w:val="center"/>
            <w:hideMark/>
          </w:tcPr>
          <w:p w14:paraId="0EADC372"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b/>
                <w:bCs/>
                <w:color w:val="000000"/>
                <w:sz w:val="30"/>
                <w:szCs w:val="30"/>
                <w:lang w:eastAsia="en-GB"/>
              </w:rPr>
              <w:t xml:space="preserve">F:M ratio2 </w:t>
            </w:r>
          </w:p>
        </w:tc>
        <w:tc>
          <w:tcPr>
            <w:tcW w:w="0" w:type="auto"/>
            <w:tcBorders>
              <w:top w:val="single" w:sz="6" w:space="0" w:color="auto"/>
              <w:left w:val="single" w:sz="6" w:space="0" w:color="auto"/>
              <w:bottom w:val="single" w:sz="6" w:space="0" w:color="auto"/>
              <w:right w:val="single" w:sz="6" w:space="0" w:color="auto"/>
            </w:tcBorders>
            <w:vAlign w:val="center"/>
            <w:hideMark/>
          </w:tcPr>
          <w:p w14:paraId="3B2F927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b/>
                <w:bCs/>
                <w:color w:val="000000"/>
                <w:sz w:val="30"/>
                <w:szCs w:val="30"/>
                <w:lang w:eastAsia="en-GB"/>
              </w:rPr>
              <w:t xml:space="preserve">Classification3 </w:t>
            </w:r>
          </w:p>
        </w:tc>
      </w:tr>
      <w:tr w:rsidR="00343F14" w:rsidRPr="00343F14" w14:paraId="6139BDDF"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1B246077"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AG</w:t>
            </w:r>
          </w:p>
        </w:tc>
        <w:tc>
          <w:tcPr>
            <w:tcW w:w="0" w:type="auto"/>
            <w:tcBorders>
              <w:top w:val="single" w:sz="6" w:space="0" w:color="auto"/>
              <w:left w:val="single" w:sz="6" w:space="0" w:color="auto"/>
              <w:bottom w:val="single" w:sz="6" w:space="0" w:color="auto"/>
              <w:right w:val="single" w:sz="6" w:space="0" w:color="auto"/>
            </w:tcBorders>
            <w:vAlign w:val="center"/>
            <w:hideMark/>
          </w:tcPr>
          <w:p w14:paraId="5D9566C2"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1.1</w:t>
            </w:r>
          </w:p>
        </w:tc>
        <w:tc>
          <w:tcPr>
            <w:tcW w:w="0" w:type="auto"/>
            <w:tcBorders>
              <w:top w:val="single" w:sz="6" w:space="0" w:color="auto"/>
              <w:left w:val="single" w:sz="6" w:space="0" w:color="auto"/>
              <w:bottom w:val="single" w:sz="6" w:space="0" w:color="auto"/>
              <w:right w:val="single" w:sz="6" w:space="0" w:color="auto"/>
            </w:tcBorders>
            <w:vAlign w:val="center"/>
            <w:hideMark/>
          </w:tcPr>
          <w:p w14:paraId="4793FCC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1.6</w:t>
            </w:r>
          </w:p>
        </w:tc>
        <w:tc>
          <w:tcPr>
            <w:tcW w:w="0" w:type="auto"/>
            <w:tcBorders>
              <w:top w:val="single" w:sz="6" w:space="0" w:color="auto"/>
              <w:left w:val="single" w:sz="6" w:space="0" w:color="auto"/>
              <w:bottom w:val="single" w:sz="6" w:space="0" w:color="auto"/>
              <w:right w:val="single" w:sz="6" w:space="0" w:color="auto"/>
            </w:tcBorders>
            <w:vAlign w:val="center"/>
            <w:hideMark/>
          </w:tcPr>
          <w:p w14:paraId="1355A2D5"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4:1</w:t>
            </w:r>
          </w:p>
        </w:tc>
        <w:tc>
          <w:tcPr>
            <w:tcW w:w="0" w:type="auto"/>
            <w:tcBorders>
              <w:top w:val="single" w:sz="6" w:space="0" w:color="auto"/>
              <w:left w:val="single" w:sz="6" w:space="0" w:color="auto"/>
              <w:bottom w:val="single" w:sz="6" w:space="0" w:color="auto"/>
              <w:right w:val="single" w:sz="6" w:space="0" w:color="auto"/>
            </w:tcBorders>
            <w:vAlign w:val="center"/>
            <w:hideMark/>
          </w:tcPr>
          <w:p w14:paraId="575489DD"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Substantial</w:t>
            </w:r>
          </w:p>
        </w:tc>
      </w:tr>
      <w:tr w:rsidR="00343F14" w:rsidRPr="00343F14" w14:paraId="27DC521F"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7F36050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ASD</w:t>
            </w:r>
          </w:p>
        </w:tc>
        <w:tc>
          <w:tcPr>
            <w:tcW w:w="0" w:type="auto"/>
            <w:tcBorders>
              <w:top w:val="single" w:sz="6" w:space="0" w:color="auto"/>
              <w:left w:val="single" w:sz="6" w:space="0" w:color="auto"/>
              <w:bottom w:val="single" w:sz="6" w:space="0" w:color="auto"/>
              <w:right w:val="single" w:sz="6" w:space="0" w:color="auto"/>
            </w:tcBorders>
            <w:vAlign w:val="center"/>
            <w:hideMark/>
          </w:tcPr>
          <w:p w14:paraId="566ACDE8"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5A6A0F54"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31DADF62"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34B89296"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r>
      <w:tr w:rsidR="00343F14" w:rsidRPr="00343F14" w14:paraId="7CEFF55E"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4A4729A1"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GAD</w:t>
            </w:r>
          </w:p>
        </w:tc>
        <w:tc>
          <w:tcPr>
            <w:tcW w:w="0" w:type="auto"/>
            <w:tcBorders>
              <w:top w:val="single" w:sz="6" w:space="0" w:color="auto"/>
              <w:left w:val="single" w:sz="6" w:space="0" w:color="auto"/>
              <w:bottom w:val="single" w:sz="6" w:space="0" w:color="auto"/>
              <w:right w:val="single" w:sz="6" w:space="0" w:color="auto"/>
            </w:tcBorders>
            <w:vAlign w:val="center"/>
            <w:hideMark/>
          </w:tcPr>
          <w:p w14:paraId="2714F27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4.2</w:t>
            </w:r>
          </w:p>
        </w:tc>
        <w:tc>
          <w:tcPr>
            <w:tcW w:w="0" w:type="auto"/>
            <w:tcBorders>
              <w:top w:val="single" w:sz="6" w:space="0" w:color="auto"/>
              <w:left w:val="single" w:sz="6" w:space="0" w:color="auto"/>
              <w:bottom w:val="single" w:sz="6" w:space="0" w:color="auto"/>
              <w:right w:val="single" w:sz="6" w:space="0" w:color="auto"/>
            </w:tcBorders>
            <w:vAlign w:val="center"/>
            <w:hideMark/>
          </w:tcPr>
          <w:p w14:paraId="69A56A35"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7.1</w:t>
            </w:r>
          </w:p>
        </w:tc>
        <w:tc>
          <w:tcPr>
            <w:tcW w:w="0" w:type="auto"/>
            <w:tcBorders>
              <w:top w:val="single" w:sz="6" w:space="0" w:color="auto"/>
              <w:left w:val="single" w:sz="6" w:space="0" w:color="auto"/>
              <w:bottom w:val="single" w:sz="6" w:space="0" w:color="auto"/>
              <w:right w:val="single" w:sz="6" w:space="0" w:color="auto"/>
            </w:tcBorders>
            <w:vAlign w:val="center"/>
            <w:hideMark/>
          </w:tcPr>
          <w:p w14:paraId="09E863F3"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3:1</w:t>
            </w:r>
          </w:p>
        </w:tc>
        <w:tc>
          <w:tcPr>
            <w:tcW w:w="0" w:type="auto"/>
            <w:tcBorders>
              <w:top w:val="single" w:sz="6" w:space="0" w:color="auto"/>
              <w:left w:val="single" w:sz="6" w:space="0" w:color="auto"/>
              <w:bottom w:val="single" w:sz="6" w:space="0" w:color="auto"/>
              <w:right w:val="single" w:sz="6" w:space="0" w:color="auto"/>
            </w:tcBorders>
            <w:vAlign w:val="center"/>
            <w:hideMark/>
          </w:tcPr>
          <w:p w14:paraId="334F1BF3"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Moderate</w:t>
            </w:r>
          </w:p>
        </w:tc>
      </w:tr>
      <w:tr w:rsidR="00343F14" w:rsidRPr="00343F14" w14:paraId="70489885"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1CA50AE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OCD</w:t>
            </w:r>
          </w:p>
        </w:tc>
        <w:tc>
          <w:tcPr>
            <w:tcW w:w="0" w:type="auto"/>
            <w:tcBorders>
              <w:top w:val="single" w:sz="6" w:space="0" w:color="auto"/>
              <w:left w:val="single" w:sz="6" w:space="0" w:color="auto"/>
              <w:bottom w:val="single" w:sz="6" w:space="0" w:color="auto"/>
              <w:right w:val="single" w:sz="6" w:space="0" w:color="auto"/>
            </w:tcBorders>
            <w:vAlign w:val="center"/>
            <w:hideMark/>
          </w:tcPr>
          <w:p w14:paraId="02A07EE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62318A8F"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219D6898"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1:1</w:t>
            </w:r>
          </w:p>
        </w:tc>
        <w:tc>
          <w:tcPr>
            <w:tcW w:w="0" w:type="auto"/>
            <w:tcBorders>
              <w:top w:val="single" w:sz="6" w:space="0" w:color="auto"/>
              <w:left w:val="single" w:sz="6" w:space="0" w:color="auto"/>
              <w:bottom w:val="single" w:sz="6" w:space="0" w:color="auto"/>
              <w:right w:val="single" w:sz="6" w:space="0" w:color="auto"/>
            </w:tcBorders>
            <w:vAlign w:val="center"/>
            <w:hideMark/>
          </w:tcPr>
          <w:p w14:paraId="2EC25521"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Moderate</w:t>
            </w:r>
          </w:p>
        </w:tc>
      </w:tr>
      <w:tr w:rsidR="00343F14" w:rsidRPr="00343F14" w14:paraId="274D7DA2"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2C1015BC"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PD</w:t>
            </w:r>
          </w:p>
        </w:tc>
        <w:tc>
          <w:tcPr>
            <w:tcW w:w="0" w:type="auto"/>
            <w:tcBorders>
              <w:top w:val="single" w:sz="6" w:space="0" w:color="auto"/>
              <w:left w:val="single" w:sz="6" w:space="0" w:color="auto"/>
              <w:bottom w:val="single" w:sz="6" w:space="0" w:color="auto"/>
              <w:right w:val="single" w:sz="6" w:space="0" w:color="auto"/>
            </w:tcBorders>
            <w:vAlign w:val="center"/>
            <w:hideMark/>
          </w:tcPr>
          <w:p w14:paraId="001EAB09"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3.1</w:t>
            </w:r>
          </w:p>
        </w:tc>
        <w:tc>
          <w:tcPr>
            <w:tcW w:w="0" w:type="auto"/>
            <w:tcBorders>
              <w:top w:val="single" w:sz="6" w:space="0" w:color="auto"/>
              <w:left w:val="single" w:sz="6" w:space="0" w:color="auto"/>
              <w:bottom w:val="single" w:sz="6" w:space="0" w:color="auto"/>
              <w:right w:val="single" w:sz="6" w:space="0" w:color="auto"/>
            </w:tcBorders>
            <w:vAlign w:val="center"/>
            <w:hideMark/>
          </w:tcPr>
          <w:p w14:paraId="339434A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6.2</w:t>
            </w:r>
          </w:p>
        </w:tc>
        <w:tc>
          <w:tcPr>
            <w:tcW w:w="0" w:type="auto"/>
            <w:tcBorders>
              <w:top w:val="single" w:sz="6" w:space="0" w:color="auto"/>
              <w:left w:val="single" w:sz="6" w:space="0" w:color="auto"/>
              <w:bottom w:val="single" w:sz="6" w:space="0" w:color="auto"/>
              <w:right w:val="single" w:sz="6" w:space="0" w:color="auto"/>
            </w:tcBorders>
            <w:vAlign w:val="center"/>
            <w:hideMark/>
          </w:tcPr>
          <w:p w14:paraId="57B520AB"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2:1 / 3:1</w:t>
            </w:r>
            <w:r w:rsidRPr="00343F14">
              <w:rPr>
                <w:rFonts w:ascii="Times New Roman" w:eastAsia="Times New Roman" w:hAnsi="Times New Roman" w:cs="Times New Roman"/>
                <w:color w:val="000000"/>
                <w:sz w:val="30"/>
                <w:szCs w:val="30"/>
                <w:vertAlign w:val="superscript"/>
                <w:lang w:eastAsia="en-GB"/>
              </w:rPr>
              <w:t>4</w:t>
            </w:r>
            <w:r w:rsidRPr="00343F14">
              <w:rPr>
                <w:rFonts w:ascii="Times New Roman" w:eastAsia="Times New Roman" w:hAnsi="Times New Roman" w:cs="Times New Roman"/>
                <w:color w:val="000000"/>
                <w:sz w:val="30"/>
                <w:szCs w:val="30"/>
                <w:lang w:eastAsia="en-GB"/>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5AB33036"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Substantial</w:t>
            </w:r>
          </w:p>
        </w:tc>
      </w:tr>
      <w:tr w:rsidR="00343F14" w:rsidRPr="00343F14" w14:paraId="05D3D6E7"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62D9668C"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lastRenderedPageBreak/>
              <w:t>PTSD</w:t>
            </w:r>
          </w:p>
        </w:tc>
        <w:tc>
          <w:tcPr>
            <w:tcW w:w="0" w:type="auto"/>
            <w:tcBorders>
              <w:top w:val="single" w:sz="6" w:space="0" w:color="auto"/>
              <w:left w:val="single" w:sz="6" w:space="0" w:color="auto"/>
              <w:bottom w:val="single" w:sz="6" w:space="0" w:color="auto"/>
              <w:right w:val="single" w:sz="6" w:space="0" w:color="auto"/>
            </w:tcBorders>
            <w:vAlign w:val="center"/>
            <w:hideMark/>
          </w:tcPr>
          <w:p w14:paraId="493FF9A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3.6</w:t>
            </w:r>
          </w:p>
        </w:tc>
        <w:tc>
          <w:tcPr>
            <w:tcW w:w="0" w:type="auto"/>
            <w:tcBorders>
              <w:top w:val="single" w:sz="6" w:space="0" w:color="auto"/>
              <w:left w:val="single" w:sz="6" w:space="0" w:color="auto"/>
              <w:bottom w:val="single" w:sz="6" w:space="0" w:color="auto"/>
              <w:right w:val="single" w:sz="6" w:space="0" w:color="auto"/>
            </w:tcBorders>
            <w:vAlign w:val="center"/>
            <w:hideMark/>
          </w:tcPr>
          <w:p w14:paraId="3658572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9.7</w:t>
            </w:r>
          </w:p>
        </w:tc>
        <w:tc>
          <w:tcPr>
            <w:tcW w:w="0" w:type="auto"/>
            <w:tcBorders>
              <w:top w:val="single" w:sz="6" w:space="0" w:color="auto"/>
              <w:left w:val="single" w:sz="6" w:space="0" w:color="auto"/>
              <w:bottom w:val="single" w:sz="6" w:space="0" w:color="auto"/>
              <w:right w:val="single" w:sz="6" w:space="0" w:color="auto"/>
            </w:tcBorders>
            <w:vAlign w:val="center"/>
            <w:hideMark/>
          </w:tcPr>
          <w:p w14:paraId="761344F5"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2:1</w:t>
            </w:r>
          </w:p>
        </w:tc>
        <w:tc>
          <w:tcPr>
            <w:tcW w:w="0" w:type="auto"/>
            <w:tcBorders>
              <w:top w:val="single" w:sz="6" w:space="0" w:color="auto"/>
              <w:left w:val="single" w:sz="6" w:space="0" w:color="auto"/>
              <w:bottom w:val="single" w:sz="6" w:space="0" w:color="auto"/>
              <w:right w:val="single" w:sz="6" w:space="0" w:color="auto"/>
            </w:tcBorders>
            <w:vAlign w:val="center"/>
            <w:hideMark/>
          </w:tcPr>
          <w:p w14:paraId="5C495F24"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Substantial</w:t>
            </w:r>
          </w:p>
        </w:tc>
      </w:tr>
      <w:tr w:rsidR="00343F14" w:rsidRPr="00343F14" w14:paraId="6CD91371"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2AE801D5"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SA</w:t>
            </w:r>
          </w:p>
        </w:tc>
        <w:tc>
          <w:tcPr>
            <w:tcW w:w="0" w:type="auto"/>
            <w:tcBorders>
              <w:top w:val="single" w:sz="6" w:space="0" w:color="auto"/>
              <w:left w:val="single" w:sz="6" w:space="0" w:color="auto"/>
              <w:bottom w:val="single" w:sz="6" w:space="0" w:color="auto"/>
              <w:right w:val="single" w:sz="6" w:space="0" w:color="auto"/>
            </w:tcBorders>
            <w:vAlign w:val="center"/>
            <w:hideMark/>
          </w:tcPr>
          <w:p w14:paraId="219B1EC6"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56F855F7"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1006BBE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OR = 1.4</w:t>
            </w:r>
            <w:r w:rsidRPr="00343F14">
              <w:rPr>
                <w:rFonts w:ascii="Times New Roman" w:eastAsia="Times New Roman" w:hAnsi="Times New Roman" w:cs="Times New Roman"/>
                <w:color w:val="000000"/>
                <w:sz w:val="30"/>
                <w:szCs w:val="30"/>
                <w:vertAlign w:val="superscript"/>
                <w:lang w:eastAsia="en-GB"/>
              </w:rPr>
              <w:t>5</w:t>
            </w:r>
            <w:r w:rsidRPr="00343F14">
              <w:rPr>
                <w:rFonts w:ascii="Times New Roman" w:eastAsia="Times New Roman" w:hAnsi="Times New Roman" w:cs="Times New Roman"/>
                <w:color w:val="000000"/>
                <w:sz w:val="30"/>
                <w:szCs w:val="30"/>
                <w:lang w:eastAsia="en-GB"/>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6D623D5D"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Substantial</w:t>
            </w:r>
          </w:p>
        </w:tc>
      </w:tr>
      <w:tr w:rsidR="00343F14" w:rsidRPr="00343F14" w14:paraId="03CCA34E"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5ECBBD3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SAD</w:t>
            </w:r>
          </w:p>
        </w:tc>
        <w:tc>
          <w:tcPr>
            <w:tcW w:w="0" w:type="auto"/>
            <w:tcBorders>
              <w:top w:val="single" w:sz="6" w:space="0" w:color="auto"/>
              <w:left w:val="single" w:sz="6" w:space="0" w:color="auto"/>
              <w:bottom w:val="single" w:sz="6" w:space="0" w:color="auto"/>
              <w:right w:val="single" w:sz="6" w:space="0" w:color="auto"/>
            </w:tcBorders>
            <w:vAlign w:val="center"/>
            <w:hideMark/>
          </w:tcPr>
          <w:p w14:paraId="4927388E"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11.1</w:t>
            </w:r>
          </w:p>
        </w:tc>
        <w:tc>
          <w:tcPr>
            <w:tcW w:w="0" w:type="auto"/>
            <w:tcBorders>
              <w:top w:val="single" w:sz="6" w:space="0" w:color="auto"/>
              <w:left w:val="single" w:sz="6" w:space="0" w:color="auto"/>
              <w:bottom w:val="single" w:sz="6" w:space="0" w:color="auto"/>
              <w:right w:val="single" w:sz="6" w:space="0" w:color="auto"/>
            </w:tcBorders>
            <w:vAlign w:val="center"/>
            <w:hideMark/>
          </w:tcPr>
          <w:p w14:paraId="00B17B4D"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13.0</w:t>
            </w:r>
          </w:p>
        </w:tc>
        <w:tc>
          <w:tcPr>
            <w:tcW w:w="0" w:type="auto"/>
            <w:tcBorders>
              <w:top w:val="single" w:sz="6" w:space="0" w:color="auto"/>
              <w:left w:val="single" w:sz="6" w:space="0" w:color="auto"/>
              <w:bottom w:val="single" w:sz="6" w:space="0" w:color="auto"/>
              <w:right w:val="single" w:sz="6" w:space="0" w:color="auto"/>
            </w:tcBorders>
            <w:vAlign w:val="center"/>
            <w:hideMark/>
          </w:tcPr>
          <w:p w14:paraId="33D3F90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1:1</w:t>
            </w:r>
          </w:p>
        </w:tc>
        <w:tc>
          <w:tcPr>
            <w:tcW w:w="0" w:type="auto"/>
            <w:tcBorders>
              <w:top w:val="single" w:sz="6" w:space="0" w:color="auto"/>
              <w:left w:val="single" w:sz="6" w:space="0" w:color="auto"/>
              <w:bottom w:val="single" w:sz="6" w:space="0" w:color="auto"/>
              <w:right w:val="single" w:sz="6" w:space="0" w:color="auto"/>
            </w:tcBorders>
            <w:vAlign w:val="center"/>
            <w:hideMark/>
          </w:tcPr>
          <w:p w14:paraId="6605B3B9"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Moderate</w:t>
            </w:r>
          </w:p>
        </w:tc>
      </w:tr>
      <w:tr w:rsidR="00343F14" w:rsidRPr="00343F14" w14:paraId="64E9A7F2"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5CA19018"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SP</w:t>
            </w:r>
          </w:p>
        </w:tc>
        <w:tc>
          <w:tcPr>
            <w:tcW w:w="0" w:type="auto"/>
            <w:tcBorders>
              <w:top w:val="single" w:sz="6" w:space="0" w:color="auto"/>
              <w:left w:val="single" w:sz="6" w:space="0" w:color="auto"/>
              <w:bottom w:val="single" w:sz="6" w:space="0" w:color="auto"/>
              <w:right w:val="single" w:sz="6" w:space="0" w:color="auto"/>
            </w:tcBorders>
            <w:vAlign w:val="center"/>
            <w:hideMark/>
          </w:tcPr>
          <w:p w14:paraId="3D21E1B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8.9</w:t>
            </w:r>
          </w:p>
        </w:tc>
        <w:tc>
          <w:tcPr>
            <w:tcW w:w="0" w:type="auto"/>
            <w:tcBorders>
              <w:top w:val="single" w:sz="6" w:space="0" w:color="auto"/>
              <w:left w:val="single" w:sz="6" w:space="0" w:color="auto"/>
              <w:bottom w:val="single" w:sz="6" w:space="0" w:color="auto"/>
              <w:right w:val="single" w:sz="6" w:space="0" w:color="auto"/>
            </w:tcBorders>
            <w:vAlign w:val="center"/>
            <w:hideMark/>
          </w:tcPr>
          <w:p w14:paraId="57DD83D2"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15.8</w:t>
            </w:r>
          </w:p>
        </w:tc>
        <w:tc>
          <w:tcPr>
            <w:tcW w:w="0" w:type="auto"/>
            <w:tcBorders>
              <w:top w:val="single" w:sz="6" w:space="0" w:color="auto"/>
              <w:left w:val="single" w:sz="6" w:space="0" w:color="auto"/>
              <w:bottom w:val="single" w:sz="6" w:space="0" w:color="auto"/>
              <w:right w:val="single" w:sz="6" w:space="0" w:color="auto"/>
            </w:tcBorders>
            <w:vAlign w:val="center"/>
            <w:hideMark/>
          </w:tcPr>
          <w:p w14:paraId="6816F4AA"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2:1</w:t>
            </w:r>
          </w:p>
        </w:tc>
        <w:tc>
          <w:tcPr>
            <w:tcW w:w="0" w:type="auto"/>
            <w:tcBorders>
              <w:top w:val="single" w:sz="6" w:space="0" w:color="auto"/>
              <w:left w:val="single" w:sz="6" w:space="0" w:color="auto"/>
              <w:bottom w:val="single" w:sz="6" w:space="0" w:color="auto"/>
              <w:right w:val="single" w:sz="6" w:space="0" w:color="auto"/>
            </w:tcBorders>
            <w:vAlign w:val="center"/>
            <w:hideMark/>
          </w:tcPr>
          <w:p w14:paraId="53B514BE"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Moderate</w:t>
            </w:r>
          </w:p>
        </w:tc>
      </w:tr>
      <w:tr w:rsidR="00343F14" w:rsidRPr="00343F14" w14:paraId="6FCEC73E" w14:textId="77777777" w:rsidTr="00343F14">
        <w:tc>
          <w:tcPr>
            <w:tcW w:w="0" w:type="auto"/>
            <w:tcBorders>
              <w:top w:val="single" w:sz="6" w:space="0" w:color="auto"/>
              <w:left w:val="single" w:sz="6" w:space="0" w:color="auto"/>
              <w:bottom w:val="single" w:sz="6" w:space="0" w:color="auto"/>
              <w:right w:val="single" w:sz="6" w:space="0" w:color="auto"/>
            </w:tcBorders>
            <w:vAlign w:val="center"/>
            <w:hideMark/>
          </w:tcPr>
          <w:p w14:paraId="72DCD078" w14:textId="77777777" w:rsidR="00343F14" w:rsidRPr="00343F14" w:rsidRDefault="00343F14" w:rsidP="00D12817">
            <w:pPr>
              <w:spacing w:after="0" w:line="480" w:lineRule="auto"/>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Any anxiety disorder</w:t>
            </w:r>
          </w:p>
        </w:tc>
        <w:tc>
          <w:tcPr>
            <w:tcW w:w="0" w:type="auto"/>
            <w:tcBorders>
              <w:top w:val="single" w:sz="6" w:space="0" w:color="auto"/>
              <w:left w:val="single" w:sz="6" w:space="0" w:color="auto"/>
              <w:bottom w:val="single" w:sz="6" w:space="0" w:color="auto"/>
              <w:right w:val="single" w:sz="6" w:space="0" w:color="auto"/>
            </w:tcBorders>
            <w:vAlign w:val="center"/>
            <w:hideMark/>
          </w:tcPr>
          <w:p w14:paraId="1C367878"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22.4</w:t>
            </w:r>
          </w:p>
        </w:tc>
        <w:tc>
          <w:tcPr>
            <w:tcW w:w="0" w:type="auto"/>
            <w:tcBorders>
              <w:top w:val="single" w:sz="6" w:space="0" w:color="auto"/>
              <w:left w:val="single" w:sz="6" w:space="0" w:color="auto"/>
              <w:bottom w:val="single" w:sz="6" w:space="0" w:color="auto"/>
              <w:right w:val="single" w:sz="6" w:space="0" w:color="auto"/>
            </w:tcBorders>
            <w:vAlign w:val="center"/>
            <w:hideMark/>
          </w:tcPr>
          <w:p w14:paraId="70B84438"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32.4</w:t>
            </w:r>
          </w:p>
        </w:tc>
        <w:tc>
          <w:tcPr>
            <w:tcW w:w="0" w:type="auto"/>
            <w:tcBorders>
              <w:top w:val="single" w:sz="6" w:space="0" w:color="auto"/>
              <w:left w:val="single" w:sz="6" w:space="0" w:color="auto"/>
              <w:bottom w:val="single" w:sz="6" w:space="0" w:color="auto"/>
              <w:right w:val="single" w:sz="6" w:space="0" w:color="auto"/>
            </w:tcBorders>
            <w:vAlign w:val="center"/>
            <w:hideMark/>
          </w:tcPr>
          <w:p w14:paraId="681E1420"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OR = 1.76</w:t>
            </w:r>
            <w:r w:rsidRPr="00343F14">
              <w:rPr>
                <w:rFonts w:ascii="Times New Roman" w:eastAsia="Times New Roman" w:hAnsi="Times New Roman" w:cs="Times New Roman"/>
                <w:color w:val="000000"/>
                <w:sz w:val="30"/>
                <w:szCs w:val="30"/>
                <w:vertAlign w:val="superscript"/>
                <w:lang w:eastAsia="en-GB"/>
              </w:rPr>
              <w:t>1</w:t>
            </w:r>
            <w:r w:rsidRPr="00343F14">
              <w:rPr>
                <w:rFonts w:ascii="Times New Roman" w:eastAsia="Times New Roman" w:hAnsi="Times New Roman" w:cs="Times New Roman"/>
                <w:color w:val="000000"/>
                <w:sz w:val="30"/>
                <w:szCs w:val="30"/>
                <w:lang w:eastAsia="en-GB"/>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64F6EC29" w14:textId="77777777" w:rsidR="00343F14" w:rsidRPr="00343F14" w:rsidRDefault="00343F14" w:rsidP="00D12817">
            <w:pPr>
              <w:spacing w:after="0" w:line="480" w:lineRule="auto"/>
              <w:jc w:val="center"/>
              <w:rPr>
                <w:rFonts w:ascii="Times New Roman" w:eastAsia="Times New Roman" w:hAnsi="Times New Roman" w:cs="Times New Roman"/>
                <w:color w:val="000000"/>
                <w:sz w:val="30"/>
                <w:szCs w:val="30"/>
                <w:lang w:eastAsia="en-GB"/>
              </w:rPr>
            </w:pPr>
            <w:r w:rsidRPr="00343F14">
              <w:rPr>
                <w:rFonts w:ascii="Times New Roman" w:eastAsia="Times New Roman" w:hAnsi="Times New Roman" w:cs="Times New Roman"/>
                <w:color w:val="000000"/>
                <w:sz w:val="30"/>
                <w:szCs w:val="30"/>
                <w:lang w:eastAsia="en-GB"/>
              </w:rPr>
              <w:t>-</w:t>
            </w:r>
          </w:p>
        </w:tc>
      </w:tr>
    </w:tbl>
    <w:p w14:paraId="0B2593E5" w14:textId="60644009" w:rsidR="00EE16AA" w:rsidRDefault="00EE16AA" w:rsidP="00D12817">
      <w:pPr>
        <w:tabs>
          <w:tab w:val="left" w:pos="1240"/>
        </w:tabs>
        <w:spacing w:after="0" w:line="480" w:lineRule="auto"/>
        <w:rPr>
          <w:rFonts w:ascii="Tahoma" w:hAnsi="Tahoma" w:cs="Tahoma"/>
        </w:rPr>
      </w:pPr>
      <w:r>
        <w:rPr>
          <w:rFonts w:ascii="Tahoma" w:hAnsi="Tahoma" w:cs="Tahoma"/>
        </w:rPr>
        <w:t xml:space="preserve">(D. M. Christiansen) </w:t>
      </w:r>
      <w:r w:rsidRPr="00EE16AA">
        <w:rPr>
          <w:rFonts w:ascii="Tahoma" w:hAnsi="Tahoma" w:cs="Tahoma"/>
        </w:rPr>
        <w:t>https://www.intechopen.com/books/a-fresh-look-at-anxiety-disorders/examining-sex-and-gender-differences-in-anxiety-disorders</w:t>
      </w:r>
      <w:r w:rsidRPr="00EE16AA">
        <w:rPr>
          <w:rFonts w:ascii="Tahoma" w:hAnsi="Tahoma" w:cs="Tahoma"/>
        </w:rPr>
        <w:cr/>
      </w:r>
    </w:p>
    <w:p w14:paraId="00F97CDA" w14:textId="77777777" w:rsidR="00EE16AA" w:rsidRPr="003E2039" w:rsidRDefault="00EE16AA" w:rsidP="003E2039">
      <w:pPr>
        <w:tabs>
          <w:tab w:val="left" w:pos="1240"/>
        </w:tabs>
        <w:rPr>
          <w:rFonts w:ascii="Tahoma" w:hAnsi="Tahoma" w:cs="Tahoma"/>
        </w:rPr>
      </w:pPr>
    </w:p>
    <w:sectPr w:rsidR="00EE16AA" w:rsidRPr="003E2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A4"/>
    <w:rsid w:val="0003453E"/>
    <w:rsid w:val="001A0E6F"/>
    <w:rsid w:val="0031022E"/>
    <w:rsid w:val="00343F14"/>
    <w:rsid w:val="00355D9D"/>
    <w:rsid w:val="0035623C"/>
    <w:rsid w:val="003E2039"/>
    <w:rsid w:val="003F1BD6"/>
    <w:rsid w:val="00430B6D"/>
    <w:rsid w:val="0047660C"/>
    <w:rsid w:val="00542650"/>
    <w:rsid w:val="00573FA6"/>
    <w:rsid w:val="005B11E6"/>
    <w:rsid w:val="005B5826"/>
    <w:rsid w:val="005D7DA4"/>
    <w:rsid w:val="00617069"/>
    <w:rsid w:val="00695B17"/>
    <w:rsid w:val="007F43E4"/>
    <w:rsid w:val="00820EEA"/>
    <w:rsid w:val="009A2438"/>
    <w:rsid w:val="00A91A67"/>
    <w:rsid w:val="00AB2DC2"/>
    <w:rsid w:val="00AD1F17"/>
    <w:rsid w:val="00B543DD"/>
    <w:rsid w:val="00BB0B16"/>
    <w:rsid w:val="00BD45B0"/>
    <w:rsid w:val="00D07E00"/>
    <w:rsid w:val="00D12817"/>
    <w:rsid w:val="00D14FC0"/>
    <w:rsid w:val="00D5307D"/>
    <w:rsid w:val="00D95395"/>
    <w:rsid w:val="00DA33FA"/>
    <w:rsid w:val="00EE16AA"/>
    <w:rsid w:val="00EF288E"/>
    <w:rsid w:val="00F779FE"/>
    <w:rsid w:val="00F86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4661"/>
  <w15:chartTrackingRefBased/>
  <w15:docId w15:val="{C6721189-10AF-4579-9F98-DE904DB1B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0B1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42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453E"/>
    <w:rPr>
      <w:color w:val="0563C1" w:themeColor="hyperlink"/>
      <w:u w:val="single"/>
    </w:rPr>
  </w:style>
  <w:style w:type="character" w:styleId="UnresolvedMention">
    <w:name w:val="Unresolved Mention"/>
    <w:basedOn w:val="DefaultParagraphFont"/>
    <w:uiPriority w:val="99"/>
    <w:semiHidden/>
    <w:unhideWhenUsed/>
    <w:rsid w:val="000345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041174">
      <w:bodyDiv w:val="1"/>
      <w:marLeft w:val="0"/>
      <w:marRight w:val="0"/>
      <w:marTop w:val="0"/>
      <w:marBottom w:val="0"/>
      <w:divBdr>
        <w:top w:val="none" w:sz="0" w:space="0" w:color="auto"/>
        <w:left w:val="none" w:sz="0" w:space="0" w:color="auto"/>
        <w:bottom w:val="none" w:sz="0" w:space="0" w:color="auto"/>
        <w:right w:val="none" w:sz="0" w:space="0" w:color="auto"/>
      </w:divBdr>
    </w:div>
    <w:div w:id="1190870741">
      <w:bodyDiv w:val="1"/>
      <w:marLeft w:val="0"/>
      <w:marRight w:val="0"/>
      <w:marTop w:val="0"/>
      <w:marBottom w:val="0"/>
      <w:divBdr>
        <w:top w:val="none" w:sz="0" w:space="0" w:color="auto"/>
        <w:left w:val="none" w:sz="0" w:space="0" w:color="auto"/>
        <w:bottom w:val="none" w:sz="0" w:space="0" w:color="auto"/>
        <w:right w:val="none" w:sz="0" w:space="0" w:color="auto"/>
      </w:divBdr>
    </w:div>
    <w:div w:id="146211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anxietyinstitute.org/social-anxiety-commonly-misdiagnosed" TargetMode="External"/><Relationship Id="rId3" Type="http://schemas.openxmlformats.org/officeDocument/2006/relationships/webSettings" Target="webSettings.xml"/><Relationship Id="rId7" Type="http://schemas.openxmlformats.org/officeDocument/2006/relationships/hyperlink" Target="https://www.calmclinic.com/anxiety-in-wome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nxietycentre.com/anixety-symptoms/anixety-symptoms-in-men.shtml" TargetMode="External"/><Relationship Id="rId11" Type="http://schemas.openxmlformats.org/officeDocument/2006/relationships/fontTable" Target="fontTable.xml"/><Relationship Id="rId5" Type="http://schemas.openxmlformats.org/officeDocument/2006/relationships/hyperlink" Target="https://www.intechopen.com/books/a-fresh-look-at-anxiety-disorders/examining-sex-and-gender-differences-in-anxiety-disorders" TargetMode="External"/><Relationship Id="rId10" Type="http://schemas.openxmlformats.org/officeDocument/2006/relationships/image" Target="media/image1.png"/><Relationship Id="rId4" Type="http://schemas.openxmlformats.org/officeDocument/2006/relationships/chart" Target="charts/chart1.xml"/><Relationship Id="rId9" Type="http://schemas.openxmlformats.org/officeDocument/2006/relationships/hyperlink" Target="http://www.womenshealth.gov/mental-health/mental-health-conditions/anxiety-disorder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differences in anxiety scores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Male </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Sheet1!$J$11</c:f>
              <c:numCache>
                <c:formatCode>General</c:formatCode>
                <c:ptCount val="1"/>
                <c:pt idx="0">
                  <c:v>23.35</c:v>
                </c:pt>
              </c:numCache>
            </c:numRef>
          </c:val>
          <c:extLst>
            <c:ext xmlns:c16="http://schemas.microsoft.com/office/drawing/2014/chart" uri="{C3380CC4-5D6E-409C-BE32-E72D297353CC}">
              <c16:uniqueId val="{00000000-98BA-4B3F-997A-D0902A0E4035}"/>
            </c:ext>
          </c:extLst>
        </c:ser>
        <c:ser>
          <c:idx val="1"/>
          <c:order val="1"/>
          <c:tx>
            <c:v>Female </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Sheet1!$J$12</c:f>
              <c:numCache>
                <c:formatCode>General</c:formatCode>
                <c:ptCount val="1"/>
                <c:pt idx="0">
                  <c:v>28.25</c:v>
                </c:pt>
              </c:numCache>
            </c:numRef>
          </c:val>
          <c:extLst>
            <c:ext xmlns:c16="http://schemas.microsoft.com/office/drawing/2014/chart" uri="{C3380CC4-5D6E-409C-BE32-E72D297353CC}">
              <c16:uniqueId val="{00000001-98BA-4B3F-997A-D0902A0E4035}"/>
            </c:ext>
          </c:extLst>
        </c:ser>
        <c:dLbls>
          <c:dLblPos val="outEnd"/>
          <c:showLegendKey val="0"/>
          <c:showVal val="1"/>
          <c:showCatName val="0"/>
          <c:showSerName val="0"/>
          <c:showPercent val="0"/>
          <c:showBubbleSize val="0"/>
        </c:dLbls>
        <c:gapWidth val="219"/>
        <c:overlap val="-27"/>
        <c:axId val="720274000"/>
        <c:axId val="720280560"/>
        <c:extLst>
          <c:ext xmlns:c15="http://schemas.microsoft.com/office/drawing/2012/chart" uri="{02D57815-91ED-43cb-92C2-25804820EDAC}">
            <c15:filteredBarSeries>
              <c15:ser>
                <c:idx val="2"/>
                <c:order val="2"/>
                <c:tx>
                  <c:v>Male </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c:v>
                    </c:pt>
                  </c:numLit>
                </c:val>
                <c:extLst>
                  <c:ext xmlns:c16="http://schemas.microsoft.com/office/drawing/2014/chart" uri="{C3380CC4-5D6E-409C-BE32-E72D297353CC}">
                    <c16:uniqueId val="{00000002-98BA-4B3F-997A-D0902A0E4035}"/>
                  </c:ext>
                </c:extLst>
              </c15:ser>
            </c15:filteredBarSeries>
            <c15:filteredBarSeries>
              <c15:ser>
                <c:idx val="3"/>
                <c:order val="3"/>
                <c:tx>
                  <c:v>Female </c:v>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c:v>
                    </c:pt>
                  </c:numLit>
                </c:val>
                <c:extLst xmlns:c15="http://schemas.microsoft.com/office/drawing/2012/chart">
                  <c:ext xmlns:c16="http://schemas.microsoft.com/office/drawing/2014/chart" uri="{C3380CC4-5D6E-409C-BE32-E72D297353CC}">
                    <c16:uniqueId val="{00000003-98BA-4B3F-997A-D0902A0E4035}"/>
                  </c:ext>
                </c:extLst>
              </c15:ser>
            </c15:filteredBarSeries>
          </c:ext>
        </c:extLst>
      </c:barChart>
      <c:catAx>
        <c:axId val="720274000"/>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720280560"/>
        <c:crosses val="autoZero"/>
        <c:auto val="1"/>
        <c:lblAlgn val="ctr"/>
        <c:lblOffset val="100"/>
        <c:noMultiLvlLbl val="0"/>
      </c:catAx>
      <c:valAx>
        <c:axId val="720280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Anxiety</a:t>
                </a:r>
                <a:r>
                  <a:rPr lang="en-GB" baseline="0"/>
                  <a:t> scores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274000"/>
        <c:crosses val="autoZero"/>
        <c:crossBetween val="between"/>
      </c:valAx>
      <c:spPr>
        <a:noFill/>
        <a:ln>
          <a:noFill/>
        </a:ln>
        <a:effectLst/>
      </c:spPr>
    </c:plotArea>
    <c:legend>
      <c:legendPos val="b"/>
      <c:layout>
        <c:manualLayout>
          <c:xMode val="edge"/>
          <c:yMode val="edge"/>
          <c:x val="0.43768897637795273"/>
          <c:y val="0.89409667541557303"/>
          <c:w val="0.23017760279965005"/>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9</Pages>
  <Words>1710</Words>
  <Characters>9750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25</cp:revision>
  <dcterms:created xsi:type="dcterms:W3CDTF">2020-01-09T20:41:00Z</dcterms:created>
  <dcterms:modified xsi:type="dcterms:W3CDTF">2020-01-17T22:10:00Z</dcterms:modified>
</cp:coreProperties>
</file>