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8D903F5" w:rsidR="00A930CB" w:rsidRPr="00A930CB" w:rsidRDefault="002049FE" w:rsidP="00A930CB">
                <w:pPr>
                  <w:spacing w:before="120" w:after="120" w:line="360" w:lineRule="auto"/>
                  <w:rPr>
                    <w:rFonts w:ascii="Tahoma" w:hAnsi="Tahoma" w:cs="Tahoma"/>
                    <w:sz w:val="32"/>
                    <w:szCs w:val="32"/>
                  </w:rPr>
                </w:pPr>
                <w:r w:rsidRPr="008F51C2">
                  <w:rPr>
                    <w:rFonts w:ascii="Tahoma" w:hAnsi="Tahoma" w:cs="Tahoma"/>
                    <w:color w:val="FF0000"/>
                    <w:sz w:val="32"/>
                    <w:szCs w:val="32"/>
                  </w:rPr>
                  <w:t>A</w:t>
                </w:r>
                <w:r w:rsidR="00AA6973">
                  <w:rPr>
                    <w:rFonts w:ascii="Tahoma" w:hAnsi="Tahoma" w:cs="Tahoma"/>
                    <w:color w:val="FF0000"/>
                    <w:sz w:val="32"/>
                    <w:szCs w:val="32"/>
                  </w:rPr>
                  <w:t>ngela Howells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9974D34" w:rsidR="00A930CB" w:rsidRPr="00A930CB" w:rsidRDefault="00AA6973" w:rsidP="00A930CB">
                <w:pPr>
                  <w:spacing w:before="120" w:after="120" w:line="360" w:lineRule="auto"/>
                  <w:rPr>
                    <w:rFonts w:ascii="Tahoma" w:hAnsi="Tahoma" w:cs="Tahoma"/>
                    <w:sz w:val="32"/>
                    <w:szCs w:val="32"/>
                  </w:rPr>
                </w:pPr>
                <w:r>
                  <w:rPr>
                    <w:rFonts w:ascii="Tahoma" w:hAnsi="Tahoma" w:cs="Tahoma"/>
                    <w:sz w:val="32"/>
                    <w:szCs w:val="32"/>
                  </w:rPr>
                  <w:t>2237643</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2956669E" w:rsidR="00A930CB" w:rsidRPr="00A930CB" w:rsidRDefault="00AA6973"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 401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F4A15C6" w:rsidR="00A930CB" w:rsidRPr="00A930CB" w:rsidRDefault="00AA6973"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Making a </w:t>
                </w:r>
                <w:r w:rsidR="00FC5F22">
                  <w:rPr>
                    <w:rFonts w:ascii="Tahoma" w:hAnsi="Tahoma" w:cs="Tahoma"/>
                    <w:color w:val="FF0000"/>
                    <w:sz w:val="32"/>
                    <w:szCs w:val="32"/>
                  </w:rPr>
                  <w:t>difference</w:t>
                </w:r>
              </w:p>
            </w:tc>
          </w:tr>
        </w:tbl>
        <w:p w14:paraId="143B3E36" w14:textId="60EBDE81" w:rsidR="007A0F0B" w:rsidRPr="005E2CD4" w:rsidRDefault="007A0F0B" w:rsidP="008346D5">
          <w:pPr>
            <w:spacing w:before="120" w:after="120" w:line="360" w:lineRule="auto"/>
            <w:rPr>
              <w:rFonts w:ascii="Tahoma" w:hAnsi="Tahoma" w:cs="Tahoma"/>
              <w:b/>
              <w:color w:val="000000"/>
              <w:sz w:val="24"/>
              <w:szCs w:val="24"/>
            </w:rPr>
          </w:pP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7A53C9" w:rsidRDefault="00F91F18" w:rsidP="00A45277">
          <w:pPr>
            <w:rPr>
              <w:rFonts w:ascii="Tahoma" w:hAnsi="Tahoma" w:cs="Tahoma"/>
              <w:color w:val="000000"/>
              <w:sz w:val="28"/>
              <w:szCs w:val="28"/>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271E12EC" w:rsidR="00B220CB" w:rsidRDefault="00885114" w:rsidP="00BB4837">
              <w:pPr>
                <w:pStyle w:val="TOC2"/>
                <w:rPr>
                  <w:rFonts w:eastAsiaTheme="minorEastAsia"/>
                  <w:lang w:eastAsia="en-GB"/>
                </w:rPr>
              </w:pPr>
              <w:r>
                <w:rPr>
                  <w:noProof w:val="0"/>
                </w:rPr>
                <w:fldChar w:fldCharType="begin"/>
              </w:r>
              <w:r>
                <w:instrText xml:space="preserve"> TOC \o "1-3" \h \z \u </w:instrText>
              </w:r>
              <w:r>
                <w:rPr>
                  <w:noProof w:val="0"/>
                </w:rPr>
                <w:fldChar w:fldCharType="separate"/>
              </w:r>
              <w:hyperlink w:anchor="_Toc511311653" w:history="1">
                <w:r w:rsidR="00B220CB" w:rsidRPr="00F85865">
                  <w:rPr>
                    <w:rStyle w:val="Hyperlink"/>
                  </w:rPr>
                  <w:t>Introduction</w:t>
                </w:r>
                <w:r w:rsidR="00B220CB">
                  <w:rPr>
                    <w:webHidden/>
                  </w:rPr>
                  <w:tab/>
                </w:r>
                <w:r w:rsidR="00B220CB">
                  <w:rPr>
                    <w:webHidden/>
                  </w:rPr>
                  <w:fldChar w:fldCharType="begin"/>
                </w:r>
                <w:r w:rsidR="00B220CB">
                  <w:rPr>
                    <w:webHidden/>
                  </w:rPr>
                  <w:instrText xml:space="preserve"> PAGEREF _Toc511311653 \h </w:instrText>
                </w:r>
                <w:r w:rsidR="00B220CB">
                  <w:rPr>
                    <w:webHidden/>
                  </w:rPr>
                </w:r>
                <w:r w:rsidR="00B220CB">
                  <w:rPr>
                    <w:webHidden/>
                  </w:rPr>
                  <w:fldChar w:fldCharType="separate"/>
                </w:r>
                <w:r w:rsidR="00B220CB">
                  <w:rPr>
                    <w:webHidden/>
                  </w:rPr>
                  <w:t>3</w:t>
                </w:r>
                <w:r w:rsidR="00B220CB">
                  <w:rPr>
                    <w:webHidden/>
                  </w:rPr>
                  <w:fldChar w:fldCharType="end"/>
                </w:r>
              </w:hyperlink>
            </w:p>
            <w:p w14:paraId="741EDB13" w14:textId="458B1DB9" w:rsidR="007E76AD" w:rsidRDefault="00B24AE3" w:rsidP="007E76AD">
              <w:pPr>
                <w:rPr>
                  <w:noProof/>
                </w:rPr>
              </w:pPr>
              <w:r>
                <w:rPr>
                  <w:noProof/>
                </w:rPr>
                <w:t>Section</w:t>
              </w:r>
              <w:r w:rsidR="00000000">
                <w:rPr>
                  <w:noProof/>
                </w:rPr>
                <w:fldChar w:fldCharType="begin"/>
              </w:r>
              <w:r w:rsidR="00000000">
                <w:rPr>
                  <w:noProof/>
                </w:rPr>
                <w:instrText>HYPERLINK \l "_Toc511311654"</w:instrText>
              </w:r>
              <w:r w:rsidR="00000000">
                <w:rPr>
                  <w:noProof/>
                </w:rPr>
              </w:r>
              <w:r w:rsidR="00000000">
                <w:rPr>
                  <w:noProof/>
                </w:rPr>
                <w:fldChar w:fldCharType="separate"/>
              </w:r>
              <w:r w:rsidR="00B220CB" w:rsidRPr="00F85865">
                <w:rPr>
                  <w:rStyle w:val="Hyperlink"/>
                  <w:noProof/>
                </w:rPr>
                <w:t xml:space="preserve"> 1</w:t>
              </w:r>
              <w:r w:rsidR="008E6A1B">
                <w:rPr>
                  <w:rStyle w:val="Hyperlink"/>
                  <w:noProof/>
                </w:rPr>
                <w:t xml:space="preserve"> </w:t>
              </w:r>
              <w:r w:rsidR="007E76AD" w:rsidRPr="00D040E7">
                <w:rPr>
                  <w:noProof/>
                </w:rPr>
                <w:t>leading</w:t>
              </w:r>
              <w:r w:rsidR="007E76AD" w:rsidRPr="008E6A1B">
                <w:rPr>
                  <w:noProof/>
                </w:rPr>
                <w:t xml:space="preserve"> </w:t>
              </w:r>
              <w:r w:rsidR="007E76AD" w:rsidRPr="00D040E7">
                <w:rPr>
                  <w:noProof/>
                </w:rPr>
                <w:t>Responsible stewardship in</w:t>
              </w:r>
              <w:r w:rsidR="007E76AD">
                <w:rPr>
                  <w:noProof/>
                </w:rPr>
                <w:t>.</w:t>
              </w:r>
            </w:p>
            <w:p w14:paraId="667FB879" w14:textId="5EC762A2" w:rsidR="00B220CB" w:rsidRDefault="00B220CB" w:rsidP="00BB4837">
              <w:pPr>
                <w:pStyle w:val="TOC2"/>
                <w:rPr>
                  <w:rFonts w:eastAsiaTheme="minorEastAsia"/>
                  <w:lang w:eastAsia="en-GB"/>
                </w:rPr>
              </w:pPr>
              <w:r>
                <w:rPr>
                  <w:webHidden/>
                </w:rPr>
                <w:tab/>
              </w:r>
              <w:r>
                <w:rPr>
                  <w:webHidden/>
                </w:rPr>
                <w:fldChar w:fldCharType="begin"/>
              </w:r>
              <w:r>
                <w:rPr>
                  <w:webHidden/>
                </w:rPr>
                <w:instrText xml:space="preserve"> PAGEREF _Toc511311654 \h </w:instrText>
              </w:r>
              <w:r>
                <w:rPr>
                  <w:webHidden/>
                </w:rPr>
              </w:r>
              <w:r>
                <w:rPr>
                  <w:webHidden/>
                </w:rPr>
                <w:fldChar w:fldCharType="separate"/>
              </w:r>
              <w:r>
                <w:rPr>
                  <w:webHidden/>
                </w:rPr>
                <w:t>3</w:t>
              </w:r>
              <w:r>
                <w:rPr>
                  <w:webHidden/>
                </w:rPr>
                <w:fldChar w:fldCharType="end"/>
              </w:r>
              <w:r w:rsidR="00000000">
                <w:fldChar w:fldCharType="end"/>
              </w:r>
            </w:p>
            <w:p w14:paraId="0EFC6E29" w14:textId="72320FBF" w:rsidR="00B24AE3" w:rsidRPr="004B309F" w:rsidRDefault="00000000" w:rsidP="00B24AE3">
              <w:pPr>
                <w:rPr>
                  <w:noProof/>
                  <w:sz w:val="28"/>
                  <w:szCs w:val="28"/>
                </w:rPr>
              </w:pPr>
              <w:r>
                <w:rPr>
                  <w:noProof/>
                </w:rPr>
                <w:fldChar w:fldCharType="begin"/>
              </w:r>
              <w:r>
                <w:rPr>
                  <w:noProof/>
                </w:rPr>
                <w:instrText>HYPERLINK \l "_Toc511311655"</w:instrText>
              </w:r>
              <w:r>
                <w:rPr>
                  <w:noProof/>
                </w:rPr>
              </w:r>
              <w:r>
                <w:rPr>
                  <w:noProof/>
                </w:rPr>
                <w:fldChar w:fldCharType="separate"/>
              </w:r>
              <w:r w:rsidR="00B220CB" w:rsidRPr="00F85865">
                <w:rPr>
                  <w:rStyle w:val="Hyperlink"/>
                  <w:noProof/>
                </w:rPr>
                <w:t>Section 2</w:t>
              </w:r>
              <w:r w:rsidR="00B24AE3" w:rsidRPr="00B24AE3">
                <w:rPr>
                  <w:noProof/>
                  <w:sz w:val="28"/>
                  <w:szCs w:val="28"/>
                </w:rPr>
                <w:t xml:space="preserve"> </w:t>
              </w:r>
              <w:r w:rsidR="00B24AE3" w:rsidRPr="004B309F">
                <w:rPr>
                  <w:noProof/>
                  <w:sz w:val="28"/>
                  <w:szCs w:val="28"/>
                </w:rPr>
                <w:t>Diversity leading a global team.</w:t>
              </w:r>
            </w:p>
            <w:p w14:paraId="4CD4DF69" w14:textId="051ADA36" w:rsidR="00B220CB" w:rsidRDefault="00B24AE3" w:rsidP="00BB4837">
              <w:pPr>
                <w:pStyle w:val="TOC2"/>
                <w:rPr>
                  <w:rFonts w:eastAsiaTheme="minorEastAsia"/>
                  <w:lang w:eastAsia="en-GB"/>
                </w:rPr>
              </w:pPr>
              <w:r>
                <w:rPr>
                  <w:rStyle w:val="Hyperlink"/>
                </w:rPr>
                <w:t xml:space="preserve"> </w:t>
              </w:r>
              <w:r w:rsidR="00B220CB">
                <w:rPr>
                  <w:webHidden/>
                </w:rPr>
                <w:tab/>
              </w:r>
              <w:r w:rsidR="00B220CB">
                <w:rPr>
                  <w:webHidden/>
                </w:rPr>
                <w:fldChar w:fldCharType="begin"/>
              </w:r>
              <w:r w:rsidR="00B220CB">
                <w:rPr>
                  <w:webHidden/>
                </w:rPr>
                <w:instrText xml:space="preserve"> PAGEREF _Toc511311655 \h </w:instrText>
              </w:r>
              <w:r w:rsidR="00B220CB">
                <w:rPr>
                  <w:webHidden/>
                </w:rPr>
              </w:r>
              <w:r w:rsidR="00B220CB">
                <w:rPr>
                  <w:webHidden/>
                </w:rPr>
                <w:fldChar w:fldCharType="separate"/>
              </w:r>
              <w:r w:rsidR="00B220CB">
                <w:rPr>
                  <w:webHidden/>
                </w:rPr>
                <w:t>3</w:t>
              </w:r>
              <w:r w:rsidR="00B220CB">
                <w:rPr>
                  <w:webHidden/>
                </w:rPr>
                <w:fldChar w:fldCharType="end"/>
              </w:r>
              <w:r w:rsidR="00000000">
                <w:fldChar w:fldCharType="end"/>
              </w:r>
            </w:p>
            <w:p w14:paraId="373DCF2F" w14:textId="099FD234" w:rsidR="00B220CB" w:rsidRDefault="00000000" w:rsidP="00BB4837">
              <w:pPr>
                <w:pStyle w:val="TOC2"/>
                <w:rPr>
                  <w:lang w:eastAsia="en-GB"/>
                </w:rPr>
              </w:pPr>
              <w:hyperlink w:anchor="_Toc511311656" w:history="1">
                <w:r w:rsidR="00B220CB" w:rsidRPr="00BB4837">
                  <w:rPr>
                    <w:rStyle w:val="Hyperlink"/>
                  </w:rPr>
                  <w:t>Section</w:t>
                </w:r>
                <w:r w:rsidR="00B34326" w:rsidRPr="00BB4837">
                  <w:rPr>
                    <w:rStyle w:val="Hyperlink"/>
                  </w:rPr>
                  <w:t xml:space="preserve"> 3</w:t>
                </w:r>
                <w:r w:rsidR="007378C0" w:rsidRPr="00BB4837">
                  <w:rPr>
                    <w:rStyle w:val="Hyperlink"/>
                  </w:rPr>
                  <w:t xml:space="preserve"> </w:t>
                </w:r>
                <w:r w:rsidR="00B220CB" w:rsidRPr="00BB4837">
                  <w:rPr>
                    <w:rStyle w:val="Hyperlink"/>
                  </w:rPr>
                  <w:t xml:space="preserve"> </w:t>
                </w:r>
                <w:r w:rsidR="00485D0A" w:rsidRPr="00BB4837">
                  <w:t>Collaborations between academics from high-income and low-income nations on authorship ethics in global health research</w:t>
                </w:r>
                <w:r w:rsidR="00485D0A" w:rsidRPr="00BB4837">
                  <w:rPr>
                    <w:rStyle w:val="Hyperlink"/>
                  </w:rPr>
                  <w:t xml:space="preserve"> </w:t>
                </w:r>
                <w:r w:rsidR="00B220CB" w:rsidRPr="00BB4837">
                  <w:rPr>
                    <w:rStyle w:val="Hyperlink"/>
                  </w:rPr>
                  <w:t>3</w:t>
                </w:r>
                <w:r w:rsidR="00485D0A" w:rsidRPr="00BB4837">
                  <w:rPr>
                    <w:rStyle w:val="Hyperlink"/>
                  </w:rPr>
                  <w:t xml:space="preserve">  </w:t>
                </w:r>
                <w:r w:rsidR="00B220CB" w:rsidRPr="00BB4837">
                  <w:rPr>
                    <w:webHidden/>
                  </w:rPr>
                  <w:tab/>
                </w:r>
                <w:r w:rsidR="00B220CB" w:rsidRPr="00BB4837">
                  <w:rPr>
                    <w:webHidden/>
                  </w:rPr>
                  <w:fldChar w:fldCharType="begin"/>
                </w:r>
                <w:r w:rsidR="00B220CB" w:rsidRPr="00BB4837">
                  <w:rPr>
                    <w:webHidden/>
                  </w:rPr>
                  <w:instrText xml:space="preserve"> PAGEREF _Toc511311656 \h </w:instrText>
                </w:r>
                <w:r w:rsidR="00B220CB" w:rsidRPr="00BB4837">
                  <w:rPr>
                    <w:webHidden/>
                  </w:rPr>
                </w:r>
                <w:r w:rsidR="00B220CB" w:rsidRPr="00BB4837">
                  <w:rPr>
                    <w:webHidden/>
                  </w:rPr>
                  <w:fldChar w:fldCharType="separate"/>
                </w:r>
                <w:r w:rsidR="00B220CB" w:rsidRPr="00BB4837">
                  <w:rPr>
                    <w:webHidden/>
                  </w:rPr>
                  <w:t>3</w:t>
                </w:r>
                <w:r w:rsidR="00B220CB" w:rsidRPr="00BB4837">
                  <w:rPr>
                    <w:webHidden/>
                  </w:rPr>
                  <w:fldChar w:fldCharType="end"/>
                </w:r>
              </w:hyperlink>
            </w:p>
            <w:p w14:paraId="42394321" w14:textId="122FF47F" w:rsidR="00885114" w:rsidRDefault="00885114">
              <w:r>
                <w:rPr>
                  <w:b/>
                  <w:bCs/>
                  <w:noProof/>
                </w:rPr>
                <w:fldChar w:fldCharType="end"/>
              </w:r>
            </w:p>
          </w:sdtContent>
        </w:sdt>
        <w:p w14:paraId="79077526" w14:textId="6B0DAE97" w:rsidR="00885114" w:rsidRPr="00D2291D" w:rsidRDefault="00885114" w:rsidP="00885114">
          <w:pPr>
            <w:pStyle w:val="TOCHeading"/>
          </w:pPr>
        </w:p>
        <w:p w14:paraId="68FE57E8" w14:textId="2A25580C"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Default="007A0F0B" w:rsidP="00885114">
      <w:r>
        <w:br w:type="page"/>
      </w:r>
    </w:p>
    <w:p w14:paraId="19E774AF" w14:textId="77777777" w:rsidR="00BB4837" w:rsidRPr="00885114" w:rsidRDefault="00BB4837" w:rsidP="00885114"/>
    <w:p w14:paraId="3ED55503" w14:textId="79943E29" w:rsidR="00D2291D" w:rsidRPr="00AA6973" w:rsidRDefault="0006008A" w:rsidP="0030173B">
      <w:pPr>
        <w:pStyle w:val="Heading2"/>
        <w:rPr>
          <w:lang w:val="fr-FR"/>
        </w:rPr>
      </w:pPr>
      <w:bookmarkStart w:id="0" w:name="_Toc456901515"/>
      <w:bookmarkStart w:id="1" w:name="_Toc511311653"/>
      <w:r w:rsidRPr="00AA6973">
        <w:rPr>
          <w:lang w:val="fr-FR"/>
        </w:rPr>
        <w:t>Introduction</w:t>
      </w:r>
      <w:bookmarkEnd w:id="0"/>
      <w:bookmarkEnd w:id="1"/>
      <w:r w:rsidRPr="00AA6973">
        <w:rPr>
          <w:lang w:val="fr-FR"/>
        </w:rPr>
        <w:t xml:space="preserve"> </w:t>
      </w:r>
    </w:p>
    <w:p w14:paraId="6FA9AA93" w14:textId="3F7379BA" w:rsidR="00941F84" w:rsidRDefault="00C303A3" w:rsidP="0030173B">
      <w:r w:rsidRPr="006252F5">
        <w:t>In my assi</w:t>
      </w:r>
      <w:r w:rsidR="006252F5" w:rsidRPr="006252F5">
        <w:t xml:space="preserve">gnment </w:t>
      </w:r>
      <w:r w:rsidR="001B7A6F">
        <w:t>I</w:t>
      </w:r>
      <w:r w:rsidR="006252F5" w:rsidRPr="006252F5">
        <w:t xml:space="preserve"> w</w:t>
      </w:r>
      <w:r w:rsidR="006252F5">
        <w:t>ill be</w:t>
      </w:r>
      <w:r w:rsidR="00AF214B">
        <w:t xml:space="preserve"> writing about three</w:t>
      </w:r>
      <w:r w:rsidR="007621B2">
        <w:t xml:space="preserve"> different theories that </w:t>
      </w:r>
      <w:r w:rsidR="00F077EF">
        <w:t>can affect my ability to success</w:t>
      </w:r>
      <w:r w:rsidR="00AF1551">
        <w:t>fully lead a glob</w:t>
      </w:r>
      <w:r w:rsidR="00745BEF">
        <w:t>al team</w:t>
      </w:r>
      <w:r w:rsidR="001B7A6F">
        <w:t xml:space="preserve">. I have chosen to research and </w:t>
      </w:r>
      <w:r w:rsidR="006D10FF">
        <w:t xml:space="preserve">focus on </w:t>
      </w:r>
      <w:r w:rsidR="0074347F">
        <w:t xml:space="preserve">responsible stewardship, </w:t>
      </w:r>
      <w:r w:rsidR="001C0879">
        <w:t>diversity,</w:t>
      </w:r>
      <w:r w:rsidR="00FC5F22">
        <w:t xml:space="preserve"> and</w:t>
      </w:r>
      <w:r w:rsidR="00B73448" w:rsidRPr="00B73448">
        <w:t xml:space="preserve"> </w:t>
      </w:r>
      <w:r w:rsidR="00B73448" w:rsidRPr="00B73448">
        <w:t>Collaborations between academics from high-income and low-income nations on authorship ethics in global health research</w:t>
      </w:r>
      <w:r w:rsidR="006D10FF">
        <w:t xml:space="preserve"> areas of concern which could</w:t>
      </w:r>
      <w:r w:rsidR="00192317">
        <w:t>,</w:t>
      </w:r>
      <w:r w:rsidR="006D10FF">
        <w:t xml:space="preserve"> </w:t>
      </w:r>
      <w:r w:rsidR="00841941">
        <w:t>overtime</w:t>
      </w:r>
      <w:r w:rsidR="00192317">
        <w:t>,</w:t>
      </w:r>
      <w:r w:rsidR="00841941">
        <w:t xml:space="preserve"> cause </w:t>
      </w:r>
      <w:r w:rsidR="002F6F8D">
        <w:t xml:space="preserve">major issues to the successful </w:t>
      </w:r>
      <w:r w:rsidR="0029143F">
        <w:t xml:space="preserve">leadership of a </w:t>
      </w:r>
      <w:r w:rsidR="00E460C8">
        <w:t>global team.</w:t>
      </w:r>
    </w:p>
    <w:p w14:paraId="16DE1974" w14:textId="20120DD7" w:rsidR="00517D76" w:rsidRDefault="004E28AB" w:rsidP="0030173B">
      <w:r>
        <w:t xml:space="preserve">The </w:t>
      </w:r>
      <w:r w:rsidR="00BB1ABB">
        <w:t xml:space="preserve">success of any team is based on </w:t>
      </w:r>
      <w:r w:rsidR="00091F38">
        <w:t xml:space="preserve">awareness </w:t>
      </w:r>
      <w:r w:rsidR="00183451">
        <w:t>and good team players.</w:t>
      </w:r>
    </w:p>
    <w:p w14:paraId="4B80D8CB" w14:textId="7DF3C7C4" w:rsidR="00E460C8" w:rsidRPr="006252F5" w:rsidRDefault="00E460C8" w:rsidP="0030173B">
      <w:r>
        <w:t xml:space="preserve">I will </w:t>
      </w:r>
      <w:r w:rsidR="00520C5F">
        <w:t xml:space="preserve">research </w:t>
      </w:r>
      <w:r w:rsidR="002806CA">
        <w:t>in depth</w:t>
      </w:r>
      <w:r w:rsidR="00140A75">
        <w:t xml:space="preserve"> and provide </w:t>
      </w:r>
      <w:r w:rsidR="008150FF">
        <w:t xml:space="preserve">a conclusion </w:t>
      </w:r>
      <w:r w:rsidR="00CB01A1">
        <w:t>based on my findings.</w:t>
      </w:r>
    </w:p>
    <w:p w14:paraId="2635102A" w14:textId="72DC3DA9" w:rsidR="0006008A" w:rsidRPr="006252F5" w:rsidRDefault="0006008A" w:rsidP="00D2291D">
      <w:pPr>
        <w:spacing w:line="360" w:lineRule="auto"/>
        <w:rPr>
          <w:rFonts w:ascii="Arial" w:hAnsi="Arial" w:cs="Arial"/>
          <w:sz w:val="24"/>
          <w:szCs w:val="24"/>
        </w:rPr>
      </w:pPr>
    </w:p>
    <w:p w14:paraId="06366632" w14:textId="77777777" w:rsidR="0030173B" w:rsidRPr="006252F5" w:rsidRDefault="0030173B" w:rsidP="00D2291D">
      <w:pPr>
        <w:spacing w:line="360" w:lineRule="auto"/>
        <w:rPr>
          <w:rFonts w:ascii="Arial" w:hAnsi="Arial" w:cs="Arial"/>
          <w:sz w:val="24"/>
          <w:szCs w:val="24"/>
        </w:rPr>
      </w:pPr>
    </w:p>
    <w:p w14:paraId="5CB9DF97" w14:textId="24E4C745" w:rsidR="00322C2E" w:rsidRDefault="002049FE" w:rsidP="002049FE">
      <w:pPr>
        <w:pStyle w:val="Heading2"/>
        <w:rPr>
          <w:lang w:val="fr-FR"/>
        </w:rPr>
      </w:pPr>
      <w:bookmarkStart w:id="2" w:name="_Toc511311654"/>
      <w:r w:rsidRPr="00AA6973">
        <w:rPr>
          <w:lang w:val="fr-FR"/>
        </w:rPr>
        <w:t>Section 1</w:t>
      </w:r>
      <w:bookmarkEnd w:id="2"/>
    </w:p>
    <w:p w14:paraId="3272558B" w14:textId="2C66836A" w:rsidR="006E27E1" w:rsidRDefault="000D5C52" w:rsidP="006E27E1">
      <w:r w:rsidRPr="00D040E7">
        <w:t>leading</w:t>
      </w:r>
      <w:r w:rsidR="008E6A1B" w:rsidRPr="008E6A1B">
        <w:t xml:space="preserve"> </w:t>
      </w:r>
      <w:r w:rsidR="008E6A1B" w:rsidRPr="00D040E7">
        <w:t>Responsible stewardship in</w:t>
      </w:r>
      <w:r w:rsidR="003C25BA">
        <w:t>.</w:t>
      </w:r>
    </w:p>
    <w:p w14:paraId="25288EC5" w14:textId="51216B06" w:rsidR="00404DB6" w:rsidRDefault="00404DB6" w:rsidP="00404DB6">
      <w:r>
        <w:t>The article abstract outlines the state of the burgeoning field of responsible leadership. Interest in study and practises of responsible leadership has been sparked by a number of environmental and social</w:t>
      </w:r>
      <w:r w:rsidR="002E1009">
        <w:t xml:space="preserve"> </w:t>
      </w:r>
      <w:r>
        <w:t>forces. This article defines the notion of responsible leadership, describes the key components of the pertinent research, and contrasts this emerging understanding of responsible leadership with similar leadership theories. Finally, a summary of the various pieces in this special issue suggests some directions for further research.</w:t>
      </w:r>
    </w:p>
    <w:p w14:paraId="4FD8D007" w14:textId="387CC9B4" w:rsidR="00404DB6" w:rsidRDefault="00404DB6" w:rsidP="00404DB6">
      <w:r>
        <w:t>Keywords: Responsive management philosophies of leadership and accountability views from the resear</w:t>
      </w:r>
      <w:r w:rsidR="00D14A98">
        <w:t>ch</w:t>
      </w:r>
    </w:p>
    <w:p w14:paraId="7F648816" w14:textId="09D66131" w:rsidR="003C25BA" w:rsidRPr="00D040E7" w:rsidRDefault="00404DB6" w:rsidP="00404DB6">
      <w:r>
        <w:t xml:space="preserve">There are several ways to address this question. Waldman and Galvin (2008) propose a response in the introduction to their paper on </w:t>
      </w:r>
      <w:r w:rsidR="00FC5F22">
        <w:t>an</w:t>
      </w:r>
      <w:r>
        <w:t xml:space="preserve"> "alternative perspective of responsible leadership" in response to the shortcomings of current theory and its impact on leadership practise</w:t>
      </w:r>
      <w:r w:rsidR="0088210C">
        <w:t xml:space="preserve">. </w:t>
      </w:r>
    </w:p>
    <w:p w14:paraId="257809FA" w14:textId="662A7E2E" w:rsidR="00337DE2" w:rsidRPr="00337DE2" w:rsidRDefault="00337DE2" w:rsidP="00337DE2">
      <w:pPr>
        <w:spacing w:line="360" w:lineRule="auto"/>
        <w:rPr>
          <w:rFonts w:ascii="Arial" w:hAnsi="Arial" w:cs="Arial"/>
          <w:sz w:val="24"/>
          <w:szCs w:val="24"/>
        </w:rPr>
      </w:pPr>
      <w:r w:rsidRPr="00337DE2">
        <w:rPr>
          <w:rFonts w:ascii="Arial" w:hAnsi="Arial" w:cs="Arial"/>
          <w:sz w:val="24"/>
          <w:szCs w:val="24"/>
        </w:rPr>
        <w:t>2008 financial crisis made it evident that addressing leadership challenges would take time, and that in order to be successful, responsible (global) leadership required an approach that included both the individual and systemic levels of society. A society of markets, laws, and elections is insufficient, according to Jeffrey Sachs (2011, p. 3), if the wealthy and powerful do not act with decency, honesty, and compassion towards the rest of society as well as towards the rest of the globe. There cannot be a significant and lasting economic recovery without re</w:t>
      </w:r>
      <w:r w:rsidR="00BF40FA">
        <w:rPr>
          <w:rFonts w:ascii="Arial" w:hAnsi="Arial" w:cs="Arial"/>
          <w:sz w:val="24"/>
          <w:szCs w:val="24"/>
        </w:rPr>
        <w:t xml:space="preserve"> </w:t>
      </w:r>
      <w:r w:rsidRPr="00337DE2">
        <w:rPr>
          <w:rFonts w:ascii="Arial" w:hAnsi="Arial" w:cs="Arial"/>
          <w:sz w:val="24"/>
          <w:szCs w:val="24"/>
        </w:rPr>
        <w:t>stablishing a culture of social responsibility.</w:t>
      </w:r>
    </w:p>
    <w:p w14:paraId="2855E598" w14:textId="1EC46E0C" w:rsidR="005D4B55" w:rsidRDefault="00337DE2" w:rsidP="002C1D91">
      <w:pPr>
        <w:spacing w:line="360" w:lineRule="auto"/>
        <w:rPr>
          <w:rFonts w:ascii="Arial" w:hAnsi="Arial" w:cs="Arial"/>
          <w:sz w:val="24"/>
          <w:szCs w:val="24"/>
        </w:rPr>
      </w:pPr>
      <w:r w:rsidRPr="00337DE2">
        <w:rPr>
          <w:rFonts w:ascii="Arial" w:hAnsi="Arial" w:cs="Arial"/>
          <w:sz w:val="24"/>
          <w:szCs w:val="24"/>
        </w:rPr>
        <w:t xml:space="preserve">However, as Brown and Trevin (2006) note, the search for responsible leadership is not confined to scandals and the ensuing calls for moral behaviour. It also results from </w:t>
      </w:r>
      <w:r w:rsidRPr="00337DE2">
        <w:rPr>
          <w:rFonts w:ascii="Arial" w:hAnsi="Arial" w:cs="Arial"/>
          <w:sz w:val="24"/>
          <w:szCs w:val="24"/>
        </w:rPr>
        <w:lastRenderedPageBreak/>
        <w:t>modifications and new requirements.</w:t>
      </w:r>
      <w:r w:rsidR="004A5A68" w:rsidRPr="004A5A68">
        <w:t xml:space="preserve"> </w:t>
      </w:r>
      <w:r w:rsidR="004A5A68" w:rsidRPr="004A5A68">
        <w:rPr>
          <w:rFonts w:ascii="Arial" w:hAnsi="Arial" w:cs="Arial"/>
          <w:sz w:val="24"/>
          <w:szCs w:val="24"/>
        </w:rPr>
        <w:t xml:space="preserve">since "responsible leadership is not a concept that is shared by all," 328 (Waldman and Galvin, 2008). As a result, we point out two crucial directions for future research that are related to the very definition of responsible leadership: one that aims to </w:t>
      </w:r>
      <w:r w:rsidR="00FC5F22" w:rsidRPr="004A5A68">
        <w:rPr>
          <w:rFonts w:ascii="Arial" w:hAnsi="Arial" w:cs="Arial"/>
          <w:sz w:val="24"/>
          <w:szCs w:val="24"/>
        </w:rPr>
        <w:t>explore conceptually and empirically</w:t>
      </w:r>
      <w:r w:rsidR="004A5A68" w:rsidRPr="004A5A68">
        <w:rPr>
          <w:rFonts w:ascii="Arial" w:hAnsi="Arial" w:cs="Arial"/>
          <w:sz w:val="24"/>
          <w:szCs w:val="24"/>
        </w:rPr>
        <w:t xml:space="preserve"> what could be called responsible leader mindsets, and the other that seeks to define who should be included as a relevant other in networks of leader-stakeholder relationships. The latter can link stakeholder theory in general (Freeman et al. 2010) and stakeholder legitimacy in particular (e.g., Mitchell et al. 1997) to leadership theory. Research in the former stream can highlight the complexity of responsible leadership, its quality, and underlying sense-making processes.</w:t>
      </w:r>
    </w:p>
    <w:p w14:paraId="020A331A" w14:textId="14EA93E0" w:rsidR="002C1D91" w:rsidRPr="002C1D91" w:rsidRDefault="004A5A68" w:rsidP="002C1D91">
      <w:pPr>
        <w:spacing w:line="360" w:lineRule="auto"/>
        <w:rPr>
          <w:rFonts w:ascii="Arial" w:hAnsi="Arial" w:cs="Arial"/>
          <w:sz w:val="24"/>
          <w:szCs w:val="24"/>
        </w:rPr>
      </w:pPr>
      <w:r w:rsidRPr="004A5A68">
        <w:rPr>
          <w:rFonts w:ascii="Arial" w:hAnsi="Arial" w:cs="Arial"/>
          <w:sz w:val="24"/>
          <w:szCs w:val="24"/>
        </w:rPr>
        <w:t>Economic versus stakeholder differentiation by Waldman and Galvin (</w:t>
      </w:r>
      <w:r w:rsidR="00FC5F22" w:rsidRPr="004A5A68">
        <w:rPr>
          <w:rFonts w:ascii="Arial" w:hAnsi="Arial" w:cs="Arial"/>
          <w:sz w:val="24"/>
          <w:szCs w:val="24"/>
        </w:rPr>
        <w:t>2008)</w:t>
      </w:r>
      <w:r w:rsidR="00FC5F22" w:rsidRPr="002C1D91">
        <w:rPr>
          <w:rFonts w:ascii="Arial" w:hAnsi="Arial" w:cs="Arial"/>
          <w:sz w:val="24"/>
          <w:szCs w:val="24"/>
        </w:rPr>
        <w:t xml:space="preserve"> Rather</w:t>
      </w:r>
      <w:r w:rsidR="002C1D91" w:rsidRPr="002C1D91">
        <w:rPr>
          <w:rFonts w:ascii="Arial" w:hAnsi="Arial" w:cs="Arial"/>
          <w:sz w:val="24"/>
          <w:szCs w:val="24"/>
        </w:rPr>
        <w:t xml:space="preserve"> than presenting a single-focused, in-depth discussion that would be outside the scope of this article, we provide orientations that aid us in navigating a subject that is becoming more and more diverse.</w:t>
      </w:r>
    </w:p>
    <w:p w14:paraId="5C572E61" w14:textId="77777777" w:rsidR="002C1D91" w:rsidRPr="002C1D91" w:rsidRDefault="002C1D91" w:rsidP="002C1D91">
      <w:pPr>
        <w:spacing w:line="360" w:lineRule="auto"/>
        <w:rPr>
          <w:rFonts w:ascii="Arial" w:hAnsi="Arial" w:cs="Arial"/>
          <w:sz w:val="24"/>
          <w:szCs w:val="24"/>
        </w:rPr>
      </w:pPr>
      <w:r w:rsidRPr="002C1D91">
        <w:rPr>
          <w:rFonts w:ascii="Arial" w:hAnsi="Arial" w:cs="Arial"/>
          <w:sz w:val="24"/>
          <w:szCs w:val="24"/>
        </w:rPr>
        <w:t>Theory of Stakeholders and Responsive Leadership</w:t>
      </w:r>
    </w:p>
    <w:p w14:paraId="3302839A" w14:textId="3F7880F4" w:rsidR="00885114" w:rsidRPr="00D040E7" w:rsidRDefault="002C1D91" w:rsidP="002C1D91">
      <w:pPr>
        <w:spacing w:line="360" w:lineRule="auto"/>
        <w:rPr>
          <w:rFonts w:ascii="Arial" w:hAnsi="Arial" w:cs="Arial"/>
          <w:sz w:val="24"/>
          <w:szCs w:val="24"/>
        </w:rPr>
      </w:pPr>
      <w:r w:rsidRPr="002C1D91">
        <w:rPr>
          <w:rFonts w:ascii="Arial" w:hAnsi="Arial" w:cs="Arial"/>
          <w:sz w:val="24"/>
          <w:szCs w:val="24"/>
        </w:rPr>
        <w:t xml:space="preserve">To the best of our knowledge, no one has made an attempt to create a theory of stakeholder leadership, despite Bass and Steidlmeier's (1999, p. 200) recommendation to address "leadership in the context of contemporary stakeholder theory." Schneider (2002) is the only exception. We contend that responsible leadership and stakeholder theory are not only inseparably related, but that responsible leadership offers a compelling angle on how to link leadership to stakeholder theory. Responsible leadership concentrates on the duties that leaders have in respect to various stakeholder groups by making leader-stakeholder relationships the centre of emphasis. </w:t>
      </w:r>
    </w:p>
    <w:p w14:paraId="2F1561F9" w14:textId="77777777" w:rsidR="001F3213" w:rsidRPr="001F3213" w:rsidRDefault="001F3213" w:rsidP="001F3213">
      <w:pPr>
        <w:spacing w:line="360" w:lineRule="auto"/>
        <w:rPr>
          <w:rFonts w:ascii="Arial" w:hAnsi="Arial" w:cs="Arial"/>
          <w:sz w:val="24"/>
          <w:szCs w:val="24"/>
        </w:rPr>
      </w:pPr>
      <w:r w:rsidRPr="001F3213">
        <w:rPr>
          <w:rFonts w:ascii="Arial" w:hAnsi="Arial" w:cs="Arial"/>
          <w:sz w:val="24"/>
          <w:szCs w:val="24"/>
        </w:rPr>
        <w:t>Consider whether their own emotions and values are sufficient and evaluate them in light of regional demands, general norms, and hypernorms (Donaldson and Dunfee 1999). Furthermore, ethical traits are more than just helpful psychological resources because they represent a structural component of study on responsible leadership.</w:t>
      </w:r>
    </w:p>
    <w:p w14:paraId="625C5935" w14:textId="77777777" w:rsidR="001F3213" w:rsidRPr="001F3213" w:rsidRDefault="001F3213" w:rsidP="001F3213">
      <w:pPr>
        <w:spacing w:line="360" w:lineRule="auto"/>
        <w:rPr>
          <w:rFonts w:ascii="Arial" w:hAnsi="Arial" w:cs="Arial"/>
          <w:sz w:val="24"/>
          <w:szCs w:val="24"/>
        </w:rPr>
      </w:pPr>
      <w:r w:rsidRPr="001F3213">
        <w:rPr>
          <w:rFonts w:ascii="Arial" w:hAnsi="Arial" w:cs="Arial"/>
          <w:sz w:val="24"/>
          <w:szCs w:val="24"/>
        </w:rPr>
        <w:lastRenderedPageBreak/>
        <w:t>Responsible leadership must also possess moral awareness, ethical contemplation, the capacity to use moral imagination to resolve conflicts (Werhane 1999), as well as moral deliberation and decision-making abilities.</w:t>
      </w:r>
    </w:p>
    <w:p w14:paraId="010E1490" w14:textId="0BD73899" w:rsidR="00885114" w:rsidRPr="00D040E7" w:rsidRDefault="001F3213" w:rsidP="001F3213">
      <w:pPr>
        <w:spacing w:line="360" w:lineRule="auto"/>
        <w:rPr>
          <w:rFonts w:ascii="Arial" w:hAnsi="Arial" w:cs="Arial"/>
          <w:sz w:val="24"/>
          <w:szCs w:val="24"/>
        </w:rPr>
      </w:pPr>
      <w:r w:rsidRPr="001F3213">
        <w:rPr>
          <w:rFonts w:ascii="Arial" w:hAnsi="Arial" w:cs="Arial"/>
          <w:sz w:val="24"/>
          <w:szCs w:val="24"/>
        </w:rPr>
        <w:t>The organisational effects of leadership are taken into consideration by both responsible and authentic leadership philosophies. According to Avolio and Gardner (2005), Avolio et al. (2004), and Luthans and Avolio (2003), authentic leadership can have good organisational consequences through fostering sustained employee engagement.</w:t>
      </w:r>
    </w:p>
    <w:p w14:paraId="42BACB49" w14:textId="77777777" w:rsidR="00A86FB4" w:rsidRPr="00A86FB4" w:rsidRDefault="00A86FB4" w:rsidP="00A86FB4">
      <w:pPr>
        <w:pStyle w:val="Heading2"/>
        <w:rPr>
          <w:rFonts w:ascii="Arial" w:hAnsi="Arial" w:cs="Arial"/>
          <w:sz w:val="24"/>
        </w:rPr>
      </w:pPr>
      <w:bookmarkStart w:id="3" w:name="_Toc456901517"/>
      <w:r w:rsidRPr="00A86FB4">
        <w:rPr>
          <w:rFonts w:ascii="Arial" w:hAnsi="Arial" w:cs="Arial"/>
          <w:sz w:val="24"/>
        </w:rPr>
        <w:t>References</w:t>
      </w:r>
    </w:p>
    <w:p w14:paraId="1315749B" w14:textId="77777777" w:rsidR="00A86FB4" w:rsidRPr="00A86FB4" w:rsidRDefault="00A86FB4" w:rsidP="00A86FB4">
      <w:pPr>
        <w:pStyle w:val="Heading2"/>
        <w:rPr>
          <w:rFonts w:ascii="Arial" w:hAnsi="Arial" w:cs="Arial"/>
          <w:sz w:val="24"/>
        </w:rPr>
      </w:pPr>
      <w:r w:rsidRPr="00A86FB4">
        <w:rPr>
          <w:rFonts w:ascii="Arial" w:hAnsi="Arial" w:cs="Arial"/>
          <w:sz w:val="24"/>
        </w:rPr>
        <w:t>(2005). Avolio, B. J., and Gardner, W. L. Finding the source of effective leadership practises is the goal of authentic leadership development.</w:t>
      </w:r>
    </w:p>
    <w:p w14:paraId="392723EB" w14:textId="77777777" w:rsidR="00A86FB4" w:rsidRPr="00A86FB4" w:rsidRDefault="00A86FB4" w:rsidP="00A86FB4">
      <w:pPr>
        <w:pStyle w:val="Heading2"/>
        <w:rPr>
          <w:rFonts w:ascii="Arial" w:hAnsi="Arial" w:cs="Arial"/>
          <w:sz w:val="24"/>
        </w:rPr>
      </w:pPr>
      <w:r w:rsidRPr="00A86FB4">
        <w:rPr>
          <w:rFonts w:ascii="Arial" w:hAnsi="Arial" w:cs="Arial"/>
          <w:sz w:val="24"/>
        </w:rPr>
        <w:t>16, 315-338, The Leadership Quarterly.</w:t>
      </w:r>
    </w:p>
    <w:p w14:paraId="2D99BE65" w14:textId="77777777" w:rsidR="00A86FB4" w:rsidRPr="00A86FB4" w:rsidRDefault="00A86FB4" w:rsidP="00A86FB4">
      <w:pPr>
        <w:pStyle w:val="Heading2"/>
        <w:rPr>
          <w:rFonts w:ascii="Arial" w:hAnsi="Arial" w:cs="Arial"/>
          <w:sz w:val="24"/>
        </w:rPr>
      </w:pPr>
      <w:r w:rsidRPr="00A86FB4">
        <w:rPr>
          <w:rFonts w:ascii="Arial" w:hAnsi="Arial" w:cs="Arial"/>
          <w:sz w:val="24"/>
        </w:rPr>
        <w:t>(2005). Avolio, B. J., Gardner, W. L., and Walumbwa (Eds.).</w:t>
      </w:r>
    </w:p>
    <w:p w14:paraId="7E2A023A" w14:textId="77777777" w:rsidR="00A86FB4" w:rsidRPr="00A86FB4" w:rsidRDefault="00A86FB4" w:rsidP="00A86FB4">
      <w:pPr>
        <w:pStyle w:val="Heading2"/>
        <w:rPr>
          <w:rFonts w:ascii="Arial" w:hAnsi="Arial" w:cs="Arial"/>
          <w:sz w:val="24"/>
        </w:rPr>
      </w:pPr>
      <w:r w:rsidRPr="00A86FB4">
        <w:rPr>
          <w:rFonts w:ascii="Arial" w:hAnsi="Arial" w:cs="Arial"/>
          <w:sz w:val="24"/>
        </w:rPr>
        <w:t>Authentic leadership theory and practise: Origins, effects, and development, introduction. Emerald Bingley.</w:t>
      </w:r>
    </w:p>
    <w:p w14:paraId="2CA46D99" w14:textId="77777777" w:rsidR="00A86FB4" w:rsidRPr="00A86FB4" w:rsidRDefault="00A86FB4" w:rsidP="00A86FB4">
      <w:pPr>
        <w:pStyle w:val="Heading2"/>
        <w:rPr>
          <w:rFonts w:ascii="Arial" w:hAnsi="Arial" w:cs="Arial"/>
          <w:sz w:val="24"/>
        </w:rPr>
      </w:pPr>
      <w:r w:rsidRPr="00A86FB4">
        <w:rPr>
          <w:rFonts w:ascii="Arial" w:hAnsi="Arial" w:cs="Arial"/>
          <w:sz w:val="24"/>
        </w:rPr>
        <w:t>Walumbwa, F. O., Luthans, F., &amp; May, D. R. (2004). Avolio, B. J., Gardner, W. L., &amp; May. Unlocking the Mask: A look at how real leaders influence the attitudes and actions of their followers.</w:t>
      </w:r>
    </w:p>
    <w:p w14:paraId="3B0D4A3E" w14:textId="77777777" w:rsidR="00A86FB4" w:rsidRPr="00A86FB4" w:rsidRDefault="00A86FB4" w:rsidP="00A86FB4">
      <w:pPr>
        <w:pStyle w:val="Heading2"/>
        <w:rPr>
          <w:rFonts w:ascii="Arial" w:hAnsi="Arial" w:cs="Arial"/>
          <w:sz w:val="24"/>
        </w:rPr>
      </w:pPr>
      <w:r w:rsidRPr="00A86FB4">
        <w:rPr>
          <w:rFonts w:ascii="Arial" w:hAnsi="Arial" w:cs="Arial"/>
          <w:sz w:val="24"/>
        </w:rPr>
        <w:t>15, 801-823, The Leadership Quarterly.</w:t>
      </w:r>
    </w:p>
    <w:p w14:paraId="07E60731" w14:textId="77777777" w:rsidR="00A86FB4" w:rsidRPr="00A86FB4" w:rsidRDefault="00A86FB4" w:rsidP="00A86FB4">
      <w:pPr>
        <w:pStyle w:val="Heading2"/>
        <w:rPr>
          <w:rFonts w:ascii="Arial" w:hAnsi="Arial" w:cs="Arial"/>
          <w:sz w:val="24"/>
        </w:rPr>
      </w:pPr>
      <w:r w:rsidRPr="00A86FB4">
        <w:rPr>
          <w:rFonts w:ascii="Arial" w:hAnsi="Arial" w:cs="Arial"/>
          <w:sz w:val="24"/>
        </w:rPr>
        <w:t>(1991). Avolio, Waldman, and Yammarino. The four l's of transformative leadership: Leading in the 1990s. European Industrial Training Journal, 15, 9–16.</w:t>
      </w:r>
    </w:p>
    <w:p w14:paraId="3B287F4F" w14:textId="28688E9E" w:rsidR="00885114" w:rsidRPr="00D040E7" w:rsidRDefault="00A86FB4" w:rsidP="00A86FB4">
      <w:pPr>
        <w:pStyle w:val="Heading2"/>
        <w:rPr>
          <w:rFonts w:ascii="Arial" w:hAnsi="Arial" w:cs="Arial"/>
          <w:sz w:val="24"/>
        </w:rPr>
      </w:pPr>
      <w:r w:rsidRPr="00A86FB4">
        <w:rPr>
          <w:rFonts w:ascii="Arial" w:hAnsi="Arial" w:cs="Arial"/>
          <w:sz w:val="24"/>
        </w:rPr>
        <w:t>B. M. Bass (1985). performance and leadership above and beyond expectations. City of New York:</w:t>
      </w:r>
    </w:p>
    <w:p w14:paraId="2D7EE346" w14:textId="3C907A44" w:rsidR="0030173B" w:rsidRPr="00D040E7" w:rsidRDefault="0030173B" w:rsidP="0030173B"/>
    <w:p w14:paraId="0DAF5E45" w14:textId="520E22AA" w:rsidR="0030173B" w:rsidRPr="00D040E7" w:rsidRDefault="0030173B" w:rsidP="0030173B"/>
    <w:p w14:paraId="0354B88A" w14:textId="77777777" w:rsidR="0030173B" w:rsidRPr="00D040E7" w:rsidRDefault="0030173B" w:rsidP="0030173B"/>
    <w:p w14:paraId="6A57A2E4" w14:textId="08BE7A0A" w:rsidR="00D67E1F" w:rsidRDefault="002049FE" w:rsidP="002049FE">
      <w:pPr>
        <w:pStyle w:val="Heading2"/>
        <w:rPr>
          <w:lang w:val="fr-FR"/>
        </w:rPr>
      </w:pPr>
      <w:bookmarkStart w:id="4" w:name="_Toc511311655"/>
      <w:bookmarkEnd w:id="3"/>
      <w:r w:rsidRPr="00AA6973">
        <w:rPr>
          <w:lang w:val="fr-FR"/>
        </w:rPr>
        <w:t>Section 2</w:t>
      </w:r>
      <w:bookmarkEnd w:id="4"/>
      <w:r w:rsidR="00A34BBB">
        <w:rPr>
          <w:lang w:val="fr-FR"/>
        </w:rPr>
        <w:t xml:space="preserve"> </w:t>
      </w:r>
    </w:p>
    <w:p w14:paraId="0DD8BB71" w14:textId="1FC55BFA" w:rsidR="00A34BBB" w:rsidRPr="004B309F" w:rsidRDefault="00A34BBB" w:rsidP="00A34BBB">
      <w:pPr>
        <w:rPr>
          <w:sz w:val="28"/>
          <w:szCs w:val="28"/>
        </w:rPr>
      </w:pPr>
      <w:r w:rsidRPr="004B309F">
        <w:rPr>
          <w:sz w:val="28"/>
          <w:szCs w:val="28"/>
        </w:rPr>
        <w:t xml:space="preserve">Diversity leading a global </w:t>
      </w:r>
      <w:r w:rsidR="004B309F" w:rsidRPr="004B309F">
        <w:rPr>
          <w:sz w:val="28"/>
          <w:szCs w:val="28"/>
        </w:rPr>
        <w:t>team.</w:t>
      </w:r>
    </w:p>
    <w:p w14:paraId="7826A028" w14:textId="425D24AD" w:rsidR="007B7078" w:rsidRPr="007B7078" w:rsidRDefault="00E9395D" w:rsidP="007B7078">
      <w:pPr>
        <w:spacing w:line="360" w:lineRule="auto"/>
        <w:rPr>
          <w:rFonts w:ascii="Arial" w:hAnsi="Arial" w:cs="Arial"/>
          <w:sz w:val="24"/>
          <w:szCs w:val="24"/>
        </w:rPr>
      </w:pPr>
      <w:r w:rsidRPr="00E9395D">
        <w:rPr>
          <w:rFonts w:ascii="Arial" w:hAnsi="Arial" w:cs="Arial"/>
          <w:sz w:val="24"/>
          <w:szCs w:val="24"/>
        </w:rPr>
        <w:t xml:space="preserve">Our "Diversity Matters" research examined the link between firm financial performance (measured as average EBIT 2010–2013) and the degree of diversity (defined as a higher share of women and a more diversified ethnic/racial composition in the leadership of large enterprises). The research is based on financial information and leadership demographics that were gathered for this purpose from thousands of CEOs in the United States, the United Kingdom, Canada, and Latin America. </w:t>
      </w:r>
      <w:r w:rsidRPr="00A34BBB">
        <w:rPr>
          <w:rFonts w:ascii="Arial" w:hAnsi="Arial" w:cs="Arial"/>
          <w:sz w:val="24"/>
          <w:szCs w:val="24"/>
        </w:rPr>
        <w:t xml:space="preserve">The analysis is </w:t>
      </w:r>
      <w:r w:rsidRPr="00A34BBB">
        <w:rPr>
          <w:rFonts w:ascii="Arial" w:hAnsi="Arial" w:cs="Arial"/>
          <w:sz w:val="24"/>
          <w:szCs w:val="24"/>
        </w:rPr>
        <w:lastRenderedPageBreak/>
        <w:t>the first that we are aware of that calculates the value of the relationship between diversity and performance in terms of enhanced profitability, and the quantity of the dataset enables statistically meaningful conclusions.</w:t>
      </w:r>
    </w:p>
    <w:p w14:paraId="3F110435" w14:textId="427242EC" w:rsidR="003F69D6" w:rsidRDefault="007B7078" w:rsidP="007B7078">
      <w:pPr>
        <w:spacing w:line="360" w:lineRule="auto"/>
        <w:rPr>
          <w:rFonts w:ascii="Arial" w:hAnsi="Arial" w:cs="Arial"/>
          <w:sz w:val="24"/>
          <w:szCs w:val="24"/>
        </w:rPr>
      </w:pPr>
      <w:r w:rsidRPr="007B7078">
        <w:rPr>
          <w:rFonts w:ascii="Arial" w:hAnsi="Arial" w:cs="Arial"/>
          <w:sz w:val="24"/>
          <w:szCs w:val="24"/>
        </w:rPr>
        <w:t>An examination of the information from the 366 organisations' data found a statistically significant link between diversity and financial success. Companies in the top quartile for racial/ethnic diversity were 35 percent more likely to have financial returns above their national industry median and 15 percent more likely to have financial returns above their national industry median (Exhibit 1). This association does not establish causation—that increased racial and gender diversity in corporate leadership inevitably results in higher profits—but rather shows that businesses that support diverse leadership are more profitable. Statistics show that there is a link, and it has continuously been present i</w:t>
      </w:r>
      <w:r w:rsidR="00CC3F06">
        <w:rPr>
          <w:rFonts w:ascii="Arial" w:hAnsi="Arial" w:cs="Arial"/>
          <w:sz w:val="24"/>
          <w:szCs w:val="24"/>
        </w:rPr>
        <w:t>n</w:t>
      </w:r>
    </w:p>
    <w:p w14:paraId="6A4EAE68" w14:textId="2581323D" w:rsidR="00CC3F06" w:rsidRPr="00A34BBB" w:rsidRDefault="00ED5696" w:rsidP="007B7078">
      <w:pPr>
        <w:spacing w:line="360" w:lineRule="auto"/>
        <w:rPr>
          <w:rFonts w:ascii="Arial" w:hAnsi="Arial" w:cs="Arial"/>
          <w:sz w:val="24"/>
          <w:szCs w:val="24"/>
        </w:rPr>
      </w:pPr>
      <w:r>
        <w:t xml:space="preserve">How </w:t>
      </w:r>
      <w:r w:rsidR="004F468F">
        <w:t>div</w:t>
      </w:r>
      <w:r w:rsidR="00D24639">
        <w:t>ersity</w:t>
      </w:r>
      <w:r>
        <w:t xml:space="preserve"> </w:t>
      </w:r>
      <w:r w:rsidR="00CC3F06">
        <w:t>correlates with better financial performance</w:t>
      </w:r>
      <w:r w:rsidR="00D24639">
        <w:t>.</w:t>
      </w:r>
    </w:p>
    <w:p w14:paraId="16DA9D71" w14:textId="3200F100" w:rsidR="00D2291D" w:rsidRPr="00A34BBB" w:rsidRDefault="009A6819" w:rsidP="00D2291D">
      <w:pPr>
        <w:spacing w:line="360" w:lineRule="auto"/>
        <w:rPr>
          <w:rFonts w:ascii="Arial" w:hAnsi="Arial" w:cs="Arial"/>
          <w:sz w:val="24"/>
          <w:szCs w:val="24"/>
        </w:rPr>
      </w:pPr>
      <w:r w:rsidRPr="009A6819">
        <w:rPr>
          <w:rFonts w:ascii="Arial" w:hAnsi="Arial" w:cs="Arial"/>
          <w:sz w:val="24"/>
          <w:szCs w:val="24"/>
        </w:rPr>
        <w:drawing>
          <wp:inline distT="0" distB="0" distL="0" distR="0" wp14:anchorId="692A5E25" wp14:editId="196AA6C8">
            <wp:extent cx="3257550" cy="3657600"/>
            <wp:effectExtent l="0" t="0" r="0" b="0"/>
            <wp:docPr id="1049015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15950" name=""/>
                    <pic:cNvPicPr/>
                  </pic:nvPicPr>
                  <pic:blipFill>
                    <a:blip r:embed="rId12"/>
                    <a:stretch>
                      <a:fillRect/>
                    </a:stretch>
                  </pic:blipFill>
                  <pic:spPr>
                    <a:xfrm>
                      <a:off x="0" y="0"/>
                      <a:ext cx="3257550" cy="3657600"/>
                    </a:xfrm>
                    <a:prstGeom prst="rect">
                      <a:avLst/>
                    </a:prstGeom>
                  </pic:spPr>
                </pic:pic>
              </a:graphicData>
            </a:graphic>
          </wp:inline>
        </w:drawing>
      </w:r>
    </w:p>
    <w:p w14:paraId="2A84D851" w14:textId="10F71805" w:rsidR="0030173B" w:rsidRPr="00A34BBB" w:rsidRDefault="0030173B" w:rsidP="00D2291D">
      <w:pPr>
        <w:spacing w:line="360" w:lineRule="auto"/>
        <w:rPr>
          <w:rFonts w:ascii="Arial" w:hAnsi="Arial" w:cs="Arial"/>
          <w:sz w:val="24"/>
          <w:szCs w:val="24"/>
        </w:rPr>
      </w:pPr>
    </w:p>
    <w:p w14:paraId="726126A5" w14:textId="2F962866" w:rsidR="0030173B" w:rsidRDefault="002C2D79" w:rsidP="00D2291D">
      <w:pPr>
        <w:spacing w:line="360" w:lineRule="auto"/>
      </w:pPr>
      <w:r>
        <w:lastRenderedPageBreak/>
        <w:t xml:space="preserve">ASPECTS OF THE DIVERSITY–PERFORMANCE RELATIONSHIP The analysis of the data revealed a positive relationship between financial performance and greater diversity in leadership. The strength and significance of that relationship varied by type of diversity (gender or ethnicity), country, and </w:t>
      </w:r>
      <w:r w:rsidR="00FC5F22">
        <w:t>industry.</w:t>
      </w:r>
    </w:p>
    <w:p w14:paraId="43AECA65" w14:textId="77777777" w:rsidR="0019088A" w:rsidRDefault="0019088A" w:rsidP="00D2291D">
      <w:pPr>
        <w:spacing w:line="360" w:lineRule="auto"/>
      </w:pPr>
    </w:p>
    <w:p w14:paraId="7F5D6CBB" w14:textId="080E9CE4" w:rsidR="0019088A" w:rsidRPr="00A34BBB" w:rsidRDefault="0019088A" w:rsidP="00D2291D">
      <w:pPr>
        <w:spacing w:line="360" w:lineRule="auto"/>
        <w:rPr>
          <w:rFonts w:ascii="Arial" w:hAnsi="Arial" w:cs="Arial"/>
          <w:sz w:val="24"/>
          <w:szCs w:val="24"/>
        </w:rPr>
      </w:pPr>
      <w:r w:rsidRPr="0019088A">
        <w:rPr>
          <w:rFonts w:ascii="Arial" w:hAnsi="Arial" w:cs="Arial"/>
          <w:sz w:val="24"/>
          <w:szCs w:val="24"/>
        </w:rPr>
        <w:drawing>
          <wp:inline distT="0" distB="0" distL="0" distR="0" wp14:anchorId="33A58A74" wp14:editId="6F866B8C">
            <wp:extent cx="3286125" cy="2343150"/>
            <wp:effectExtent l="0" t="0" r="9525" b="0"/>
            <wp:docPr id="737438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38328" name=""/>
                    <pic:cNvPicPr/>
                  </pic:nvPicPr>
                  <pic:blipFill>
                    <a:blip r:embed="rId13"/>
                    <a:stretch>
                      <a:fillRect/>
                    </a:stretch>
                  </pic:blipFill>
                  <pic:spPr>
                    <a:xfrm>
                      <a:off x="0" y="0"/>
                      <a:ext cx="3286125" cy="2343150"/>
                    </a:xfrm>
                    <a:prstGeom prst="rect">
                      <a:avLst/>
                    </a:prstGeom>
                  </pic:spPr>
                </pic:pic>
              </a:graphicData>
            </a:graphic>
          </wp:inline>
        </w:drawing>
      </w:r>
    </w:p>
    <w:p w14:paraId="60692091" w14:textId="77777777" w:rsidR="00AE6ED9" w:rsidRPr="00AE6ED9" w:rsidRDefault="00AE6ED9" w:rsidP="00AE6ED9">
      <w:pPr>
        <w:spacing w:line="360" w:lineRule="auto"/>
        <w:rPr>
          <w:rFonts w:ascii="Arial" w:hAnsi="Arial" w:cs="Arial"/>
          <w:sz w:val="24"/>
          <w:szCs w:val="24"/>
        </w:rPr>
      </w:pPr>
      <w:r w:rsidRPr="00AE6ED9">
        <w:rPr>
          <w:rFonts w:ascii="Arial" w:hAnsi="Arial" w:cs="Arial"/>
          <w:sz w:val="24"/>
          <w:szCs w:val="24"/>
        </w:rPr>
        <w:t xml:space="preserve">Variations in gender and ethnic diversity </w:t>
      </w:r>
    </w:p>
    <w:p w14:paraId="3C13405B" w14:textId="77777777" w:rsidR="00AE6ED9" w:rsidRPr="00AE6ED9" w:rsidRDefault="00AE6ED9" w:rsidP="00AE6ED9">
      <w:pPr>
        <w:spacing w:line="360" w:lineRule="auto"/>
        <w:rPr>
          <w:rFonts w:ascii="Arial" w:hAnsi="Arial" w:cs="Arial"/>
          <w:sz w:val="24"/>
          <w:szCs w:val="24"/>
        </w:rPr>
      </w:pPr>
      <w:r w:rsidRPr="00AE6ED9">
        <w:rPr>
          <w:rFonts w:ascii="Arial" w:hAnsi="Arial" w:cs="Arial"/>
          <w:sz w:val="24"/>
          <w:szCs w:val="24"/>
        </w:rPr>
        <w:t xml:space="preserve">Many intriguing, counterintuitive conclusions emerged upon closer examination of the analysis. Companies have worked to boost the proportion of women on executive teams and boards, for instance, in the United States in recent years. Although there has been quantifiable progress, there is still a lack of representation (Exhibit 4). </w:t>
      </w:r>
    </w:p>
    <w:p w14:paraId="4998A931" w14:textId="77777777" w:rsidR="00AE6ED9" w:rsidRPr="00AE6ED9" w:rsidRDefault="00AE6ED9" w:rsidP="00AE6ED9">
      <w:pPr>
        <w:spacing w:line="360" w:lineRule="auto"/>
        <w:rPr>
          <w:rFonts w:ascii="Arial" w:hAnsi="Arial" w:cs="Arial"/>
          <w:sz w:val="24"/>
          <w:szCs w:val="24"/>
        </w:rPr>
      </w:pPr>
      <w:r w:rsidRPr="00AE6ED9">
        <w:rPr>
          <w:rFonts w:ascii="Arial" w:hAnsi="Arial" w:cs="Arial"/>
          <w:sz w:val="24"/>
          <w:szCs w:val="24"/>
        </w:rPr>
        <w:t xml:space="preserve">The data also seems to indicate that achieving racial and ethnic diversity has received less focus. By using this metric, it becomes clear that US corporations would need to put up significant effort to establish a diverse leadership that represents the demographic makeup of the nation's labour force and population (Exhibit 5). </w:t>
      </w:r>
    </w:p>
    <w:p w14:paraId="0C57A8FC" w14:textId="009F973E" w:rsidR="0030173B" w:rsidRDefault="00AE6ED9" w:rsidP="00AE6ED9">
      <w:pPr>
        <w:spacing w:line="360" w:lineRule="auto"/>
        <w:rPr>
          <w:rFonts w:ascii="Arial" w:hAnsi="Arial" w:cs="Arial"/>
          <w:sz w:val="24"/>
          <w:szCs w:val="24"/>
        </w:rPr>
      </w:pPr>
      <w:r w:rsidRPr="00AE6ED9">
        <w:rPr>
          <w:rFonts w:ascii="Arial" w:hAnsi="Arial" w:cs="Arial"/>
          <w:sz w:val="24"/>
          <w:szCs w:val="24"/>
        </w:rPr>
        <w:t>Interestingly, the US dataset reveals no statistically significant link between gender diversity and performance.</w:t>
      </w:r>
    </w:p>
    <w:p w14:paraId="146FAA4C" w14:textId="053D526E" w:rsidR="00911ECC" w:rsidRDefault="00113AD7" w:rsidP="00AE6ED9">
      <w:pPr>
        <w:spacing w:line="360" w:lineRule="auto"/>
        <w:rPr>
          <w:rFonts w:ascii="Arial" w:hAnsi="Arial" w:cs="Arial"/>
          <w:sz w:val="24"/>
          <w:szCs w:val="24"/>
        </w:rPr>
      </w:pPr>
      <w:r w:rsidRPr="00113AD7">
        <w:rPr>
          <w:rFonts w:ascii="Arial" w:hAnsi="Arial" w:cs="Arial"/>
          <w:sz w:val="24"/>
          <w:szCs w:val="24"/>
        </w:rPr>
        <w:lastRenderedPageBreak/>
        <w:drawing>
          <wp:inline distT="0" distB="0" distL="0" distR="0" wp14:anchorId="1C9002CE" wp14:editId="1B142C09">
            <wp:extent cx="5562600" cy="4095750"/>
            <wp:effectExtent l="0" t="9525" r="9525" b="9525"/>
            <wp:docPr id="33938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384829" name=""/>
                    <pic:cNvPicPr/>
                  </pic:nvPicPr>
                  <pic:blipFill>
                    <a:blip r:embed="rId14"/>
                    <a:stretch>
                      <a:fillRect/>
                    </a:stretch>
                  </pic:blipFill>
                  <pic:spPr>
                    <a:xfrm rot="16200000">
                      <a:off x="0" y="0"/>
                      <a:ext cx="5562600" cy="4095750"/>
                    </a:xfrm>
                    <a:prstGeom prst="rect">
                      <a:avLst/>
                    </a:prstGeom>
                  </pic:spPr>
                </pic:pic>
              </a:graphicData>
            </a:graphic>
          </wp:inline>
        </w:drawing>
      </w:r>
    </w:p>
    <w:p w14:paraId="218EFE42" w14:textId="77777777" w:rsidR="0045638E" w:rsidRPr="0045638E" w:rsidRDefault="0045638E" w:rsidP="0045638E">
      <w:pPr>
        <w:spacing w:line="360" w:lineRule="auto"/>
        <w:rPr>
          <w:rFonts w:ascii="Arial" w:hAnsi="Arial" w:cs="Arial"/>
          <w:sz w:val="24"/>
          <w:szCs w:val="24"/>
        </w:rPr>
      </w:pPr>
      <w:r w:rsidRPr="0045638E">
        <w:rPr>
          <w:rFonts w:ascii="Arial" w:hAnsi="Arial" w:cs="Arial"/>
          <w:sz w:val="24"/>
          <w:szCs w:val="24"/>
        </w:rPr>
        <w:t xml:space="preserve">Why do businesses with greater diversity perform better? </w:t>
      </w:r>
    </w:p>
    <w:p w14:paraId="05BCF4AF" w14:textId="77777777" w:rsidR="0045638E" w:rsidRPr="0045638E" w:rsidRDefault="0045638E" w:rsidP="0045638E">
      <w:pPr>
        <w:spacing w:line="360" w:lineRule="auto"/>
        <w:rPr>
          <w:rFonts w:ascii="Arial" w:hAnsi="Arial" w:cs="Arial"/>
          <w:sz w:val="24"/>
          <w:szCs w:val="24"/>
        </w:rPr>
      </w:pPr>
      <w:r w:rsidRPr="0045638E">
        <w:rPr>
          <w:rFonts w:ascii="Arial" w:hAnsi="Arial" w:cs="Arial"/>
          <w:sz w:val="24"/>
          <w:szCs w:val="24"/>
        </w:rPr>
        <w:t xml:space="preserve">More diverse companies perform better, according to the Diversity Matters study, but the statistics could not explain why. It was important to look at additional data, such as diverse study from McKinsey, to understand causation. This information makes it possible to construct logical assumptions about what motivates diverse executive teams and boards of directors to perform better. The benefits of hiring top personnel, a stronger focus on the needs of customers, more employee happiness, and enhanced decision-making were the most significant drivers found. </w:t>
      </w:r>
    </w:p>
    <w:p w14:paraId="3D0394B9" w14:textId="789E08CD" w:rsidR="0045638E" w:rsidRPr="0045638E" w:rsidRDefault="0045638E" w:rsidP="0045638E">
      <w:pPr>
        <w:spacing w:line="360" w:lineRule="auto"/>
        <w:rPr>
          <w:rFonts w:ascii="Arial" w:hAnsi="Arial" w:cs="Arial"/>
          <w:sz w:val="24"/>
          <w:szCs w:val="24"/>
        </w:rPr>
      </w:pPr>
    </w:p>
    <w:p w14:paraId="36961128" w14:textId="59FCD597" w:rsidR="0045638E" w:rsidRPr="00A34BBB" w:rsidRDefault="0045638E" w:rsidP="0045638E">
      <w:pPr>
        <w:spacing w:line="360" w:lineRule="auto"/>
        <w:rPr>
          <w:rFonts w:ascii="Arial" w:hAnsi="Arial" w:cs="Arial"/>
          <w:sz w:val="24"/>
          <w:szCs w:val="24"/>
        </w:rPr>
      </w:pPr>
      <w:r w:rsidRPr="0045638E">
        <w:rPr>
          <w:rFonts w:ascii="Arial" w:hAnsi="Arial" w:cs="Arial"/>
          <w:sz w:val="24"/>
          <w:szCs w:val="24"/>
        </w:rPr>
        <w:t>Numerous important facets of the performance of an organisation are positively impacted by diversity.</w:t>
      </w:r>
    </w:p>
    <w:p w14:paraId="3FA41E5E" w14:textId="0863602C" w:rsidR="0030173B" w:rsidRDefault="00B01C73" w:rsidP="00D2291D">
      <w:pPr>
        <w:spacing w:line="360" w:lineRule="auto"/>
        <w:rPr>
          <w:rFonts w:ascii="Arial" w:hAnsi="Arial" w:cs="Arial"/>
          <w:sz w:val="24"/>
          <w:szCs w:val="24"/>
        </w:rPr>
      </w:pPr>
      <w:r>
        <w:rPr>
          <w:rFonts w:ascii="Arial" w:hAnsi="Arial" w:cs="Arial"/>
          <w:sz w:val="24"/>
          <w:szCs w:val="24"/>
        </w:rPr>
        <w:t>Reference</w:t>
      </w:r>
    </w:p>
    <w:p w14:paraId="2A9ADF0C" w14:textId="77777777" w:rsidR="00541990" w:rsidRPr="00541990" w:rsidRDefault="00541990" w:rsidP="00541990">
      <w:pPr>
        <w:spacing w:line="360" w:lineRule="auto"/>
        <w:rPr>
          <w:rFonts w:ascii="Arial" w:hAnsi="Arial" w:cs="Arial"/>
          <w:sz w:val="24"/>
          <w:szCs w:val="24"/>
        </w:rPr>
      </w:pPr>
      <w:r w:rsidRPr="00541990">
        <w:rPr>
          <w:rFonts w:ascii="Arial" w:hAnsi="Arial" w:cs="Arial"/>
          <w:sz w:val="24"/>
          <w:szCs w:val="24"/>
        </w:rPr>
        <w:t>Hunt, Vivian, Dennis Layton, and Sara Prince. "Diversity matters." McKinsey &amp; Company 1.1 (2015): 15-29.</w:t>
      </w:r>
    </w:p>
    <w:p w14:paraId="126B9F03" w14:textId="77777777" w:rsidR="00541990" w:rsidRPr="00541990" w:rsidRDefault="00541990" w:rsidP="00541990">
      <w:pPr>
        <w:spacing w:line="360" w:lineRule="auto"/>
        <w:rPr>
          <w:rFonts w:ascii="Arial" w:hAnsi="Arial" w:cs="Arial"/>
          <w:sz w:val="24"/>
          <w:szCs w:val="24"/>
        </w:rPr>
      </w:pPr>
      <w:r w:rsidRPr="00541990">
        <w:rPr>
          <w:rFonts w:ascii="Arial" w:hAnsi="Arial" w:cs="Arial"/>
          <w:sz w:val="24"/>
          <w:szCs w:val="24"/>
        </w:rPr>
        <w:t>Hunt, V., Layton, D., &amp; Prince, S. (2015). Diversity matters. McKinsey &amp; Company, 1(1), 15-29.</w:t>
      </w:r>
    </w:p>
    <w:p w14:paraId="45BFECCA" w14:textId="77777777" w:rsidR="00541990" w:rsidRPr="00541990" w:rsidRDefault="00541990" w:rsidP="00541990">
      <w:pPr>
        <w:spacing w:line="360" w:lineRule="auto"/>
        <w:rPr>
          <w:rFonts w:ascii="Arial" w:hAnsi="Arial" w:cs="Arial"/>
          <w:sz w:val="24"/>
          <w:szCs w:val="24"/>
        </w:rPr>
      </w:pPr>
      <w:r w:rsidRPr="00541990">
        <w:rPr>
          <w:rFonts w:ascii="Arial" w:hAnsi="Arial" w:cs="Arial"/>
          <w:sz w:val="24"/>
          <w:szCs w:val="24"/>
        </w:rPr>
        <w:t>Hunt, Vivian, Dennis Layton, and Sara Prince. "Diversity matters." McKinsey &amp; Company 1, no. 1 (2015): 15-29.</w:t>
      </w:r>
    </w:p>
    <w:p w14:paraId="6EEBCBC9" w14:textId="77777777" w:rsidR="00541990" w:rsidRPr="00541990" w:rsidRDefault="00541990" w:rsidP="00541990">
      <w:pPr>
        <w:spacing w:line="360" w:lineRule="auto"/>
        <w:rPr>
          <w:rFonts w:ascii="Arial" w:hAnsi="Arial" w:cs="Arial"/>
          <w:sz w:val="24"/>
          <w:szCs w:val="24"/>
        </w:rPr>
      </w:pPr>
      <w:r w:rsidRPr="00541990">
        <w:rPr>
          <w:rFonts w:ascii="Arial" w:hAnsi="Arial" w:cs="Arial"/>
          <w:sz w:val="24"/>
          <w:szCs w:val="24"/>
        </w:rPr>
        <w:t>Hunt, V., Layton, D. and Prince, S., 2015. Diversity matters. McKinsey &amp; Company, 1(1), pp.15-29.</w:t>
      </w:r>
    </w:p>
    <w:p w14:paraId="7B3EEFD3" w14:textId="66F5C605" w:rsidR="00541990" w:rsidRDefault="00541990" w:rsidP="00541990">
      <w:pPr>
        <w:spacing w:line="360" w:lineRule="auto"/>
        <w:rPr>
          <w:rFonts w:ascii="Arial" w:hAnsi="Arial" w:cs="Arial"/>
          <w:sz w:val="24"/>
          <w:szCs w:val="24"/>
        </w:rPr>
      </w:pPr>
      <w:r w:rsidRPr="00541990">
        <w:rPr>
          <w:rFonts w:ascii="Arial" w:hAnsi="Arial" w:cs="Arial"/>
          <w:sz w:val="24"/>
          <w:szCs w:val="24"/>
        </w:rPr>
        <w:t>Hunt V, Layton D, Prince S. Diversity matters. McKinsey &amp; Company. 2015 Feb 2;1(1):15-29.</w:t>
      </w:r>
    </w:p>
    <w:tbl>
      <w:tblPr>
        <w:tblW w:w="33" w:type="dxa"/>
        <w:shd w:val="clear" w:color="auto" w:fill="FFFFFF"/>
        <w:tblCellMar>
          <w:left w:w="0" w:type="dxa"/>
          <w:right w:w="0" w:type="dxa"/>
        </w:tblCellMar>
        <w:tblLook w:val="04A0" w:firstRow="1" w:lastRow="0" w:firstColumn="1" w:lastColumn="0" w:noHBand="0" w:noVBand="1"/>
      </w:tblPr>
      <w:tblGrid>
        <w:gridCol w:w="33"/>
      </w:tblGrid>
      <w:tr w:rsidR="001A34B9" w:rsidRPr="00F95B24" w14:paraId="25E1271B" w14:textId="77777777" w:rsidTr="001A34B9">
        <w:tc>
          <w:tcPr>
            <w:tcW w:w="0" w:type="auto"/>
            <w:shd w:val="clear" w:color="auto" w:fill="FFFFFF"/>
            <w:tcMar>
              <w:top w:w="120" w:type="dxa"/>
              <w:left w:w="0" w:type="dxa"/>
              <w:bottom w:w="120" w:type="dxa"/>
              <w:right w:w="0" w:type="dxa"/>
            </w:tcMar>
            <w:hideMark/>
          </w:tcPr>
          <w:p w14:paraId="14AC024E" w14:textId="2B6D1F4A" w:rsidR="001A34B9" w:rsidRPr="00F95B24" w:rsidRDefault="001A34B9" w:rsidP="00F95B24">
            <w:pPr>
              <w:spacing w:after="0" w:line="240" w:lineRule="auto"/>
              <w:rPr>
                <w:rFonts w:ascii="Arial" w:eastAsia="Times New Roman" w:hAnsi="Arial" w:cs="Arial"/>
                <w:color w:val="222222"/>
                <w:sz w:val="20"/>
                <w:szCs w:val="20"/>
                <w:lang w:eastAsia="en-GB"/>
              </w:rPr>
            </w:pPr>
          </w:p>
        </w:tc>
      </w:tr>
    </w:tbl>
    <w:p w14:paraId="1B7EC449" w14:textId="77777777" w:rsidR="00F95B24" w:rsidRPr="00A34BBB" w:rsidRDefault="00F95B24" w:rsidP="00D2291D">
      <w:pPr>
        <w:spacing w:line="360" w:lineRule="auto"/>
        <w:rPr>
          <w:rFonts w:ascii="Arial" w:hAnsi="Arial" w:cs="Arial"/>
          <w:sz w:val="24"/>
          <w:szCs w:val="24"/>
        </w:rPr>
      </w:pPr>
    </w:p>
    <w:p w14:paraId="72A7A396" w14:textId="77777777" w:rsidR="0030173B" w:rsidRPr="00A34BBB" w:rsidRDefault="0030173B" w:rsidP="00D2291D">
      <w:pPr>
        <w:spacing w:line="360" w:lineRule="auto"/>
        <w:rPr>
          <w:rFonts w:ascii="Arial" w:hAnsi="Arial" w:cs="Arial"/>
          <w:sz w:val="24"/>
          <w:szCs w:val="24"/>
        </w:rPr>
      </w:pPr>
    </w:p>
    <w:p w14:paraId="5BD6C454" w14:textId="1BE8AA41" w:rsidR="009556EE" w:rsidRPr="00AA6973" w:rsidRDefault="002049FE" w:rsidP="002049FE">
      <w:pPr>
        <w:pStyle w:val="Heading2"/>
        <w:rPr>
          <w:lang w:val="fr-FR"/>
        </w:rPr>
      </w:pPr>
      <w:bookmarkStart w:id="5" w:name="_Toc511311656"/>
      <w:r w:rsidRPr="00AA6973">
        <w:rPr>
          <w:lang w:val="fr-FR"/>
        </w:rPr>
        <w:t>Section 3</w:t>
      </w:r>
      <w:bookmarkEnd w:id="5"/>
    </w:p>
    <w:p w14:paraId="5936A0E8" w14:textId="4E48D865" w:rsidR="009556EE" w:rsidRDefault="00782CA8" w:rsidP="00D2291D">
      <w:pPr>
        <w:spacing w:line="360" w:lineRule="auto"/>
        <w:rPr>
          <w:rFonts w:ascii="Arial" w:hAnsi="Arial" w:cs="Arial"/>
          <w:sz w:val="24"/>
          <w:szCs w:val="24"/>
        </w:rPr>
      </w:pPr>
      <w:r w:rsidRPr="00782CA8">
        <w:rPr>
          <w:rFonts w:ascii="Arial" w:hAnsi="Arial" w:cs="Arial"/>
          <w:sz w:val="24"/>
          <w:szCs w:val="24"/>
        </w:rPr>
        <w:t>Collaborations between academics from high-income and low-income nations on authorship ethics in global health research</w:t>
      </w:r>
    </w:p>
    <w:p w14:paraId="735C2300" w14:textId="77777777" w:rsidR="0068121E" w:rsidRPr="0068121E" w:rsidRDefault="0068121E" w:rsidP="0068121E">
      <w:pPr>
        <w:spacing w:line="360" w:lineRule="auto"/>
        <w:rPr>
          <w:rFonts w:ascii="Arial" w:hAnsi="Arial" w:cs="Arial"/>
          <w:sz w:val="24"/>
          <w:szCs w:val="24"/>
        </w:rPr>
      </w:pPr>
      <w:r w:rsidRPr="0068121E">
        <w:rPr>
          <w:rFonts w:ascii="Arial" w:hAnsi="Arial" w:cs="Arial"/>
          <w:sz w:val="24"/>
          <w:szCs w:val="24"/>
        </w:rPr>
        <w:t>Background: For the past two decades, fostering relationships between academics from high-income and low-income nations has been a significant advancement in the field of global health research. In an ideal world, these alliances would result in more fair cooperation, including the distribution of research duties and rewards. Although programmes for collaborative partnerships have shown promise and are gaining more attention, there hasn't been much scholarly discussion about how authorship credit should be distributed in these partnerships.</w:t>
      </w:r>
    </w:p>
    <w:p w14:paraId="6F59B08B" w14:textId="2183B9F0" w:rsidR="00AB1EF8" w:rsidRDefault="0068121E" w:rsidP="0068121E">
      <w:pPr>
        <w:spacing w:line="360" w:lineRule="auto"/>
        <w:rPr>
          <w:rFonts w:ascii="Arial" w:hAnsi="Arial" w:cs="Arial"/>
          <w:sz w:val="24"/>
          <w:szCs w:val="24"/>
        </w:rPr>
      </w:pPr>
      <w:r w:rsidRPr="0068121E">
        <w:rPr>
          <w:rFonts w:ascii="Arial" w:hAnsi="Arial" w:cs="Arial"/>
          <w:sz w:val="24"/>
          <w:szCs w:val="24"/>
        </w:rPr>
        <w:lastRenderedPageBreak/>
        <w:t>Discussion: In this article, we outline four important authorship concerns that are pertinent to research on global health and talk about the ethical and practical ramifications of each. First, we contend that because authorship guidelines call for authors to write or significantly alter the manuscript, they may not appropriately apply to global health research.</w:t>
      </w:r>
      <w:r w:rsidR="003E7B3A">
        <w:rPr>
          <w:rFonts w:ascii="Arial" w:hAnsi="Arial" w:cs="Arial"/>
          <w:sz w:val="24"/>
          <w:szCs w:val="24"/>
        </w:rPr>
        <w:t xml:space="preserve"> </w:t>
      </w:r>
    </w:p>
    <w:p w14:paraId="10C03663" w14:textId="77777777" w:rsidR="00463508" w:rsidRPr="00463508" w:rsidRDefault="00463508" w:rsidP="00463508">
      <w:pPr>
        <w:spacing w:line="360" w:lineRule="auto"/>
        <w:rPr>
          <w:rFonts w:ascii="Arial" w:hAnsi="Arial" w:cs="Arial"/>
          <w:sz w:val="24"/>
          <w:szCs w:val="24"/>
        </w:rPr>
      </w:pPr>
      <w:r w:rsidRPr="00463508">
        <w:rPr>
          <w:rFonts w:ascii="Arial" w:hAnsi="Arial" w:cs="Arial"/>
          <w:sz w:val="24"/>
          <w:szCs w:val="24"/>
        </w:rPr>
        <w:t>Background</w:t>
      </w:r>
    </w:p>
    <w:p w14:paraId="4D30C17F" w14:textId="22E2D1E4" w:rsidR="003E7B3A" w:rsidRDefault="00463508" w:rsidP="00463508">
      <w:pPr>
        <w:spacing w:line="360" w:lineRule="auto"/>
        <w:rPr>
          <w:rFonts w:ascii="Arial" w:hAnsi="Arial" w:cs="Arial"/>
          <w:sz w:val="24"/>
          <w:szCs w:val="24"/>
        </w:rPr>
      </w:pPr>
      <w:r w:rsidRPr="00463508">
        <w:rPr>
          <w:rFonts w:ascii="Arial" w:hAnsi="Arial" w:cs="Arial"/>
          <w:sz w:val="24"/>
          <w:szCs w:val="24"/>
        </w:rPr>
        <w:t xml:space="preserve">Authorship ethics, including subjects like plagiarism, </w:t>
      </w:r>
      <w:r w:rsidR="003B3385" w:rsidRPr="00463508">
        <w:rPr>
          <w:rFonts w:ascii="Arial" w:hAnsi="Arial" w:cs="Arial"/>
          <w:sz w:val="24"/>
          <w:szCs w:val="24"/>
        </w:rPr>
        <w:t>ghost-writing</w:t>
      </w:r>
      <w:r w:rsidRPr="00463508">
        <w:rPr>
          <w:rFonts w:ascii="Arial" w:hAnsi="Arial" w:cs="Arial"/>
          <w:sz w:val="24"/>
          <w:szCs w:val="24"/>
        </w:rPr>
        <w:t>, and even the selling of authorship, have received extensive treatment in the popular press and in academic studies [1-6]. Because it directly affects decisions on recruiting, tenure and promotion, prizes and grants, and other research-related decisions, authorship is tremendously significant to researchers across all disciplines. Despite recommendations for ethical authoring and publication practises, multiple studies indicate that unethical authorship happens in more than 10% of cases [7,8]. Within research teams, disagreements about authorship distribution also regularly happen. In a recent survey of researchers in Nigeria, 36.4% of participants admitted to authorship disputes [9]. Similarly, a Zachariah et al. editorial outlines challenges with authorship distribution in research teams carrying out operational research in low- and middle-income countries.</w:t>
      </w:r>
    </w:p>
    <w:p w14:paraId="00523138" w14:textId="77777777" w:rsidR="00ED26ED" w:rsidRPr="00ED26ED" w:rsidRDefault="00ED26ED" w:rsidP="00ED26ED">
      <w:pPr>
        <w:spacing w:line="360" w:lineRule="auto"/>
        <w:rPr>
          <w:rFonts w:ascii="Arial" w:hAnsi="Arial" w:cs="Arial"/>
          <w:sz w:val="24"/>
          <w:szCs w:val="24"/>
        </w:rPr>
      </w:pPr>
      <w:r w:rsidRPr="00ED26ED">
        <w:rPr>
          <w:rFonts w:ascii="Arial" w:hAnsi="Arial" w:cs="Arial"/>
          <w:sz w:val="24"/>
          <w:szCs w:val="24"/>
        </w:rPr>
        <w:t>In an effort to level the playing field, HIC researchers may provide researchers in LMICs more attention and opportunities by awarding authorship or a better ranking than was justifiable based on contribution.</w:t>
      </w:r>
    </w:p>
    <w:p w14:paraId="5B779CBB" w14:textId="4DB35769" w:rsidR="00A67A0F" w:rsidRPr="00A67A0F" w:rsidRDefault="00ED26ED" w:rsidP="00A67A0F">
      <w:pPr>
        <w:spacing w:line="360" w:lineRule="auto"/>
        <w:rPr>
          <w:rFonts w:ascii="Arial" w:hAnsi="Arial" w:cs="Arial"/>
          <w:sz w:val="24"/>
          <w:szCs w:val="24"/>
        </w:rPr>
      </w:pPr>
      <w:r w:rsidRPr="00ED26ED">
        <w:rPr>
          <w:rFonts w:ascii="Arial" w:hAnsi="Arial" w:cs="Arial"/>
          <w:sz w:val="24"/>
          <w:szCs w:val="24"/>
        </w:rPr>
        <w:t xml:space="preserve">This may have a similar justification to affirmative action or redistributive justice programmes, which aim to make up for past and/or present bias or discrimination. It might in fact give HIC and LMIC researchers a more level playing field. Authorship, which should establish responsibility and accountability for research [35], is far from certain to be the best way to level the playing field. Increasing possibilities for LMIC researchers to participate in research, developing their research competence in LMICs, and increasing their potential </w:t>
      </w:r>
      <w:r w:rsidR="00FC5F22" w:rsidRPr="00ED26ED">
        <w:rPr>
          <w:rFonts w:ascii="Arial" w:hAnsi="Arial" w:cs="Arial"/>
          <w:sz w:val="24"/>
          <w:szCs w:val="24"/>
        </w:rPr>
        <w:t>to</w:t>
      </w:r>
      <w:r w:rsidR="00FC5F22" w:rsidRPr="00A67A0F">
        <w:t>.</w:t>
      </w:r>
      <w:r w:rsidR="00A67A0F" w:rsidRPr="00A67A0F">
        <w:rPr>
          <w:rFonts w:ascii="Arial" w:hAnsi="Arial" w:cs="Arial"/>
          <w:sz w:val="24"/>
          <w:szCs w:val="24"/>
        </w:rPr>
        <w:t xml:space="preserve"> Some researchers in GHR may choose to follow ICMJE and simply mention additional significant contributors in the acknowledgement section in an effort to acknowledge various researchers in GHR. However, this could be viewed as unethical in the sense that these actions show a systematic discrimination </w:t>
      </w:r>
      <w:r w:rsidR="00A67A0F" w:rsidRPr="00A67A0F">
        <w:rPr>
          <w:rFonts w:ascii="Arial" w:hAnsi="Arial" w:cs="Arial"/>
          <w:sz w:val="24"/>
          <w:szCs w:val="24"/>
        </w:rPr>
        <w:lastRenderedPageBreak/>
        <w:t>against LMIC researchers. Perhaps it is simply not always possible in the case of GHR to "critically revise" or draught a paper. As an alternative, it might be acceptable to offer authorship credit for critically reviewing the work and ensuring responsibility by signed attestations of one's participation (such as data collection, analysis, writing, and review).</w:t>
      </w:r>
    </w:p>
    <w:p w14:paraId="28CCCC6A" w14:textId="16C495AA" w:rsidR="00ED26ED" w:rsidRPr="00EC1AC9" w:rsidRDefault="00A67A0F" w:rsidP="00A67A0F">
      <w:pPr>
        <w:spacing w:line="360" w:lineRule="auto"/>
        <w:rPr>
          <w:rFonts w:ascii="Arial" w:hAnsi="Arial" w:cs="Arial"/>
          <w:sz w:val="24"/>
          <w:szCs w:val="24"/>
        </w:rPr>
      </w:pPr>
      <w:r w:rsidRPr="00A67A0F">
        <w:rPr>
          <w:rFonts w:ascii="Arial" w:hAnsi="Arial" w:cs="Arial"/>
          <w:sz w:val="24"/>
          <w:szCs w:val="24"/>
        </w:rPr>
        <w:t>As previously indicated, authorship policies for GHR collaborations should be based on conceptual and empirical studies of authorship norms, values, and practises. Increasing the scope of authorship policies</w:t>
      </w:r>
    </w:p>
    <w:p w14:paraId="118F54E8" w14:textId="77777777" w:rsidR="009D09CC" w:rsidRDefault="009D09CC" w:rsidP="009D09CC">
      <w:pPr>
        <w:pStyle w:val="Heading2"/>
      </w:pPr>
      <w:r>
        <w:t>References</w:t>
      </w:r>
    </w:p>
    <w:p w14:paraId="42B8FD7B" w14:textId="77777777" w:rsidR="009D09CC" w:rsidRDefault="009D09CC" w:rsidP="009D09CC">
      <w:pPr>
        <w:pStyle w:val="Heading2"/>
      </w:pPr>
      <w:r>
        <w:t>1. Bast, C., and Samuels, L.: "Plagiarism and legal scholarship in the age of information sharing: the need for intellectual honesty." Catholic University Law Review 57:777, 2007.</w:t>
      </w:r>
    </w:p>
    <w:p w14:paraId="4DE1302C" w14:textId="77777777" w:rsidR="009D09CC" w:rsidRDefault="009D09CC" w:rsidP="009D09CC">
      <w:pPr>
        <w:pStyle w:val="Heading2"/>
      </w:pPr>
      <w:r>
        <w:t>2. Wager E: Statisticians, authors, ghosts, damned lies. PLoS Medicine 2004, e34.</w:t>
      </w:r>
    </w:p>
    <w:p w14:paraId="5301F5AE" w14:textId="77777777" w:rsidR="009D09CC" w:rsidRDefault="009D09CC" w:rsidP="009D09CC">
      <w:pPr>
        <w:pStyle w:val="Heading2"/>
      </w:pPr>
      <w:r>
        <w:t>3. Wager E: Authorship of scientific works counts because of author recognition, remuneration, and accountability. 2009, Maturitas 62:109–112.</w:t>
      </w:r>
    </w:p>
    <w:p w14:paraId="0D3AEB0E" w14:textId="77777777" w:rsidR="009D09CC" w:rsidRDefault="009D09CC" w:rsidP="009D09CC">
      <w:pPr>
        <w:pStyle w:val="Heading2"/>
      </w:pPr>
      <w:r>
        <w:t>4. Coats AJS: Integrity in publishing and writing. 2009, 131:149–150 in Int J Cardiol.</w:t>
      </w:r>
    </w:p>
    <w:p w14:paraId="28583F92" w14:textId="4B0FCC82" w:rsidR="009D09CC" w:rsidRDefault="009D09CC" w:rsidP="009D09CC">
      <w:pPr>
        <w:pStyle w:val="Heading2"/>
      </w:pPr>
      <w:r>
        <w:t>5. Guest authoring and ghostwriting in articles relating to rofecoxib. Ross JS, Hill KP, Egilman DS, and Krumholz HM. 2008;299:1800–</w:t>
      </w:r>
      <w:r w:rsidR="00FC5F22">
        <w:t>1812; J</w:t>
      </w:r>
      <w:r>
        <w:t xml:space="preserve"> Am Med Assoc.</w:t>
      </w:r>
    </w:p>
    <w:p w14:paraId="5C8B8274" w14:textId="1C0DEB61" w:rsidR="009D09CC" w:rsidRDefault="009D09CC" w:rsidP="009D09CC">
      <w:pPr>
        <w:pStyle w:val="Heading2"/>
      </w:pPr>
      <w:r>
        <w:t xml:space="preserve">6. Hvistendahl M: The bazaar of publications in China. </w:t>
      </w:r>
      <w:r w:rsidR="00FC5F22">
        <w:t>2013; 342:1035</w:t>
      </w:r>
      <w:r>
        <w:t xml:space="preserve">–1039 in </w:t>
      </w:r>
      <w:r w:rsidR="00FC5F22">
        <w:t>science</w:t>
      </w:r>
      <w:r>
        <w:t>.</w:t>
      </w:r>
    </w:p>
    <w:p w14:paraId="6F1881BE" w14:textId="77777777" w:rsidR="009D09CC" w:rsidRDefault="009D09CC" w:rsidP="009D09CC">
      <w:pPr>
        <w:pStyle w:val="Heading2"/>
      </w:pPr>
      <w:r>
        <w:t>7. Martinson BC, Anderson MS, and de Vries: Bad behaviour by scientists. Nature 435:737-738 (2005).</w:t>
      </w:r>
    </w:p>
    <w:p w14:paraId="0FF317D1" w14:textId="1A363B8E" w:rsidR="008C2930" w:rsidRPr="009D09CC" w:rsidRDefault="009D09CC" w:rsidP="009D09CC">
      <w:pPr>
        <w:pStyle w:val="Heading2"/>
        <w:rPr>
          <w:lang w:val="fr-FR"/>
        </w:rPr>
      </w:pPr>
      <w:r w:rsidRPr="009D09CC">
        <w:rPr>
          <w:lang w:val="fr-FR"/>
        </w:rPr>
        <w:t>8. Martinson BC, Crain AL, de Vries, Anderson MS</w:t>
      </w:r>
    </w:p>
    <w:p w14:paraId="7BE564BE" w14:textId="77777777" w:rsidR="00285D09" w:rsidRPr="009D09CC" w:rsidRDefault="00285D09" w:rsidP="00D2291D">
      <w:pPr>
        <w:spacing w:line="360" w:lineRule="auto"/>
        <w:rPr>
          <w:rFonts w:ascii="Arial" w:hAnsi="Arial" w:cs="Arial"/>
          <w:sz w:val="24"/>
          <w:szCs w:val="24"/>
          <w:lang w:val="fr-FR"/>
        </w:rPr>
      </w:pPr>
    </w:p>
    <w:p w14:paraId="60E64667" w14:textId="77777777" w:rsidR="00296FAF" w:rsidRPr="009D09CC" w:rsidRDefault="00296FAF" w:rsidP="00D2291D">
      <w:pPr>
        <w:spacing w:line="360" w:lineRule="auto"/>
        <w:rPr>
          <w:rFonts w:ascii="Arial" w:hAnsi="Arial" w:cs="Arial"/>
          <w:sz w:val="24"/>
          <w:szCs w:val="24"/>
          <w:lang w:val="fr-FR"/>
        </w:rPr>
      </w:pPr>
    </w:p>
    <w:p w14:paraId="7D27C15E" w14:textId="77777777" w:rsidR="008C2930" w:rsidRPr="009D09CC" w:rsidRDefault="008C2930" w:rsidP="00D2291D">
      <w:pPr>
        <w:spacing w:line="360" w:lineRule="auto"/>
        <w:rPr>
          <w:rFonts w:ascii="Arial" w:hAnsi="Arial" w:cs="Arial"/>
          <w:sz w:val="24"/>
          <w:szCs w:val="24"/>
          <w:lang w:val="fr-FR"/>
        </w:rPr>
      </w:pPr>
    </w:p>
    <w:p w14:paraId="32602747" w14:textId="77777777" w:rsidR="00284720" w:rsidRPr="009D09CC" w:rsidRDefault="00284720" w:rsidP="00D2291D">
      <w:pPr>
        <w:spacing w:line="360" w:lineRule="auto"/>
        <w:rPr>
          <w:rFonts w:ascii="Arial" w:hAnsi="Arial" w:cs="Arial"/>
          <w:sz w:val="24"/>
          <w:szCs w:val="24"/>
          <w:lang w:val="fr-FR"/>
        </w:rPr>
      </w:pPr>
    </w:p>
    <w:p w14:paraId="1B4838B8" w14:textId="08B9C2F9" w:rsidR="00964538" w:rsidRPr="009D09CC" w:rsidRDefault="00964538" w:rsidP="00D2291D">
      <w:pPr>
        <w:spacing w:line="360" w:lineRule="auto"/>
        <w:rPr>
          <w:rFonts w:ascii="Arial" w:hAnsi="Arial" w:cs="Arial"/>
          <w:sz w:val="24"/>
          <w:szCs w:val="24"/>
          <w:lang w:val="fr-FR"/>
        </w:rPr>
      </w:pPr>
    </w:p>
    <w:p w14:paraId="597989C5" w14:textId="283CF797" w:rsidR="0030173B" w:rsidRPr="009D09CC" w:rsidRDefault="0030173B" w:rsidP="00D2291D">
      <w:pPr>
        <w:spacing w:line="360" w:lineRule="auto"/>
        <w:rPr>
          <w:rFonts w:ascii="Arial" w:hAnsi="Arial" w:cs="Arial"/>
          <w:sz w:val="24"/>
          <w:szCs w:val="24"/>
          <w:lang w:val="fr-FR"/>
        </w:rPr>
      </w:pPr>
    </w:p>
    <w:p w14:paraId="45F31660" w14:textId="031E1AC8" w:rsidR="0030173B" w:rsidRPr="009D09CC" w:rsidRDefault="0030173B" w:rsidP="00D2291D">
      <w:pPr>
        <w:spacing w:line="360" w:lineRule="auto"/>
        <w:rPr>
          <w:rFonts w:ascii="Arial" w:hAnsi="Arial" w:cs="Arial"/>
          <w:sz w:val="24"/>
          <w:szCs w:val="24"/>
          <w:lang w:val="fr-FR"/>
        </w:rPr>
      </w:pPr>
    </w:p>
    <w:p w14:paraId="34F623FA" w14:textId="441F636F" w:rsidR="0030173B" w:rsidRPr="009D09CC" w:rsidRDefault="0030173B" w:rsidP="00D2291D">
      <w:pPr>
        <w:spacing w:line="360" w:lineRule="auto"/>
        <w:rPr>
          <w:rFonts w:ascii="Arial" w:hAnsi="Arial" w:cs="Arial"/>
          <w:sz w:val="24"/>
          <w:szCs w:val="24"/>
          <w:lang w:val="fr-FR"/>
        </w:rPr>
      </w:pPr>
    </w:p>
    <w:p w14:paraId="03366BE6" w14:textId="77777777" w:rsidR="0030173B" w:rsidRPr="009D09CC" w:rsidRDefault="0030173B" w:rsidP="00D2291D">
      <w:pPr>
        <w:spacing w:line="360" w:lineRule="auto"/>
        <w:rPr>
          <w:rFonts w:ascii="Arial" w:hAnsi="Arial" w:cs="Arial"/>
          <w:sz w:val="24"/>
          <w:szCs w:val="24"/>
          <w:lang w:val="fr-FR"/>
        </w:rPr>
      </w:pPr>
    </w:p>
    <w:p w14:paraId="11D1FF86" w14:textId="6DF29611" w:rsidR="00513050" w:rsidRPr="009D09CC" w:rsidRDefault="00513050" w:rsidP="00B220CB">
      <w:pPr>
        <w:spacing w:line="360" w:lineRule="auto"/>
        <w:rPr>
          <w:rFonts w:ascii="Arial" w:hAnsi="Arial" w:cs="Arial"/>
          <w:sz w:val="24"/>
          <w:szCs w:val="24"/>
          <w:lang w:val="fr-FR"/>
        </w:rPr>
      </w:pPr>
    </w:p>
    <w:p w14:paraId="0E73F40E" w14:textId="77777777" w:rsidR="00513050" w:rsidRPr="009D09CC" w:rsidRDefault="00513050" w:rsidP="00D2291D">
      <w:pPr>
        <w:pStyle w:val="ListParagraph"/>
        <w:spacing w:line="360" w:lineRule="auto"/>
        <w:rPr>
          <w:rFonts w:ascii="Arial" w:hAnsi="Arial" w:cs="Arial"/>
          <w:sz w:val="24"/>
          <w:szCs w:val="24"/>
          <w:lang w:val="fr-FR"/>
        </w:rPr>
      </w:pPr>
    </w:p>
    <w:p w14:paraId="747EDDAD" w14:textId="3A0DD981" w:rsidR="005225BF" w:rsidRPr="002049FE" w:rsidRDefault="00513050" w:rsidP="002049FE">
      <w:pPr>
        <w:pStyle w:val="Heading2"/>
      </w:pPr>
      <w:bookmarkStart w:id="6" w:name="_Toc511311658"/>
      <w:r>
        <w:t>Conclusion</w:t>
      </w:r>
      <w:bookmarkEnd w:id="6"/>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7"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8" w:name="_Toc511311659"/>
      <w:bookmarkEnd w:id="7"/>
      <w:r>
        <w:t>References</w:t>
      </w:r>
      <w:bookmarkEnd w:id="8"/>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9" w:name="_Toc511311660"/>
      <w:r w:rsidR="002049FE">
        <w:t>Appendix 1</w:t>
      </w:r>
      <w:bookmarkEnd w:id="9"/>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0" w:name="_Toc511311661"/>
      <w:r>
        <w:t>Appendix 2</w:t>
      </w:r>
      <w:bookmarkEnd w:id="10"/>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ABA75" w14:textId="77777777" w:rsidR="00E97288" w:rsidRDefault="00E97288" w:rsidP="00EB204E">
      <w:pPr>
        <w:spacing w:after="0" w:line="240" w:lineRule="auto"/>
      </w:pPr>
      <w:r>
        <w:separator/>
      </w:r>
    </w:p>
  </w:endnote>
  <w:endnote w:type="continuationSeparator" w:id="0">
    <w:p w14:paraId="0BA604F1" w14:textId="77777777" w:rsidR="00E97288" w:rsidRDefault="00E97288" w:rsidP="00EB2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C2399" w14:textId="77777777" w:rsidR="00E97288" w:rsidRDefault="00E97288" w:rsidP="00EB204E">
      <w:pPr>
        <w:spacing w:after="0" w:line="240" w:lineRule="auto"/>
      </w:pPr>
      <w:r>
        <w:separator/>
      </w:r>
    </w:p>
  </w:footnote>
  <w:footnote w:type="continuationSeparator" w:id="0">
    <w:p w14:paraId="49DDD43E" w14:textId="77777777" w:rsidR="00E97288" w:rsidRDefault="00E97288" w:rsidP="00EB20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46469728">
    <w:abstractNumId w:val="5"/>
  </w:num>
  <w:num w:numId="2" w16cid:durableId="814293510">
    <w:abstractNumId w:val="9"/>
  </w:num>
  <w:num w:numId="3" w16cid:durableId="228612765">
    <w:abstractNumId w:val="3"/>
  </w:num>
  <w:num w:numId="4" w16cid:durableId="14117403">
    <w:abstractNumId w:val="7"/>
  </w:num>
  <w:num w:numId="5" w16cid:durableId="1280260693">
    <w:abstractNumId w:val="1"/>
  </w:num>
  <w:num w:numId="6" w16cid:durableId="443229273">
    <w:abstractNumId w:val="4"/>
  </w:num>
  <w:num w:numId="7" w16cid:durableId="705760249">
    <w:abstractNumId w:val="0"/>
  </w:num>
  <w:num w:numId="8" w16cid:durableId="275984319">
    <w:abstractNumId w:val="11"/>
  </w:num>
  <w:num w:numId="9" w16cid:durableId="505441182">
    <w:abstractNumId w:val="6"/>
  </w:num>
  <w:num w:numId="10" w16cid:durableId="494877564">
    <w:abstractNumId w:val="10"/>
  </w:num>
  <w:num w:numId="11" w16cid:durableId="1181116607">
    <w:abstractNumId w:val="8"/>
  </w:num>
  <w:num w:numId="12" w16cid:durableId="1552182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6992"/>
    <w:rsid w:val="000178FF"/>
    <w:rsid w:val="0002760B"/>
    <w:rsid w:val="00045C47"/>
    <w:rsid w:val="000578CE"/>
    <w:rsid w:val="0006008A"/>
    <w:rsid w:val="00065BA1"/>
    <w:rsid w:val="00077781"/>
    <w:rsid w:val="00091F38"/>
    <w:rsid w:val="000A61C9"/>
    <w:rsid w:val="000C5E1B"/>
    <w:rsid w:val="000D2086"/>
    <w:rsid w:val="000D5C52"/>
    <w:rsid w:val="00107DAE"/>
    <w:rsid w:val="001130F2"/>
    <w:rsid w:val="00113AD7"/>
    <w:rsid w:val="00140A75"/>
    <w:rsid w:val="0015027C"/>
    <w:rsid w:val="00171357"/>
    <w:rsid w:val="001828EE"/>
    <w:rsid w:val="00183451"/>
    <w:rsid w:val="001836B1"/>
    <w:rsid w:val="0019088A"/>
    <w:rsid w:val="00192317"/>
    <w:rsid w:val="00195526"/>
    <w:rsid w:val="001A34B9"/>
    <w:rsid w:val="001B7A6F"/>
    <w:rsid w:val="001C0879"/>
    <w:rsid w:val="001E754B"/>
    <w:rsid w:val="001F3213"/>
    <w:rsid w:val="001F5437"/>
    <w:rsid w:val="002049FE"/>
    <w:rsid w:val="0021380A"/>
    <w:rsid w:val="00252E68"/>
    <w:rsid w:val="00255FC4"/>
    <w:rsid w:val="00261251"/>
    <w:rsid w:val="00276A31"/>
    <w:rsid w:val="002806CA"/>
    <w:rsid w:val="00284720"/>
    <w:rsid w:val="00285D09"/>
    <w:rsid w:val="0029143F"/>
    <w:rsid w:val="0029465D"/>
    <w:rsid w:val="00296FAF"/>
    <w:rsid w:val="002B5345"/>
    <w:rsid w:val="002C1D91"/>
    <w:rsid w:val="002C2D79"/>
    <w:rsid w:val="002C4CAC"/>
    <w:rsid w:val="002D447A"/>
    <w:rsid w:val="002E1009"/>
    <w:rsid w:val="002F6F8D"/>
    <w:rsid w:val="0030173B"/>
    <w:rsid w:val="0030202B"/>
    <w:rsid w:val="00322C2E"/>
    <w:rsid w:val="00331B7F"/>
    <w:rsid w:val="00337DE2"/>
    <w:rsid w:val="003860FB"/>
    <w:rsid w:val="00391011"/>
    <w:rsid w:val="003B3385"/>
    <w:rsid w:val="003B602D"/>
    <w:rsid w:val="003C25BA"/>
    <w:rsid w:val="003C3B33"/>
    <w:rsid w:val="003C4A80"/>
    <w:rsid w:val="003D34E8"/>
    <w:rsid w:val="003E7B3A"/>
    <w:rsid w:val="003F64EA"/>
    <w:rsid w:val="003F69D6"/>
    <w:rsid w:val="00404DB6"/>
    <w:rsid w:val="0045638E"/>
    <w:rsid w:val="0046229B"/>
    <w:rsid w:val="00463508"/>
    <w:rsid w:val="00481CB5"/>
    <w:rsid w:val="004856C7"/>
    <w:rsid w:val="00485D0A"/>
    <w:rsid w:val="004A5A68"/>
    <w:rsid w:val="004B309F"/>
    <w:rsid w:val="004C0D8C"/>
    <w:rsid w:val="004C56C3"/>
    <w:rsid w:val="004E28AB"/>
    <w:rsid w:val="004F03CD"/>
    <w:rsid w:val="004F468F"/>
    <w:rsid w:val="0051013F"/>
    <w:rsid w:val="005108BA"/>
    <w:rsid w:val="00513050"/>
    <w:rsid w:val="00517D76"/>
    <w:rsid w:val="00520C5F"/>
    <w:rsid w:val="005225BF"/>
    <w:rsid w:val="00536DDA"/>
    <w:rsid w:val="00541990"/>
    <w:rsid w:val="00556364"/>
    <w:rsid w:val="00572310"/>
    <w:rsid w:val="00586056"/>
    <w:rsid w:val="0059562E"/>
    <w:rsid w:val="005D4B55"/>
    <w:rsid w:val="005D5E30"/>
    <w:rsid w:val="005E2CD4"/>
    <w:rsid w:val="006252F5"/>
    <w:rsid w:val="0062657F"/>
    <w:rsid w:val="00634AE8"/>
    <w:rsid w:val="00654759"/>
    <w:rsid w:val="00670D2E"/>
    <w:rsid w:val="00671874"/>
    <w:rsid w:val="00671CBC"/>
    <w:rsid w:val="00673916"/>
    <w:rsid w:val="0068121E"/>
    <w:rsid w:val="006A3026"/>
    <w:rsid w:val="006B2157"/>
    <w:rsid w:val="006B7557"/>
    <w:rsid w:val="006C25CC"/>
    <w:rsid w:val="006D10FF"/>
    <w:rsid w:val="006E27E1"/>
    <w:rsid w:val="006E6FE8"/>
    <w:rsid w:val="00715A8B"/>
    <w:rsid w:val="007378C0"/>
    <w:rsid w:val="0074347F"/>
    <w:rsid w:val="00745BEF"/>
    <w:rsid w:val="0075131B"/>
    <w:rsid w:val="007621B2"/>
    <w:rsid w:val="0076424B"/>
    <w:rsid w:val="00782CA8"/>
    <w:rsid w:val="007A0F0B"/>
    <w:rsid w:val="007A53C9"/>
    <w:rsid w:val="007A7DB8"/>
    <w:rsid w:val="007B7078"/>
    <w:rsid w:val="007E734B"/>
    <w:rsid w:val="007E76AD"/>
    <w:rsid w:val="007F6441"/>
    <w:rsid w:val="007F6D91"/>
    <w:rsid w:val="008138EC"/>
    <w:rsid w:val="008150FF"/>
    <w:rsid w:val="008346D5"/>
    <w:rsid w:val="00835E65"/>
    <w:rsid w:val="00841941"/>
    <w:rsid w:val="0087306F"/>
    <w:rsid w:val="0088210C"/>
    <w:rsid w:val="00885114"/>
    <w:rsid w:val="00890C0B"/>
    <w:rsid w:val="008A1155"/>
    <w:rsid w:val="008B498D"/>
    <w:rsid w:val="008C2930"/>
    <w:rsid w:val="008E29F3"/>
    <w:rsid w:val="008E6A1B"/>
    <w:rsid w:val="008F2B5B"/>
    <w:rsid w:val="008F51C2"/>
    <w:rsid w:val="00903F18"/>
    <w:rsid w:val="00911ECC"/>
    <w:rsid w:val="00941F84"/>
    <w:rsid w:val="009556EE"/>
    <w:rsid w:val="00964538"/>
    <w:rsid w:val="00994B2A"/>
    <w:rsid w:val="009A6819"/>
    <w:rsid w:val="009B6E7C"/>
    <w:rsid w:val="009D0524"/>
    <w:rsid w:val="009D09CC"/>
    <w:rsid w:val="009F76F8"/>
    <w:rsid w:val="00A130AE"/>
    <w:rsid w:val="00A3471E"/>
    <w:rsid w:val="00A34BBB"/>
    <w:rsid w:val="00A4397C"/>
    <w:rsid w:val="00A43CC0"/>
    <w:rsid w:val="00A45277"/>
    <w:rsid w:val="00A51F56"/>
    <w:rsid w:val="00A67A0F"/>
    <w:rsid w:val="00A86FB4"/>
    <w:rsid w:val="00A90A1F"/>
    <w:rsid w:val="00A91384"/>
    <w:rsid w:val="00A930CB"/>
    <w:rsid w:val="00A976D8"/>
    <w:rsid w:val="00AA6973"/>
    <w:rsid w:val="00AB1EF8"/>
    <w:rsid w:val="00AB2338"/>
    <w:rsid w:val="00AB4149"/>
    <w:rsid w:val="00AB6B13"/>
    <w:rsid w:val="00AE6ED9"/>
    <w:rsid w:val="00AE79EE"/>
    <w:rsid w:val="00AF1551"/>
    <w:rsid w:val="00AF214B"/>
    <w:rsid w:val="00B01C73"/>
    <w:rsid w:val="00B02818"/>
    <w:rsid w:val="00B220CB"/>
    <w:rsid w:val="00B24AE3"/>
    <w:rsid w:val="00B26C7E"/>
    <w:rsid w:val="00B34326"/>
    <w:rsid w:val="00B40943"/>
    <w:rsid w:val="00B4550A"/>
    <w:rsid w:val="00B6475F"/>
    <w:rsid w:val="00B73448"/>
    <w:rsid w:val="00BB07BE"/>
    <w:rsid w:val="00BB1ABB"/>
    <w:rsid w:val="00BB3645"/>
    <w:rsid w:val="00BB4837"/>
    <w:rsid w:val="00BD3AA5"/>
    <w:rsid w:val="00BF2C08"/>
    <w:rsid w:val="00BF40FA"/>
    <w:rsid w:val="00C303A3"/>
    <w:rsid w:val="00C53B1A"/>
    <w:rsid w:val="00C74EB7"/>
    <w:rsid w:val="00C80AF8"/>
    <w:rsid w:val="00CB01A1"/>
    <w:rsid w:val="00CC3F06"/>
    <w:rsid w:val="00CC6920"/>
    <w:rsid w:val="00CF644C"/>
    <w:rsid w:val="00D01FF9"/>
    <w:rsid w:val="00D040E7"/>
    <w:rsid w:val="00D054C6"/>
    <w:rsid w:val="00D14A98"/>
    <w:rsid w:val="00D15FF5"/>
    <w:rsid w:val="00D2291D"/>
    <w:rsid w:val="00D24639"/>
    <w:rsid w:val="00D35369"/>
    <w:rsid w:val="00D450BB"/>
    <w:rsid w:val="00D62B28"/>
    <w:rsid w:val="00D67E1F"/>
    <w:rsid w:val="00D82996"/>
    <w:rsid w:val="00DA3853"/>
    <w:rsid w:val="00DA72B4"/>
    <w:rsid w:val="00DD3080"/>
    <w:rsid w:val="00DD3304"/>
    <w:rsid w:val="00DE63DF"/>
    <w:rsid w:val="00DF074C"/>
    <w:rsid w:val="00DF21D0"/>
    <w:rsid w:val="00DF2A58"/>
    <w:rsid w:val="00E24560"/>
    <w:rsid w:val="00E460C8"/>
    <w:rsid w:val="00E56CB1"/>
    <w:rsid w:val="00E642D3"/>
    <w:rsid w:val="00E750E6"/>
    <w:rsid w:val="00E82EAC"/>
    <w:rsid w:val="00E9394F"/>
    <w:rsid w:val="00E9395D"/>
    <w:rsid w:val="00E97288"/>
    <w:rsid w:val="00EB1FDF"/>
    <w:rsid w:val="00EB204E"/>
    <w:rsid w:val="00EC1AC9"/>
    <w:rsid w:val="00EC64A7"/>
    <w:rsid w:val="00EC674C"/>
    <w:rsid w:val="00ED26ED"/>
    <w:rsid w:val="00ED5696"/>
    <w:rsid w:val="00EF3ED4"/>
    <w:rsid w:val="00F077EF"/>
    <w:rsid w:val="00F334D8"/>
    <w:rsid w:val="00F53EF8"/>
    <w:rsid w:val="00F75D71"/>
    <w:rsid w:val="00F91F18"/>
    <w:rsid w:val="00F95B24"/>
    <w:rsid w:val="00F97116"/>
    <w:rsid w:val="00FA3DD1"/>
    <w:rsid w:val="00FA3F78"/>
    <w:rsid w:val="00FB42C7"/>
    <w:rsid w:val="00FC4F27"/>
    <w:rsid w:val="00FC5F22"/>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AE3"/>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B4837"/>
    <w:pPr>
      <w:tabs>
        <w:tab w:val="right" w:leader="dot" w:pos="9350"/>
      </w:tabs>
      <w:spacing w:after="100"/>
      <w:ind w:left="220"/>
    </w:pPr>
    <w:rPr>
      <w:rFonts w:asciiTheme="majorHAnsi" w:hAnsiTheme="majorHAnsi" w:cstheme="majorHAnsi"/>
      <w:noProof/>
    </w:rPr>
  </w:style>
  <w:style w:type="paragraph" w:styleId="Footer">
    <w:name w:val="footer"/>
    <w:basedOn w:val="Normal"/>
    <w:link w:val="FooterChar"/>
    <w:uiPriority w:val="99"/>
    <w:unhideWhenUsed/>
    <w:rsid w:val="00EB2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3511281">
      <w:bodyDiv w:val="1"/>
      <w:marLeft w:val="0"/>
      <w:marRight w:val="0"/>
      <w:marTop w:val="0"/>
      <w:marBottom w:val="0"/>
      <w:divBdr>
        <w:top w:val="none" w:sz="0" w:space="0" w:color="auto"/>
        <w:left w:val="none" w:sz="0" w:space="0" w:color="auto"/>
        <w:bottom w:val="none" w:sz="0" w:space="0" w:color="auto"/>
        <w:right w:val="none" w:sz="0" w:space="0" w:color="auto"/>
      </w:divBdr>
      <w:divsChild>
        <w:div w:id="386149888">
          <w:marLeft w:val="0"/>
          <w:marRight w:val="0"/>
          <w:marTop w:val="0"/>
          <w:marBottom w:val="0"/>
          <w:divBdr>
            <w:top w:val="none" w:sz="0" w:space="0" w:color="auto"/>
            <w:left w:val="none" w:sz="0" w:space="0" w:color="auto"/>
            <w:bottom w:val="none" w:sz="0" w:space="0" w:color="auto"/>
            <w:right w:val="none" w:sz="0" w:space="0" w:color="auto"/>
          </w:divBdr>
        </w:div>
        <w:div w:id="1062604523">
          <w:marLeft w:val="0"/>
          <w:marRight w:val="0"/>
          <w:marTop w:val="0"/>
          <w:marBottom w:val="0"/>
          <w:divBdr>
            <w:top w:val="none" w:sz="0" w:space="0" w:color="auto"/>
            <w:left w:val="none" w:sz="0" w:space="0" w:color="auto"/>
            <w:bottom w:val="none" w:sz="0" w:space="0" w:color="auto"/>
            <w:right w:val="none" w:sz="0" w:space="0" w:color="auto"/>
          </w:divBdr>
        </w:div>
        <w:div w:id="1558123496">
          <w:marLeft w:val="0"/>
          <w:marRight w:val="0"/>
          <w:marTop w:val="0"/>
          <w:marBottom w:val="0"/>
          <w:divBdr>
            <w:top w:val="none" w:sz="0" w:space="0" w:color="auto"/>
            <w:left w:val="none" w:sz="0" w:space="0" w:color="auto"/>
            <w:bottom w:val="none" w:sz="0" w:space="0" w:color="auto"/>
            <w:right w:val="none" w:sz="0" w:space="0" w:color="auto"/>
          </w:divBdr>
        </w:div>
        <w:div w:id="767043179">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7" ma:contentTypeDescription="Create a new document." ma:contentTypeScope="" ma:versionID="26767dd35982bea74e638edc76d1524a">
  <xsd:schema xmlns:xsd="http://www.w3.org/2001/XMLSchema" xmlns:xs="http://www.w3.org/2001/XMLSchema" xmlns:p="http://schemas.microsoft.com/office/2006/metadata/properties" xmlns:ns3="0d4f6ffa-9f28-4e2a-a23f-4264c91c95c3" xmlns:ns4="a5bd8bae-d77b-4579-b242-1f3afbf66184" targetNamespace="http://schemas.microsoft.com/office/2006/metadata/properties" ma:root="true" ma:fieldsID="7e8c72a926344b42916aec0e14543784" ns3:_="" ns4:_="">
    <xsd:import namespace="0d4f6ffa-9f28-4e2a-a23f-4264c91c95c3"/>
    <xsd:import namespace="a5bd8bae-d77b-4579-b242-1f3afbf6618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0d4f6ffa-9f28-4e2a-a23f-4264c91c95c3"/>
  </ds:schemaRefs>
</ds:datastoreItem>
</file>

<file path=customXml/itemProps4.xml><?xml version="1.0" encoding="utf-8"?>
<ds:datastoreItem xmlns:ds="http://schemas.openxmlformats.org/officeDocument/2006/customXml" ds:itemID="{3BC66207-316F-41F2-9712-AFDD974668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a5bd8bae-d77b-4579-b242-1f3afbf661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Angela</cp:lastModifiedBy>
  <cp:revision>129</cp:revision>
  <dcterms:created xsi:type="dcterms:W3CDTF">2023-05-16T17:26:00Z</dcterms:created>
  <dcterms:modified xsi:type="dcterms:W3CDTF">2023-05-23T18:10:00Z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