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240" w:firstLineChars="100"/>
        <w:rPr>
          <w:rFonts w:hint="default" w:ascii="Times New Roman" w:hAnsi="Times New Roman" w:eastAsia="Calibri" w:cs="Times New Roman"/>
          <w:b/>
          <w:bCs/>
          <w:color w:val="000000"/>
          <w:kern w:val="0"/>
          <w:sz w:val="24"/>
          <w:szCs w:val="24"/>
          <w:lang w:val="en-US" w:eastAsia="zh-CN" w:bidi="ar-SA"/>
        </w:rPr>
      </w:pPr>
    </w:p>
    <w:p>
      <w:pPr>
        <w:ind w:firstLine="240" w:firstLineChars="100"/>
        <w:rPr>
          <w:rFonts w:hint="default" w:ascii="Times New Roman" w:hAnsi="Times New Roman" w:eastAsia="Calibri" w:cs="Times New Roman"/>
          <w:b/>
          <w:bCs/>
          <w:color w:val="000000"/>
          <w:kern w:val="0"/>
          <w:sz w:val="24"/>
          <w:szCs w:val="24"/>
          <w:lang w:val="en-US" w:eastAsia="zh-CN" w:bidi="ar-SA"/>
        </w:rPr>
      </w:pPr>
    </w:p>
    <w:p>
      <w:pPr>
        <w:ind w:firstLine="240" w:firstLineChars="100"/>
        <w:rPr>
          <w:rFonts w:hint="default" w:ascii="Times New Roman" w:hAnsi="Times New Roman" w:eastAsia="Calibri" w:cs="Times New Roman"/>
          <w:b/>
          <w:bCs/>
          <w:color w:val="000000"/>
          <w:kern w:val="0"/>
          <w:sz w:val="24"/>
          <w:szCs w:val="24"/>
          <w:lang w:val="en-US" w:eastAsia="zh-CN" w:bidi="ar-SA"/>
        </w:rPr>
      </w:pPr>
    </w:p>
    <w:p>
      <w:pPr>
        <w:ind w:firstLine="240" w:firstLineChars="100"/>
        <w:rPr>
          <w:rFonts w:hint="default" w:ascii="Times New Roman" w:hAnsi="Times New Roman" w:eastAsia="Calibri" w:cs="Times New Roman"/>
          <w:b/>
          <w:bCs/>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fldChar w:fldCharType="begin"/>
      </w:r>
      <w:r>
        <w:rPr>
          <w:rFonts w:hint="default" w:ascii="Times New Roman" w:hAnsi="Times New Roman" w:eastAsia="Calibri" w:cs="Times New Roman"/>
          <w:b/>
          <w:bCs/>
          <w:color w:val="000000"/>
          <w:kern w:val="0"/>
          <w:sz w:val="24"/>
          <w:szCs w:val="24"/>
          <w:lang w:val="en-US" w:eastAsia="zh-CN" w:bidi="ar-SA"/>
        </w:rPr>
        <w:instrText xml:space="preserve"> HYPERLINK "https://moodle.uwtsd.ac.uk/course/view.php?id=9669" </w:instrText>
      </w:r>
      <w:r>
        <w:rPr>
          <w:rFonts w:hint="default" w:ascii="Times New Roman" w:hAnsi="Times New Roman" w:eastAsia="Calibri" w:cs="Times New Roman"/>
          <w:b/>
          <w:bCs/>
          <w:color w:val="000000"/>
          <w:kern w:val="0"/>
          <w:sz w:val="24"/>
          <w:szCs w:val="24"/>
          <w:lang w:val="en-US" w:eastAsia="zh-CN" w:bidi="ar-SA"/>
        </w:rPr>
        <w:fldChar w:fldCharType="separate"/>
      </w:r>
      <w:r>
        <w:rPr>
          <w:rFonts w:hint="default" w:ascii="Times New Roman" w:hAnsi="Times New Roman" w:eastAsia="Calibri" w:cs="Times New Roman"/>
          <w:b/>
          <w:bCs/>
          <w:color w:val="000000"/>
          <w:kern w:val="0"/>
          <w:sz w:val="24"/>
          <w:szCs w:val="24"/>
          <w:lang w:val="en-US" w:eastAsia="zh-CN" w:bidi="ar-SA"/>
        </w:rPr>
        <w:t xml:space="preserve"> Folk</w:t>
      </w:r>
      <w:r>
        <w:rPr>
          <w:rFonts w:hint="eastAsia" w:ascii="Times New Roman" w:hAnsi="Times New Roman" w:eastAsia="Calibri" w:cs="Times New Roman"/>
          <w:b/>
          <w:bCs/>
          <w:color w:val="000000"/>
          <w:kern w:val="0"/>
          <w:sz w:val="24"/>
          <w:szCs w:val="24"/>
          <w:lang w:val="en-US" w:eastAsia="zh-CN" w:bidi="ar-SA"/>
        </w:rPr>
        <w:t xml:space="preserve"> </w:t>
      </w:r>
      <w:r>
        <w:rPr>
          <w:rFonts w:hint="default" w:ascii="Times New Roman" w:hAnsi="Times New Roman" w:eastAsia="Calibri" w:cs="Times New Roman"/>
          <w:b/>
          <w:bCs/>
          <w:color w:val="000000"/>
          <w:kern w:val="0"/>
          <w:sz w:val="24"/>
          <w:szCs w:val="24"/>
          <w:lang w:val="en-US" w:eastAsia="zh-CN" w:bidi="ar-SA"/>
        </w:rPr>
        <w:t xml:space="preserve">Art Research Based </w:t>
      </w:r>
      <w:r>
        <w:rPr>
          <w:rFonts w:hint="eastAsia" w:ascii="Times New Roman" w:hAnsi="Times New Roman" w:eastAsia="Calibri" w:cs="Times New Roman"/>
          <w:b/>
          <w:bCs/>
          <w:color w:val="000000"/>
          <w:kern w:val="0"/>
          <w:sz w:val="24"/>
          <w:szCs w:val="24"/>
          <w:lang w:val="en-US" w:eastAsia="zh-CN" w:bidi="ar-SA"/>
        </w:rPr>
        <w:t>O</w:t>
      </w:r>
      <w:r>
        <w:rPr>
          <w:rFonts w:hint="default" w:ascii="Times New Roman" w:hAnsi="Times New Roman" w:eastAsia="Calibri" w:cs="Times New Roman"/>
          <w:b/>
          <w:bCs/>
          <w:color w:val="000000"/>
          <w:kern w:val="0"/>
          <w:sz w:val="24"/>
          <w:szCs w:val="24"/>
          <w:lang w:val="en-US" w:eastAsia="zh-CN" w:bidi="ar-SA"/>
        </w:rPr>
        <w:t>n "Mediatization"</w:t>
      </w:r>
      <w:r>
        <w:rPr>
          <w:rFonts w:hint="eastAsia" w:ascii="Times New Roman" w:hAnsi="Times New Roman" w:eastAsia="Calibri" w:cs="Times New Roman"/>
          <w:b/>
          <w:bCs/>
          <w:color w:val="000000"/>
          <w:kern w:val="0"/>
          <w:sz w:val="24"/>
          <w:szCs w:val="24"/>
          <w:lang w:val="en-US" w:eastAsia="zh-CN" w:bidi="ar-SA"/>
        </w:rPr>
        <w:t xml:space="preserve"> Perspective</w:t>
      </w:r>
      <w:r>
        <w:rPr>
          <w:rFonts w:hint="default" w:ascii="Times New Roman" w:hAnsi="Times New Roman" w:eastAsia="Calibri" w:cs="Times New Roman"/>
          <w:b/>
          <w:bCs/>
          <w:color w:val="000000"/>
          <w:kern w:val="0"/>
          <w:sz w:val="24"/>
          <w:szCs w:val="24"/>
          <w:lang w:val="en-US" w:eastAsia="zh-CN" w:bidi="ar-SA"/>
        </w:rPr>
        <w:t xml:space="preserve">: From Theory Construction to Practical Exploration                       </w:t>
      </w:r>
    </w:p>
    <w:p>
      <w:pPr>
        <w:ind w:firstLine="240" w:firstLineChars="100"/>
        <w:rPr>
          <w:rFonts w:hint="default" w:ascii="Times New Roman" w:hAnsi="Times New Roman" w:eastAsia="Calibri" w:cs="Times New Roman"/>
          <w:b/>
          <w:bCs/>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 xml:space="preserve"> --A Case Study of Paper</w:t>
      </w:r>
      <w:r>
        <w:rPr>
          <w:rFonts w:hint="eastAsia" w:ascii="Times New Roman" w:hAnsi="Times New Roman" w:eastAsia="Calibri" w:cs="Times New Roman"/>
          <w:b/>
          <w:bCs/>
          <w:color w:val="000000"/>
          <w:kern w:val="0"/>
          <w:sz w:val="24"/>
          <w:szCs w:val="24"/>
          <w:lang w:val="en-US" w:eastAsia="zh-CN" w:bidi="ar-SA"/>
        </w:rPr>
        <w:t>-</w:t>
      </w:r>
      <w:r>
        <w:rPr>
          <w:rFonts w:hint="default" w:ascii="Times New Roman" w:hAnsi="Times New Roman" w:eastAsia="Calibri" w:cs="Times New Roman"/>
          <w:b/>
          <w:bCs/>
          <w:color w:val="000000"/>
          <w:kern w:val="0"/>
          <w:sz w:val="24"/>
          <w:szCs w:val="24"/>
          <w:lang w:val="en-US" w:eastAsia="zh-CN" w:bidi="ar-SA"/>
        </w:rPr>
        <w:t>Cutting in Zhe Rong, Fujian, China</w:t>
      </w:r>
    </w:p>
    <w:p>
      <w:pPr>
        <w:ind w:firstLine="240" w:firstLineChars="100"/>
        <w:rPr>
          <w:rFonts w:hint="default" w:ascii="Times New Roman" w:hAnsi="Times New Roman" w:eastAsia="Calibri" w:cs="Times New Roman"/>
          <w:b/>
          <w:bCs/>
          <w:color w:val="000000"/>
          <w:kern w:val="0"/>
          <w:sz w:val="24"/>
          <w:szCs w:val="24"/>
          <w:lang w:val="en-US" w:eastAsia="zh-CN" w:bidi="ar-SA"/>
        </w:rPr>
      </w:pPr>
    </w:p>
    <w:p>
      <w:pPr>
        <w:ind w:firstLine="240" w:firstLineChars="100"/>
        <w:rPr>
          <w:rFonts w:hint="default" w:ascii="Times New Roman" w:hAnsi="Times New Roman" w:eastAsia="Calibri" w:cs="Times New Roman"/>
          <w:b/>
          <w:bCs/>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Professional Discourses (ADAD7019)</w:t>
      </w:r>
    </w:p>
    <w:p>
      <w:pPr>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fldChar w:fldCharType="end"/>
      </w:r>
      <w:r>
        <w:rPr>
          <w:rFonts w:hint="default" w:ascii="Times New Roman" w:hAnsi="Times New Roman" w:eastAsia="Calibri" w:cs="Times New Roman"/>
          <w:b/>
          <w:bCs/>
          <w:color w:val="000000"/>
          <w:kern w:val="0"/>
          <w:sz w:val="24"/>
          <w:szCs w:val="24"/>
          <w:lang w:val="en-US" w:eastAsia="zh-CN" w:bidi="ar-SA"/>
        </w:rPr>
        <w:t xml:space="preserve">  Name: </w:t>
      </w:r>
      <w:r>
        <w:rPr>
          <w:rFonts w:hint="default" w:ascii="Times New Roman" w:hAnsi="Times New Roman" w:eastAsia="Calibri" w:cs="Times New Roman"/>
          <w:color w:val="000000"/>
          <w:kern w:val="0"/>
          <w:sz w:val="24"/>
          <w:szCs w:val="24"/>
          <w:lang w:val="en-US" w:eastAsia="zh-CN" w:bidi="ar-SA"/>
        </w:rPr>
        <w:t>  Wenxia Jia</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 xml:space="preserve">Nickname:  </w:t>
      </w:r>
      <w:r>
        <w:rPr>
          <w:rFonts w:hint="default" w:ascii="Times New Roman" w:hAnsi="Times New Roman" w:eastAsia="Calibri" w:cs="Times New Roman"/>
          <w:color w:val="000000"/>
          <w:kern w:val="0"/>
          <w:sz w:val="24"/>
          <w:szCs w:val="24"/>
          <w:lang w:val="en-US" w:eastAsia="zh-CN" w:bidi="ar-SA"/>
        </w:rPr>
        <w:t>Jessica</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Student number:  </w:t>
      </w:r>
      <w:r>
        <w:rPr>
          <w:rFonts w:hint="default" w:ascii="Times New Roman" w:hAnsi="Times New Roman" w:eastAsia="Calibri" w:cs="Times New Roman"/>
          <w:color w:val="000000"/>
          <w:kern w:val="0"/>
          <w:sz w:val="24"/>
          <w:szCs w:val="24"/>
          <w:lang w:val="en-US" w:eastAsia="zh-CN" w:bidi="ar-SA"/>
        </w:rPr>
        <w:t>2105547</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 xml:space="preserve">Institutional affiliation: </w:t>
      </w:r>
      <w:r>
        <w:rPr>
          <w:rFonts w:hint="default" w:ascii="Times New Roman" w:hAnsi="Times New Roman" w:eastAsia="Calibri" w:cs="Times New Roman"/>
          <w:color w:val="000000"/>
          <w:kern w:val="0"/>
          <w:sz w:val="24"/>
          <w:szCs w:val="24"/>
          <w:lang w:val="en-US" w:eastAsia="zh-CN" w:bidi="ar-SA"/>
        </w:rPr>
        <w:t xml:space="preserve">Institute of Science and Art </w:t>
      </w:r>
    </w:p>
    <w:p>
      <w:pPr>
        <w:numPr>
          <w:ilvl w:val="0"/>
          <w:numId w:val="0"/>
        </w:numPr>
        <w:ind w:leftChars="0"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 xml:space="preserve">Date: </w:t>
      </w:r>
      <w:r>
        <w:rPr>
          <w:rFonts w:hint="default" w:ascii="Times New Roman" w:hAnsi="Times New Roman" w:eastAsia="Calibri" w:cs="Times New Roman"/>
          <w:color w:val="000000"/>
          <w:kern w:val="0"/>
          <w:sz w:val="24"/>
          <w:szCs w:val="24"/>
          <w:lang w:val="en-US" w:eastAsia="zh-CN" w:bidi="ar-SA"/>
        </w:rPr>
        <w:t>15/08/2022</w:t>
      </w: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highlight w:val="cyan"/>
        </w:rPr>
      </w:pPr>
    </w:p>
    <w:p>
      <w:pPr>
        <w:rPr>
          <w:rFonts w:hint="default" w:ascii="Times New Roman" w:hAnsi="Times New Roman" w:eastAsia="Calibri" w:cs="Times New Roman"/>
          <w:b/>
          <w:bCs/>
          <w:color w:val="000000"/>
          <w:kern w:val="0"/>
          <w:sz w:val="24"/>
          <w:szCs w:val="24"/>
          <w:highlight w:val="none"/>
          <w:lang w:val="en-US" w:eastAsia="zh-CN" w:bidi="ar-SA"/>
        </w:rPr>
      </w:pPr>
      <w:r>
        <w:rPr>
          <w:rFonts w:hint="default" w:ascii="Times New Roman" w:hAnsi="Times New Roman" w:eastAsia="Calibri" w:cs="Times New Roman"/>
          <w:b/>
          <w:bCs/>
          <w:color w:val="000000"/>
          <w:kern w:val="0"/>
          <w:sz w:val="24"/>
          <w:szCs w:val="24"/>
          <w:highlight w:val="none"/>
          <w:lang w:val="en-US" w:eastAsia="zh-CN" w:bidi="ar-SA"/>
        </w:rPr>
        <w:t>Abstract</w:t>
      </w:r>
    </w:p>
    <w:p>
      <w:pPr>
        <w:ind w:firstLine="210" w:firstLineChars="100"/>
        <w:rPr>
          <w:rFonts w:hint="default" w:ascii="Times New Roman" w:hAnsi="Times New Roman" w:cs="Times New Roman"/>
        </w:rPr>
      </w:pPr>
      <w:r>
        <w:rPr>
          <w:rFonts w:hint="default" w:ascii="Times New Roman" w:hAnsi="Times New Roman" w:cs="Times New Roman"/>
        </w:rPr>
        <w:t>Folk art is the cultural wealth and essence of humanity that is profoundly ingrained in a nation's folklore. Even though the study of folk art has a long history, it has been primarily confined to the aesthetic and folkloric levels. When examining folk art, there are more artistic, political, economic, and social studies, as well as sociological, anthropological, and artistic studies, such as cultural studies of folk art, studies of artistic qualities, studies of visual images, and studies of regulations and policies for the protection of non-heritage. Additionally, the rise of media has had a significant impact on folk art. The history of human art is a history of ongoing innovation in artistic media. In the interaction between contemporary art and social life, there must be a connection between art and the media environment of the period, and the connection between art and various media, technology, and materiality is important to this relationship.</w:t>
      </w:r>
    </w:p>
    <w:p>
      <w:pPr>
        <w:ind w:firstLine="210" w:firstLineChars="100"/>
        <w:rPr>
          <w:rFonts w:hint="default" w:ascii="Times New Roman" w:hAnsi="Times New Roman" w:cs="Times New Roman"/>
        </w:rPr>
      </w:pPr>
      <w:r>
        <w:rPr>
          <w:rFonts w:hint="default" w:ascii="Times New Roman" w:hAnsi="Times New Roman" w:cs="Times New Roman"/>
        </w:rPr>
        <w:t>This study presents a paradigm for comprehending the expanding relationship between folk art and the media. Not only are the media a significant platform and source of information for the development of folk art, but changes in media technology also have an effect on the content, people, and organisation of folk art, whose messages and experiences are moulded by the demands of popular media genres. As a cultural and social environment, the media has assumed many of the cultural and social functions of folk art, not only in terms of its content, but also in terms of the behaviour of those participating, the sense of community and belonging, and the expansion of space.</w:t>
      </w:r>
    </w:p>
    <w:p>
      <w:pPr>
        <w:ind w:firstLine="210" w:firstLineChars="100"/>
        <w:rPr>
          <w:rFonts w:hint="default" w:ascii="Times New Roman" w:hAnsi="Times New Roman" w:cs="Times New Roman"/>
        </w:rPr>
      </w:pPr>
      <w:r>
        <w:rPr>
          <w:rFonts w:hint="default" w:ascii="Times New Roman" w:hAnsi="Times New Roman" w:cs="Times New Roman"/>
        </w:rPr>
        <w:t>The "Mediatization" theory has been studied for a long time and has been gradually refined and applied to various areas of social experience over the past two decades. However, it has been studied infrequently in the field of folk art, where the relationship with the media has been primarily explored from the perspective of artistic and ecological communication, and there are still gaps in research that employs the "Mediatization" theory.</w:t>
      </w:r>
    </w:p>
    <w:p>
      <w:pPr>
        <w:ind w:firstLine="210" w:firstLineChars="100"/>
        <w:rPr>
          <w:rFonts w:hint="default" w:ascii="Times New Roman" w:hAnsi="Times New Roman" w:cs="Times New Roman"/>
        </w:rPr>
      </w:pPr>
      <w:r>
        <w:rPr>
          <w:rFonts w:hint="default" w:ascii="Times New Roman" w:hAnsi="Times New Roman" w:cs="Times New Roman"/>
        </w:rPr>
        <w:t xml:space="preserve">My research will use the theory of "mediatization" as a guide by combining the theory of mediatization, the unique problems in the field of folk art, the application of rooted theory in the qualitative research method, and the combination of narrative research and ethnographic research in the case's location of Zhe Rong County, Ningde City, Fujian Province. In the case study, we collected and analysed data on the local folk art representative and well-known national-level intangible heritage item "Zhe Rong paper-cutting," and we attempted to explore the mode of interaction between media technology and folk art development in order to develop a theoretical framework for analysing media and folk art. This framework can be used as a theoretical basis for recognising the key concepts of the mediatization process of folk art, studying the future development of folk art, serving as a theoretical guide for the innovative development of folk art across media and cultures, and contributing to the personal development of folk art practitioners, thereby contributing to the preservation and transmission of folk art and the overall revitalization of the villages in which it is practised. </w:t>
      </w:r>
    </w:p>
    <w:p>
      <w:pPr>
        <w:ind w:firstLine="210" w:firstLineChars="100"/>
        <w:rPr>
          <w:rFonts w:hint="default" w:ascii="Times New Roman" w:hAnsi="Times New Roman" w:cs="Times New Roman"/>
        </w:rPr>
      </w:pPr>
      <w:r>
        <w:rPr>
          <w:rFonts w:hint="default" w:ascii="Times New Roman" w:hAnsi="Times New Roman" w:cs="Times New Roman"/>
        </w:rPr>
        <w:t>This study attempts to establish a theoretical framework for examining the development of traditional folk art from the perspective and centre of media research, based on theories and academic concepts from media theory, media studies, cultural anthropology, art communication, and urban communication, and proposes six key dimensions. The six proposed key dimensions are culture, art, media, space, and technology. By establishing their academic interpretations and clarifying the relationships between the important terms in the study of the mediation of folk art, a transportable analytical framework and model is created. The analysis is based on a systematic cultural understanding of folk art from the perspectives of cultural resources, folklore, and cultural anthropology, taking into account the artistic content of folk art as art, its reflection by the media, the changes brought about by technology, and the human and transmission content included in the transmission. In keeping with the contemporary demand for traditional revival in a global environment, new concepts and channels can be generated for the revitalization and transmission of folk art through the use of knowledge structure and practical assistance.</w:t>
      </w:r>
    </w:p>
    <w:p>
      <w:pPr>
        <w:ind w:firstLine="210" w:firstLineChars="100"/>
        <w:rPr>
          <w:rFonts w:hint="default" w:ascii="Times New Roman" w:hAnsi="Times New Roman" w:cs="Times New Roman"/>
        </w:rPr>
      </w:pPr>
      <w:r>
        <w:rPr>
          <w:rFonts w:hint="default" w:ascii="Times New Roman" w:hAnsi="Times New Roman" w:cs="Times New Roman"/>
        </w:rPr>
        <w:t>Simultaneously, efforts are undertaken to apply theory to practise on the basis of theoretical innovation and maturity. This framework is utilised as the theoretical basis for designing the curriculum module of the cultural industry management major in university instruction. This theoretical system includes the theoretical study of communication, art, folklore, and anthropology-related knowledge, as well as field practise operations with folk art in the villages surrounding the university, which can form the training of theoretical and practical skills; at the same time, based on this in-depth knowledge of the folk art industry combined with the practise of the industrial chain part, the conception and participation of students' innovative projects are encouraged.</w:t>
      </w:r>
    </w:p>
    <w:p>
      <w:pPr>
        <w:ind w:firstLine="210" w:firstLineChars="100"/>
        <w:rPr>
          <w:rFonts w:hint="default" w:ascii="Times New Roman" w:hAnsi="Times New Roman" w:cs="Times New Roman"/>
        </w:rPr>
      </w:pPr>
      <w:r>
        <w:rPr>
          <w:rFonts w:hint="default" w:ascii="Times New Roman" w:hAnsi="Times New Roman" w:cs="Times New Roman"/>
        </w:rPr>
        <w:t>In contrast, the folk art communication practise is designed in a cross-cultural framework within the art practise, which is based on the six dimensions of culture, art, media, space, technology, and legacy. For instance, the selection of Chinese folk art (e.g., paper-cutting) dissemination activities in the United Kingdom (Wales), including the assessment of impacts, or the awareness and dissemination of British Welsh folk art among Chinese university students, in order to promote cultural interaction.</w:t>
      </w:r>
    </w:p>
    <w:p>
      <w:pPr>
        <w:ind w:firstLine="210" w:firstLineChars="100"/>
        <w:rPr>
          <w:rFonts w:hint="default" w:ascii="Times New Roman" w:hAnsi="Times New Roman" w:cs="Times New Roman"/>
        </w:rPr>
      </w:pPr>
    </w:p>
    <w:p>
      <w:pPr>
        <w:ind w:firstLine="210" w:firstLineChars="100"/>
        <w:rPr>
          <w:rFonts w:hint="default" w:ascii="Times New Roman" w:hAnsi="Times New Roman" w:cs="Times New Roman"/>
        </w:rPr>
      </w:pPr>
    </w:p>
    <w:p>
      <w:pPr>
        <w:rPr>
          <w:rFonts w:hint="default" w:ascii="Times New Roman" w:hAnsi="Times New Roman" w:eastAsia="Calibri" w:cs="Times New Roman"/>
          <w:b/>
          <w:bCs/>
          <w:color w:val="000000"/>
          <w:kern w:val="0"/>
          <w:sz w:val="24"/>
          <w:szCs w:val="24"/>
          <w:highlight w:val="none"/>
          <w:lang w:val="en-US" w:eastAsia="zh-CN" w:bidi="ar-SA"/>
        </w:rPr>
      </w:pPr>
      <w:r>
        <w:rPr>
          <w:rFonts w:hint="default" w:ascii="Times New Roman" w:hAnsi="Times New Roman" w:eastAsia="Calibri" w:cs="Times New Roman"/>
          <w:b/>
          <w:bCs/>
          <w:color w:val="000000"/>
          <w:kern w:val="0"/>
          <w:sz w:val="24"/>
          <w:szCs w:val="24"/>
          <w:highlight w:val="none"/>
          <w:lang w:val="en-US" w:eastAsia="zh-CN" w:bidi="ar-SA"/>
        </w:rPr>
        <w:t>Introduction</w:t>
      </w:r>
    </w:p>
    <w:p>
      <w:p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"Mediatization" is a new theoretical framework in communication studies and media studies that revisits and reframes fundamental questions about the role and impact of the media on culture and society. In particular, the mediatization hypothesis has been useful for analysing and evaluating the expansion of the media into other sectors and social institutions, such as politics, the family, and religion. Mediatization generally refers to the social and cultural processes via which a field or institution is dependent on the media's logic (Asp1986; Hjarvard2008b). Current research on mediatization has expanded into various empirical areas of society, such as how political institutions have adapted to the demands of the news and entertainment media in different ways (Strmback, 2008), as well as religion as a social and cultural institution that has also been influenced by the media in different ways. Family, folk music, cultural phenomena including the mediatization of emotions in LGBTQI hashtags (Geviss La Rocca &amp; Cirus Rinaldi, 2020), the ageing body, environmental concerns, and the mediatization of sports (Israeli law), among others (Anat Peleg, Bryna Bogoch, 2012)</w:t>
      </w:r>
    </w:p>
    <w:p>
      <w:p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Multiple disciplines can be productively traversed by the framework of mediatization research. As our media and communication disciplines become more specialised, inward-looking, and focused on (new) media technologies and their specific applications, mediatization studies have reformulated a number of fundamental questions pertaining to the interrelationships between media, communication, culture, and society (Hjarvard, 2012). The influence of mediatization on folk art is extensive and profound. On the one hand, technical advancements have affected the platforms and content presentation of media, and new texts and symbols are continually emerging from new media for the propagation of folk art, resulting in texts that are increasingly innovative and cross-media. The media are also a means of altering the ecology of folk art and the behaviour of its participants. Traditional handicrafts, music, and performing arts share similarities.</w:t>
      </w:r>
    </w:p>
    <w:p>
      <w:p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What is the present state of research into folk art, and what are the research priorities? The propagation of folk art is examined from a cultural and media standpoint. Regarding research methodologies, artistic anthropology has significant implications for the study of folk art. Folk art is a part of people's daily lives and is intimately connected to their rhythms. This quality of folk art necessitates an ethnographic and folkloric approach to its study, making anthropological and sociological research techniques a theoretical need. (Shang Hong, Li Jianjian, 2012) Nonetheless, it is essential to recognise that little thought has been given to the notion of mediation.</w:t>
      </w:r>
    </w:p>
    <w:p>
      <w:pPr>
        <w:ind w:firstLine="210" w:firstLineChars="100"/>
        <w:rPr>
          <w:rFonts w:hint="default" w:ascii="Times New Roman" w:hAnsi="Times New Roman" w:cs="Times New Roman"/>
          <w:lang w:val="en-US" w:eastAsia="zh-CN"/>
        </w:rPr>
      </w:pPr>
    </w:p>
    <w:p>
      <w:pPr>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Aims and Objectives</w:t>
      </w:r>
    </w:p>
    <w:p>
      <w:pPr>
        <w:numPr>
          <w:ilvl w:val="0"/>
          <w:numId w:val="0"/>
        </w:numPr>
        <w:rPr>
          <w:rFonts w:hint="default" w:ascii="Times New Roman" w:hAnsi="Times New Roman" w:cs="Times New Roman"/>
          <w:b/>
          <w:bCs/>
          <w:lang w:val="en-US" w:eastAsia="zh-CN"/>
        </w:rPr>
      </w:pPr>
      <w:r>
        <w:rPr>
          <w:rFonts w:hint="eastAsia" w:ascii="Times New Roman" w:hAnsi="Times New Roman" w:cs="Times New Roman"/>
          <w:b/>
          <w:bCs/>
          <w:lang w:val="en-US" w:eastAsia="zh-CN"/>
        </w:rPr>
        <w:t>1.</w:t>
      </w:r>
      <w:r>
        <w:rPr>
          <w:rFonts w:hint="default" w:ascii="Times New Roman" w:hAnsi="Times New Roman" w:cs="Times New Roman"/>
          <w:b/>
          <w:bCs/>
          <w:lang w:val="en-US" w:eastAsia="zh-CN"/>
        </w:rPr>
        <w:t xml:space="preserve"> Developing an academic viewpoint on the topic of folk art from a mediatization theory perspective</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This combination necessitates communication-related thought; in the field of communication and media studies, a variety of classical theories can also be utilised to provide a comprehensive understanding of creative occurrences. However, research that explicitly integrates the two, builds a theoretical framework for the study of mediated theory in folk art, justifies the combination, and offers practical direction and theoretical verification in practise is still lacking.</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The challenge of mediatization in folk art communication is one that must be addressed in the contemporary climate of fast evolving media technologies. The presentation of the process of mediatization in the field of folk art has significance not only for theoretical research findings, but also for guiding the practise of reviving and passing on folk art in the new era, as well as for guiding understanding of the dissemination dynamics and effects of folk art works, as well as art creation and art reception activities, and the social functions of folk art and the relationship between art and otaku.</w:t>
      </w:r>
    </w:p>
    <w:p>
      <w:pPr>
        <w:numPr>
          <w:ilvl w:val="0"/>
          <w:numId w:val="0"/>
        </w:numPr>
        <w:rPr>
          <w:rFonts w:hint="default" w:ascii="Times New Roman" w:hAnsi="Times New Roman" w:cs="Times New Roman"/>
          <w:b/>
          <w:bCs/>
          <w:lang w:val="en-US" w:eastAsia="zh-CN"/>
        </w:rPr>
      </w:pPr>
      <w:r>
        <w:rPr>
          <w:rFonts w:hint="eastAsia" w:ascii="Times New Roman" w:hAnsi="Times New Roman" w:cs="Times New Roman"/>
          <w:b/>
          <w:bCs/>
          <w:lang w:val="en-US" w:eastAsia="zh-CN"/>
        </w:rPr>
        <w:t>2.</w:t>
      </w:r>
      <w:r>
        <w:rPr>
          <w:rFonts w:hint="default" w:ascii="Times New Roman" w:hAnsi="Times New Roman" w:cs="Times New Roman"/>
          <w:b/>
          <w:bCs/>
          <w:lang w:val="en-US" w:eastAsia="zh-CN"/>
        </w:rPr>
        <w:t>Filling the academic gap by constructing a theoretical framework for the "mediatization of folk art</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This study attempts to establish a theoretical framework for examining the development of traditional folk art from the perspective and centre of media research, based on theories and academic concepts from such disciplines as mediatization theory, media studies, cultural anthropology, art communication, and urban communication, and proposes six key dimensions. Culture, art, media, space, technology, and heritage are the main terms. By establishing their academic meaning in the context of the study of the mediation of folk art and elucidating the link between the essential terms, a transportable analytical framework and model are developed. The analysis is based on a systematic cultural understanding of folk art from the perspectives of cultural resources, folklore, and cultural anthropology, taking into account the artistic content of folk art as art, its reflection by the media, the changes brought about by technology, and the human and transmission content included in the transmission. On the basis of the framework's more complete knowledge structure and practical direction, new concepts and new approaches can be generated for the revitalization and transmission of folk art, which is consistent with the current demand for the revitalization of tradition in a global context.</w:t>
      </w:r>
    </w:p>
    <w:p>
      <w:pPr>
        <w:numPr>
          <w:ilvl w:val="0"/>
          <w:numId w:val="1"/>
        </w:numPr>
        <w:rPr>
          <w:rFonts w:hint="default" w:ascii="Times New Roman" w:hAnsi="Times New Roman" w:cs="Times New Roman"/>
          <w:b/>
          <w:bCs/>
          <w:lang w:val="en-US" w:eastAsia="zh-CN"/>
        </w:rPr>
      </w:pPr>
      <w:r>
        <w:rPr>
          <w:rFonts w:hint="default" w:ascii="Times New Roman" w:hAnsi="Times New Roman" w:cs="Times New Roman"/>
          <w:b/>
          <w:bCs/>
          <w:lang w:val="en-US" w:eastAsia="zh-CN"/>
        </w:rPr>
        <w:t>Apply it</w:t>
      </w:r>
      <w:r>
        <w:rPr>
          <w:rFonts w:hint="eastAsia" w:ascii="Times New Roman" w:hAnsi="Times New Roman" w:cs="Times New Roman"/>
          <w:b/>
          <w:bCs/>
          <w:lang w:val="en-US" w:eastAsia="zh-CN"/>
        </w:rPr>
        <w:t xml:space="preserve"> </w:t>
      </w:r>
      <w:r>
        <w:rPr>
          <w:rFonts w:hint="default" w:ascii="Times New Roman" w:hAnsi="Times New Roman" w:cs="Times New Roman"/>
          <w:b/>
          <w:bCs/>
          <w:lang w:val="en-US" w:eastAsia="zh-CN"/>
        </w:rPr>
        <w:t xml:space="preserve">to the development of folk art heritage in the current </w:t>
      </w:r>
    </w:p>
    <w:p>
      <w:pPr>
        <w:numPr>
          <w:ilvl w:val="0"/>
          <w:numId w:val="0"/>
        </w:numPr>
        <w:rPr>
          <w:rFonts w:hint="default" w:ascii="Times New Roman" w:hAnsi="Times New Roman" w:cs="Times New Roman"/>
          <w:b/>
          <w:bCs/>
          <w:lang w:val="en-US" w:eastAsia="zh-CN"/>
        </w:rPr>
      </w:pPr>
      <w:r>
        <w:rPr>
          <w:rFonts w:hint="default" w:ascii="Times New Roman" w:hAnsi="Times New Roman" w:cs="Times New Roman"/>
          <w:b/>
          <w:bCs/>
          <w:lang w:val="en-US" w:eastAsia="zh-CN"/>
        </w:rPr>
        <w:t>technological and intercultural context</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In China, a great number of folk arts are deeply rooted in the countryside and serve crucial local purposes of economic production, artistic beauty, regional cultural identity, and ethnic cultural integration. If we are able to gain an in-depth understanding of them and generate new communication concepts in the modern technology environment, this will aid the practise of rural revitalization and the transmission of folk art and intangible cultural assets.</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Simultaneously, on the basis of theoretical innovation and maturity, endeavour to adapt it to further practises, such as teaching and intercultural sectors. This framework is utilised as the theoretical basis for designing the curriculum module of the cultural industry management major in university instruction. This theoretical system includes the theoretical study of communication, art, folklore, and anthropology-related knowledge, as well as field practise operations with folk art in the villages surrounding the university, which can form the training of theoretical and practical skills; at the same time, based on this in-depth knowledge of the folk art industry, theoretical and practical skills can be developed for the folk art industry. In conjunction with the industrial chain component, the conception and involvement of creative and enterprising student initiatives are completed.</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In contrast, the folk art communication practise is designed in a cross-cultural framework within the art practise, which is based on the six dimensions of culture, art, media, space, technology, and legacy. For instance, the selection of Chinese folk art (e.g., paper-cutting) dissemination activities in the United Kingdom (Wales), including the assessment of impacts, or the awareness and dissemination of British Welsh folk art among Chinese university students, in order to promote cultural interaction.</w:t>
      </w:r>
    </w:p>
    <w:p>
      <w:pPr>
        <w:numPr>
          <w:ilvl w:val="0"/>
          <w:numId w:val="0"/>
        </w:numPr>
        <w:ind w:firstLine="210" w:firstLineChars="100"/>
        <w:rPr>
          <w:rFonts w:hint="default" w:ascii="Times New Roman" w:hAnsi="Times New Roman" w:cs="Times New Roman"/>
          <w:lang w:val="en-US" w:eastAsia="zh-CN"/>
        </w:rPr>
      </w:pPr>
    </w:p>
    <w:p>
      <w:pPr>
        <w:rPr>
          <w:rFonts w:hint="default" w:ascii="Times New Roman" w:hAnsi="Times New Roman" w:eastAsia="Calibri" w:cs="Times New Roman"/>
          <w:b/>
          <w:bCs/>
          <w:color w:val="000000"/>
          <w:kern w:val="0"/>
          <w:sz w:val="24"/>
          <w:szCs w:val="24"/>
          <w:highlight w:val="none"/>
          <w:lang w:val="en-US" w:eastAsia="zh-CN" w:bidi="ar-SA"/>
        </w:rPr>
      </w:pPr>
      <w:r>
        <w:rPr>
          <w:rFonts w:hint="default" w:ascii="Times New Roman" w:hAnsi="Times New Roman" w:eastAsia="Calibri" w:cs="Times New Roman"/>
          <w:b/>
          <w:bCs/>
          <w:color w:val="000000"/>
          <w:kern w:val="0"/>
          <w:sz w:val="24"/>
          <w:szCs w:val="24"/>
          <w:highlight w:val="none"/>
          <w:lang w:val="en-US" w:eastAsia="zh-CN" w:bidi="ar-SA"/>
        </w:rPr>
        <w:t xml:space="preserve">Literature review </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In the last decade,'mediatization' has emerged as a new framework in the fields of communication studies and media studies to explore and reinterpret key questions concerning the role and effect of the media in culture and society. In particular, the mediatization hypothesis has been useful for analysing and evaluating how the media expands to other sectors and social institutions such as politics, family, and religion.</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In general, mediatization refers to the social and cultural processes by which a sphere or institution is dependent on the media's logic.(Asp1986; Hjarvard2008b).</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As Hepp (2012) and Couldry and Hepp (2013) illustrate, there are numerous definitions and nuances within them. Encheva et al. (2013) further remind us that competing terms include mediatization and mediation. The mediatization theory emerged to prominence in 2003 (Couldry &amp; Hepp, 2013)5 and "carries the legacy of both medium theory and effects research" (Encheva, 2011, p. 5). It can be viewed as a dialectical "interrelation" (Couldry &amp; Hepp, 2013, p. 197) between the media and society, which occurs while both evolve simultaneously. The media are viewed as permeating "institutions, social fields, and social systems" (Hepp, 2012, p. 3) in a variety of ways over time, despite the absence of a singular media logic.</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Consequently, mediatization can be viewed as a "meta-process" (Encheva, 2011, p. 5) that influences society to a comparable degree as globalisation. In addition, mediatization is a "continuous process of distributing media communication" that can occur in time, space, and society.</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 xml:space="preserve">In the temporal case, for example, Hepp (2012) explains that “the increasing number of technologically mediated communication is becoming more and more accessible all the time” (p. 13). An example he gives is TV, which never stops its flow of programming. </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Similarly, online content is constantly and endlessly updated at all hours and by any given user or enterprise, which Ruggiero refers to as the Web's "asynchronicity" (as cited in Alhabash &amp; Ma, 2017) and "demassification."</w:t>
      </w:r>
    </w:p>
    <w:p>
      <w:pPr>
        <w:keepNext w:val="0"/>
        <w:keepLines w:val="0"/>
        <w:widowControl/>
        <w:suppressLineNumbers w:val="0"/>
        <w:ind w:firstLine="210" w:firstLineChars="100"/>
        <w:jc w:val="left"/>
        <w:rPr>
          <w:rFonts w:hint="default" w:ascii="Times New Roman" w:hAnsi="Times New Roman" w:cs="Times New Roman"/>
          <w:lang w:val="en-US" w:eastAsia="zh-CN"/>
        </w:rPr>
      </w:pPr>
      <w:r>
        <w:rPr>
          <w:rFonts w:hint="default" w:ascii="Times New Roman" w:hAnsi="Times New Roman" w:cs="Times New Roman"/>
          <w:lang w:val="en-US" w:eastAsia="zh-CN"/>
        </w:rPr>
        <w:t>In his work, "Mediatization of culture and society," Stig Hjarvard suggested that mediatization studies investigate changes in the mediated social and cultural domain by analysing the institutional and mediated channels through which these changes are communicated. Mediatization studies are an essential lens for observing the transformation of contemporary society. In the past ten years, mediatization has arisen as a new theoretical framework for investigating the influence of technology on cultural and social development. By moving the emphasis from the process of mediatization to the influence of the media as a communication medium on long-term institutionalised changes in culture and society. Such developments build new cultural and social frameworks that influence every aspect of how individuals interact in their daily lives (Stig Hjarvard, 2013). Professor Hjarvard also suggested that mediatization is an inherent component of secularisation at the societal level, which may encourage secular behaviours and beliefs as well as attract religious fantasies of a typically more subjective type at the organisational and individual levels (Stig Hjarvard, 2011).</w:t>
      </w:r>
    </w:p>
    <w:p>
      <w:pPr>
        <w:keepNext w:val="0"/>
        <w:keepLines w:val="0"/>
        <w:widowControl/>
        <w:suppressLineNumbers w:val="0"/>
        <w:ind w:firstLine="210" w:firstLineChars="100"/>
        <w:jc w:val="left"/>
        <w:rPr>
          <w:rFonts w:hint="default" w:ascii="Times New Roman" w:hAnsi="Times New Roman" w:cs="Times New Roman"/>
          <w:lang w:val="en-US" w:eastAsia="zh-CN"/>
        </w:rPr>
      </w:pPr>
      <w:r>
        <w:rPr>
          <w:rFonts w:hint="default" w:ascii="Times New Roman" w:hAnsi="Times New Roman" w:cs="Times New Roman"/>
          <w:lang w:val="en-US" w:eastAsia="zh-CN"/>
        </w:rPr>
        <w:t>Many analyses have shown that current research on mediatization has reached into various empirical areas of society, such as the need to understand how political institutions adapt to the news and entertainment media in various ways ( Strmback 2008 ) , such as religion as a social and cultural institution, which is also influenced by the media in various ways. Such as family, folk music, cultural phenomena such as mediatization of emotions in hashtags in LGBTQI ( Gevisa La Rocca &amp; Cirus Rinaldi ,2020), and aging body, environmental issues, mediatization of sports ( Michael Skey, Chris Stone, 2017)</w:t>
      </w:r>
      <w:r>
        <w:rPr>
          <w:rFonts w:hint="eastAsia" w:ascii="Times New Roman" w:hAnsi="Times New Roman" w:cs="Times New Roman"/>
          <w:lang w:val="en-US" w:eastAsia="zh-CN"/>
        </w:rPr>
        <w:t>\(</w:t>
      </w:r>
      <w:r>
        <w:rPr>
          <w:rFonts w:hint="default" w:ascii="Times New Roman" w:hAnsi="Times New Roman" w:cs="Times New Roman"/>
          <w:lang w:val="en-US" w:eastAsia="zh-CN"/>
        </w:rPr>
        <w:t>Fernando Borges</w:t>
      </w:r>
      <w:r>
        <w:rPr>
          <w:rFonts w:hint="eastAsia" w:ascii="Times New Roman" w:hAnsi="Times New Roman" w:cs="Times New Roman"/>
          <w:lang w:val="en-US" w:eastAsia="zh-CN"/>
        </w:rPr>
        <w:t xml:space="preserve">,2019),and </w:t>
      </w:r>
      <w:r>
        <w:rPr>
          <w:rFonts w:hint="default" w:ascii="Times New Roman" w:hAnsi="Times New Roman" w:cs="Times New Roman"/>
          <w:lang w:val="en-US" w:eastAsia="zh-CN"/>
        </w:rPr>
        <w:t>the mediatization of law in Israel (Anat Peleg, Bryna Bogoch, 2012)</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and others, it is evident that mediatization theory and thinking has the potential to be studied and examined in many areas of society. The framework of mediatized research has proven its ability to span a variety of disciplines in a fruitful way. As our media and communication disciplines become increasingly professional, inward-looking and focused on new</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media technologies and their specific applications, mediatization studies have reformulated a range of fundamental questions about the interrelationships between media, communication, culture and society (Hjarvard, 2012).</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The impact of mediatization on folk art is broad and deep. On the one hand, technological developments have influenced the platforms and content presentation of media, and new texts and symbols are constantly emerging from new media for the dissemination of folk art, producing ever more innovative trans-media texts. The media are also a means of changing the ecology of folk art and the ways in which participants receive and behave. There are commonalities in traditional handicrafts, music and performing arts.</w:t>
      </w:r>
    </w:p>
    <w:p>
      <w:pPr>
        <w:ind w:firstLine="240" w:firstLineChars="100"/>
        <w:rPr>
          <w:rFonts w:hint="default" w:ascii="Times New Roman" w:hAnsi="Times New Roman" w:eastAsia="Calibri" w:cs="Times New Roman"/>
          <w:color w:val="000000"/>
          <w:kern w:val="0"/>
          <w:sz w:val="24"/>
          <w:szCs w:val="24"/>
          <w:lang w:val="en-US" w:eastAsia="zh-CN" w:bidi="ar-SA"/>
        </w:rPr>
      </w:pPr>
    </w:p>
    <w:p>
      <w:pPr>
        <w:rPr>
          <w:rFonts w:hint="default" w:ascii="Times New Roman" w:hAnsi="Times New Roman" w:eastAsia="Calibri" w:cs="Times New Roman"/>
          <w:color w:val="000000"/>
          <w:kern w:val="0"/>
          <w:sz w:val="24"/>
          <w:szCs w:val="24"/>
          <w:highlight w:val="none"/>
          <w:lang w:val="en-US" w:eastAsia="zh-CN" w:bidi="ar-SA"/>
        </w:rPr>
      </w:pPr>
      <w:r>
        <w:rPr>
          <w:rFonts w:hint="default" w:ascii="Times New Roman" w:hAnsi="Times New Roman" w:eastAsia="Calibri" w:cs="Times New Roman"/>
          <w:b/>
          <w:bCs/>
          <w:color w:val="000000"/>
          <w:kern w:val="0"/>
          <w:sz w:val="24"/>
          <w:szCs w:val="24"/>
          <w:highlight w:val="none"/>
          <w:lang w:val="en-US" w:eastAsia="zh-CN" w:bidi="ar-SA"/>
        </w:rPr>
        <w:t xml:space="preserve">Research </w:t>
      </w:r>
      <w:r>
        <w:rPr>
          <w:rFonts w:hint="eastAsia" w:ascii="Times New Roman" w:hAnsi="Times New Roman" w:eastAsia="Calibri" w:cs="Times New Roman"/>
          <w:b/>
          <w:bCs/>
          <w:color w:val="000000"/>
          <w:kern w:val="0"/>
          <w:sz w:val="24"/>
          <w:szCs w:val="24"/>
          <w:highlight w:val="none"/>
          <w:lang w:val="en-US" w:eastAsia="zh-CN" w:bidi="ar-SA"/>
        </w:rPr>
        <w:t>D</w:t>
      </w:r>
      <w:r>
        <w:rPr>
          <w:rFonts w:hint="default" w:ascii="Times New Roman" w:hAnsi="Times New Roman" w:eastAsia="Calibri" w:cs="Times New Roman"/>
          <w:b/>
          <w:bCs/>
          <w:color w:val="000000"/>
          <w:kern w:val="0"/>
          <w:sz w:val="24"/>
          <w:szCs w:val="24"/>
          <w:highlight w:val="none"/>
          <w:lang w:val="en-US" w:eastAsia="zh-CN" w:bidi="ar-SA"/>
        </w:rPr>
        <w:t>esign</w:t>
      </w:r>
      <w:r>
        <w:rPr>
          <w:rFonts w:hint="eastAsia" w:ascii="Times New Roman" w:hAnsi="Times New Roman" w:eastAsia="Calibri" w:cs="Times New Roman"/>
          <w:b/>
          <w:bCs/>
          <w:color w:val="000000"/>
          <w:kern w:val="0"/>
          <w:sz w:val="24"/>
          <w:szCs w:val="24"/>
          <w:highlight w:val="none"/>
          <w:lang w:val="en-US" w:eastAsia="zh-CN" w:bidi="ar-SA"/>
        </w:rPr>
        <w:t xml:space="preserve"> </w:t>
      </w:r>
      <w:r>
        <w:rPr>
          <w:rFonts w:hint="default" w:ascii="Times New Roman" w:hAnsi="Times New Roman" w:eastAsia="Calibri" w:cs="Times New Roman"/>
          <w:color w:val="000000"/>
          <w:kern w:val="0"/>
          <w:sz w:val="24"/>
          <w:szCs w:val="24"/>
          <w:highlight w:val="none"/>
          <w:lang w:val="en-US" w:eastAsia="zh-CN" w:bidi="ar-SA"/>
        </w:rPr>
        <w:t xml:space="preserve"> </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The academic connotations and logical relationships of the theoretical framework's core elements, such as folk art and the path of mediated expression, were explained through documentary research.</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Second, guided by this theoretical framework, we employ narrative research and rooted theory to enter the field, construct interview guides, perform participant observation, and gather data around six key words: culture, art, media, place, technology, and heritage. After the literature review and data analysis, the research will be included into a new, complete and in-depth interdisciplinary body of knowledge on folk art (</w:t>
      </w:r>
      <w:r>
        <w:rPr>
          <w:rFonts w:hint="eastAsia" w:ascii="Times New Roman" w:hAnsi="Times New Roman" w:cs="Times New Roman"/>
          <w:lang w:val="en-US" w:eastAsia="zh-CN"/>
        </w:rPr>
        <w:t>Zherong</w:t>
      </w:r>
      <w:r>
        <w:rPr>
          <w:rFonts w:hint="default" w:ascii="Times New Roman" w:hAnsi="Times New Roman" w:cs="Times New Roman"/>
          <w:lang w:val="en-US" w:eastAsia="zh-CN"/>
        </w:rPr>
        <w:t xml:space="preserve"> paper-cutting) by combining the theoretical perspective of "mediatization" in media studies with the ontology of folk art.</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Thirdly, the theoretical framework will serve as a guide for designing the intercultural communication and dissemination of folk art. This theoretical framework will serve as a guide for the development of cross-media art forms in folk art, based on the theories it contains.</w:t>
      </w:r>
    </w:p>
    <w:p>
      <w:pPr>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highlight w:val="none"/>
          <w:lang w:val="en-US" w:eastAsia="zh-CN" w:bidi="ar-SA"/>
        </w:rPr>
        <w:t xml:space="preserve">Methods and </w:t>
      </w:r>
      <w:r>
        <w:rPr>
          <w:rFonts w:hint="eastAsia" w:ascii="Times New Roman" w:hAnsi="Times New Roman" w:eastAsia="Calibri" w:cs="Times New Roman"/>
          <w:b/>
          <w:bCs/>
          <w:color w:val="000000"/>
          <w:kern w:val="0"/>
          <w:sz w:val="24"/>
          <w:szCs w:val="24"/>
          <w:highlight w:val="none"/>
          <w:lang w:val="en-US" w:eastAsia="zh-CN" w:bidi="ar-SA"/>
        </w:rPr>
        <w:t xml:space="preserve">Data Analysis </w:t>
      </w:r>
      <w:r>
        <w:rPr>
          <w:rFonts w:hint="default" w:ascii="Times New Roman" w:hAnsi="Times New Roman" w:eastAsia="Calibri" w:cs="Times New Roman"/>
          <w:b/>
          <w:bCs/>
          <w:color w:val="000000"/>
          <w:kern w:val="0"/>
          <w:sz w:val="24"/>
          <w:szCs w:val="24"/>
          <w:highlight w:val="none"/>
          <w:lang w:val="en-US" w:eastAsia="zh-CN" w:bidi="ar-SA"/>
        </w:rPr>
        <w:t xml:space="preserve"> </w:t>
      </w:r>
      <w:r>
        <w:rPr>
          <w:rFonts w:hint="default" w:ascii="Times New Roman" w:hAnsi="Times New Roman" w:eastAsia="Calibri" w:cs="Times New Roman"/>
          <w:color w:val="000000"/>
          <w:kern w:val="0"/>
          <w:sz w:val="24"/>
          <w:szCs w:val="24"/>
          <w:highlight w:val="none"/>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 xml:space="preserve"> </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1. Through literature search and reading, the theories of "mediatization" are sorted out; secondly, the theoretical level of the feasibility of mediatization applied to the study of folk art is demonstrated; thirdly, key concepts are explained; fourthly, logical relationships between concepts are established; fifthly, a framework, including culture, technology, and space, is formed; and sixthly, the framework is clearly explained by combining theoretical and practical analysis. The underlying structure of the "mediated theory of folk art."</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2. On the basis of the mediated theory, an in-depth analysis and interpretation of the folk art case of "Tsugrong paper-cutting" is conducted to demonstrate the explanatory power of the mediated folk art framework, and through vivid cases, mixed research methods such as narrative research, participatory observation, qualitative interviews, and questionnaire surveys are used to collect relevant literature, archival materials, and information regarding Tsugrong paper-cutting. Using a combination of narrative research, participant observation, qualitative interviews, and questionnaires, this study collects data from surrounding literature, archives, and interviews with actors and participants to demonstrate how the mediated development of folk art manifests itself in the case of Tsugrong paper-cutting.</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The interviews include qualitative data on the impact of the Internet and other media technologies on the development of paper-cutting since 2008, the impact on the local paper-cutting industry in a variety of ways, whether paper-cutting inheritors and practitioners have experienced a distinct transformation in their creative content and style, and what opportunities and challenges they have encountered, as well as the perspectives of local government officials on the impact of technology. What is the relationship between the impact of technology and the growth of paper-cutting in the local area, and how do the various stakeholders view the impact of technology?</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Questionnaires: A questionnaire was prepared to assess the content features and audience experience of the traditional media and digital platforms now employed in Zhe Rong County to communicate the art of paper-cutting. Also including interviews.</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3. Data analysis: Using Nvivo software, the collected data was analysed to identify trends based on actual cases depicted in the media. In conjunction with the acquired theoretical knowledge from the literature search, the theoretical framework for the development of mediated folk art was enriched and improved.</w:t>
      </w:r>
    </w:p>
    <w:p>
      <w:pPr>
        <w:numPr>
          <w:ilvl w:val="0"/>
          <w:numId w:val="0"/>
        </w:numPr>
        <w:ind w:firstLine="210" w:firstLineChars="100"/>
        <w:rPr>
          <w:rFonts w:hint="default" w:ascii="Times New Roman" w:hAnsi="Times New Roman" w:cs="Times New Roman"/>
          <w:lang w:val="en-US" w:eastAsia="zh-CN"/>
        </w:rPr>
      </w:pPr>
      <w:r>
        <w:rPr>
          <w:rFonts w:hint="default" w:ascii="Times New Roman" w:hAnsi="Times New Roman" w:cs="Times New Roman"/>
          <w:lang w:val="en-US" w:eastAsia="zh-CN"/>
        </w:rPr>
        <w:t>4. Further optimise and improve the practical guidance function of the framework; apply the theory to the guidance of folk art intercultural art practise; and apply the theory to the guidance of folk art international art practise.</w:t>
      </w:r>
    </w:p>
    <w:p>
      <w:pPr>
        <w:numPr>
          <w:ilvl w:val="0"/>
          <w:numId w:val="0"/>
        </w:numPr>
        <w:ind w:firstLine="210" w:firstLineChars="100"/>
        <w:rPr>
          <w:rFonts w:hint="default" w:ascii="Times New Roman" w:hAnsi="Times New Roman" w:cs="Times New Roman"/>
          <w:highlight w:val="none"/>
          <w:lang w:val="en-US" w:eastAsia="zh-CN"/>
        </w:rPr>
      </w:pPr>
    </w:p>
    <w:p>
      <w:pPr>
        <w:rPr>
          <w:rFonts w:hint="default" w:ascii="Times New Roman" w:hAnsi="Times New Roman" w:eastAsia="Calibri" w:cs="Times New Roman"/>
          <w:b/>
          <w:bCs/>
          <w:color w:val="000000"/>
          <w:kern w:val="0"/>
          <w:sz w:val="24"/>
          <w:szCs w:val="24"/>
          <w:highlight w:val="none"/>
          <w:lang w:val="en-US" w:eastAsia="zh-CN" w:bidi="ar-SA"/>
        </w:rPr>
      </w:pPr>
      <w:r>
        <w:rPr>
          <w:rFonts w:hint="default" w:ascii="Times New Roman" w:hAnsi="Times New Roman" w:eastAsia="Calibri" w:cs="Times New Roman"/>
          <w:b/>
          <w:bCs/>
          <w:color w:val="000000"/>
          <w:kern w:val="0"/>
          <w:sz w:val="24"/>
          <w:szCs w:val="24"/>
          <w:highlight w:val="none"/>
          <w:lang w:val="en-US" w:eastAsia="zh-CN" w:bidi="ar-SA"/>
        </w:rPr>
        <w:t>Reference</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Borges, F. (2019). Soccer Clubs as Media Organizations: A Case Study of Benfica TV and PSG TV. </w:t>
      </w:r>
      <w:r>
        <w:rPr>
          <w:rFonts w:hint="default" w:ascii="Times New Roman" w:hAnsi="Times New Roman" w:cs="Times New Roman"/>
          <w:i/>
          <w:iCs/>
          <w:sz w:val="21"/>
          <w:szCs w:val="21"/>
        </w:rPr>
        <w:t>International Journal of Sport Communication</w:t>
      </w:r>
      <w:r>
        <w:rPr>
          <w:rFonts w:hint="default" w:ascii="Times New Roman" w:hAnsi="Times New Roman" w:cs="Times New Roman"/>
          <w:sz w:val="21"/>
          <w:szCs w:val="21"/>
        </w:rPr>
        <w:t>, 12(2), pp.275–294. doi:10.1123/ijsc.2019-0001.</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Casero-Ripollés, A., Feenstra, R.A. and Tormey, S. (2016). Old and New Media Logics in an Electoral Campaign. </w:t>
      </w:r>
      <w:r>
        <w:rPr>
          <w:rFonts w:hint="default" w:ascii="Times New Roman" w:hAnsi="Times New Roman" w:cs="Times New Roman"/>
          <w:i/>
          <w:iCs/>
          <w:sz w:val="21"/>
          <w:szCs w:val="21"/>
        </w:rPr>
        <w:t>The International Journal of Press/Politics</w:t>
      </w:r>
      <w:r>
        <w:rPr>
          <w:rFonts w:hint="default" w:ascii="Times New Roman" w:hAnsi="Times New Roman" w:cs="Times New Roman"/>
          <w:sz w:val="21"/>
          <w:szCs w:val="21"/>
        </w:rPr>
        <w:t>, 21(3), pp.378–397. doi:10.1177/1940161216645340.</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Couldry, N. (2008). Mediatization or mediation? Alternative understandings of the emergent space of digital storytelling. </w:t>
      </w:r>
      <w:r>
        <w:rPr>
          <w:rFonts w:hint="default" w:ascii="Times New Roman" w:hAnsi="Times New Roman" w:cs="Times New Roman"/>
          <w:i/>
          <w:iCs/>
          <w:sz w:val="21"/>
          <w:szCs w:val="21"/>
        </w:rPr>
        <w:t>New Media &amp; Society</w:t>
      </w:r>
      <w:r>
        <w:rPr>
          <w:rFonts w:hint="default" w:ascii="Times New Roman" w:hAnsi="Times New Roman" w:cs="Times New Roman"/>
          <w:sz w:val="21"/>
          <w:szCs w:val="21"/>
        </w:rPr>
        <w:t>, [online] 10(3), pp.373–391. doi:10.1177/1461444808089414.</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Couldry, N. (2011). </w:t>
      </w:r>
      <w:r>
        <w:rPr>
          <w:rFonts w:hint="default" w:ascii="Times New Roman" w:hAnsi="Times New Roman" w:cs="Times New Roman"/>
          <w:i/>
          <w:iCs/>
          <w:sz w:val="21"/>
          <w:szCs w:val="21"/>
        </w:rPr>
        <w:t>Why voice matters : culture and politics after neoliberalism</w:t>
      </w:r>
      <w:r>
        <w:rPr>
          <w:rFonts w:hint="default" w:ascii="Times New Roman" w:hAnsi="Times New Roman" w:cs="Times New Roman"/>
          <w:sz w:val="21"/>
          <w:szCs w:val="21"/>
        </w:rPr>
        <w:t>. Los Angeles: Sage Publ.</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Couldry, N. and Hepp, A. (2018). </w:t>
      </w:r>
      <w:r>
        <w:rPr>
          <w:rFonts w:hint="default" w:ascii="Times New Roman" w:hAnsi="Times New Roman" w:cs="Times New Roman"/>
          <w:i/>
          <w:iCs/>
          <w:sz w:val="21"/>
          <w:szCs w:val="21"/>
        </w:rPr>
        <w:t>The mediated construction of reality</w:t>
      </w:r>
      <w:r>
        <w:rPr>
          <w:rFonts w:hint="default" w:ascii="Times New Roman" w:hAnsi="Times New Roman" w:cs="Times New Roman"/>
          <w:sz w:val="21"/>
          <w:szCs w:val="21"/>
        </w:rPr>
        <w:t>. Cambridge, Uk ; Malden, Ma, Usa: Polity Press.</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Couldry, N. and Ulises Ali Mejias (2019). </w:t>
      </w:r>
      <w:r>
        <w:rPr>
          <w:rFonts w:hint="default" w:ascii="Times New Roman" w:hAnsi="Times New Roman" w:cs="Times New Roman"/>
          <w:i/>
          <w:iCs/>
          <w:sz w:val="21"/>
          <w:szCs w:val="21"/>
        </w:rPr>
        <w:t>The costs of connection : how data is colonizing human life and appropriating it for capitalism</w:t>
      </w:r>
      <w:r>
        <w:rPr>
          <w:rFonts w:hint="default" w:ascii="Times New Roman" w:hAnsi="Times New Roman" w:cs="Times New Roman"/>
          <w:sz w:val="21"/>
          <w:szCs w:val="21"/>
        </w:rPr>
        <w:t>. Stanford, California: Stanford University Press.</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Hartley, J. (2020). </w:t>
      </w:r>
      <w:r>
        <w:rPr>
          <w:rFonts w:hint="default" w:ascii="Times New Roman" w:hAnsi="Times New Roman" w:cs="Times New Roman"/>
          <w:i/>
          <w:iCs/>
          <w:sz w:val="21"/>
          <w:szCs w:val="21"/>
        </w:rPr>
        <w:t>Communication, cultural and media studies</w:t>
      </w:r>
      <w:r>
        <w:rPr>
          <w:rFonts w:hint="default" w:ascii="Times New Roman" w:hAnsi="Times New Roman" w:cs="Times New Roman"/>
          <w:sz w:val="21"/>
          <w:szCs w:val="21"/>
        </w:rPr>
        <w:t>. London ; New York: Routledge.</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Hasebrink, U. and Hepp, A. (2017a). How to research cross-media practices? Investigating media repertoires and media ensembles. </w:t>
      </w:r>
      <w:r>
        <w:rPr>
          <w:rFonts w:hint="default" w:ascii="Times New Roman" w:hAnsi="Times New Roman" w:cs="Times New Roman"/>
          <w:i/>
          <w:iCs/>
          <w:sz w:val="21"/>
          <w:szCs w:val="21"/>
        </w:rPr>
        <w:t>Convergence: The International Journal of Research into New Media Technologies</w:t>
      </w:r>
      <w:r>
        <w:rPr>
          <w:rFonts w:hint="default" w:ascii="Times New Roman" w:hAnsi="Times New Roman" w:cs="Times New Roman"/>
          <w:sz w:val="21"/>
          <w:szCs w:val="21"/>
        </w:rPr>
        <w:t>, 23(4), pp.362–377. doi:10.1177/1354856517700384.</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Hasebrink, U. and Hepp, A. (2017b). How to research cross-media practices? Investigating media repertoires and media ensembles. </w:t>
      </w:r>
      <w:r>
        <w:rPr>
          <w:rFonts w:hint="default" w:ascii="Times New Roman" w:hAnsi="Times New Roman" w:cs="Times New Roman"/>
          <w:i/>
          <w:iCs/>
          <w:sz w:val="21"/>
          <w:szCs w:val="21"/>
        </w:rPr>
        <w:t>Convergence: The International Journal of Research into New Media Technologies</w:t>
      </w:r>
      <w:r>
        <w:rPr>
          <w:rFonts w:hint="default" w:ascii="Times New Roman" w:hAnsi="Times New Roman" w:cs="Times New Roman"/>
          <w:sz w:val="21"/>
          <w:szCs w:val="21"/>
        </w:rPr>
        <w:t>, 23(4), pp.362–377. doi:10.1177/1354856517700384.</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Hepp, A. and Friedrich Krotz (2014). </w:t>
      </w:r>
      <w:r>
        <w:rPr>
          <w:rFonts w:hint="default" w:ascii="Times New Roman" w:hAnsi="Times New Roman" w:cs="Times New Roman"/>
          <w:i/>
          <w:iCs/>
          <w:sz w:val="21"/>
          <w:szCs w:val="21"/>
        </w:rPr>
        <w:t>Mediatized worlds : culture and society in a media age</w:t>
      </w:r>
      <w:r>
        <w:rPr>
          <w:rFonts w:hint="default" w:ascii="Times New Roman" w:hAnsi="Times New Roman" w:cs="Times New Roman"/>
          <w:sz w:val="21"/>
          <w:szCs w:val="21"/>
        </w:rPr>
        <w:t>. Basingstoke, Hampshire: Palgrave Macmillan, pp.233–249.</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Hepp, A., Hjarvard, S. and Lundby, K. (2010). Mediatization – Empirical perspectives: An introduction to a special issue. </w:t>
      </w:r>
      <w:r>
        <w:rPr>
          <w:rFonts w:hint="default" w:ascii="Times New Roman" w:hAnsi="Times New Roman" w:cs="Times New Roman"/>
          <w:i/>
          <w:iCs/>
          <w:sz w:val="21"/>
          <w:szCs w:val="21"/>
        </w:rPr>
        <w:t>Communications</w:t>
      </w:r>
      <w:r>
        <w:rPr>
          <w:rFonts w:hint="default" w:ascii="Times New Roman" w:hAnsi="Times New Roman" w:cs="Times New Roman"/>
          <w:sz w:val="21"/>
          <w:szCs w:val="21"/>
        </w:rPr>
        <w:t>, 35(3). doi:10.1515/comm.2010.012.</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Hjarvard, S. (2011). The mediatisation of religion: Theorising religion, media and social change. </w:t>
      </w:r>
      <w:r>
        <w:rPr>
          <w:rFonts w:hint="default" w:ascii="Times New Roman" w:hAnsi="Times New Roman" w:cs="Times New Roman"/>
          <w:i/>
          <w:iCs/>
          <w:sz w:val="21"/>
          <w:szCs w:val="21"/>
        </w:rPr>
        <w:t>Culture and Religion</w:t>
      </w:r>
      <w:r>
        <w:rPr>
          <w:rFonts w:hint="default" w:ascii="Times New Roman" w:hAnsi="Times New Roman" w:cs="Times New Roman"/>
          <w:sz w:val="21"/>
          <w:szCs w:val="21"/>
        </w:rPr>
        <w:t>, 12(2), pp.119–135. doi:10.1080/14755610.2011.579719.</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Hjarvard, S. (2012). Mediatization: Theorising the Media as Agents of Social and Cultural Change. </w:t>
      </w:r>
      <w:r>
        <w:rPr>
          <w:rFonts w:hint="default" w:ascii="Times New Roman" w:hAnsi="Times New Roman" w:cs="Times New Roman"/>
          <w:i/>
          <w:iCs/>
          <w:sz w:val="21"/>
          <w:szCs w:val="21"/>
        </w:rPr>
        <w:t>Matrizes</w:t>
      </w:r>
      <w:r>
        <w:rPr>
          <w:rFonts w:hint="default" w:ascii="Times New Roman" w:hAnsi="Times New Roman" w:cs="Times New Roman"/>
          <w:sz w:val="21"/>
          <w:szCs w:val="21"/>
        </w:rPr>
        <w:t>, 5(2), p.53. doi:10.11606/issn.1982-8160.v5i2p53-91.</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Hjarvard, S. (2014). Mediatization: conceptualizing cultural and social change. </w:t>
      </w:r>
      <w:r>
        <w:rPr>
          <w:rFonts w:hint="default" w:ascii="Times New Roman" w:hAnsi="Times New Roman" w:cs="Times New Roman"/>
          <w:i/>
          <w:iCs/>
          <w:sz w:val="21"/>
          <w:szCs w:val="21"/>
        </w:rPr>
        <w:t>Matrizes</w:t>
      </w:r>
      <w:r>
        <w:rPr>
          <w:rFonts w:hint="default" w:ascii="Times New Roman" w:hAnsi="Times New Roman" w:cs="Times New Roman"/>
          <w:sz w:val="21"/>
          <w:szCs w:val="21"/>
        </w:rPr>
        <w:t>, 8(1), p.21. doi:10.11606/issn.1982-8160.v8i1p21-44.</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Hjavard (2008). The mediatization of religion: A theory of the media as agents of religious change. </w:t>
      </w:r>
      <w:r>
        <w:rPr>
          <w:rFonts w:hint="default" w:ascii="Times New Roman" w:hAnsi="Times New Roman" w:cs="Times New Roman"/>
          <w:i/>
          <w:iCs/>
          <w:sz w:val="21"/>
          <w:szCs w:val="21"/>
        </w:rPr>
        <w:t>Northern Lights</w:t>
      </w:r>
      <w:r>
        <w:rPr>
          <w:rFonts w:hint="default" w:ascii="Times New Roman" w:hAnsi="Times New Roman" w:cs="Times New Roman"/>
          <w:sz w:val="21"/>
          <w:szCs w:val="21"/>
        </w:rPr>
        <w:t>, 6(1). doi:10.1386/nl.6.1.9/1.</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Jansson, A. (2002). The Mediatization of Consumption. </w:t>
      </w:r>
      <w:r>
        <w:rPr>
          <w:rFonts w:hint="default" w:ascii="Times New Roman" w:hAnsi="Times New Roman" w:cs="Times New Roman"/>
          <w:i/>
          <w:iCs/>
          <w:sz w:val="21"/>
          <w:szCs w:val="21"/>
        </w:rPr>
        <w:t>Journal of Consumer Culture</w:t>
      </w:r>
      <w:r>
        <w:rPr>
          <w:rFonts w:hint="default" w:ascii="Times New Roman" w:hAnsi="Times New Roman" w:cs="Times New Roman"/>
          <w:sz w:val="21"/>
          <w:szCs w:val="21"/>
        </w:rPr>
        <w:t>, 2(1), pp.5–31. doi:10.1177/146954050200200101.</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Jansson, A. (2013). Mediatization and Social Space: Reconstructing Mediatization for the Transmedia Age. </w:t>
      </w:r>
      <w:r>
        <w:rPr>
          <w:rFonts w:hint="default" w:ascii="Times New Roman" w:hAnsi="Times New Roman" w:cs="Times New Roman"/>
          <w:i/>
          <w:iCs/>
          <w:sz w:val="21"/>
          <w:szCs w:val="21"/>
        </w:rPr>
        <w:t>Communication Theory</w:t>
      </w:r>
      <w:r>
        <w:rPr>
          <w:rFonts w:hint="default" w:ascii="Times New Roman" w:hAnsi="Times New Roman" w:cs="Times New Roman"/>
          <w:sz w:val="21"/>
          <w:szCs w:val="21"/>
        </w:rPr>
        <w:t>, 23(3), pp.279–296. doi:10.1111/comt.12015.</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Jansson, A. (2015). The molding of mediatization: The stratified indispensability of media in close relationships. </w:t>
      </w:r>
      <w:r>
        <w:rPr>
          <w:rFonts w:hint="default" w:ascii="Times New Roman" w:hAnsi="Times New Roman" w:cs="Times New Roman"/>
          <w:i/>
          <w:iCs/>
          <w:sz w:val="21"/>
          <w:szCs w:val="21"/>
        </w:rPr>
        <w:t>Communications</w:t>
      </w:r>
      <w:r>
        <w:rPr>
          <w:rFonts w:hint="default" w:ascii="Times New Roman" w:hAnsi="Times New Roman" w:cs="Times New Roman"/>
          <w:sz w:val="21"/>
          <w:szCs w:val="21"/>
        </w:rPr>
        <w:t>, 40(4). doi:10.1515/commun-2015-0021.</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Jansson, A. (2018). Mediatization as a Framework for Social Design: For a Better Life with Media. </w:t>
      </w:r>
      <w:r>
        <w:rPr>
          <w:rFonts w:hint="default" w:ascii="Times New Roman" w:hAnsi="Times New Roman" w:cs="Times New Roman"/>
          <w:i/>
          <w:iCs/>
          <w:sz w:val="21"/>
          <w:szCs w:val="21"/>
        </w:rPr>
        <w:t>Design and Culture</w:t>
      </w:r>
      <w:r>
        <w:rPr>
          <w:rFonts w:hint="default" w:ascii="Times New Roman" w:hAnsi="Times New Roman" w:cs="Times New Roman"/>
          <w:sz w:val="21"/>
          <w:szCs w:val="21"/>
        </w:rPr>
        <w:t>, 10(3), pp.233–252. doi:10.1080/17547075.2018.1511140.</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Johannes Fehrle and SchäfkeW. (2019). </w:t>
      </w:r>
      <w:r>
        <w:rPr>
          <w:rFonts w:hint="default" w:ascii="Times New Roman" w:hAnsi="Times New Roman" w:cs="Times New Roman"/>
          <w:i/>
          <w:iCs/>
          <w:sz w:val="21"/>
          <w:szCs w:val="21"/>
        </w:rPr>
        <w:t>Adaptation in the age of media convergence</w:t>
      </w:r>
      <w:r>
        <w:rPr>
          <w:rFonts w:hint="default" w:ascii="Times New Roman" w:hAnsi="Times New Roman" w:cs="Times New Roman"/>
          <w:sz w:val="21"/>
          <w:szCs w:val="21"/>
        </w:rPr>
        <w:t>. Amsterdam: Amsterdam University Press.</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La Rocca, G. and Rinaldi, C. (2020). LGBTQI+ icons between resistance and normalization: looking for mediatization of emotions in hashtags. </w:t>
      </w:r>
      <w:r>
        <w:rPr>
          <w:rFonts w:hint="default" w:ascii="Times New Roman" w:hAnsi="Times New Roman" w:cs="Times New Roman"/>
          <w:i/>
          <w:iCs/>
          <w:sz w:val="21"/>
          <w:szCs w:val="21"/>
        </w:rPr>
        <w:t>International Review of Sociology</w:t>
      </w:r>
      <w:r>
        <w:rPr>
          <w:rFonts w:hint="default" w:ascii="Times New Roman" w:hAnsi="Times New Roman" w:cs="Times New Roman"/>
          <w:sz w:val="21"/>
          <w:szCs w:val="21"/>
        </w:rPr>
        <w:t>, 30(1), pp.26–45. doi:10.1080/03906701.2020.1724367.</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Meyen, M., Thieroff, M. and Strenger, S. (2014). Mass Media Logic and The Mediatization of Politics. </w:t>
      </w:r>
      <w:r>
        <w:rPr>
          <w:rFonts w:hint="default" w:ascii="Times New Roman" w:hAnsi="Times New Roman" w:cs="Times New Roman"/>
          <w:i/>
          <w:iCs/>
          <w:sz w:val="21"/>
          <w:szCs w:val="21"/>
        </w:rPr>
        <w:t>Journalism Studies</w:t>
      </w:r>
      <w:r>
        <w:rPr>
          <w:rFonts w:hint="default" w:ascii="Times New Roman" w:hAnsi="Times New Roman" w:cs="Times New Roman"/>
          <w:sz w:val="21"/>
          <w:szCs w:val="21"/>
        </w:rPr>
        <w:t>, 15(3), pp.271–288. doi:10.1080/1461670x.2014.889459.</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Peleg, A. and Bogoch, B. (2012). Removing Justitia’s blindfold: the mediatization of law in Israel. </w:t>
      </w:r>
      <w:r>
        <w:rPr>
          <w:rFonts w:hint="default" w:ascii="Times New Roman" w:hAnsi="Times New Roman" w:cs="Times New Roman"/>
          <w:i/>
          <w:iCs/>
          <w:sz w:val="21"/>
          <w:szCs w:val="21"/>
        </w:rPr>
        <w:t>Media, Culture &amp; Society</w:t>
      </w:r>
      <w:r>
        <w:rPr>
          <w:rFonts w:hint="default" w:ascii="Times New Roman" w:hAnsi="Times New Roman" w:cs="Times New Roman"/>
          <w:sz w:val="21"/>
          <w:szCs w:val="21"/>
        </w:rPr>
        <w:t>, 34(8), pp.961–978. doi:10.1177/0163443712455558.</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Régis Debray (1996). </w:t>
      </w:r>
      <w:r>
        <w:rPr>
          <w:rFonts w:hint="default" w:ascii="Times New Roman" w:hAnsi="Times New Roman" w:cs="Times New Roman"/>
          <w:i/>
          <w:iCs/>
          <w:sz w:val="21"/>
          <w:szCs w:val="21"/>
        </w:rPr>
        <w:t>Media manifestos : on the technological transmission of cultural forms</w:t>
      </w:r>
      <w:r>
        <w:rPr>
          <w:rFonts w:hint="default" w:ascii="Times New Roman" w:hAnsi="Times New Roman" w:cs="Times New Roman"/>
          <w:sz w:val="21"/>
          <w:szCs w:val="21"/>
        </w:rPr>
        <w:t>. London ; New York: Verso.</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Stig Hjarvard (2001). </w:t>
      </w:r>
      <w:r>
        <w:rPr>
          <w:rFonts w:hint="default" w:ascii="Times New Roman" w:hAnsi="Times New Roman" w:cs="Times New Roman"/>
          <w:i/>
          <w:iCs/>
          <w:sz w:val="21"/>
          <w:szCs w:val="21"/>
        </w:rPr>
        <w:t>News in a globalized society</w:t>
      </w:r>
      <w:r>
        <w:rPr>
          <w:rFonts w:hint="default" w:ascii="Times New Roman" w:hAnsi="Times New Roman" w:cs="Times New Roman"/>
          <w:sz w:val="21"/>
          <w:szCs w:val="21"/>
        </w:rPr>
        <w:t>. Göteborg: Nordicom.</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Stig Hjarvard (2003). </w:t>
      </w:r>
      <w:r>
        <w:rPr>
          <w:rFonts w:hint="default" w:ascii="Times New Roman" w:hAnsi="Times New Roman" w:cs="Times New Roman"/>
          <w:i/>
          <w:iCs/>
          <w:sz w:val="21"/>
          <w:szCs w:val="21"/>
        </w:rPr>
        <w:t>Media in a globalized society</w:t>
      </w:r>
      <w:r>
        <w:rPr>
          <w:rFonts w:hint="default" w:ascii="Times New Roman" w:hAnsi="Times New Roman" w:cs="Times New Roman"/>
          <w:sz w:val="21"/>
          <w:szCs w:val="21"/>
        </w:rPr>
        <w:t>. Copenhagen: Museum Tusculanum Press, University Of Copenhagen, Cop.</w:t>
      </w:r>
    </w:p>
    <w:p>
      <w:pPr>
        <w:pStyle w:val="5"/>
        <w:keepNext w:val="0"/>
        <w:keepLines w:val="0"/>
        <w:widowControl/>
        <w:suppressLineNumbers w:val="0"/>
        <w:spacing w:before="0" w:beforeAutospacing="0" w:after="210" w:afterAutospacing="0" w:line="360" w:lineRule="auto"/>
        <w:rPr>
          <w:sz w:val="21"/>
          <w:szCs w:val="21"/>
        </w:rPr>
      </w:pPr>
      <w:r>
        <w:rPr>
          <w:rFonts w:hint="default" w:ascii="Times New Roman" w:hAnsi="Times New Roman" w:cs="Times New Roman"/>
          <w:sz w:val="21"/>
          <w:szCs w:val="21"/>
        </w:rPr>
        <w:t xml:space="preserve">Stig Hjarvard (2013). </w:t>
      </w:r>
      <w:r>
        <w:rPr>
          <w:rFonts w:hint="default" w:ascii="Times New Roman" w:hAnsi="Times New Roman" w:cs="Times New Roman"/>
          <w:i/>
          <w:iCs/>
          <w:sz w:val="21"/>
          <w:szCs w:val="21"/>
        </w:rPr>
        <w:t>The mediatization of culture and society</w:t>
      </w:r>
      <w:r>
        <w:rPr>
          <w:rFonts w:hint="default" w:ascii="Times New Roman" w:hAnsi="Times New Roman" w:cs="Times New Roman"/>
          <w:sz w:val="21"/>
          <w:szCs w:val="21"/>
        </w:rPr>
        <w:t>. Oxon: Routledge.</w:t>
      </w: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p>
    <w:p>
      <w:pPr>
        <w:rPr>
          <w:rFonts w:hint="default" w:ascii="Times New Roman" w:hAnsi="Times New Roman" w:eastAsia="Calibri" w:cs="Times New Roman"/>
          <w:b/>
          <w:bCs/>
          <w:color w:val="000000"/>
          <w:kern w:val="0"/>
          <w:sz w:val="21"/>
          <w:szCs w:val="21"/>
          <w:highlight w:val="cyan"/>
          <w:lang w:val="en-US" w:eastAsia="zh-CN" w:bidi="ar-SA"/>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DB74B17"/>
    <w:multiLevelType w:val="singleLevel"/>
    <w:tmpl w:val="9DB74B17"/>
    <w:lvl w:ilvl="0" w:tentative="0">
      <w:start w:val="3"/>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Y4NDBjOTJiMGE5NzI0YTQxMWIxZGU1YTcwMWE3ZmIifQ=="/>
  </w:docVars>
  <w:rsids>
    <w:rsidRoot w:val="3AA47EAE"/>
    <w:rsid w:val="00EA233A"/>
    <w:rsid w:val="04052801"/>
    <w:rsid w:val="075C181F"/>
    <w:rsid w:val="0869623A"/>
    <w:rsid w:val="09151F1E"/>
    <w:rsid w:val="0D3112F1"/>
    <w:rsid w:val="0E372618"/>
    <w:rsid w:val="0EAA425E"/>
    <w:rsid w:val="10D41E94"/>
    <w:rsid w:val="129F0AAB"/>
    <w:rsid w:val="14F96B98"/>
    <w:rsid w:val="19D465D8"/>
    <w:rsid w:val="1A1F2D97"/>
    <w:rsid w:val="1BF577A8"/>
    <w:rsid w:val="1D373AAF"/>
    <w:rsid w:val="1E861883"/>
    <w:rsid w:val="23DA4D4A"/>
    <w:rsid w:val="28911264"/>
    <w:rsid w:val="29F22ACF"/>
    <w:rsid w:val="30C22EE3"/>
    <w:rsid w:val="33162ABB"/>
    <w:rsid w:val="33524058"/>
    <w:rsid w:val="36054F45"/>
    <w:rsid w:val="37F708BD"/>
    <w:rsid w:val="383F0638"/>
    <w:rsid w:val="3AA47EAE"/>
    <w:rsid w:val="3CDA6666"/>
    <w:rsid w:val="3D2C6C0F"/>
    <w:rsid w:val="3E9167AC"/>
    <w:rsid w:val="40E421B0"/>
    <w:rsid w:val="40F64E98"/>
    <w:rsid w:val="427C0E32"/>
    <w:rsid w:val="486F0D70"/>
    <w:rsid w:val="521A462A"/>
    <w:rsid w:val="56E83D9B"/>
    <w:rsid w:val="56F1653F"/>
    <w:rsid w:val="58281192"/>
    <w:rsid w:val="5B490B80"/>
    <w:rsid w:val="5C4C5B7C"/>
    <w:rsid w:val="5DCB1D21"/>
    <w:rsid w:val="68F72239"/>
    <w:rsid w:val="69F018BB"/>
    <w:rsid w:val="6DD07465"/>
    <w:rsid w:val="6DE450DB"/>
    <w:rsid w:val="7150713E"/>
    <w:rsid w:val="74846BDD"/>
    <w:rsid w:val="75664E30"/>
    <w:rsid w:val="76DB0DCF"/>
    <w:rsid w:val="774B7D02"/>
    <w:rsid w:val="77C2433B"/>
    <w:rsid w:val="7D821FA4"/>
    <w:rsid w:val="7F533B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99" w:name="header"/>
    <w:lsdException w:qFormat="1"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qFormat="1" w:unhideWhenUsed="0" w:uiPriority="99"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99" w:semiHidden="0" w:name="Hyperlink"/>
    <w:lsdException w:unhideWhenUsed="0" w:uiPriority="0" w:semiHidden="0" w:name="FollowedHyperlink"/>
    <w:lsdException w:qFormat="1" w:unhideWhenUsed="0" w:uiPriority="22"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5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9"/>
    <w:pPr>
      <w:keepNext/>
      <w:tabs>
        <w:tab w:val="left" w:pos="5103"/>
      </w:tabs>
      <w:jc w:val="center"/>
      <w:outlineLvl w:val="0"/>
    </w:pPr>
    <w:rPr>
      <w:b/>
      <w:bCs/>
      <w:sz w:val="22"/>
      <w:szCs w:val="22"/>
    </w:rPr>
  </w:style>
  <w:style w:type="character" w:default="1" w:styleId="8">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3">
    <w:name w:val="footer"/>
    <w:basedOn w:val="1"/>
    <w:qFormat/>
    <w:uiPriority w:val="99"/>
    <w:pPr>
      <w:tabs>
        <w:tab w:val="center" w:pos="4513"/>
        <w:tab w:val="right" w:pos="9026"/>
      </w:tabs>
    </w:pPr>
  </w:style>
  <w:style w:type="paragraph" w:styleId="4">
    <w:name w:val="header"/>
    <w:basedOn w:val="1"/>
    <w:semiHidden/>
    <w:qFormat/>
    <w:uiPriority w:val="99"/>
    <w:pPr>
      <w:tabs>
        <w:tab w:val="center" w:pos="4513"/>
        <w:tab w:val="right" w:pos="9026"/>
      </w:tabs>
    </w:p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table" w:styleId="7">
    <w:name w:val="Table Grid"/>
    <w:basedOn w:val="6"/>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Strong"/>
    <w:qFormat/>
    <w:uiPriority w:val="22"/>
    <w:rPr>
      <w:b/>
      <w:bCs/>
    </w:rPr>
  </w:style>
  <w:style w:type="character" w:styleId="10">
    <w:name w:val="page number"/>
    <w:basedOn w:val="8"/>
    <w:qFormat/>
    <w:uiPriority w:val="99"/>
  </w:style>
  <w:style w:type="character" w:styleId="11">
    <w:name w:val="Hyperlink"/>
    <w:qFormat/>
    <w:uiPriority w:val="99"/>
    <w:rPr>
      <w:color w:val="0000FF"/>
      <w:u w:val="single"/>
    </w:rPr>
  </w:style>
  <w:style w:type="paragraph" w:styleId="12">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4231</Words>
  <Characters>24954</Characters>
  <Lines>0</Lines>
  <Paragraphs>0</Paragraphs>
  <TotalTime>0</TotalTime>
  <ScaleCrop>false</ScaleCrop>
  <LinksUpToDate>false</LinksUpToDate>
  <CharactersWithSpaces>29111</CharactersWithSpaces>
  <Application>WPS Office_11.1.0.12302_F1E327BC-269C-435d-A152-05C5408002CA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2022-08-12T17:08:00Z</dcterms:created>
  <dc:creator>Jessica</dc:creator>
  <cp:lastModifiedBy>Jessica</cp:lastModifiedBy>
  <dcterms:modified xsi:type="dcterms:W3CDTF">2022-08-22T10:35:04Z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2052-11.1.0.12302</vt:lpwstr>
  </property>
  <property fmtid="{D5CDD505-2E9C-101B-9397-08002B2CF9AE}" pid="3" name="ICV">
    <vt:lpwstr>841C9DF7D95D49A9B223A46C8ABDE2DD</vt:lpwstr>
  </property>
</Properties>
</file>