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2BEAC" w14:textId="77777777" w:rsidR="00620ED1" w:rsidRPr="00620ED1" w:rsidRDefault="00620ED1" w:rsidP="00620ED1">
      <w:pPr>
        <w:spacing w:line="256" w:lineRule="auto"/>
        <w:rPr>
          <w:rFonts w:ascii="Calibri" w:eastAsia="DengXian" w:hAnsi="Calibri" w:cs="Times New Roman"/>
          <w:kern w:val="0"/>
          <w:sz w:val="22"/>
          <w:szCs w:val="22"/>
          <w:lang w:eastAsia="zh-CN"/>
          <w14:ligatures w14:val="none"/>
        </w:rPr>
      </w:pPr>
      <w:r w:rsidRPr="00620ED1">
        <w:rPr>
          <w:rFonts w:ascii="Calibri" w:eastAsia="DengXian" w:hAnsi="Calibri" w:cs="Times New Roman"/>
          <w:noProof/>
          <w:kern w:val="0"/>
          <w:sz w:val="22"/>
          <w:szCs w:val="22"/>
          <w:lang w:eastAsia="zh-CN"/>
          <w14:ligatures w14:val="none"/>
        </w:rPr>
        <w:drawing>
          <wp:inline distT="0" distB="0" distL="0" distR="0" wp14:anchorId="4C28425F" wp14:editId="6A132575">
            <wp:extent cx="5715000" cy="1897380"/>
            <wp:effectExtent l="0" t="0" r="0" b="7620"/>
            <wp:docPr id="4"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7380"/>
                    </a:xfrm>
                    <a:prstGeom prst="rect">
                      <a:avLst/>
                    </a:prstGeom>
                    <a:noFill/>
                    <a:ln>
                      <a:noFill/>
                    </a:ln>
                  </pic:spPr>
                </pic:pic>
              </a:graphicData>
            </a:graphic>
          </wp:inline>
        </w:drawing>
      </w:r>
    </w:p>
    <w:p w14:paraId="68B9BCBA" w14:textId="77777777" w:rsidR="00620ED1" w:rsidRPr="00620ED1" w:rsidRDefault="00620ED1" w:rsidP="00620ED1">
      <w:pPr>
        <w:spacing w:line="256" w:lineRule="auto"/>
        <w:rPr>
          <w:rFonts w:ascii="Calibri" w:eastAsia="DengXian" w:hAnsi="Calibri" w:cs="Times New Roman"/>
          <w:kern w:val="0"/>
          <w:sz w:val="22"/>
          <w:szCs w:val="22"/>
          <w:lang w:eastAsia="zh-CN"/>
          <w14:ligatures w14:val="none"/>
        </w:rPr>
      </w:pPr>
    </w:p>
    <w:p w14:paraId="388A094E" w14:textId="77777777" w:rsidR="00620ED1" w:rsidRPr="00620ED1" w:rsidRDefault="00620ED1" w:rsidP="00620ED1">
      <w:pPr>
        <w:spacing w:line="256" w:lineRule="auto"/>
        <w:rPr>
          <w:rFonts w:ascii="Calibri" w:eastAsia="DengXian" w:hAnsi="Calibri" w:cs="Times New Roman"/>
          <w:kern w:val="0"/>
          <w:sz w:val="22"/>
          <w:szCs w:val="22"/>
          <w:lang w:eastAsia="zh-CN"/>
          <w14:ligatures w14:val="none"/>
        </w:rPr>
      </w:pPr>
    </w:p>
    <w:p w14:paraId="2293D818" w14:textId="77777777" w:rsidR="00620ED1" w:rsidRPr="00620ED1" w:rsidRDefault="00620ED1" w:rsidP="00620ED1">
      <w:pPr>
        <w:spacing w:line="256" w:lineRule="auto"/>
        <w:jc w:val="center"/>
        <w:rPr>
          <w:rFonts w:eastAsia="DengXian" w:cs="Times New Roman"/>
          <w:kern w:val="0"/>
          <w:sz w:val="52"/>
          <w:szCs w:val="52"/>
          <w:lang w:eastAsia="zh-CN"/>
          <w14:ligatures w14:val="none"/>
        </w:rPr>
      </w:pPr>
      <w:r w:rsidRPr="00620ED1">
        <w:rPr>
          <w:rFonts w:eastAsia="DengXian" w:cs="Times New Roman"/>
          <w:kern w:val="0"/>
          <w:sz w:val="52"/>
          <w:szCs w:val="52"/>
          <w:lang w:eastAsia="zh-CN"/>
          <w14:ligatures w14:val="none"/>
        </w:rPr>
        <w:t>BA(Hons) Business Management</w:t>
      </w:r>
    </w:p>
    <w:p w14:paraId="1CD5D3A2" w14:textId="77777777" w:rsidR="00620ED1" w:rsidRPr="00620ED1" w:rsidRDefault="00620ED1" w:rsidP="00620ED1">
      <w:pPr>
        <w:keepNext/>
        <w:keepLines/>
        <w:spacing w:before="240" w:after="0" w:line="256" w:lineRule="auto"/>
        <w:jc w:val="center"/>
        <w:outlineLvl w:val="0"/>
        <w:rPr>
          <w:rFonts w:eastAsia="DengXian Light" w:cs="Times New Roman"/>
          <w:kern w:val="0"/>
          <w:sz w:val="32"/>
          <w:szCs w:val="32"/>
          <w:lang w:eastAsia="zh-CN"/>
          <w14:ligatures w14:val="none"/>
        </w:rPr>
      </w:pPr>
    </w:p>
    <w:p w14:paraId="5224A932" w14:textId="77777777" w:rsidR="00620ED1" w:rsidRPr="00620ED1" w:rsidRDefault="00620ED1" w:rsidP="00620ED1">
      <w:pPr>
        <w:keepNext/>
        <w:keepLines/>
        <w:spacing w:before="240" w:after="0" w:line="256" w:lineRule="auto"/>
        <w:jc w:val="center"/>
        <w:outlineLvl w:val="0"/>
        <w:rPr>
          <w:rFonts w:eastAsia="DengXian Light" w:cs="Times New Roman"/>
          <w:kern w:val="0"/>
          <w:sz w:val="36"/>
          <w:szCs w:val="36"/>
          <w:lang w:eastAsia="zh-CN"/>
          <w14:ligatures w14:val="none"/>
        </w:rPr>
      </w:pPr>
      <w:bookmarkStart w:id="0" w:name="_Toc214557849"/>
      <w:r w:rsidRPr="00620ED1">
        <w:rPr>
          <w:rFonts w:eastAsia="DengXian Light" w:cs="Times New Roman"/>
          <w:kern w:val="0"/>
          <w:sz w:val="36"/>
          <w:szCs w:val="36"/>
          <w:lang w:eastAsia="zh-CN"/>
          <w14:ligatures w14:val="none"/>
        </w:rPr>
        <w:t>Business Intelligence in Barclays UK Retail Division</w:t>
      </w:r>
      <w:bookmarkEnd w:id="0"/>
    </w:p>
    <w:p w14:paraId="637BB79B" w14:textId="77777777" w:rsidR="00620ED1" w:rsidRPr="00620ED1" w:rsidRDefault="00620ED1" w:rsidP="00620ED1">
      <w:pPr>
        <w:spacing w:line="600" w:lineRule="auto"/>
        <w:rPr>
          <w:rFonts w:ascii="Arial" w:eastAsia="DengXian" w:hAnsi="Arial" w:cs="Arial"/>
          <w:b/>
          <w:bCs/>
          <w:i/>
          <w:iCs/>
          <w:kern w:val="0"/>
          <w:sz w:val="22"/>
          <w:szCs w:val="22"/>
          <w:lang w:eastAsia="zh-CN"/>
          <w14:ligatures w14:val="none"/>
        </w:rPr>
      </w:pPr>
    </w:p>
    <w:p w14:paraId="1C3FAA59" w14:textId="77777777" w:rsidR="00620ED1" w:rsidRPr="00620ED1" w:rsidRDefault="00620ED1" w:rsidP="00620ED1">
      <w:pPr>
        <w:spacing w:line="600" w:lineRule="auto"/>
        <w:rPr>
          <w:rFonts w:eastAsia="DengXian" w:cs="Times New Roman"/>
          <w:b/>
          <w:bCs/>
          <w:kern w:val="0"/>
          <w:sz w:val="28"/>
          <w:szCs w:val="28"/>
          <w:lang w:eastAsia="zh-CN"/>
          <w14:ligatures w14:val="none"/>
        </w:rPr>
      </w:pPr>
      <w:r w:rsidRPr="00620ED1">
        <w:rPr>
          <w:rFonts w:eastAsia="DengXian" w:cs="Times New Roman"/>
          <w:b/>
          <w:bCs/>
          <w:kern w:val="0"/>
          <w:sz w:val="28"/>
          <w:szCs w:val="28"/>
          <w:lang w:eastAsia="zh-CN"/>
          <w14:ligatures w14:val="none"/>
        </w:rPr>
        <w:t xml:space="preserve">Student Name: </w:t>
      </w:r>
      <w:r w:rsidRPr="00620ED1">
        <w:rPr>
          <w:rFonts w:eastAsia="DengXian" w:cs="Times New Roman"/>
          <w:kern w:val="0"/>
          <w:sz w:val="28"/>
          <w:szCs w:val="28"/>
          <w:lang w:eastAsia="zh-CN"/>
          <w14:ligatures w14:val="none"/>
        </w:rPr>
        <w:t>Liliya Radoslavova Radeve</w:t>
      </w:r>
    </w:p>
    <w:p w14:paraId="5176E788" w14:textId="77777777" w:rsidR="00620ED1" w:rsidRPr="00620ED1" w:rsidRDefault="00620ED1" w:rsidP="00620ED1">
      <w:pPr>
        <w:spacing w:line="600" w:lineRule="auto"/>
        <w:rPr>
          <w:rFonts w:eastAsia="DengXian" w:cs="Times New Roman"/>
          <w:kern w:val="0"/>
          <w:sz w:val="28"/>
          <w:szCs w:val="28"/>
          <w:lang w:eastAsia="zh-CN"/>
          <w14:ligatures w14:val="none"/>
        </w:rPr>
      </w:pPr>
      <w:r w:rsidRPr="00620ED1">
        <w:rPr>
          <w:rFonts w:eastAsia="DengXian" w:cs="Times New Roman"/>
          <w:b/>
          <w:bCs/>
          <w:kern w:val="0"/>
          <w:sz w:val="28"/>
          <w:szCs w:val="28"/>
          <w:lang w:eastAsia="zh-CN"/>
          <w14:ligatures w14:val="none"/>
        </w:rPr>
        <w:t xml:space="preserve">Student Number: </w:t>
      </w:r>
      <w:r w:rsidRPr="00620ED1">
        <w:rPr>
          <w:rFonts w:eastAsia="DengXian" w:cs="Times New Roman"/>
          <w:kern w:val="0"/>
          <w:sz w:val="28"/>
          <w:szCs w:val="28"/>
          <w:lang w:eastAsia="zh-CN"/>
          <w14:ligatures w14:val="none"/>
        </w:rPr>
        <w:t>2418897</w:t>
      </w:r>
    </w:p>
    <w:p w14:paraId="599D2605" w14:textId="77777777" w:rsidR="00620ED1" w:rsidRPr="00620ED1" w:rsidRDefault="00620ED1" w:rsidP="00620ED1">
      <w:pPr>
        <w:spacing w:line="600" w:lineRule="auto"/>
        <w:rPr>
          <w:rFonts w:eastAsia="DengXian" w:cs="Times New Roman"/>
          <w:kern w:val="0"/>
          <w:sz w:val="28"/>
          <w:szCs w:val="28"/>
          <w:lang w:eastAsia="zh-CN"/>
          <w14:ligatures w14:val="none"/>
        </w:rPr>
      </w:pPr>
      <w:r w:rsidRPr="00620ED1">
        <w:rPr>
          <w:rFonts w:eastAsia="DengXian" w:cs="Times New Roman"/>
          <w:b/>
          <w:bCs/>
          <w:kern w:val="0"/>
          <w:sz w:val="28"/>
          <w:szCs w:val="28"/>
          <w:lang w:eastAsia="zh-CN"/>
          <w14:ligatures w14:val="none"/>
        </w:rPr>
        <w:t>Course Name:</w:t>
      </w:r>
      <w:r w:rsidRPr="00620ED1">
        <w:rPr>
          <w:rFonts w:eastAsia="DengXian" w:cs="Times New Roman"/>
          <w:kern w:val="0"/>
          <w:sz w:val="28"/>
          <w:szCs w:val="28"/>
          <w:lang w:eastAsia="zh-CN"/>
          <w14:ligatures w14:val="none"/>
        </w:rPr>
        <w:t xml:space="preserve"> Data Handling &amp; Business Intelligence (LCBB5014)</w:t>
      </w:r>
    </w:p>
    <w:p w14:paraId="7CC870F1" w14:textId="571CAA7E" w:rsidR="00620ED1" w:rsidRPr="00620ED1" w:rsidRDefault="00620ED1" w:rsidP="00620ED1">
      <w:pPr>
        <w:spacing w:line="600" w:lineRule="auto"/>
        <w:rPr>
          <w:rFonts w:eastAsia="DengXian" w:cs="Times New Roman"/>
          <w:kern w:val="0"/>
          <w:sz w:val="28"/>
          <w:szCs w:val="28"/>
          <w:lang w:eastAsia="zh-CN"/>
          <w14:ligatures w14:val="none"/>
        </w:rPr>
      </w:pPr>
      <w:r w:rsidRPr="00620ED1">
        <w:rPr>
          <w:rFonts w:eastAsia="DengXian" w:cs="Times New Roman"/>
          <w:b/>
          <w:bCs/>
          <w:kern w:val="0"/>
          <w:sz w:val="28"/>
          <w:szCs w:val="28"/>
          <w:lang w:eastAsia="zh-CN"/>
          <w14:ligatures w14:val="none"/>
        </w:rPr>
        <w:t>Lecturer Name:</w:t>
      </w:r>
      <w:r w:rsidR="00D763EC">
        <w:rPr>
          <w:rFonts w:eastAsia="DengXian" w:cs="Times New Roman"/>
          <w:b/>
          <w:bCs/>
          <w:kern w:val="0"/>
          <w:sz w:val="28"/>
          <w:szCs w:val="28"/>
          <w:lang w:eastAsia="zh-CN"/>
          <w14:ligatures w14:val="none"/>
        </w:rPr>
        <w:t xml:space="preserve"> </w:t>
      </w:r>
      <w:r w:rsidR="009F7547" w:rsidRPr="009F7547">
        <w:t>Xavier Matieni</w:t>
      </w:r>
    </w:p>
    <w:p w14:paraId="3561EB13" w14:textId="60081BD5" w:rsidR="000C204A" w:rsidRDefault="00620ED1" w:rsidP="00D95F1E">
      <w:pPr>
        <w:spacing w:line="600" w:lineRule="auto"/>
        <w:rPr>
          <w:rFonts w:eastAsia="DengXian" w:cs="Times New Roman"/>
          <w:b/>
          <w:bCs/>
          <w:kern w:val="0"/>
          <w:sz w:val="28"/>
          <w:szCs w:val="28"/>
          <w:lang w:eastAsia="zh-CN"/>
          <w14:ligatures w14:val="none"/>
        </w:rPr>
      </w:pPr>
      <w:r w:rsidRPr="00620ED1">
        <w:rPr>
          <w:rFonts w:eastAsia="DengXian" w:cs="Times New Roman"/>
          <w:b/>
          <w:bCs/>
          <w:kern w:val="0"/>
          <w:sz w:val="28"/>
          <w:szCs w:val="28"/>
          <w:lang w:eastAsia="zh-CN"/>
          <w14:ligatures w14:val="none"/>
        </w:rPr>
        <w:t>Session</w:t>
      </w:r>
      <w:r w:rsidRPr="00620ED1">
        <w:rPr>
          <w:rFonts w:eastAsia="DengXian" w:cs="Times New Roman"/>
          <w:kern w:val="0"/>
          <w:sz w:val="28"/>
          <w:szCs w:val="28"/>
          <w:lang w:eastAsia="zh-CN"/>
          <w14:ligatures w14:val="none"/>
        </w:rPr>
        <w:t xml:space="preserve">: November </w:t>
      </w:r>
      <w:r w:rsidRPr="00620ED1">
        <w:rPr>
          <w:rFonts w:eastAsia="DengXian" w:cs="Times New Roman"/>
          <w:b/>
          <w:bCs/>
          <w:kern w:val="0"/>
          <w:sz w:val="28"/>
          <w:szCs w:val="28"/>
          <w:lang w:eastAsia="zh-CN"/>
          <w14:ligatures w14:val="none"/>
        </w:rPr>
        <w:t>2025 Term</w:t>
      </w:r>
    </w:p>
    <w:p w14:paraId="2A163529" w14:textId="77777777" w:rsidR="00D95F1E" w:rsidRDefault="00D95F1E" w:rsidP="00D95F1E">
      <w:pPr>
        <w:spacing w:line="600" w:lineRule="auto"/>
        <w:rPr>
          <w:rFonts w:eastAsia="DengXian" w:cs="Times New Roman"/>
          <w:b/>
          <w:bCs/>
          <w:kern w:val="0"/>
          <w:sz w:val="28"/>
          <w:szCs w:val="28"/>
          <w:lang w:eastAsia="zh-CN"/>
          <w14:ligatures w14:val="none"/>
        </w:rPr>
      </w:pPr>
    </w:p>
    <w:sdt>
      <w:sdtPr>
        <w:id w:val="-71743792"/>
        <w:docPartObj>
          <w:docPartGallery w:val="Table of Contents"/>
          <w:docPartUnique/>
        </w:docPartObj>
      </w:sdtPr>
      <w:sdtEndPr>
        <w:rPr>
          <w:rFonts w:ascii="Times New Roman" w:eastAsiaTheme="minorHAnsi" w:hAnsi="Times New Roman" w:cstheme="minorBidi"/>
          <w:b/>
          <w:bCs/>
          <w:noProof/>
          <w:color w:val="auto"/>
          <w:kern w:val="2"/>
          <w:sz w:val="24"/>
          <w:szCs w:val="24"/>
          <w:lang w:val="en-GB"/>
          <w14:ligatures w14:val="standardContextual"/>
        </w:rPr>
      </w:sdtEndPr>
      <w:sdtContent>
        <w:p w14:paraId="719E6914" w14:textId="78660BBB" w:rsidR="00D95F1E" w:rsidRPr="00D95F1E" w:rsidRDefault="00D95F1E">
          <w:pPr>
            <w:pStyle w:val="TOCHeading"/>
            <w:rPr>
              <w:rStyle w:val="Heading1Char"/>
            </w:rPr>
          </w:pPr>
          <w:r w:rsidRPr="00D95F1E">
            <w:rPr>
              <w:rStyle w:val="Heading1Char"/>
            </w:rPr>
            <w:t>Table of Contents</w:t>
          </w:r>
        </w:p>
        <w:p w14:paraId="5E1C3EE8" w14:textId="77777777" w:rsidR="00A62543" w:rsidRDefault="00A62543">
          <w:pPr>
            <w:pStyle w:val="TOC1"/>
            <w:tabs>
              <w:tab w:val="right" w:leader="dot" w:pos="9016"/>
            </w:tabs>
          </w:pPr>
        </w:p>
        <w:p w14:paraId="21B4DD58" w14:textId="3852DE05" w:rsidR="00D95F1E" w:rsidRDefault="00D95F1E">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14557849" w:history="1">
            <w:r w:rsidRPr="0097728B">
              <w:rPr>
                <w:rStyle w:val="Hyperlink"/>
                <w:rFonts w:eastAsia="DengXian Light" w:cs="Times New Roman"/>
                <w:noProof/>
                <w:kern w:val="0"/>
                <w:lang w:eastAsia="zh-CN"/>
                <w14:ligatures w14:val="none"/>
              </w:rPr>
              <w:t>Business Intelligence in Barclays UK Retail Division</w:t>
            </w:r>
            <w:r>
              <w:rPr>
                <w:noProof/>
                <w:webHidden/>
              </w:rPr>
              <w:tab/>
            </w:r>
            <w:r>
              <w:rPr>
                <w:noProof/>
                <w:webHidden/>
              </w:rPr>
              <w:fldChar w:fldCharType="begin"/>
            </w:r>
            <w:r>
              <w:rPr>
                <w:noProof/>
                <w:webHidden/>
              </w:rPr>
              <w:instrText xml:space="preserve"> PAGEREF _Toc214557849 \h </w:instrText>
            </w:r>
            <w:r>
              <w:rPr>
                <w:noProof/>
                <w:webHidden/>
              </w:rPr>
            </w:r>
            <w:r>
              <w:rPr>
                <w:noProof/>
                <w:webHidden/>
              </w:rPr>
              <w:fldChar w:fldCharType="separate"/>
            </w:r>
            <w:r>
              <w:rPr>
                <w:noProof/>
                <w:webHidden/>
              </w:rPr>
              <w:t>1</w:t>
            </w:r>
            <w:r>
              <w:rPr>
                <w:noProof/>
                <w:webHidden/>
              </w:rPr>
              <w:fldChar w:fldCharType="end"/>
            </w:r>
          </w:hyperlink>
        </w:p>
        <w:p w14:paraId="329C47F2" w14:textId="52B77902" w:rsidR="00D95F1E" w:rsidRDefault="00D95F1E">
          <w:pPr>
            <w:pStyle w:val="TOC1"/>
            <w:tabs>
              <w:tab w:val="right" w:leader="dot" w:pos="9016"/>
            </w:tabs>
            <w:rPr>
              <w:rFonts w:asciiTheme="minorHAnsi" w:eastAsiaTheme="minorEastAsia" w:hAnsiTheme="minorHAnsi"/>
              <w:noProof/>
              <w:lang w:eastAsia="en-GB"/>
            </w:rPr>
          </w:pPr>
          <w:hyperlink w:anchor="_Toc214557850" w:history="1">
            <w:r w:rsidRPr="0097728B">
              <w:rPr>
                <w:rStyle w:val="Hyperlink"/>
                <w:noProof/>
                <w:lang w:eastAsia="zh-CN"/>
              </w:rPr>
              <w:t>Executive Summary</w:t>
            </w:r>
            <w:r>
              <w:rPr>
                <w:noProof/>
                <w:webHidden/>
              </w:rPr>
              <w:tab/>
            </w:r>
            <w:r>
              <w:rPr>
                <w:noProof/>
                <w:webHidden/>
              </w:rPr>
              <w:fldChar w:fldCharType="begin"/>
            </w:r>
            <w:r>
              <w:rPr>
                <w:noProof/>
                <w:webHidden/>
              </w:rPr>
              <w:instrText xml:space="preserve"> PAGEREF _Toc214557850 \h </w:instrText>
            </w:r>
            <w:r>
              <w:rPr>
                <w:noProof/>
                <w:webHidden/>
              </w:rPr>
            </w:r>
            <w:r>
              <w:rPr>
                <w:noProof/>
                <w:webHidden/>
              </w:rPr>
              <w:fldChar w:fldCharType="separate"/>
            </w:r>
            <w:r>
              <w:rPr>
                <w:noProof/>
                <w:webHidden/>
              </w:rPr>
              <w:t>3</w:t>
            </w:r>
            <w:r>
              <w:rPr>
                <w:noProof/>
                <w:webHidden/>
              </w:rPr>
              <w:fldChar w:fldCharType="end"/>
            </w:r>
          </w:hyperlink>
        </w:p>
        <w:p w14:paraId="3080D3A0" w14:textId="1129AD41" w:rsidR="00D95F1E" w:rsidRDefault="00D95F1E">
          <w:pPr>
            <w:pStyle w:val="TOC1"/>
            <w:tabs>
              <w:tab w:val="right" w:leader="dot" w:pos="9016"/>
            </w:tabs>
            <w:rPr>
              <w:rFonts w:asciiTheme="minorHAnsi" w:eastAsiaTheme="minorEastAsia" w:hAnsiTheme="minorHAnsi"/>
              <w:noProof/>
              <w:lang w:eastAsia="en-GB"/>
            </w:rPr>
          </w:pPr>
          <w:hyperlink w:anchor="_Toc214557851" w:history="1">
            <w:r w:rsidRPr="0097728B">
              <w:rPr>
                <w:rStyle w:val="Hyperlink"/>
                <w:noProof/>
              </w:rPr>
              <w:t>1. Introduction</w:t>
            </w:r>
            <w:r>
              <w:rPr>
                <w:noProof/>
                <w:webHidden/>
              </w:rPr>
              <w:tab/>
            </w:r>
            <w:r>
              <w:rPr>
                <w:noProof/>
                <w:webHidden/>
              </w:rPr>
              <w:fldChar w:fldCharType="begin"/>
            </w:r>
            <w:r>
              <w:rPr>
                <w:noProof/>
                <w:webHidden/>
              </w:rPr>
              <w:instrText xml:space="preserve"> PAGEREF _Toc214557851 \h </w:instrText>
            </w:r>
            <w:r>
              <w:rPr>
                <w:noProof/>
                <w:webHidden/>
              </w:rPr>
            </w:r>
            <w:r>
              <w:rPr>
                <w:noProof/>
                <w:webHidden/>
              </w:rPr>
              <w:fldChar w:fldCharType="separate"/>
            </w:r>
            <w:r>
              <w:rPr>
                <w:noProof/>
                <w:webHidden/>
              </w:rPr>
              <w:t>4</w:t>
            </w:r>
            <w:r>
              <w:rPr>
                <w:noProof/>
                <w:webHidden/>
              </w:rPr>
              <w:fldChar w:fldCharType="end"/>
            </w:r>
          </w:hyperlink>
        </w:p>
        <w:p w14:paraId="59436A41" w14:textId="1A0A3389" w:rsidR="00D95F1E" w:rsidRDefault="00D95F1E">
          <w:pPr>
            <w:pStyle w:val="TOC1"/>
            <w:tabs>
              <w:tab w:val="right" w:leader="dot" w:pos="9016"/>
            </w:tabs>
            <w:rPr>
              <w:rFonts w:asciiTheme="minorHAnsi" w:eastAsiaTheme="minorEastAsia" w:hAnsiTheme="minorHAnsi"/>
              <w:noProof/>
              <w:lang w:eastAsia="en-GB"/>
            </w:rPr>
          </w:pPr>
          <w:hyperlink w:anchor="_Toc214557852" w:history="1">
            <w:r w:rsidRPr="0097728B">
              <w:rPr>
                <w:rStyle w:val="Hyperlink"/>
                <w:rFonts w:eastAsia="Times New Roman"/>
                <w:noProof/>
                <w:lang w:eastAsia="en-GB"/>
              </w:rPr>
              <w:t>2. Trends in BI, DW and DM.</w:t>
            </w:r>
            <w:r>
              <w:rPr>
                <w:noProof/>
                <w:webHidden/>
              </w:rPr>
              <w:tab/>
            </w:r>
            <w:r>
              <w:rPr>
                <w:noProof/>
                <w:webHidden/>
              </w:rPr>
              <w:fldChar w:fldCharType="begin"/>
            </w:r>
            <w:r>
              <w:rPr>
                <w:noProof/>
                <w:webHidden/>
              </w:rPr>
              <w:instrText xml:space="preserve"> PAGEREF _Toc214557852 \h </w:instrText>
            </w:r>
            <w:r>
              <w:rPr>
                <w:noProof/>
                <w:webHidden/>
              </w:rPr>
            </w:r>
            <w:r>
              <w:rPr>
                <w:noProof/>
                <w:webHidden/>
              </w:rPr>
              <w:fldChar w:fldCharType="separate"/>
            </w:r>
            <w:r>
              <w:rPr>
                <w:noProof/>
                <w:webHidden/>
              </w:rPr>
              <w:t>4</w:t>
            </w:r>
            <w:r>
              <w:rPr>
                <w:noProof/>
                <w:webHidden/>
              </w:rPr>
              <w:fldChar w:fldCharType="end"/>
            </w:r>
          </w:hyperlink>
        </w:p>
        <w:p w14:paraId="0A50243F" w14:textId="6F2E730B" w:rsidR="00D95F1E" w:rsidRDefault="00D95F1E">
          <w:pPr>
            <w:pStyle w:val="TOC1"/>
            <w:tabs>
              <w:tab w:val="right" w:leader="dot" w:pos="9016"/>
            </w:tabs>
            <w:rPr>
              <w:rFonts w:asciiTheme="minorHAnsi" w:eastAsiaTheme="minorEastAsia" w:hAnsiTheme="minorHAnsi"/>
              <w:noProof/>
              <w:lang w:eastAsia="en-GB"/>
            </w:rPr>
          </w:pPr>
          <w:hyperlink w:anchor="_Toc214557853" w:history="1">
            <w:r w:rsidRPr="0097728B">
              <w:rPr>
                <w:rStyle w:val="Hyperlink"/>
                <w:rFonts w:eastAsia="Times New Roman"/>
                <w:noProof/>
                <w:lang w:eastAsia="en-GB"/>
              </w:rPr>
              <w:t>3. Data Warehousing in the Organisation</w:t>
            </w:r>
            <w:r>
              <w:rPr>
                <w:noProof/>
                <w:webHidden/>
              </w:rPr>
              <w:tab/>
            </w:r>
            <w:r>
              <w:rPr>
                <w:noProof/>
                <w:webHidden/>
              </w:rPr>
              <w:fldChar w:fldCharType="begin"/>
            </w:r>
            <w:r>
              <w:rPr>
                <w:noProof/>
                <w:webHidden/>
              </w:rPr>
              <w:instrText xml:space="preserve"> PAGEREF _Toc214557853 \h </w:instrText>
            </w:r>
            <w:r>
              <w:rPr>
                <w:noProof/>
                <w:webHidden/>
              </w:rPr>
            </w:r>
            <w:r>
              <w:rPr>
                <w:noProof/>
                <w:webHidden/>
              </w:rPr>
              <w:fldChar w:fldCharType="separate"/>
            </w:r>
            <w:r>
              <w:rPr>
                <w:noProof/>
                <w:webHidden/>
              </w:rPr>
              <w:t>5</w:t>
            </w:r>
            <w:r>
              <w:rPr>
                <w:noProof/>
                <w:webHidden/>
              </w:rPr>
              <w:fldChar w:fldCharType="end"/>
            </w:r>
          </w:hyperlink>
        </w:p>
        <w:p w14:paraId="3F8B3631" w14:textId="7C92D011" w:rsidR="00D95F1E" w:rsidRDefault="00D95F1E">
          <w:pPr>
            <w:pStyle w:val="TOC1"/>
            <w:tabs>
              <w:tab w:val="right" w:leader="dot" w:pos="9016"/>
            </w:tabs>
            <w:rPr>
              <w:rFonts w:asciiTheme="minorHAnsi" w:eastAsiaTheme="minorEastAsia" w:hAnsiTheme="minorHAnsi"/>
              <w:noProof/>
              <w:lang w:eastAsia="en-GB"/>
            </w:rPr>
          </w:pPr>
          <w:hyperlink w:anchor="_Toc214557854" w:history="1">
            <w:r w:rsidRPr="0097728B">
              <w:rPr>
                <w:rStyle w:val="Hyperlink"/>
                <w:rFonts w:eastAsia="Times New Roman"/>
                <w:noProof/>
                <w:lang w:eastAsia="en-GB"/>
              </w:rPr>
              <w:t>4. Data Mining Techniques</w:t>
            </w:r>
            <w:r>
              <w:rPr>
                <w:noProof/>
                <w:webHidden/>
              </w:rPr>
              <w:tab/>
            </w:r>
            <w:r>
              <w:rPr>
                <w:noProof/>
                <w:webHidden/>
              </w:rPr>
              <w:fldChar w:fldCharType="begin"/>
            </w:r>
            <w:r>
              <w:rPr>
                <w:noProof/>
                <w:webHidden/>
              </w:rPr>
              <w:instrText xml:space="preserve"> PAGEREF _Toc214557854 \h </w:instrText>
            </w:r>
            <w:r>
              <w:rPr>
                <w:noProof/>
                <w:webHidden/>
              </w:rPr>
            </w:r>
            <w:r>
              <w:rPr>
                <w:noProof/>
                <w:webHidden/>
              </w:rPr>
              <w:fldChar w:fldCharType="separate"/>
            </w:r>
            <w:r>
              <w:rPr>
                <w:noProof/>
                <w:webHidden/>
              </w:rPr>
              <w:t>7</w:t>
            </w:r>
            <w:r>
              <w:rPr>
                <w:noProof/>
                <w:webHidden/>
              </w:rPr>
              <w:fldChar w:fldCharType="end"/>
            </w:r>
          </w:hyperlink>
        </w:p>
        <w:p w14:paraId="5AAABD35" w14:textId="1EA9C63B" w:rsidR="00D95F1E" w:rsidRDefault="00D95F1E">
          <w:pPr>
            <w:pStyle w:val="TOC1"/>
            <w:tabs>
              <w:tab w:val="right" w:leader="dot" w:pos="9016"/>
            </w:tabs>
            <w:rPr>
              <w:rFonts w:asciiTheme="minorHAnsi" w:eastAsiaTheme="minorEastAsia" w:hAnsiTheme="minorHAnsi"/>
              <w:noProof/>
              <w:lang w:eastAsia="en-GB"/>
            </w:rPr>
          </w:pPr>
          <w:hyperlink w:anchor="_Toc214557855" w:history="1">
            <w:r w:rsidRPr="0097728B">
              <w:rPr>
                <w:rStyle w:val="Hyperlink"/>
                <w:rFonts w:eastAsia="Times New Roman"/>
                <w:noProof/>
                <w:lang w:eastAsia="en-GB"/>
              </w:rPr>
              <w:t>5. Predictive Analytics</w:t>
            </w:r>
            <w:r>
              <w:rPr>
                <w:noProof/>
                <w:webHidden/>
              </w:rPr>
              <w:tab/>
            </w:r>
            <w:r>
              <w:rPr>
                <w:noProof/>
                <w:webHidden/>
              </w:rPr>
              <w:fldChar w:fldCharType="begin"/>
            </w:r>
            <w:r>
              <w:rPr>
                <w:noProof/>
                <w:webHidden/>
              </w:rPr>
              <w:instrText xml:space="preserve"> PAGEREF _Toc214557855 \h </w:instrText>
            </w:r>
            <w:r>
              <w:rPr>
                <w:noProof/>
                <w:webHidden/>
              </w:rPr>
            </w:r>
            <w:r>
              <w:rPr>
                <w:noProof/>
                <w:webHidden/>
              </w:rPr>
              <w:fldChar w:fldCharType="separate"/>
            </w:r>
            <w:r>
              <w:rPr>
                <w:noProof/>
                <w:webHidden/>
              </w:rPr>
              <w:t>8</w:t>
            </w:r>
            <w:r>
              <w:rPr>
                <w:noProof/>
                <w:webHidden/>
              </w:rPr>
              <w:fldChar w:fldCharType="end"/>
            </w:r>
          </w:hyperlink>
        </w:p>
        <w:p w14:paraId="63297810" w14:textId="4A5AE469" w:rsidR="00D95F1E" w:rsidRDefault="00D95F1E">
          <w:pPr>
            <w:pStyle w:val="TOC1"/>
            <w:tabs>
              <w:tab w:val="right" w:leader="dot" w:pos="9016"/>
            </w:tabs>
            <w:rPr>
              <w:rFonts w:asciiTheme="minorHAnsi" w:eastAsiaTheme="minorEastAsia" w:hAnsiTheme="minorHAnsi"/>
              <w:noProof/>
              <w:lang w:eastAsia="en-GB"/>
            </w:rPr>
          </w:pPr>
          <w:hyperlink w:anchor="_Toc214557856" w:history="1">
            <w:r w:rsidRPr="0097728B">
              <w:rPr>
                <w:rStyle w:val="Hyperlink"/>
                <w:noProof/>
                <w:lang w:eastAsia="en-GB"/>
              </w:rPr>
              <w:t>6. Ethical and Data Security Considerations</w:t>
            </w:r>
            <w:r>
              <w:rPr>
                <w:noProof/>
                <w:webHidden/>
              </w:rPr>
              <w:tab/>
            </w:r>
            <w:r>
              <w:rPr>
                <w:noProof/>
                <w:webHidden/>
              </w:rPr>
              <w:fldChar w:fldCharType="begin"/>
            </w:r>
            <w:r>
              <w:rPr>
                <w:noProof/>
                <w:webHidden/>
              </w:rPr>
              <w:instrText xml:space="preserve"> PAGEREF _Toc214557856 \h </w:instrText>
            </w:r>
            <w:r>
              <w:rPr>
                <w:noProof/>
                <w:webHidden/>
              </w:rPr>
            </w:r>
            <w:r>
              <w:rPr>
                <w:noProof/>
                <w:webHidden/>
              </w:rPr>
              <w:fldChar w:fldCharType="separate"/>
            </w:r>
            <w:r>
              <w:rPr>
                <w:noProof/>
                <w:webHidden/>
              </w:rPr>
              <w:t>9</w:t>
            </w:r>
            <w:r>
              <w:rPr>
                <w:noProof/>
                <w:webHidden/>
              </w:rPr>
              <w:fldChar w:fldCharType="end"/>
            </w:r>
          </w:hyperlink>
        </w:p>
        <w:p w14:paraId="48EFE789" w14:textId="491C08F6" w:rsidR="00D95F1E" w:rsidRDefault="00D95F1E">
          <w:pPr>
            <w:pStyle w:val="TOC1"/>
            <w:tabs>
              <w:tab w:val="right" w:leader="dot" w:pos="9016"/>
            </w:tabs>
            <w:rPr>
              <w:rFonts w:asciiTheme="minorHAnsi" w:eastAsiaTheme="minorEastAsia" w:hAnsiTheme="minorHAnsi"/>
              <w:noProof/>
              <w:lang w:eastAsia="en-GB"/>
            </w:rPr>
          </w:pPr>
          <w:hyperlink w:anchor="_Toc214557857" w:history="1">
            <w:r w:rsidRPr="0097728B">
              <w:rPr>
                <w:rStyle w:val="Hyperlink"/>
                <w:noProof/>
              </w:rPr>
              <w:t>7. Reporting and Dashboard Solutions</w:t>
            </w:r>
            <w:r>
              <w:rPr>
                <w:noProof/>
                <w:webHidden/>
              </w:rPr>
              <w:tab/>
            </w:r>
            <w:r>
              <w:rPr>
                <w:noProof/>
                <w:webHidden/>
              </w:rPr>
              <w:fldChar w:fldCharType="begin"/>
            </w:r>
            <w:r>
              <w:rPr>
                <w:noProof/>
                <w:webHidden/>
              </w:rPr>
              <w:instrText xml:space="preserve"> PAGEREF _Toc214557857 \h </w:instrText>
            </w:r>
            <w:r>
              <w:rPr>
                <w:noProof/>
                <w:webHidden/>
              </w:rPr>
            </w:r>
            <w:r>
              <w:rPr>
                <w:noProof/>
                <w:webHidden/>
              </w:rPr>
              <w:fldChar w:fldCharType="separate"/>
            </w:r>
            <w:r>
              <w:rPr>
                <w:noProof/>
                <w:webHidden/>
              </w:rPr>
              <w:t>10</w:t>
            </w:r>
            <w:r>
              <w:rPr>
                <w:noProof/>
                <w:webHidden/>
              </w:rPr>
              <w:fldChar w:fldCharType="end"/>
            </w:r>
          </w:hyperlink>
        </w:p>
        <w:p w14:paraId="369257EC" w14:textId="6F917667" w:rsidR="00D95F1E" w:rsidRDefault="00D95F1E">
          <w:pPr>
            <w:pStyle w:val="TOC1"/>
            <w:tabs>
              <w:tab w:val="right" w:leader="dot" w:pos="9016"/>
            </w:tabs>
            <w:rPr>
              <w:rFonts w:asciiTheme="minorHAnsi" w:eastAsiaTheme="minorEastAsia" w:hAnsiTheme="minorHAnsi"/>
              <w:noProof/>
              <w:lang w:eastAsia="en-GB"/>
            </w:rPr>
          </w:pPr>
          <w:hyperlink w:anchor="_Toc214557858" w:history="1">
            <w:r w:rsidRPr="0097728B">
              <w:rPr>
                <w:rStyle w:val="Hyperlink"/>
                <w:rFonts w:eastAsia="Times New Roman"/>
                <w:noProof/>
                <w:lang w:eastAsia="en-GB"/>
              </w:rPr>
              <w:t>8: Conclusion</w:t>
            </w:r>
            <w:r>
              <w:rPr>
                <w:noProof/>
                <w:webHidden/>
              </w:rPr>
              <w:tab/>
            </w:r>
            <w:r>
              <w:rPr>
                <w:noProof/>
                <w:webHidden/>
              </w:rPr>
              <w:fldChar w:fldCharType="begin"/>
            </w:r>
            <w:r>
              <w:rPr>
                <w:noProof/>
                <w:webHidden/>
              </w:rPr>
              <w:instrText xml:space="preserve"> PAGEREF _Toc214557858 \h </w:instrText>
            </w:r>
            <w:r>
              <w:rPr>
                <w:noProof/>
                <w:webHidden/>
              </w:rPr>
            </w:r>
            <w:r>
              <w:rPr>
                <w:noProof/>
                <w:webHidden/>
              </w:rPr>
              <w:fldChar w:fldCharType="separate"/>
            </w:r>
            <w:r>
              <w:rPr>
                <w:noProof/>
                <w:webHidden/>
              </w:rPr>
              <w:t>11</w:t>
            </w:r>
            <w:r>
              <w:rPr>
                <w:noProof/>
                <w:webHidden/>
              </w:rPr>
              <w:fldChar w:fldCharType="end"/>
            </w:r>
          </w:hyperlink>
        </w:p>
        <w:p w14:paraId="2743DAD1" w14:textId="34D6580B" w:rsidR="00D95F1E" w:rsidRDefault="00D95F1E">
          <w:pPr>
            <w:pStyle w:val="TOC1"/>
            <w:tabs>
              <w:tab w:val="right" w:leader="dot" w:pos="9016"/>
            </w:tabs>
            <w:rPr>
              <w:rFonts w:asciiTheme="minorHAnsi" w:eastAsiaTheme="minorEastAsia" w:hAnsiTheme="minorHAnsi"/>
              <w:noProof/>
              <w:lang w:eastAsia="en-GB"/>
            </w:rPr>
          </w:pPr>
          <w:hyperlink w:anchor="_Toc214557859" w:history="1">
            <w:r w:rsidRPr="0097728B">
              <w:rPr>
                <w:rStyle w:val="Hyperlink"/>
                <w:noProof/>
              </w:rPr>
              <w:t>References:</w:t>
            </w:r>
            <w:r>
              <w:rPr>
                <w:noProof/>
                <w:webHidden/>
              </w:rPr>
              <w:tab/>
            </w:r>
            <w:r>
              <w:rPr>
                <w:noProof/>
                <w:webHidden/>
              </w:rPr>
              <w:fldChar w:fldCharType="begin"/>
            </w:r>
            <w:r>
              <w:rPr>
                <w:noProof/>
                <w:webHidden/>
              </w:rPr>
              <w:instrText xml:space="preserve"> PAGEREF _Toc214557859 \h </w:instrText>
            </w:r>
            <w:r>
              <w:rPr>
                <w:noProof/>
                <w:webHidden/>
              </w:rPr>
            </w:r>
            <w:r>
              <w:rPr>
                <w:noProof/>
                <w:webHidden/>
              </w:rPr>
              <w:fldChar w:fldCharType="separate"/>
            </w:r>
            <w:r>
              <w:rPr>
                <w:noProof/>
                <w:webHidden/>
              </w:rPr>
              <w:t>12</w:t>
            </w:r>
            <w:r>
              <w:rPr>
                <w:noProof/>
                <w:webHidden/>
              </w:rPr>
              <w:fldChar w:fldCharType="end"/>
            </w:r>
          </w:hyperlink>
        </w:p>
        <w:p w14:paraId="65322B96" w14:textId="1DFC701F" w:rsidR="00D95F1E" w:rsidRDefault="00D95F1E">
          <w:r>
            <w:rPr>
              <w:b/>
              <w:bCs/>
              <w:noProof/>
            </w:rPr>
            <w:fldChar w:fldCharType="end"/>
          </w:r>
        </w:p>
      </w:sdtContent>
    </w:sdt>
    <w:p w14:paraId="1BC81D7F" w14:textId="77777777" w:rsidR="00D95F1E" w:rsidRPr="00D95F1E" w:rsidRDefault="00D95F1E" w:rsidP="00D95F1E">
      <w:pPr>
        <w:spacing w:line="600" w:lineRule="auto"/>
        <w:rPr>
          <w:rFonts w:eastAsia="DengXian" w:cs="Times New Roman"/>
          <w:b/>
          <w:bCs/>
          <w:kern w:val="0"/>
          <w:sz w:val="28"/>
          <w:szCs w:val="28"/>
          <w:lang w:eastAsia="zh-CN"/>
          <w14:ligatures w14:val="none"/>
        </w:rPr>
      </w:pPr>
    </w:p>
    <w:p w14:paraId="40B28864" w14:textId="77777777" w:rsidR="008C50D6" w:rsidRDefault="002C4AE3">
      <w:pPr>
        <w:spacing w:before="0" w:after="160" w:line="278" w:lineRule="auto"/>
        <w:rPr>
          <w:lang w:eastAsia="zh-CN"/>
        </w:rPr>
        <w:sectPr w:rsidR="008C50D6">
          <w:pgSz w:w="11906" w:h="16838"/>
          <w:pgMar w:top="1440" w:right="1440" w:bottom="1440" w:left="1440" w:header="708" w:footer="708" w:gutter="0"/>
          <w:cols w:space="708"/>
          <w:docGrid w:linePitch="360"/>
        </w:sectPr>
      </w:pPr>
      <w:r>
        <w:rPr>
          <w:lang w:eastAsia="zh-CN"/>
        </w:rPr>
        <w:br w:type="page"/>
      </w:r>
    </w:p>
    <w:p w14:paraId="7CFDF92E" w14:textId="77777777" w:rsidR="00E07516" w:rsidRDefault="00E07516">
      <w:pPr>
        <w:spacing w:before="0" w:after="160" w:line="278" w:lineRule="auto"/>
        <w:rPr>
          <w:lang w:eastAsia="zh-CN"/>
        </w:rPr>
      </w:pPr>
    </w:p>
    <w:p w14:paraId="4E48F14E" w14:textId="77777777" w:rsidR="005E18FC" w:rsidRDefault="005E18FC" w:rsidP="005E18FC">
      <w:pPr>
        <w:rPr>
          <w:lang w:eastAsia="zh-CN"/>
        </w:rPr>
      </w:pPr>
    </w:p>
    <w:p w14:paraId="2930EA52" w14:textId="6EC236B9" w:rsidR="005E18FC" w:rsidRDefault="005E18FC" w:rsidP="005E18FC">
      <w:pPr>
        <w:tabs>
          <w:tab w:val="left" w:pos="3660"/>
        </w:tabs>
        <w:rPr>
          <w:lang w:eastAsia="zh-CN"/>
        </w:rPr>
      </w:pPr>
      <w:r>
        <w:rPr>
          <w:lang w:eastAsia="zh-CN"/>
        </w:rPr>
        <w:tab/>
      </w:r>
    </w:p>
    <w:p w14:paraId="3783D842" w14:textId="74DC9F90" w:rsidR="005E18FC" w:rsidRDefault="005E18FC" w:rsidP="005E18FC">
      <w:pPr>
        <w:pStyle w:val="Heading1"/>
        <w:rPr>
          <w:lang w:eastAsia="zh-CN"/>
        </w:rPr>
      </w:pPr>
      <w:bookmarkStart w:id="1" w:name="_Toc214557850"/>
      <w:r>
        <w:rPr>
          <w:lang w:eastAsia="zh-CN"/>
        </w:rPr>
        <w:t>Executive Summary</w:t>
      </w:r>
      <w:bookmarkEnd w:id="1"/>
    </w:p>
    <w:p w14:paraId="580C2482" w14:textId="77777777" w:rsidR="005E18FC" w:rsidRDefault="005E18FC" w:rsidP="005E18FC">
      <w:pPr>
        <w:rPr>
          <w:lang w:eastAsia="zh-CN"/>
        </w:rPr>
      </w:pPr>
      <w:r>
        <w:rPr>
          <w:lang w:eastAsia="zh-CN"/>
        </w:rPr>
        <w:t>This report explores how Business Intelligence (BI) strengthens strategic decision-making, customer experience, and operational efficiency within Barclays UK Retail Division. By integrating advanced analytical tools such as Power BI, Tableau, and predictive data mining, Barclays converts vast volumes of data into actionable insights that support customer retention and business growth. Real-time dashboards allow managers to monitor performance indicators, identify trends, and respond proactively to market changes.</w:t>
      </w:r>
    </w:p>
    <w:p w14:paraId="64E17979" w14:textId="77777777" w:rsidR="005E18FC" w:rsidRDefault="005E18FC" w:rsidP="005E18FC">
      <w:pPr>
        <w:rPr>
          <w:lang w:eastAsia="zh-CN"/>
        </w:rPr>
      </w:pPr>
      <w:r>
        <w:rPr>
          <w:lang w:eastAsia="zh-CN"/>
        </w:rPr>
        <w:t>The methodology involves analysing structured and unstructured data from customer transactions, digital interactions, and external regulatory sources. These datasets are processed through secure data warehouses under strict GDPR compliance to maintain privacy, accuracy, and ethical handling. The analysis demonstrates that BI enables effective customer segmentation, fraud detection, and revenue forecasting while promoting evidence-based decision-making across departments.</w:t>
      </w:r>
    </w:p>
    <w:p w14:paraId="675D08E1" w14:textId="05C8A877" w:rsidR="005E18FC" w:rsidRPr="005E18FC" w:rsidRDefault="005E18FC" w:rsidP="005E18FC">
      <w:pPr>
        <w:rPr>
          <w:lang w:eastAsia="zh-CN"/>
        </w:rPr>
        <w:sectPr w:rsidR="005E18FC" w:rsidRPr="005E18FC">
          <w:footerReference w:type="default" r:id="rId9"/>
          <w:pgSz w:w="11906" w:h="16838"/>
          <w:pgMar w:top="1440" w:right="1440" w:bottom="1440" w:left="1440" w:header="708" w:footer="708" w:gutter="0"/>
          <w:cols w:space="708"/>
          <w:docGrid w:linePitch="360"/>
        </w:sectPr>
      </w:pPr>
      <w:r>
        <w:rPr>
          <w:lang w:eastAsia="zh-CN"/>
        </w:rPr>
        <w:t>Despite these benefits, challenges persist in ensuring data integration, algorithmic transparency, and staff upskilling. To sustain competitive advantage, Barclays should continue investing in automation, data governance frameworks, and ethical AI systems that reinforce trust and innovation. Overall, BI remains a cornerstone of Barclays’ strategy to deliver smarter, faster, and more customer-focused financial solutions</w:t>
      </w:r>
    </w:p>
    <w:p w14:paraId="26238220" w14:textId="273990E6" w:rsidR="000C204A" w:rsidRDefault="000C204A" w:rsidP="00B437E4">
      <w:pPr>
        <w:pStyle w:val="Heading1"/>
      </w:pPr>
    </w:p>
    <w:p w14:paraId="4F27E43B" w14:textId="77777777" w:rsidR="0009538E" w:rsidRDefault="0009538E" w:rsidP="00B437E4">
      <w:pPr>
        <w:pStyle w:val="Heading1"/>
      </w:pPr>
    </w:p>
    <w:p w14:paraId="373DAD21" w14:textId="1D688E4D" w:rsidR="0028576C" w:rsidRDefault="0028576C" w:rsidP="00B437E4">
      <w:pPr>
        <w:pStyle w:val="Heading1"/>
      </w:pPr>
      <w:bookmarkStart w:id="2" w:name="_Toc214557851"/>
      <w:r w:rsidRPr="00B437E4">
        <w:t>1. Introduction</w:t>
      </w:r>
      <w:bookmarkEnd w:id="2"/>
    </w:p>
    <w:p w14:paraId="0DED8A89" w14:textId="77777777" w:rsidR="0009538E" w:rsidRDefault="0009538E" w:rsidP="0009538E">
      <w:r>
        <w:t>Data analysts at the Barclays UK Retail Division function within a highly regulated and data-intensive financial landscape, where client data, compliance requirements, and swift digital transformation influence daily activities. The segment offers vital retail banking services, including current and savings accounts, mortgages, loans, and credit cards, via a network of countrywide branches and sophisticated internet platforms. In this setting, data functions as a vital strategic asset, shaping decision-making in product creation, risk management, and consumer interaction.</w:t>
      </w:r>
    </w:p>
    <w:p w14:paraId="20CBFE8B" w14:textId="2995F5FC" w:rsidR="0009538E" w:rsidRPr="0009538E" w:rsidRDefault="0009538E" w:rsidP="0009538E">
      <w:r>
        <w:t>This paper critically analyses the capacity of Business Intelligence (BI), Data Warehousing (DW), and Data Mining (DM) to transform enormous financial facts into actionable insights that boost operational efficiency, fortify risk management, and elevate consumer experience. Contemporary BI solutions facilitate activities such as credit-risk modelling, fraud detection, and client segmentation; however, their potential is largely unexploited due to outdated systems, fragmented data, and insufficient analytical integration. The discourse assesses nascent BI trends in conjunction with pertinent ethical, security, and governance problems and suggests a systematic framework for the implementation of predictive analytics and real-time reporting inside the Barclays UK Retail Division.</w:t>
      </w:r>
    </w:p>
    <w:p w14:paraId="3F856F03" w14:textId="77777777" w:rsidR="005E18FC" w:rsidRDefault="005E18FC" w:rsidP="005E18FC">
      <w:pPr>
        <w:pStyle w:val="Heading1"/>
        <w:rPr>
          <w:rFonts w:eastAsia="Times New Roman"/>
          <w:lang w:eastAsia="en-GB"/>
        </w:rPr>
      </w:pPr>
      <w:bookmarkStart w:id="3" w:name="_Toc214557852"/>
      <w:r w:rsidRPr="0052745E">
        <w:rPr>
          <w:rFonts w:eastAsia="Times New Roman"/>
          <w:lang w:eastAsia="en-GB"/>
        </w:rPr>
        <w:t>2. Trends in BI, DW and DM.</w:t>
      </w:r>
      <w:bookmarkEnd w:id="3"/>
    </w:p>
    <w:p w14:paraId="03975550" w14:textId="567662C8" w:rsidR="0052745E" w:rsidRDefault="0052745E" w:rsidP="0052745E">
      <w:pPr>
        <w:rPr>
          <w:lang w:eastAsia="en-GB"/>
        </w:rPr>
      </w:pPr>
      <w:r w:rsidRPr="0052745E">
        <w:rPr>
          <w:lang w:eastAsia="en-GB"/>
        </w:rPr>
        <w:t>The modern banking environment has entered a period of data-driven transformation, fuelled by artificial intelligence, real-time analytics, and regulatory expectations for transparency. As Sharda et al. (2014) emphasise, business intelligence (BI) systems have evolved from descriptive reporting to integrated analytical ecosystems that support predictive and prescriptive decisions. Within Barclays UK Retail Division, these trends are evident in the adoption of cloud-based data platforms, Power BI dashboards, and AI-enabled fraud detection.</w:t>
      </w:r>
      <w:r w:rsidRPr="0052745E">
        <w:rPr>
          <w:lang w:eastAsia="en-GB"/>
        </w:rPr>
        <w:br/>
      </w:r>
    </w:p>
    <w:p w14:paraId="11CC83D4" w14:textId="77777777" w:rsidR="0052745E" w:rsidRDefault="0052745E" w:rsidP="0052745E">
      <w:pPr>
        <w:rPr>
          <w:lang w:eastAsia="en-GB"/>
        </w:rPr>
      </w:pPr>
      <w:r w:rsidRPr="0052745E">
        <w:rPr>
          <w:lang w:eastAsia="en-GB"/>
        </w:rPr>
        <w:lastRenderedPageBreak/>
        <w:t xml:space="preserve">A major shift is the rise of real-time and augmented BI, which combines machine learning and natural-language insights to accelerate decisions. Barclays’ Smart Investor and Mobile Banking App already embed predictive algorithms to tailor offers, while its data warehouse on Microsoft Azure consolidates millions of daily transactions for analysis. </w:t>
      </w:r>
    </w:p>
    <w:p w14:paraId="2D31D4FB" w14:textId="5FB08433" w:rsidR="0052745E" w:rsidRDefault="0052745E" w:rsidP="0052745E">
      <w:pPr>
        <w:rPr>
          <w:lang w:eastAsia="en-GB"/>
        </w:rPr>
      </w:pPr>
      <w:r w:rsidRPr="0052745E">
        <w:rPr>
          <w:lang w:eastAsia="en-GB"/>
        </w:rPr>
        <w:t>According to Whitten et al. (2017), such data integration is essential for high-quality mining and model accuracy.</w:t>
      </w:r>
      <w:r w:rsidRPr="0052745E">
        <w:rPr>
          <w:lang w:eastAsia="en-GB"/>
        </w:rPr>
        <w:br/>
      </w:r>
    </w:p>
    <w:p w14:paraId="33888D21" w14:textId="77777777" w:rsidR="00F62C43" w:rsidRDefault="0052745E" w:rsidP="0052745E">
      <w:pPr>
        <w:rPr>
          <w:lang w:eastAsia="en-GB"/>
        </w:rPr>
      </w:pPr>
      <w:r w:rsidRPr="0052745E">
        <w:rPr>
          <w:lang w:eastAsia="en-GB"/>
        </w:rPr>
        <w:t>Cloud warehousing has become a dominant trend across finance, allowing elastic storage and cost efficiency while ensuring compliance with GDPR and the Financial Conduct Authority (FCA) data standards. Barclays’ shift from legacy ETL processes to real-time ELT pipelines reflects the industry-wide adoption of Kimball’s modular architecture for scalable decision support.</w:t>
      </w:r>
      <w:r w:rsidRPr="0052745E">
        <w:rPr>
          <w:lang w:eastAsia="en-GB"/>
        </w:rPr>
        <w:br/>
        <w:t>Equally, data mining has matured from exploratory analysis to automated intelligence. In my professional observation, Barclays employs classification algorithms for credit-risk scoring and clustering for behavioural segmentation, aligning with the CRISP-DM framework that guides problem definition, modelling, and evaluation. These models not only reduce default risks but also personalise customer engagement, supporting the bank’s digital-first strategy.</w:t>
      </w:r>
      <w:r w:rsidRPr="0052745E">
        <w:rPr>
          <w:lang w:eastAsia="en-GB"/>
        </w:rPr>
        <w:br/>
      </w:r>
    </w:p>
    <w:p w14:paraId="367FB8EC" w14:textId="21862D67" w:rsidR="0052745E" w:rsidRDefault="00733519" w:rsidP="0052745E">
      <w:pPr>
        <w:rPr>
          <w:lang w:eastAsia="en-GB"/>
        </w:rPr>
      </w:pPr>
      <w:r>
        <w:rPr>
          <w:lang w:eastAsia="en-GB"/>
        </w:rPr>
        <w:t>The t</w:t>
      </w:r>
      <w:r w:rsidR="0052745E" w:rsidRPr="0052745E">
        <w:rPr>
          <w:lang w:eastAsia="en-GB"/>
        </w:rPr>
        <w:t>rends also expose challenges: increasing data volumes, ethical bias in algorithms, and security vulnerabilities from cloud integration. Thus, while BI technologies enhance speed and accuracy, their success depends on robust governance, ethical oversight, and skilled human interpretation, principles central to sustainable analytics at Barclays.</w:t>
      </w:r>
    </w:p>
    <w:p w14:paraId="1321F9A4" w14:textId="65CA0A2F" w:rsidR="00AD1A19" w:rsidRPr="00AD1A19" w:rsidRDefault="00AD1A19" w:rsidP="00AD1A19">
      <w:pPr>
        <w:pStyle w:val="Heading1"/>
        <w:rPr>
          <w:rFonts w:eastAsia="Times New Roman"/>
          <w:lang w:eastAsia="en-GB"/>
        </w:rPr>
      </w:pPr>
      <w:bookmarkStart w:id="4" w:name="_Toc214557853"/>
      <w:r w:rsidRPr="00AD1A19">
        <w:rPr>
          <w:rFonts w:eastAsia="Times New Roman"/>
          <w:lang w:eastAsia="en-GB"/>
        </w:rPr>
        <w:t>3. Data Warehousing in the Organisation</w:t>
      </w:r>
      <w:bookmarkEnd w:id="4"/>
    </w:p>
    <w:p w14:paraId="2EBDE631" w14:textId="1633590F" w:rsidR="00733519" w:rsidRDefault="00AD1A19" w:rsidP="00733519">
      <w:pPr>
        <w:rPr>
          <w:lang w:eastAsia="en-GB"/>
        </w:rPr>
      </w:pPr>
      <w:r w:rsidRPr="00AD1A19">
        <w:rPr>
          <w:lang w:eastAsia="en-GB"/>
        </w:rPr>
        <w:t xml:space="preserve">Within Barclays UK Retail Division, effective decision-making depends on the ability to consolidate and interpret massive volumes of data generated daily across branches, ATMs, mobile apps, and online platforms. The Data Warehouse (DW) functions as the central nervous system of this process, integrating transactional, operational, and customer data into a unified analytical environment. As Kimball (2013) explains, the DW serves as a </w:t>
      </w:r>
      <w:r>
        <w:rPr>
          <w:lang w:eastAsia="en-GB"/>
        </w:rPr>
        <w:t>subject-oriented</w:t>
      </w:r>
      <w:r w:rsidRPr="00AD1A19">
        <w:rPr>
          <w:lang w:eastAsia="en-GB"/>
        </w:rPr>
        <w:t>, integrated, time-variant, and non-volatile repository that supports strategic, tactical, and operational analysis.</w:t>
      </w:r>
      <w:r w:rsidRPr="00AD1A19">
        <w:rPr>
          <w:lang w:eastAsia="en-GB"/>
        </w:rPr>
        <w:br/>
      </w:r>
      <w:r w:rsidRPr="00AD1A19">
        <w:rPr>
          <w:lang w:eastAsia="en-GB"/>
        </w:rPr>
        <w:lastRenderedPageBreak/>
        <w:br/>
        <w:t>From my experience, Barclays’ DW architecture mirrors Kimball’s bottom-up approach, where smaller data marts, such as risk, loans, or customer management, feed into a larger enterprise warehouse hosted on Microsoft Azure. This modular model enables both flexibility and scalability, ensuring data quality and accessibility across business units. ETL (Extract, Transform, Load) processes, supported by the system, clean and harmonise data prior to its use in analytics and reporting.</w:t>
      </w:r>
      <w:r w:rsidRPr="00AD1A19">
        <w:rPr>
          <w:lang w:eastAsia="en-GB"/>
        </w:rPr>
        <w:br/>
      </w:r>
      <w:r w:rsidRPr="00AD1A19">
        <w:rPr>
          <w:lang w:eastAsia="en-GB"/>
        </w:rPr>
        <w:br/>
        <w:t>A well-structured Data Warehouse significantly improves data reliability, reporting accuracy, and compliance. In banking, even minor inconsistencies in credit or transaction data can distort risk metrics. Sharda et al. (2014) emphasise that accurate warehousing improves not only analytical outcomes but also organisational trust in data-driven decisions. In Barclays’ case, the DW provides near real-time insights into customer activity, fraud detection, and credit performance, enabling executives to respond faster to financial risks and regulatory changes.</w:t>
      </w:r>
      <w:r w:rsidRPr="00AD1A19">
        <w:rPr>
          <w:lang w:eastAsia="en-GB"/>
        </w:rPr>
        <w:br/>
      </w:r>
      <w:r w:rsidRPr="00AD1A19">
        <w:rPr>
          <w:lang w:eastAsia="en-GB"/>
        </w:rPr>
        <w:br/>
      </w:r>
      <w:r w:rsidR="007A475D">
        <w:rPr>
          <w:lang w:eastAsia="en-GB"/>
        </w:rPr>
        <w:t xml:space="preserve">Although practical challenges have been observed, such as data duplication across systems, latency in batch updates, and reliance on legacy databases inherited from earlier platforms. Whitten et al. (2017) note that such fragmentation undermines the efficiency of data mining models. </w:t>
      </w:r>
      <w:r w:rsidR="00733519">
        <w:t>Deploying ELT pipelines frequently resolves the issue. This approach enables the processing of raw data directly within the data warehouse, thereby optimising processing speed and minimising data loss.</w:t>
      </w:r>
    </w:p>
    <w:p w14:paraId="1972C3C6" w14:textId="6EF0C813" w:rsidR="00AD1A19" w:rsidRDefault="00AD1A19" w:rsidP="00733519">
      <w:pPr>
        <w:rPr>
          <w:lang w:eastAsia="en-GB"/>
        </w:rPr>
      </w:pPr>
      <w:r w:rsidRPr="00AD1A19">
        <w:rPr>
          <w:lang w:eastAsia="en-GB"/>
        </w:rPr>
        <w:t xml:space="preserve">Another key development is data virtualisation, which allows Barclays to query multiple data sources simultaneously without physically moving the data, enhancing flexibility for analysts while maintaining compliance under GDPR and FCA supervision. This aligns with </w:t>
      </w:r>
      <w:proofErr w:type="spellStart"/>
      <w:r w:rsidRPr="00AD1A19">
        <w:rPr>
          <w:lang w:eastAsia="en-GB"/>
        </w:rPr>
        <w:t>Vercellis</w:t>
      </w:r>
      <w:proofErr w:type="spellEnd"/>
      <w:r w:rsidRPr="00AD1A19">
        <w:rPr>
          <w:lang w:eastAsia="en-GB"/>
        </w:rPr>
        <w:t xml:space="preserve"> (2009), who highlights that modern DW design should balance accessibility with robust data governance.</w:t>
      </w:r>
      <w:r w:rsidRPr="00AD1A19">
        <w:rPr>
          <w:lang w:eastAsia="en-GB"/>
        </w:rPr>
        <w:br/>
      </w:r>
      <w:r w:rsidRPr="00AD1A19">
        <w:rPr>
          <w:lang w:eastAsia="en-GB"/>
        </w:rPr>
        <w:br/>
        <w:t xml:space="preserve">In my critical view, the true power of Barclays’ DW lies not merely in technology but in human interpretation, in how analysts translate warehouse outputs into strategic insight. Without clear analytical governance and continuous data literacy training, even the most advanced systems risk being underutilised. Thus, Barclays’ DW success depends equally on </w:t>
      </w:r>
      <w:r w:rsidRPr="00AD1A19">
        <w:rPr>
          <w:lang w:eastAsia="en-GB"/>
        </w:rPr>
        <w:lastRenderedPageBreak/>
        <w:t>technical architecture, ethical responsibility, and human expertise in extracting meaning from data.</w:t>
      </w:r>
    </w:p>
    <w:p w14:paraId="6FBBF74E" w14:textId="77777777" w:rsidR="000F34F3" w:rsidRPr="000F34F3" w:rsidRDefault="000F34F3" w:rsidP="000F34F3">
      <w:pPr>
        <w:pStyle w:val="Heading1"/>
        <w:rPr>
          <w:rFonts w:eastAsia="Times New Roman"/>
          <w:lang w:eastAsia="en-GB"/>
        </w:rPr>
      </w:pPr>
      <w:bookmarkStart w:id="5" w:name="_Toc214557854"/>
      <w:r w:rsidRPr="000F34F3">
        <w:rPr>
          <w:rFonts w:eastAsia="Times New Roman"/>
          <w:lang w:eastAsia="en-GB"/>
        </w:rPr>
        <w:t>4. Data Mining Techniques</w:t>
      </w:r>
      <w:bookmarkEnd w:id="5"/>
    </w:p>
    <w:p w14:paraId="190B65EC" w14:textId="77777777" w:rsidR="000F34F3" w:rsidRPr="000F34F3" w:rsidRDefault="000F34F3" w:rsidP="000F34F3">
      <w:pPr>
        <w:rPr>
          <w:lang w:eastAsia="en-GB"/>
        </w:rPr>
      </w:pPr>
      <w:r w:rsidRPr="000F34F3">
        <w:rPr>
          <w:lang w:eastAsia="en-GB"/>
        </w:rPr>
        <w:t>Within Barclays UK Retail Division, data mining (DM) represents a fundamental element of business intelligence, converting vast and complex datasets into actionable insights that drive strategic and operational decisions. According to Whitten et al. (2017), data mining is the process of automatically discovering meaningful patterns and structures in large datasets through statistical and machine learning algorithms. At Barclays, this capability supports areas such as customer relationship management, credit assessment, fraud detection, and targeted marketing initiatives, laying the foundation for data-driven decision-making across the organisation.</w:t>
      </w:r>
    </w:p>
    <w:p w14:paraId="6551C881" w14:textId="77777777" w:rsidR="000F34F3" w:rsidRPr="000F34F3" w:rsidRDefault="000F34F3" w:rsidP="000F34F3">
      <w:pPr>
        <w:rPr>
          <w:lang w:eastAsia="en-GB"/>
        </w:rPr>
      </w:pPr>
      <w:r w:rsidRPr="000F34F3">
        <w:rPr>
          <w:lang w:eastAsia="en-GB"/>
        </w:rPr>
        <w:t xml:space="preserve">The most influential techniques used within the retail division are </w:t>
      </w:r>
      <w:r w:rsidRPr="000F34F3">
        <w:rPr>
          <w:b/>
          <w:bCs/>
          <w:lang w:eastAsia="en-GB"/>
        </w:rPr>
        <w:t>classification</w:t>
      </w:r>
      <w:r w:rsidRPr="000F34F3">
        <w:rPr>
          <w:lang w:eastAsia="en-GB"/>
        </w:rPr>
        <w:t xml:space="preserve"> and </w:t>
      </w:r>
      <w:r w:rsidRPr="000F34F3">
        <w:rPr>
          <w:b/>
          <w:bCs/>
          <w:lang w:eastAsia="en-GB"/>
        </w:rPr>
        <w:t>clustering</w:t>
      </w:r>
      <w:r w:rsidRPr="000F34F3">
        <w:rPr>
          <w:lang w:eastAsia="en-GB"/>
        </w:rPr>
        <w:t>, both central to predictive analytics and customer insight development. Credit-risk evaluation and fraud prevention widely apply classification models, such as decision trees, logistic regression, and random forests. During the assessment of loan or mortgage applications, these models categorise applicants into low-, medium-, or high-risk groups based on their historical repayment patterns, spending behaviours, and income profiles. Sharda et al. (2014) note that such supervised learning techniques enhance analytical consistency, improve accuracy, and mitigate human bias in complex financial decisions. Barclays uses advanced platforms, such as SAS Enterprise Miner and Azure Machine Learning Studio, integrated with its central data warehouse, to operationalise these models across different business functions.</w:t>
      </w:r>
    </w:p>
    <w:p w14:paraId="0D85D86E" w14:textId="77777777" w:rsidR="000F34F3" w:rsidRPr="000F34F3" w:rsidRDefault="000F34F3" w:rsidP="000F34F3">
      <w:pPr>
        <w:rPr>
          <w:lang w:eastAsia="en-GB"/>
        </w:rPr>
      </w:pPr>
      <w:r w:rsidRPr="000F34F3">
        <w:rPr>
          <w:lang w:eastAsia="en-GB"/>
        </w:rPr>
        <w:t xml:space="preserve">In parallel, </w:t>
      </w:r>
      <w:r w:rsidRPr="000F34F3">
        <w:rPr>
          <w:b/>
          <w:bCs/>
          <w:lang w:eastAsia="en-GB"/>
        </w:rPr>
        <w:t>clustering techniques, an</w:t>
      </w:r>
      <w:r w:rsidRPr="000F34F3">
        <w:rPr>
          <w:lang w:eastAsia="en-GB"/>
        </w:rPr>
        <w:t xml:space="preserve"> unsupervised learning approach, are applied to uncover natural groupings within customer data without the need for predefined labels. This method enables marketing and analytics teams to segment customers into categories such as digital adopters, high-value investors, or credit-sensitive savers. These clusters support personalised marketing campaigns, optimised product recommendations, and improved customer retention strategies. The approach aligns with the </w:t>
      </w:r>
      <w:r w:rsidRPr="000F34F3">
        <w:rPr>
          <w:b/>
          <w:bCs/>
          <w:lang w:eastAsia="en-GB"/>
        </w:rPr>
        <w:t>CRISP-DM framework</w:t>
      </w:r>
      <w:r w:rsidRPr="000F34F3">
        <w:rPr>
          <w:lang w:eastAsia="en-GB"/>
        </w:rPr>
        <w:t xml:space="preserve"> (a cross-industry standard process for data mining), which emphasises iterative stages of data understanding, preparation, modelling, and evaluation to enhance continuous business improvement (Sharda et al., 2014).</w:t>
      </w:r>
    </w:p>
    <w:p w14:paraId="62CCA616" w14:textId="77777777" w:rsidR="000F34F3" w:rsidRDefault="000F34F3" w:rsidP="000F34F3">
      <w:pPr>
        <w:rPr>
          <w:lang w:eastAsia="en-GB"/>
        </w:rPr>
      </w:pPr>
      <w:r w:rsidRPr="000F34F3">
        <w:rPr>
          <w:lang w:eastAsia="en-GB"/>
        </w:rPr>
        <w:lastRenderedPageBreak/>
        <w:t>Despite its effectiveness, data mining requires careful ethical and technical governance. Poorly designed models or biased training datasets can lead to inaccurate or discriminatory outcomes, particularly in credit scoring and financial inclusion. To mitigate such risks, Barclays enforces rigorous model validation, bias detection protocols, and continuous monitoring through its data governance framework. By balancing algorithmic intelligence with human analytical oversight, the bank ensures that predictive models remain transparent, fair, and aligned with regulatory and ethical standards. Ultimately, data mining at Barclays exemplifies how advanced analytics can enhance profitability, customer trust, and sustainable innovation in the modern banking environment.</w:t>
      </w:r>
    </w:p>
    <w:p w14:paraId="36B5F698" w14:textId="5C42F004" w:rsidR="000F34F3" w:rsidRPr="000F34F3" w:rsidRDefault="000F34F3" w:rsidP="000F34F3">
      <w:pPr>
        <w:pStyle w:val="Heading1"/>
        <w:rPr>
          <w:rFonts w:eastAsia="Times New Roman"/>
          <w:lang w:eastAsia="en-GB"/>
        </w:rPr>
      </w:pPr>
      <w:bookmarkStart w:id="6" w:name="_Toc214557855"/>
      <w:r w:rsidRPr="000F34F3">
        <w:rPr>
          <w:rFonts w:eastAsia="Times New Roman"/>
          <w:lang w:eastAsia="en-GB"/>
        </w:rPr>
        <w:t>5</w:t>
      </w:r>
      <w:r>
        <w:rPr>
          <w:rFonts w:eastAsia="Times New Roman"/>
          <w:lang w:eastAsia="en-GB"/>
        </w:rPr>
        <w:t>.</w:t>
      </w:r>
      <w:r w:rsidRPr="000F34F3">
        <w:rPr>
          <w:rFonts w:eastAsia="Times New Roman"/>
          <w:lang w:eastAsia="en-GB"/>
        </w:rPr>
        <w:t xml:space="preserve"> Predictive Analytics</w:t>
      </w:r>
      <w:bookmarkEnd w:id="6"/>
    </w:p>
    <w:p w14:paraId="7DC1FB75" w14:textId="01A1F1D8" w:rsidR="000F34F3" w:rsidRPr="000F34F3" w:rsidRDefault="000F34F3" w:rsidP="000F34F3">
      <w:pPr>
        <w:rPr>
          <w:lang w:eastAsia="en-GB"/>
        </w:rPr>
      </w:pPr>
      <w:r w:rsidRPr="000F34F3">
        <w:rPr>
          <w:lang w:eastAsia="en-GB"/>
        </w:rPr>
        <w:t xml:space="preserve">Predictive analytics serves as a core element of strategic decision-making within Barclays UK Retail Division, enabling the organisation to anticipate customer behaviour, credit risk, and operational performance through data-driven intelligence. Sharda et al. (2014) define predictive analytics as the application of statistical and machine-learning models to forecast future outcomes using historical data patterns. Within Barclays, predictive systems are integrated into critical functions such as credit scoring, fraud detection, and </w:t>
      </w:r>
      <w:r>
        <w:rPr>
          <w:lang w:eastAsia="en-GB"/>
        </w:rPr>
        <w:t>customer churn</w:t>
      </w:r>
      <w:r w:rsidRPr="000F34F3">
        <w:rPr>
          <w:lang w:eastAsia="en-GB"/>
        </w:rPr>
        <w:t xml:space="preserve"> forecasting, transforming raw data into actionable insights that guide proactive business strategies.</w:t>
      </w:r>
    </w:p>
    <w:p w14:paraId="15D8BA55" w14:textId="5932ECC5" w:rsidR="000F34F3" w:rsidRPr="000F34F3" w:rsidRDefault="000F34F3" w:rsidP="000F34F3">
      <w:pPr>
        <w:rPr>
          <w:lang w:eastAsia="en-GB"/>
        </w:rPr>
      </w:pPr>
      <w:r w:rsidRPr="000F34F3">
        <w:rPr>
          <w:lang w:eastAsia="en-GB"/>
        </w:rPr>
        <w:t xml:space="preserve">Barclays employs </w:t>
      </w:r>
      <w:r w:rsidRPr="000F34F3">
        <w:rPr>
          <w:b/>
          <w:bCs/>
          <w:lang w:eastAsia="en-GB"/>
        </w:rPr>
        <w:t>Power BI</w:t>
      </w:r>
      <w:r w:rsidRPr="000F34F3">
        <w:rPr>
          <w:lang w:eastAsia="en-GB"/>
        </w:rPr>
        <w:t xml:space="preserve">, </w:t>
      </w:r>
      <w:r w:rsidRPr="000F34F3">
        <w:rPr>
          <w:b/>
          <w:bCs/>
          <w:lang w:eastAsia="en-GB"/>
        </w:rPr>
        <w:t xml:space="preserve">SPSS </w:t>
      </w:r>
      <w:r>
        <w:rPr>
          <w:b/>
          <w:bCs/>
          <w:lang w:eastAsia="en-GB"/>
        </w:rPr>
        <w:t>Modeller</w:t>
      </w:r>
      <w:r w:rsidRPr="000F34F3">
        <w:rPr>
          <w:lang w:eastAsia="en-GB"/>
        </w:rPr>
        <w:t xml:space="preserve">, and </w:t>
      </w:r>
      <w:r w:rsidRPr="000F34F3">
        <w:rPr>
          <w:b/>
          <w:bCs/>
          <w:lang w:eastAsia="en-GB"/>
        </w:rPr>
        <w:t>Azure Machine Learning</w:t>
      </w:r>
      <w:r w:rsidRPr="000F34F3">
        <w:rPr>
          <w:lang w:eastAsia="en-GB"/>
        </w:rPr>
        <w:t xml:space="preserve"> to design and deploy predictive models directly from its enterprise data warehouse. Power BI dashboards visualise forecasts and real-time performance metrics, allowing management to monitor trends and deviations efficiently. SPSS regression and decision-tree models provide probability analyses for loan defaults and account closures, while Azure pipelines automate application scoring and risk assessment within seconds. This multi-tool integration reflects what Whitten et al. (2017) identify as the convergence of data warehousing, mining, and analytics into a unified framework that enhances responsiveness and accuracy.</w:t>
      </w:r>
    </w:p>
    <w:p w14:paraId="3671080D" w14:textId="77777777" w:rsidR="000F34F3" w:rsidRPr="000F34F3" w:rsidRDefault="000F34F3" w:rsidP="000F34F3">
      <w:pPr>
        <w:rPr>
          <w:lang w:eastAsia="en-GB"/>
        </w:rPr>
      </w:pPr>
      <w:r w:rsidRPr="000F34F3">
        <w:rPr>
          <w:lang w:eastAsia="en-GB"/>
        </w:rPr>
        <w:t xml:space="preserve">Ensuring the reliability of predictive insights requires rigorous governance, high-quality data, and ethical oversight. Poor feature selection, biased datasets, or insufficient validation can distort forecasts and undermine decision credibility. Barclays addresses these risks through continuous model auditing, transparency protocols, and compliance with Financial Conduct Authority (FCA) guidance. When effectively governed, predictive analytics evolves beyond a </w:t>
      </w:r>
      <w:r w:rsidRPr="000F34F3">
        <w:rPr>
          <w:lang w:eastAsia="en-GB"/>
        </w:rPr>
        <w:lastRenderedPageBreak/>
        <w:t>technical function into a strategic capability that supports innovation, strengthens customer trust, and sustains competitive advantage through timely, evidence-based decision-making.</w:t>
      </w:r>
    </w:p>
    <w:p w14:paraId="17480C34" w14:textId="77777777" w:rsidR="00F63714" w:rsidRDefault="00F63714" w:rsidP="00F63714">
      <w:pPr>
        <w:pStyle w:val="Heading1"/>
        <w:rPr>
          <w:lang w:eastAsia="en-GB"/>
        </w:rPr>
      </w:pPr>
      <w:bookmarkStart w:id="7" w:name="_Toc214557856"/>
      <w:r>
        <w:rPr>
          <w:lang w:eastAsia="en-GB"/>
        </w:rPr>
        <w:t>6. Ethical and Data Security Considerations</w:t>
      </w:r>
      <w:bookmarkEnd w:id="7"/>
    </w:p>
    <w:p w14:paraId="4208E24F" w14:textId="77777777" w:rsidR="00F63714" w:rsidRDefault="00F63714" w:rsidP="00F63714">
      <w:pPr>
        <w:rPr>
          <w:lang w:eastAsia="en-GB"/>
        </w:rPr>
      </w:pPr>
      <w:r>
        <w:rPr>
          <w:lang w:eastAsia="en-GB"/>
        </w:rPr>
        <w:t>In the banking industry, data ethics and security represent fundamental pillars of customer trust and regulatory compliance. Within Barclays UK Retail Division, data governance is structured around strict adherence to the General Data Protection Regulation (GDPR) and Financial Conduct Authority (FCA) standards, ensuring transparency, informed consent, and accountability throughout all analytical operations. Sharda et al. (2014) emphasise that ethical data handling forms the foundation of integrity within business intelligence (BI) systems, particularly when predictive models influence financial decisions, such as credit approvals, fraud alerts, or investment recommendations.</w:t>
      </w:r>
    </w:p>
    <w:p w14:paraId="23493F17" w14:textId="77777777" w:rsidR="00F63714" w:rsidRDefault="00F63714" w:rsidP="00F63714">
      <w:pPr>
        <w:rPr>
          <w:lang w:eastAsia="en-GB"/>
        </w:rPr>
      </w:pPr>
      <w:r>
        <w:rPr>
          <w:lang w:eastAsia="en-GB"/>
        </w:rPr>
        <w:t>Barclays implements a multi-layered security framework designed to protect sensitive information across its digital infrastructure. This includes advanced data encryption, multi-factor authentication, firewalls, and role-based access controls that restrict data exposure only to authorised personnel. Microsoft Azure environments securely store customer and transaction data, and automated compliance dashboards provide real-time monitoring. Regular audits, penetration testing, and continuous improvement protocols identify and mitigate potential vulnerabilities, while mandatory data ethics and cybersecurity training ensure employee awareness of evolving risks.</w:t>
      </w:r>
    </w:p>
    <w:p w14:paraId="13D32A88" w14:textId="22C3948E" w:rsidR="000F34F3" w:rsidRDefault="00F63714" w:rsidP="00F63714">
      <w:pPr>
        <w:rPr>
          <w:lang w:eastAsia="en-GB"/>
        </w:rPr>
      </w:pPr>
      <w:r>
        <w:rPr>
          <w:lang w:eastAsia="en-GB"/>
        </w:rPr>
        <w:t>Despite these safeguards, ethical challenges remain inherent in automated analytics. Algorithms may inadvertently reflect societal biases, producing unequal outcomes in credit scoring or marketing segmentation. Whitten et al. (2017) highlight the importance of embedding fairness, explainability, and accountability into every stage of the analytical lifecycle. Ethical governance and robust data security, therefore, extend beyond compliance requirements, functioning as strategic imperatives that protect reputation, strengthen customer loyalty, and promote socially responsible innovation across Barclays’ data-driven operations.</w:t>
      </w:r>
    </w:p>
    <w:p w14:paraId="328933A5" w14:textId="77777777" w:rsidR="00AB6757" w:rsidRDefault="00AB6757" w:rsidP="00F63714">
      <w:pPr>
        <w:rPr>
          <w:lang w:eastAsia="en-GB"/>
        </w:rPr>
      </w:pPr>
    </w:p>
    <w:p w14:paraId="0D432787" w14:textId="77777777" w:rsidR="00AB6757" w:rsidRDefault="00AB6757" w:rsidP="00F63714">
      <w:pPr>
        <w:rPr>
          <w:lang w:eastAsia="en-GB"/>
        </w:rPr>
      </w:pPr>
    </w:p>
    <w:p w14:paraId="6F2C5DC8" w14:textId="77777777" w:rsidR="00AB6757" w:rsidRDefault="00AB6757" w:rsidP="00F63714">
      <w:pPr>
        <w:rPr>
          <w:lang w:eastAsia="en-GB"/>
        </w:rPr>
      </w:pPr>
    </w:p>
    <w:p w14:paraId="4407557C" w14:textId="77777777" w:rsidR="00AB6757" w:rsidRDefault="00AB6757" w:rsidP="00F63714">
      <w:pPr>
        <w:rPr>
          <w:lang w:eastAsia="en-GB"/>
        </w:rPr>
      </w:pPr>
    </w:p>
    <w:p w14:paraId="70ED40B7" w14:textId="4EB80E69" w:rsidR="00AB6757" w:rsidRDefault="00AB6757" w:rsidP="00AB6757">
      <w:pPr>
        <w:pStyle w:val="Heading1"/>
      </w:pPr>
      <w:bookmarkStart w:id="8" w:name="_Toc214557857"/>
      <w:r>
        <w:t>7. Reporting and Dashboard Solutions</w:t>
      </w:r>
      <w:bookmarkEnd w:id="8"/>
    </w:p>
    <w:p w14:paraId="58D88EA3" w14:textId="77777777" w:rsidR="00AB6757" w:rsidRDefault="00AB6757" w:rsidP="00AB6757">
      <w:r>
        <w:t>Effective reporting and data visualisation are crucial for transforming analytical findings into actionable intelligence within the Barclays UK Retail Division. Power BI and Tableau are the primary Business Intelligence (BI) tools employed, providing dynamic dashboards that display complex financial and operational data in a clear and interactive manner. Sharda et al. (2014) highlight that visual analytics plays a vital role in bridging the divide between technical analysis and executive decision-making by translating multidimensional datasets into intuitive insights that underpin evidence-based strategies.</w:t>
      </w:r>
    </w:p>
    <w:p w14:paraId="06E4DB42" w14:textId="77777777" w:rsidR="00AB6757" w:rsidRDefault="00AB6757" w:rsidP="00AB6757">
      <w:r>
        <w:t xml:space="preserve">At Barclays, Power BI dashboards are instrumental in consolidating key performance indicators (KPIs) such as loan approval rates, default ratios, fraud alerts, customer churn, and branch-level profitability. These dashboards are directly linked to the Azure Data Warehouse, which ensures automatic data refreshes, thereby eliminating the delays typically associated with manual reporting. Senior managers </w:t>
      </w:r>
      <w:proofErr w:type="gramStart"/>
      <w:r>
        <w:t>are able to</w:t>
      </w:r>
      <w:proofErr w:type="gramEnd"/>
      <w:r>
        <w:t xml:space="preserve"> use drill-down features to investigate specific metrics—such as digital-channel engagement or regional credit performance—facilitating both tactical adjustments and strategic planning.</w:t>
      </w:r>
    </w:p>
    <w:p w14:paraId="14BC36DD" w14:textId="77777777" w:rsidR="00AB6757" w:rsidRDefault="00AB6757" w:rsidP="00AB6757">
      <w:r>
        <w:t>Tableau enhances this process by enabling advanced data storytelling and fostering cross-departmental collaboration. In projects involving marketing analytics and customer segmentation, Tableau dashboards visualise predictive model outputs from SPSS Modeller and Azure Machine Learning, delivering real-time forecasts concerning credit demand, savings behaviour, or product adoption. This integration guarantees that decision-makers possess a comprehensive understanding of operational dynamics and emerging customer trends.</w:t>
      </w:r>
    </w:p>
    <w:p w14:paraId="1391857E" w14:textId="77777777" w:rsidR="00AB6757" w:rsidRDefault="00AB6757" w:rsidP="00AB6757">
      <w:r>
        <w:t>The effectiveness of dashboarding at Barclays transcends mere visual design; it promotes transparency, interactivity, and accountability. When paired with ethical data governance, these BI solutions empower analysts and executives to act with precision, ensuring alignment between business performance and strategic as well as regulatory objectives.</w:t>
      </w:r>
    </w:p>
    <w:p w14:paraId="15F5F949" w14:textId="77777777" w:rsidR="00717142" w:rsidRDefault="00717142" w:rsidP="00AB6757"/>
    <w:p w14:paraId="1283853A" w14:textId="77777777" w:rsidR="00717142" w:rsidRDefault="00717142" w:rsidP="00AB6757"/>
    <w:p w14:paraId="7C9B08DF" w14:textId="77777777" w:rsidR="00717142" w:rsidRDefault="00717142" w:rsidP="00AB6757"/>
    <w:p w14:paraId="1991F534" w14:textId="77777777" w:rsidR="00717142" w:rsidRPr="00717142" w:rsidRDefault="00717142" w:rsidP="00717142">
      <w:pPr>
        <w:pStyle w:val="Heading1"/>
        <w:rPr>
          <w:rFonts w:eastAsia="Times New Roman"/>
          <w:lang w:eastAsia="en-GB"/>
        </w:rPr>
      </w:pPr>
      <w:bookmarkStart w:id="9" w:name="_Toc214557858"/>
      <w:r w:rsidRPr="00717142">
        <w:rPr>
          <w:rFonts w:eastAsia="Times New Roman"/>
          <w:lang w:eastAsia="en-GB"/>
        </w:rPr>
        <w:t>8: Conclusion</w:t>
      </w:r>
      <w:bookmarkEnd w:id="9"/>
    </w:p>
    <w:p w14:paraId="0F78892F" w14:textId="77777777" w:rsidR="00717142" w:rsidRPr="00717142" w:rsidRDefault="00717142" w:rsidP="00717142">
      <w:pPr>
        <w:rPr>
          <w:lang w:eastAsia="en-GB"/>
        </w:rPr>
      </w:pPr>
      <w:r w:rsidRPr="00717142">
        <w:rPr>
          <w:lang w:eastAsia="en-GB"/>
        </w:rPr>
        <w:t>Business Intelligence (BI), Data Warehousing (DW), and Data Mining (DM) are pivotal in strategic decision-making within Barclays' UK Retail Division. The integration of cloud-based data systems, predictive analytics, and real-time dashboards has revolutionised the method of collecting, analysing, and applying information across all operational levels. As noted by Sharda et al. (2014), effective BI transforms raw data into strategic knowledge that enhances agility, efficiency, and competitive advantage.</w:t>
      </w:r>
    </w:p>
    <w:p w14:paraId="1E3399E2" w14:textId="77777777" w:rsidR="00717142" w:rsidRDefault="00717142" w:rsidP="00717142">
      <w:pPr>
        <w:rPr>
          <w:lang w:eastAsia="en-GB"/>
        </w:rPr>
      </w:pPr>
      <w:r w:rsidRPr="00717142">
        <w:rPr>
          <w:lang w:eastAsia="en-GB"/>
        </w:rPr>
        <w:t>Barclays' long-term success hinges not only on technological advancements but also on the organisation's commitment to ethical governance and analytical transparency. Continuous improvements in data quality, employee training, and model validation are vital for ensuring that predictive insights remain accurate, fair, and compliant with regulatory standards. Thus, BI acts as a strategic enabler, enhancing decision-making, building customer trust, and fostering sustainable growth in an increasingly data-driven financial landscape.</w:t>
      </w:r>
    </w:p>
    <w:p w14:paraId="0C55914E" w14:textId="77777777" w:rsidR="00CC6628" w:rsidRDefault="00CC6628" w:rsidP="00717142">
      <w:pPr>
        <w:rPr>
          <w:lang w:eastAsia="en-GB"/>
        </w:rPr>
      </w:pPr>
    </w:p>
    <w:p w14:paraId="1C26B96A" w14:textId="77777777" w:rsidR="00CC6628" w:rsidRDefault="00CC6628" w:rsidP="00717142">
      <w:pPr>
        <w:rPr>
          <w:lang w:eastAsia="en-GB"/>
        </w:rPr>
      </w:pPr>
    </w:p>
    <w:p w14:paraId="6E5AECED" w14:textId="77777777" w:rsidR="00CC6628" w:rsidRDefault="00CC6628" w:rsidP="00717142">
      <w:pPr>
        <w:rPr>
          <w:lang w:eastAsia="en-GB"/>
        </w:rPr>
      </w:pPr>
    </w:p>
    <w:p w14:paraId="082384D5" w14:textId="77777777" w:rsidR="00CC6628" w:rsidRDefault="00CC6628" w:rsidP="00717142">
      <w:pPr>
        <w:rPr>
          <w:lang w:eastAsia="en-GB"/>
        </w:rPr>
      </w:pPr>
    </w:p>
    <w:p w14:paraId="2FF766B5" w14:textId="77777777" w:rsidR="00CC6628" w:rsidRDefault="00CC6628" w:rsidP="00717142">
      <w:pPr>
        <w:rPr>
          <w:lang w:eastAsia="en-GB"/>
        </w:rPr>
      </w:pPr>
    </w:p>
    <w:p w14:paraId="520979EF" w14:textId="77777777" w:rsidR="00CC6628" w:rsidRDefault="00CC6628" w:rsidP="00717142">
      <w:pPr>
        <w:rPr>
          <w:lang w:eastAsia="en-GB"/>
        </w:rPr>
      </w:pPr>
    </w:p>
    <w:p w14:paraId="6234412E" w14:textId="77777777" w:rsidR="00CC6628" w:rsidRDefault="00CC6628" w:rsidP="00717142">
      <w:pPr>
        <w:rPr>
          <w:lang w:eastAsia="en-GB"/>
        </w:rPr>
      </w:pPr>
    </w:p>
    <w:p w14:paraId="10C4BC86" w14:textId="77777777" w:rsidR="00CC6628" w:rsidRDefault="00CC6628" w:rsidP="00717142">
      <w:pPr>
        <w:rPr>
          <w:lang w:eastAsia="en-GB"/>
        </w:rPr>
      </w:pPr>
    </w:p>
    <w:p w14:paraId="009BB7F5" w14:textId="77777777" w:rsidR="00CC6628" w:rsidRDefault="00CC6628" w:rsidP="00717142">
      <w:pPr>
        <w:rPr>
          <w:lang w:eastAsia="en-GB"/>
        </w:rPr>
      </w:pPr>
    </w:p>
    <w:p w14:paraId="4BC4CA80" w14:textId="77777777" w:rsidR="00CC6628" w:rsidRDefault="00CC6628" w:rsidP="00717142">
      <w:pPr>
        <w:rPr>
          <w:lang w:eastAsia="en-GB"/>
        </w:rPr>
      </w:pPr>
    </w:p>
    <w:p w14:paraId="6BE2C6E4" w14:textId="0A2259CD" w:rsidR="00CC6628" w:rsidRPr="00097FDE" w:rsidRDefault="00CC6628" w:rsidP="00097FDE">
      <w:pPr>
        <w:pStyle w:val="Heading1"/>
      </w:pPr>
      <w:bookmarkStart w:id="10" w:name="_Hlk214557289"/>
      <w:bookmarkStart w:id="11" w:name="_Toc214557859"/>
      <w:r w:rsidRPr="00CC6628">
        <w:lastRenderedPageBreak/>
        <w:t>References</w:t>
      </w:r>
      <w:r>
        <w:t>:</w:t>
      </w:r>
      <w:bookmarkEnd w:id="10"/>
      <w:bookmarkEnd w:id="11"/>
    </w:p>
    <w:p w14:paraId="53F11A8E" w14:textId="77777777" w:rsidR="00CC6628" w:rsidRDefault="00CC6628" w:rsidP="00CC6628">
      <w:pPr>
        <w:pStyle w:val="NoSpacing"/>
      </w:pPr>
      <w:proofErr w:type="spellStart"/>
      <w:r>
        <w:t>AtScale</w:t>
      </w:r>
      <w:proofErr w:type="spellEnd"/>
      <w:r>
        <w:t xml:space="preserve"> (2025) *State of BI &amp; Analytics Report </w:t>
      </w:r>
      <w:proofErr w:type="gramStart"/>
      <w:r>
        <w:t>2025.*</w:t>
      </w:r>
      <w:proofErr w:type="gramEnd"/>
      <w:r>
        <w:t xml:space="preserve"> Available at: https://www.atscale.com (Accessed 7 November 2025)</w:t>
      </w:r>
    </w:p>
    <w:p w14:paraId="6394A21C" w14:textId="77777777" w:rsidR="00CC6628" w:rsidRDefault="00CC6628" w:rsidP="00CC6628">
      <w:pPr>
        <w:pStyle w:val="NoSpacing"/>
      </w:pPr>
      <w:r>
        <w:t xml:space="preserve">Bank of England (2025) *Fintech and Data Analytics in UK </w:t>
      </w:r>
      <w:proofErr w:type="gramStart"/>
      <w:r>
        <w:t>Banking.*</w:t>
      </w:r>
      <w:proofErr w:type="gramEnd"/>
      <w:r>
        <w:t xml:space="preserve"> London: Bank of England</w:t>
      </w:r>
    </w:p>
    <w:p w14:paraId="581BF4EC" w14:textId="77777777" w:rsidR="00CC6628" w:rsidRDefault="00CC6628" w:rsidP="00CC6628">
      <w:pPr>
        <w:pStyle w:val="NoSpacing"/>
      </w:pPr>
      <w:r>
        <w:t xml:space="preserve">Barclays Bank PLC (2024) *Annual Report </w:t>
      </w:r>
      <w:proofErr w:type="gramStart"/>
      <w:r>
        <w:t>2024.*</w:t>
      </w:r>
      <w:proofErr w:type="gramEnd"/>
      <w:r>
        <w:t xml:space="preserve"> London: Barclays PLC. Available at: https://home.barclays (Accessed 7 November 2025)</w:t>
      </w:r>
    </w:p>
    <w:p w14:paraId="438FD907" w14:textId="77777777" w:rsidR="00CC6628" w:rsidRDefault="00CC6628" w:rsidP="00CC6628">
      <w:pPr>
        <w:pStyle w:val="NoSpacing"/>
      </w:pPr>
      <w:r>
        <w:t xml:space="preserve">Financial Conduct Authority (FCA) (2024) *Data Ethics and AI Governance in UK Financial </w:t>
      </w:r>
      <w:proofErr w:type="gramStart"/>
      <w:r>
        <w:t>Services.*</w:t>
      </w:r>
      <w:proofErr w:type="gramEnd"/>
      <w:r>
        <w:t xml:space="preserve"> London: FCA. Available at: https://www.fca.org.uk (Accessed 7 November 2025)</w:t>
      </w:r>
    </w:p>
    <w:p w14:paraId="0085AC7A" w14:textId="77777777" w:rsidR="00CC6628" w:rsidRDefault="00CC6628" w:rsidP="00CC6628">
      <w:pPr>
        <w:pStyle w:val="NoSpacing"/>
      </w:pPr>
      <w:r>
        <w:t xml:space="preserve">International Monetary Fund (IMF) (2025) *World Economic Outlook 2025: UK Banking and </w:t>
      </w:r>
      <w:proofErr w:type="gramStart"/>
      <w:r>
        <w:t>Finance.*</w:t>
      </w:r>
      <w:proofErr w:type="gramEnd"/>
      <w:r>
        <w:t xml:space="preserve"> Washington, DC: IMF</w:t>
      </w:r>
    </w:p>
    <w:p w14:paraId="23366A03" w14:textId="594A5451" w:rsidR="00CC6628" w:rsidRDefault="00CC6628" w:rsidP="00CC6628">
      <w:pPr>
        <w:pStyle w:val="NoSpacing"/>
      </w:pPr>
      <w:r>
        <w:t xml:space="preserve">Kimball, R. (2013) *The Data Warehouse Toolkit: The Definitive Guide to Dimensional </w:t>
      </w:r>
      <w:proofErr w:type="gramStart"/>
      <w:r>
        <w:t>Modelling.*</w:t>
      </w:r>
      <w:proofErr w:type="gramEnd"/>
      <w:r>
        <w:t xml:space="preserve"> 3rd ed. Hoboken, NJ: John Wiley &amp; Sons</w:t>
      </w:r>
    </w:p>
    <w:p w14:paraId="798DB693" w14:textId="77777777" w:rsidR="00CC6628" w:rsidRDefault="00CC6628" w:rsidP="00CC6628">
      <w:pPr>
        <w:pStyle w:val="NoSpacing"/>
      </w:pPr>
      <w:r>
        <w:t xml:space="preserve">Microsoft (2025) *Azure Data Warehouse and Power BI Integration </w:t>
      </w:r>
      <w:proofErr w:type="gramStart"/>
      <w:r>
        <w:t>Guide.*</w:t>
      </w:r>
      <w:proofErr w:type="gramEnd"/>
      <w:r>
        <w:t xml:space="preserve"> Available at: https://learn.microsoft.com/azure (Accessed 7 November 2025)</w:t>
      </w:r>
    </w:p>
    <w:p w14:paraId="4CA227AA" w14:textId="77777777" w:rsidR="00CC6628" w:rsidRDefault="00CC6628" w:rsidP="00CC6628">
      <w:pPr>
        <w:pStyle w:val="NoSpacing"/>
      </w:pPr>
      <w:r>
        <w:t xml:space="preserve">Perficient (2025) *BI Governance and Data Ethics in Financial </w:t>
      </w:r>
      <w:proofErr w:type="gramStart"/>
      <w:r>
        <w:t>Services.*</w:t>
      </w:r>
      <w:proofErr w:type="gramEnd"/>
      <w:r>
        <w:t xml:space="preserve"> Available at: https://www.perficient.com (Accessed 7 November 2025)</w:t>
      </w:r>
    </w:p>
    <w:p w14:paraId="03D8898A" w14:textId="77777777" w:rsidR="00CC6628" w:rsidRDefault="00CC6628" w:rsidP="00CC6628">
      <w:pPr>
        <w:pStyle w:val="NoSpacing"/>
      </w:pPr>
      <w:r>
        <w:t xml:space="preserve">Redman, T.C. (2017) ‘Data’s Credibility Problem’, *Harvard Business </w:t>
      </w:r>
      <w:proofErr w:type="gramStart"/>
      <w:r>
        <w:t>Review,*</w:t>
      </w:r>
      <w:proofErr w:type="gramEnd"/>
      <w:r>
        <w:t xml:space="preserve"> September issue</w:t>
      </w:r>
    </w:p>
    <w:p w14:paraId="25213260" w14:textId="77777777" w:rsidR="00CC6628" w:rsidRDefault="00CC6628" w:rsidP="00CC6628">
      <w:pPr>
        <w:pStyle w:val="NoSpacing"/>
      </w:pPr>
      <w:r>
        <w:t xml:space="preserve">Sharda, R., Dursun, D. and Turban, E. (2014) *Business Intelligence and Analytics: Systems for Decision </w:t>
      </w:r>
      <w:proofErr w:type="gramStart"/>
      <w:r>
        <w:t>Support.*</w:t>
      </w:r>
      <w:proofErr w:type="gramEnd"/>
      <w:r>
        <w:t xml:space="preserve"> 3rd ed. Boston, MA: Pearson</w:t>
      </w:r>
    </w:p>
    <w:p w14:paraId="1E5E0C7C" w14:textId="77777777" w:rsidR="00CC6628" w:rsidRDefault="00CC6628" w:rsidP="00CC6628">
      <w:pPr>
        <w:pStyle w:val="NoSpacing"/>
      </w:pPr>
      <w:proofErr w:type="spellStart"/>
      <w:r>
        <w:t>Vercellis</w:t>
      </w:r>
      <w:proofErr w:type="spellEnd"/>
      <w:r>
        <w:t xml:space="preserve">, C. (2009) *Business Intelligence: Data Mining and Optimization for Decision </w:t>
      </w:r>
      <w:proofErr w:type="gramStart"/>
      <w:r>
        <w:t>Making.*</w:t>
      </w:r>
      <w:proofErr w:type="gramEnd"/>
      <w:r>
        <w:t xml:space="preserve"> Chichester: John Wiley &amp; Sons</w:t>
      </w:r>
    </w:p>
    <w:p w14:paraId="1911AD11" w14:textId="77777777" w:rsidR="00CC6628" w:rsidRDefault="00CC6628" w:rsidP="00CC6628">
      <w:pPr>
        <w:pStyle w:val="NoSpacing"/>
      </w:pPr>
      <w:r>
        <w:t xml:space="preserve">Whitten, I., Frank, E., Hall, M. and Pal, C. (2017) *Data Mining: Practical Machine Learning Tools and </w:t>
      </w:r>
      <w:proofErr w:type="gramStart"/>
      <w:r>
        <w:t>Techniques.*</w:t>
      </w:r>
      <w:proofErr w:type="gramEnd"/>
      <w:r>
        <w:t xml:space="preserve"> 4th ed. Cambridge, MA: Morgan Kaufmann Publishers</w:t>
      </w:r>
    </w:p>
    <w:p w14:paraId="08D944EC" w14:textId="77777777" w:rsidR="00CC6628" w:rsidRPr="00717142" w:rsidRDefault="00CC6628" w:rsidP="00717142">
      <w:pPr>
        <w:rPr>
          <w:lang w:eastAsia="en-GB"/>
        </w:rPr>
      </w:pPr>
    </w:p>
    <w:p w14:paraId="22276EB6" w14:textId="77777777" w:rsidR="00717142" w:rsidRDefault="00717142" w:rsidP="00AB6757"/>
    <w:p w14:paraId="5EC3E562" w14:textId="77777777" w:rsidR="00AB6757" w:rsidRPr="000F34F3" w:rsidRDefault="00AB6757" w:rsidP="00F63714">
      <w:pPr>
        <w:rPr>
          <w:lang w:eastAsia="en-GB"/>
        </w:rPr>
      </w:pPr>
    </w:p>
    <w:p w14:paraId="0636EDCE" w14:textId="77777777" w:rsidR="000F34F3" w:rsidRPr="00AD1A19" w:rsidRDefault="000F34F3" w:rsidP="00733519">
      <w:pPr>
        <w:rPr>
          <w:lang w:eastAsia="en-GB"/>
        </w:rPr>
      </w:pPr>
    </w:p>
    <w:p w14:paraId="0F7290B0" w14:textId="77777777" w:rsidR="00AD1A19" w:rsidRPr="0052745E" w:rsidRDefault="00AD1A19" w:rsidP="00AD1A19">
      <w:pPr>
        <w:rPr>
          <w:lang w:eastAsia="en-GB"/>
        </w:rPr>
      </w:pPr>
    </w:p>
    <w:p w14:paraId="634C5629" w14:textId="77777777" w:rsidR="0052745E" w:rsidRPr="0028576C" w:rsidRDefault="0052745E" w:rsidP="00AD1A19">
      <w:pPr>
        <w:rPr>
          <w:lang w:eastAsia="zh-CN"/>
        </w:rPr>
      </w:pPr>
    </w:p>
    <w:sectPr w:rsidR="0052745E" w:rsidRPr="002857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10930" w14:textId="77777777" w:rsidR="00C04C9A" w:rsidRDefault="00C04C9A" w:rsidP="002C4AE3">
      <w:pPr>
        <w:spacing w:before="0" w:after="0" w:line="240" w:lineRule="auto"/>
      </w:pPr>
      <w:r>
        <w:separator/>
      </w:r>
    </w:p>
  </w:endnote>
  <w:endnote w:type="continuationSeparator" w:id="0">
    <w:p w14:paraId="37D2B73D" w14:textId="77777777" w:rsidR="00C04C9A" w:rsidRDefault="00C04C9A" w:rsidP="002C4AE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9745744"/>
      <w:docPartObj>
        <w:docPartGallery w:val="Page Numbers (Bottom of Page)"/>
        <w:docPartUnique/>
      </w:docPartObj>
    </w:sdtPr>
    <w:sdtEndPr>
      <w:rPr>
        <w:noProof/>
      </w:rPr>
    </w:sdtEndPr>
    <w:sdtContent>
      <w:p w14:paraId="5D2A594C" w14:textId="609BC5D9" w:rsidR="008C50D6" w:rsidRDefault="008C50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2EA516" w14:textId="77777777" w:rsidR="008C50D6" w:rsidRDefault="008C50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3359C" w14:textId="77777777" w:rsidR="00C04C9A" w:rsidRDefault="00C04C9A" w:rsidP="002C4AE3">
      <w:pPr>
        <w:spacing w:before="0" w:after="0" w:line="240" w:lineRule="auto"/>
      </w:pPr>
      <w:r>
        <w:separator/>
      </w:r>
    </w:p>
  </w:footnote>
  <w:footnote w:type="continuationSeparator" w:id="0">
    <w:p w14:paraId="5E8A63BE" w14:textId="77777777" w:rsidR="00C04C9A" w:rsidRDefault="00C04C9A" w:rsidP="002C4AE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04BFC"/>
    <w:multiLevelType w:val="hybridMultilevel"/>
    <w:tmpl w:val="EFD0855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8FA72AE"/>
    <w:multiLevelType w:val="multilevel"/>
    <w:tmpl w:val="844030E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ACD1ABE"/>
    <w:multiLevelType w:val="hybridMultilevel"/>
    <w:tmpl w:val="041C05D2"/>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4781621">
    <w:abstractNumId w:val="0"/>
  </w:num>
  <w:num w:numId="2" w16cid:durableId="1069159180">
    <w:abstractNumId w:val="1"/>
  </w:num>
  <w:num w:numId="3" w16cid:durableId="16108191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A53"/>
    <w:rsid w:val="00007BE6"/>
    <w:rsid w:val="000939EA"/>
    <w:rsid w:val="0009538E"/>
    <w:rsid w:val="00097FDE"/>
    <w:rsid w:val="000C204A"/>
    <w:rsid w:val="000E41A3"/>
    <w:rsid w:val="000F34F3"/>
    <w:rsid w:val="0016017D"/>
    <w:rsid w:val="00237951"/>
    <w:rsid w:val="0028576C"/>
    <w:rsid w:val="00295917"/>
    <w:rsid w:val="002C4AE3"/>
    <w:rsid w:val="00307D1C"/>
    <w:rsid w:val="00314333"/>
    <w:rsid w:val="004A09DE"/>
    <w:rsid w:val="00520820"/>
    <w:rsid w:val="0052745E"/>
    <w:rsid w:val="005E18FC"/>
    <w:rsid w:val="00620ED1"/>
    <w:rsid w:val="00717142"/>
    <w:rsid w:val="00733519"/>
    <w:rsid w:val="007735C6"/>
    <w:rsid w:val="00794D1F"/>
    <w:rsid w:val="007A475D"/>
    <w:rsid w:val="007B5F30"/>
    <w:rsid w:val="007B6A53"/>
    <w:rsid w:val="007C4834"/>
    <w:rsid w:val="008C50D6"/>
    <w:rsid w:val="00975ABB"/>
    <w:rsid w:val="009C0516"/>
    <w:rsid w:val="009F7547"/>
    <w:rsid w:val="00A62543"/>
    <w:rsid w:val="00AB6757"/>
    <w:rsid w:val="00AC7F48"/>
    <w:rsid w:val="00AD1A19"/>
    <w:rsid w:val="00B20A60"/>
    <w:rsid w:val="00B437E4"/>
    <w:rsid w:val="00BF214A"/>
    <w:rsid w:val="00C04C9A"/>
    <w:rsid w:val="00C30D75"/>
    <w:rsid w:val="00C93095"/>
    <w:rsid w:val="00CC6628"/>
    <w:rsid w:val="00D763EC"/>
    <w:rsid w:val="00D95F1E"/>
    <w:rsid w:val="00DD4923"/>
    <w:rsid w:val="00E07516"/>
    <w:rsid w:val="00E51F0B"/>
    <w:rsid w:val="00E64206"/>
    <w:rsid w:val="00F62C43"/>
    <w:rsid w:val="00F63714"/>
    <w:rsid w:val="00F86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372F6F"/>
  <w15:chartTrackingRefBased/>
  <w15:docId w15:val="{53DCD24D-D49F-4E70-A496-3FE6F7401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204A"/>
    <w:pPr>
      <w:spacing w:before="120" w:after="240" w:line="360" w:lineRule="auto"/>
    </w:pPr>
    <w:rPr>
      <w:rFonts w:ascii="Times New Roman" w:hAnsi="Times New Roman"/>
    </w:rPr>
  </w:style>
  <w:style w:type="paragraph" w:styleId="Heading1">
    <w:name w:val="heading 1"/>
    <w:basedOn w:val="Normal"/>
    <w:next w:val="Normal"/>
    <w:link w:val="Heading1Char"/>
    <w:uiPriority w:val="9"/>
    <w:qFormat/>
    <w:rsid w:val="00B437E4"/>
    <w:pPr>
      <w:keepNext/>
      <w:keepLines/>
      <w:spacing w:before="360" w:after="80"/>
      <w:outlineLvl w:val="0"/>
    </w:pPr>
    <w:rPr>
      <w:rFonts w:eastAsiaTheme="majorEastAsia" w:cstheme="majorBidi"/>
      <w:b/>
      <w:color w:val="0070C0"/>
      <w:sz w:val="28"/>
      <w:szCs w:val="40"/>
    </w:rPr>
  </w:style>
  <w:style w:type="paragraph" w:styleId="Heading2">
    <w:name w:val="heading 2"/>
    <w:basedOn w:val="Normal"/>
    <w:next w:val="Normal"/>
    <w:link w:val="Heading2Char"/>
    <w:uiPriority w:val="9"/>
    <w:semiHidden/>
    <w:unhideWhenUsed/>
    <w:qFormat/>
    <w:rsid w:val="007B6A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6A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6A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6A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6A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6A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6A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6A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7E4"/>
    <w:rPr>
      <w:rFonts w:ascii="Times New Roman" w:eastAsiaTheme="majorEastAsia" w:hAnsi="Times New Roman" w:cstheme="majorBidi"/>
      <w:b/>
      <w:color w:val="0070C0"/>
      <w:sz w:val="28"/>
      <w:szCs w:val="40"/>
    </w:rPr>
  </w:style>
  <w:style w:type="character" w:customStyle="1" w:styleId="Heading2Char">
    <w:name w:val="Heading 2 Char"/>
    <w:basedOn w:val="DefaultParagraphFont"/>
    <w:link w:val="Heading2"/>
    <w:uiPriority w:val="9"/>
    <w:semiHidden/>
    <w:rsid w:val="007B6A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6A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6A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6A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6A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6A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6A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6A53"/>
    <w:rPr>
      <w:rFonts w:eastAsiaTheme="majorEastAsia" w:cstheme="majorBidi"/>
      <w:color w:val="272727" w:themeColor="text1" w:themeTint="D8"/>
    </w:rPr>
  </w:style>
  <w:style w:type="paragraph" w:styleId="Title">
    <w:name w:val="Title"/>
    <w:basedOn w:val="Normal"/>
    <w:next w:val="Normal"/>
    <w:link w:val="TitleChar"/>
    <w:uiPriority w:val="10"/>
    <w:qFormat/>
    <w:rsid w:val="007B6A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6A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6A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6A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6A53"/>
    <w:pPr>
      <w:spacing w:before="160"/>
      <w:jc w:val="center"/>
    </w:pPr>
    <w:rPr>
      <w:i/>
      <w:iCs/>
      <w:color w:val="404040" w:themeColor="text1" w:themeTint="BF"/>
    </w:rPr>
  </w:style>
  <w:style w:type="character" w:customStyle="1" w:styleId="QuoteChar">
    <w:name w:val="Quote Char"/>
    <w:basedOn w:val="DefaultParagraphFont"/>
    <w:link w:val="Quote"/>
    <w:uiPriority w:val="29"/>
    <w:rsid w:val="007B6A53"/>
    <w:rPr>
      <w:i/>
      <w:iCs/>
      <w:color w:val="404040" w:themeColor="text1" w:themeTint="BF"/>
    </w:rPr>
  </w:style>
  <w:style w:type="paragraph" w:styleId="ListParagraph">
    <w:name w:val="List Paragraph"/>
    <w:basedOn w:val="Normal"/>
    <w:uiPriority w:val="34"/>
    <w:qFormat/>
    <w:rsid w:val="007B6A53"/>
    <w:pPr>
      <w:ind w:left="720"/>
      <w:contextualSpacing/>
    </w:pPr>
  </w:style>
  <w:style w:type="character" w:styleId="IntenseEmphasis">
    <w:name w:val="Intense Emphasis"/>
    <w:basedOn w:val="DefaultParagraphFont"/>
    <w:uiPriority w:val="21"/>
    <w:qFormat/>
    <w:rsid w:val="007B6A53"/>
    <w:rPr>
      <w:i/>
      <w:iCs/>
      <w:color w:val="0F4761" w:themeColor="accent1" w:themeShade="BF"/>
    </w:rPr>
  </w:style>
  <w:style w:type="paragraph" w:styleId="IntenseQuote">
    <w:name w:val="Intense Quote"/>
    <w:basedOn w:val="Normal"/>
    <w:next w:val="Normal"/>
    <w:link w:val="IntenseQuoteChar"/>
    <w:uiPriority w:val="30"/>
    <w:qFormat/>
    <w:rsid w:val="007B6A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6A53"/>
    <w:rPr>
      <w:i/>
      <w:iCs/>
      <w:color w:val="0F4761" w:themeColor="accent1" w:themeShade="BF"/>
    </w:rPr>
  </w:style>
  <w:style w:type="character" w:styleId="IntenseReference">
    <w:name w:val="Intense Reference"/>
    <w:basedOn w:val="DefaultParagraphFont"/>
    <w:uiPriority w:val="32"/>
    <w:qFormat/>
    <w:rsid w:val="007B6A53"/>
    <w:rPr>
      <w:b/>
      <w:bCs/>
      <w:smallCaps/>
      <w:color w:val="0F4761" w:themeColor="accent1" w:themeShade="BF"/>
      <w:spacing w:val="5"/>
    </w:rPr>
  </w:style>
  <w:style w:type="paragraph" w:styleId="NormalWeb">
    <w:name w:val="Normal (Web)"/>
    <w:basedOn w:val="Normal"/>
    <w:uiPriority w:val="99"/>
    <w:semiHidden/>
    <w:unhideWhenUsed/>
    <w:rsid w:val="00733519"/>
    <w:pPr>
      <w:spacing w:before="100" w:beforeAutospacing="1" w:after="100" w:afterAutospacing="1" w:line="240" w:lineRule="auto"/>
    </w:pPr>
    <w:rPr>
      <w:rFonts w:eastAsia="Times New Roman" w:cs="Times New Roman"/>
      <w:kern w:val="0"/>
      <w:lang w:eastAsia="en-GB"/>
      <w14:ligatures w14:val="none"/>
    </w:rPr>
  </w:style>
  <w:style w:type="paragraph" w:styleId="NoSpacing">
    <w:name w:val="No Spacing"/>
    <w:aliases w:val="References"/>
    <w:uiPriority w:val="1"/>
    <w:qFormat/>
    <w:rsid w:val="00CC6628"/>
    <w:pPr>
      <w:spacing w:before="120" w:after="240" w:line="360" w:lineRule="auto"/>
      <w:ind w:left="720" w:hanging="720"/>
      <w:jc w:val="both"/>
    </w:pPr>
    <w:rPr>
      <w:rFonts w:ascii="Times New Roman" w:hAnsi="Times New Roman"/>
    </w:rPr>
  </w:style>
  <w:style w:type="paragraph" w:styleId="Header">
    <w:name w:val="header"/>
    <w:basedOn w:val="Normal"/>
    <w:link w:val="HeaderChar"/>
    <w:uiPriority w:val="99"/>
    <w:unhideWhenUsed/>
    <w:rsid w:val="002C4AE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C4AE3"/>
    <w:rPr>
      <w:rFonts w:ascii="Times New Roman" w:hAnsi="Times New Roman"/>
    </w:rPr>
  </w:style>
  <w:style w:type="paragraph" w:styleId="Footer">
    <w:name w:val="footer"/>
    <w:basedOn w:val="Normal"/>
    <w:link w:val="FooterChar"/>
    <w:uiPriority w:val="99"/>
    <w:unhideWhenUsed/>
    <w:rsid w:val="002C4AE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C4AE3"/>
    <w:rPr>
      <w:rFonts w:ascii="Times New Roman" w:hAnsi="Times New Roman"/>
    </w:rPr>
  </w:style>
  <w:style w:type="paragraph" w:styleId="TOCHeading">
    <w:name w:val="TOC Heading"/>
    <w:basedOn w:val="Heading1"/>
    <w:next w:val="Normal"/>
    <w:uiPriority w:val="39"/>
    <w:unhideWhenUsed/>
    <w:qFormat/>
    <w:rsid w:val="007735C6"/>
    <w:pPr>
      <w:spacing w:before="240" w:after="0" w:line="259" w:lineRule="auto"/>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7735C6"/>
    <w:pPr>
      <w:spacing w:after="100"/>
    </w:pPr>
  </w:style>
  <w:style w:type="character" w:styleId="Hyperlink">
    <w:name w:val="Hyperlink"/>
    <w:basedOn w:val="DefaultParagraphFont"/>
    <w:uiPriority w:val="99"/>
    <w:unhideWhenUsed/>
    <w:rsid w:val="007735C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3B153-FC22-462B-9063-8EAE1621C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10189</TotalTime>
  <Pages>13</Pages>
  <Words>2772</Words>
  <Characters>18576</Characters>
  <Application>Microsoft Office Word</Application>
  <DocSecurity>0</DocSecurity>
  <Lines>331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Liliya Radoslavova Radeva (2418897)</dc:creator>
  <cp:keywords/>
  <dc:description/>
  <cp:lastModifiedBy>Liliya Radoslavova Radeva (2418897)</cp:lastModifiedBy>
  <cp:revision>33</cp:revision>
  <dcterms:created xsi:type="dcterms:W3CDTF">2025-11-08T20:11:00Z</dcterms:created>
  <dcterms:modified xsi:type="dcterms:W3CDTF">2025-11-20T19:08:00Z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d26599d8-15dc-4ec8-b6b3-d06bf1702255</vt:lpwstr>
  </property>
</Properties>
</file>