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0B12BC" w14:textId="50ADBFCE" w:rsidR="00595D85" w:rsidRDefault="00595D85" w:rsidP="00595D85">
      <w:pPr>
        <w:pStyle w:val="NormalWeb"/>
        <w:spacing w:before="0" w:beforeAutospacing="0" w:after="0" w:afterAutospacing="0"/>
        <w:ind w:left="-180" w:right="-334"/>
      </w:pPr>
      <w:r>
        <w:rPr>
          <w:noProof/>
        </w:rPr>
        <w:drawing>
          <wp:inline distT="0" distB="0" distL="0" distR="0" wp14:anchorId="642503AE" wp14:editId="764503B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2DA9F0B" w14:textId="77777777" w:rsidR="00595D85" w:rsidRDefault="00595D85" w:rsidP="00595D85">
      <w:pPr>
        <w:pStyle w:val="NormalWeb"/>
        <w:spacing w:before="0" w:beforeAutospacing="0" w:after="0" w:afterAutospacing="0"/>
        <w:ind w:left="-180" w:right="-334"/>
      </w:pPr>
    </w:p>
    <w:p w14:paraId="481466CD" w14:textId="77777777" w:rsidR="00595D85" w:rsidRDefault="00595D85" w:rsidP="00595D85">
      <w:pPr>
        <w:pStyle w:val="NormalWeb"/>
        <w:spacing w:before="0" w:beforeAutospacing="0" w:after="0" w:afterAutospacing="0"/>
        <w:ind w:left="-180" w:right="-334"/>
      </w:pPr>
    </w:p>
    <w:p w14:paraId="51B89F69" w14:textId="77777777" w:rsidR="00595D85" w:rsidRDefault="00595D85" w:rsidP="00595D8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C8704A" w14:textId="77777777" w:rsidR="00595D85" w:rsidRPr="00230F35" w:rsidRDefault="00595D85" w:rsidP="00595D8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E8884FF" w14:textId="77777777" w:rsidR="00595D85" w:rsidRPr="00230F35" w:rsidRDefault="00595D85" w:rsidP="00595D85">
      <w:pPr>
        <w:rPr>
          <w:rFonts w:ascii="Arial" w:hAnsi="Arial" w:cs="Arial"/>
          <w:sz w:val="28"/>
          <w:szCs w:val="28"/>
          <w:lang w:val="cy-GB"/>
        </w:rPr>
      </w:pPr>
    </w:p>
    <w:p w14:paraId="66631ABA" w14:textId="77777777" w:rsidR="00595D85" w:rsidRDefault="00595D85" w:rsidP="00595D85">
      <w:pPr>
        <w:pStyle w:val="Heading3"/>
        <w:jc w:val="center"/>
        <w:rPr>
          <w:lang w:val="cy-GB"/>
        </w:rPr>
      </w:pPr>
      <w:r>
        <w:rPr>
          <w:lang w:val="cy-GB"/>
        </w:rPr>
        <w:t>THIS SHEET MUST BE THE FIRST PAGE OF THE ASSIGNMENT YOU ARE SUBMITTING  (DO NOT SEND AS A SEPARATE FILE)</w:t>
      </w:r>
    </w:p>
    <w:p w14:paraId="03054796" w14:textId="77777777" w:rsidR="00595D85" w:rsidRDefault="00595D85" w:rsidP="00595D8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42"/>
        <w:gridCol w:w="417"/>
        <w:gridCol w:w="1514"/>
        <w:gridCol w:w="279"/>
        <w:gridCol w:w="1784"/>
      </w:tblGrid>
      <w:tr w:rsidR="00595D85" w:rsidRPr="00230F35" w14:paraId="6DB2AE34" w14:textId="77777777" w:rsidTr="00783A82">
        <w:trPr>
          <w:trHeight w:val="614"/>
        </w:trPr>
        <w:tc>
          <w:tcPr>
            <w:tcW w:w="8856" w:type="dxa"/>
            <w:gridSpan w:val="5"/>
          </w:tcPr>
          <w:p w14:paraId="7C97FC30" w14:textId="77777777"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95D85" w:rsidRPr="00230F35" w14:paraId="0D6E4797" w14:textId="77777777" w:rsidTr="00783A82">
        <w:trPr>
          <w:trHeight w:val="718"/>
        </w:trPr>
        <w:tc>
          <w:tcPr>
            <w:tcW w:w="8856" w:type="dxa"/>
            <w:gridSpan w:val="5"/>
          </w:tcPr>
          <w:p w14:paraId="7AD1FFE4" w14:textId="4C2E42E8" w:rsidR="00595D8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ANTHONY MANN</w:t>
            </w:r>
          </w:p>
          <w:p w14:paraId="6552C988" w14:textId="77777777" w:rsidR="00595D85" w:rsidRPr="00230F35" w:rsidRDefault="00595D85" w:rsidP="00783A82">
            <w:pPr>
              <w:pStyle w:val="NormalWeb"/>
              <w:spacing w:before="0" w:beforeAutospacing="0" w:after="0" w:afterAutospacing="0"/>
              <w:ind w:right="34"/>
              <w:rPr>
                <w:rFonts w:ascii="Arial" w:hAnsi="Arial" w:cs="Arial"/>
                <w:sz w:val="22"/>
                <w:szCs w:val="22"/>
              </w:rPr>
            </w:pPr>
          </w:p>
          <w:p w14:paraId="340A626A" w14:textId="10E810B9"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1803415@student.uwtsd.ac.uk</w:t>
            </w:r>
          </w:p>
        </w:tc>
      </w:tr>
      <w:tr w:rsidR="00595D85" w:rsidRPr="00230F35" w14:paraId="71B1FC79" w14:textId="77777777" w:rsidTr="00783A82">
        <w:trPr>
          <w:trHeight w:val="849"/>
        </w:trPr>
        <w:tc>
          <w:tcPr>
            <w:tcW w:w="4788" w:type="dxa"/>
          </w:tcPr>
          <w:p w14:paraId="5ABD1F7B" w14:textId="7E3356C8"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HPCA7002</w:t>
            </w:r>
          </w:p>
          <w:p w14:paraId="246D914B" w14:textId="77777777" w:rsidR="00595D85" w:rsidRPr="00230F35" w:rsidRDefault="00595D85" w:rsidP="00783A82">
            <w:pPr>
              <w:pStyle w:val="NormalWeb"/>
              <w:spacing w:before="0" w:beforeAutospacing="0" w:after="0" w:afterAutospacing="0"/>
              <w:ind w:right="34"/>
              <w:rPr>
                <w:rFonts w:ascii="Arial" w:hAnsi="Arial" w:cs="Arial"/>
                <w:sz w:val="22"/>
                <w:szCs w:val="22"/>
              </w:rPr>
            </w:pPr>
          </w:p>
          <w:p w14:paraId="1A6BBB65" w14:textId="41D895DB" w:rsidR="00595D8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3200E0AB" w14:textId="77777777" w:rsidR="00595D85" w:rsidRDefault="00595D85" w:rsidP="00783A82">
            <w:pPr>
              <w:pStyle w:val="NormalWeb"/>
              <w:spacing w:before="0" w:beforeAutospacing="0" w:after="0" w:afterAutospacing="0"/>
              <w:ind w:right="34"/>
              <w:rPr>
                <w:rFonts w:ascii="Arial" w:hAnsi="Arial" w:cs="Arial"/>
                <w:sz w:val="22"/>
                <w:szCs w:val="22"/>
              </w:rPr>
            </w:pPr>
          </w:p>
          <w:p w14:paraId="66B7C4D4" w14:textId="77777777" w:rsidR="00595D85" w:rsidRPr="00230F35" w:rsidRDefault="00595D85" w:rsidP="00783A82">
            <w:pPr>
              <w:pStyle w:val="NormalWeb"/>
              <w:spacing w:before="0" w:beforeAutospacing="0" w:after="0" w:afterAutospacing="0"/>
              <w:ind w:right="34"/>
              <w:rPr>
                <w:rFonts w:ascii="Arial" w:hAnsi="Arial" w:cs="Arial"/>
                <w:sz w:val="22"/>
                <w:szCs w:val="22"/>
              </w:rPr>
            </w:pPr>
          </w:p>
        </w:tc>
        <w:tc>
          <w:tcPr>
            <w:tcW w:w="2266" w:type="dxa"/>
            <w:gridSpan w:val="3"/>
          </w:tcPr>
          <w:p w14:paraId="0409AEEA" w14:textId="77777777" w:rsidR="00595D8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306E883" w14:textId="0DB8B2A2" w:rsidR="00595D85" w:rsidRPr="00230F35" w:rsidRDefault="00595D85" w:rsidP="00783A82">
            <w:pPr>
              <w:pStyle w:val="NormalWeb"/>
              <w:spacing w:before="0" w:beforeAutospacing="0" w:after="0" w:afterAutospacing="0"/>
              <w:ind w:right="34"/>
              <w:rPr>
                <w:rFonts w:ascii="Arial" w:hAnsi="Arial" w:cs="Arial"/>
                <w:sz w:val="22"/>
                <w:szCs w:val="22"/>
              </w:rPr>
            </w:pPr>
            <w:r>
              <w:rPr>
                <w:rFonts w:ascii="Arial" w:hAnsi="Arial" w:cs="Arial"/>
                <w:sz w:val="22"/>
                <w:szCs w:val="22"/>
              </w:rPr>
              <w:t>1803415</w:t>
            </w:r>
          </w:p>
        </w:tc>
        <w:tc>
          <w:tcPr>
            <w:tcW w:w="1802" w:type="dxa"/>
          </w:tcPr>
          <w:p w14:paraId="2B12A7DB" w14:textId="77777777"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5BE543B" w14:textId="536BB5CB"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95D85" w:rsidRPr="00230F35" w14:paraId="1B4093BB" w14:textId="77777777" w:rsidTr="00783A82">
        <w:trPr>
          <w:trHeight w:val="1139"/>
        </w:trPr>
        <w:tc>
          <w:tcPr>
            <w:tcW w:w="8856" w:type="dxa"/>
            <w:gridSpan w:val="5"/>
          </w:tcPr>
          <w:p w14:paraId="542FB221" w14:textId="5C62A429"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306EF8">
              <w:rPr>
                <w:rFonts w:ascii="Arial" w:hAnsi="Arial" w:cs="Arial"/>
                <w:sz w:val="22"/>
                <w:szCs w:val="22"/>
              </w:rPr>
              <w:t>1000 Word Written Assignment</w:t>
            </w:r>
          </w:p>
          <w:p w14:paraId="44D185B6" w14:textId="77777777" w:rsidR="00595D85" w:rsidRPr="00230F35" w:rsidRDefault="00595D85" w:rsidP="00783A82">
            <w:pPr>
              <w:pStyle w:val="NormalWeb"/>
              <w:spacing w:before="0" w:beforeAutospacing="0" w:after="0" w:afterAutospacing="0"/>
              <w:ind w:right="34"/>
              <w:rPr>
                <w:rFonts w:ascii="Arial" w:hAnsi="Arial" w:cs="Arial"/>
                <w:sz w:val="22"/>
                <w:szCs w:val="22"/>
              </w:rPr>
            </w:pPr>
          </w:p>
          <w:p w14:paraId="35037C45" w14:textId="77777777" w:rsidR="00595D85" w:rsidRDefault="00595D85" w:rsidP="00783A82">
            <w:pPr>
              <w:pStyle w:val="NormalWeb"/>
              <w:spacing w:before="0" w:beforeAutospacing="0" w:after="0" w:afterAutospacing="0"/>
              <w:ind w:right="34"/>
              <w:rPr>
                <w:rFonts w:ascii="Arial" w:hAnsi="Arial" w:cs="Arial"/>
                <w:sz w:val="22"/>
                <w:szCs w:val="22"/>
              </w:rPr>
            </w:pPr>
          </w:p>
          <w:p w14:paraId="61C34525" w14:textId="704DDFF1"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06EF8">
              <w:rPr>
                <w:rFonts w:ascii="Arial" w:hAnsi="Arial" w:cs="Arial"/>
                <w:sz w:val="22"/>
                <w:szCs w:val="22"/>
              </w:rPr>
              <w:t xml:space="preserve"> 18/03/2019</w:t>
            </w:r>
          </w:p>
        </w:tc>
      </w:tr>
      <w:tr w:rsidR="00595D85" w:rsidRPr="00230F35" w14:paraId="44952270" w14:textId="77777777" w:rsidTr="00783A82">
        <w:trPr>
          <w:trHeight w:val="978"/>
        </w:trPr>
        <w:tc>
          <w:tcPr>
            <w:tcW w:w="8856" w:type="dxa"/>
            <w:gridSpan w:val="5"/>
            <w:tcBorders>
              <w:bottom w:val="single" w:sz="4" w:space="0" w:color="000000"/>
            </w:tcBorders>
          </w:tcPr>
          <w:p w14:paraId="17702701" w14:textId="2DE92F75" w:rsidR="00595D85" w:rsidRPr="00230F35" w:rsidRDefault="00595D85" w:rsidP="00783A8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5478EA">
              <w:rPr>
                <w:rFonts w:ascii="Arial" w:hAnsi="Arial" w:cs="Arial"/>
                <w:sz w:val="22"/>
                <w:szCs w:val="22"/>
              </w:rPr>
            </w:r>
            <w:r w:rsidR="005478EA">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306EF8">
              <w:rPr>
                <w:rFonts w:ascii="Arial" w:hAnsi="Arial" w:cs="Arial"/>
                <w:sz w:val="22"/>
                <w:szCs w:val="22"/>
              </w:rPr>
              <w:fldChar w:fldCharType="begin">
                <w:ffData>
                  <w:name w:val="Check14"/>
                  <w:enabled/>
                  <w:calcOnExit w:val="0"/>
                  <w:checkBox>
                    <w:sizeAuto/>
                    <w:default w:val="1"/>
                  </w:checkBox>
                </w:ffData>
              </w:fldChar>
            </w:r>
            <w:bookmarkStart w:id="1" w:name="Check14"/>
            <w:r w:rsidR="00306EF8">
              <w:rPr>
                <w:rFonts w:ascii="Arial" w:hAnsi="Arial" w:cs="Arial"/>
                <w:sz w:val="22"/>
                <w:szCs w:val="22"/>
              </w:rPr>
              <w:instrText xml:space="preserve"> FORMCHECKBOX </w:instrText>
            </w:r>
            <w:r w:rsidR="005478EA">
              <w:rPr>
                <w:rFonts w:ascii="Arial" w:hAnsi="Arial" w:cs="Arial"/>
                <w:sz w:val="22"/>
                <w:szCs w:val="22"/>
              </w:rPr>
            </w:r>
            <w:r w:rsidR="005478EA">
              <w:rPr>
                <w:rFonts w:ascii="Arial" w:hAnsi="Arial" w:cs="Arial"/>
                <w:sz w:val="22"/>
                <w:szCs w:val="22"/>
              </w:rPr>
              <w:fldChar w:fldCharType="separate"/>
            </w:r>
            <w:r w:rsidR="00306EF8">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478EA">
              <w:rPr>
                <w:rFonts w:ascii="Arial" w:hAnsi="Arial" w:cs="Arial"/>
                <w:sz w:val="22"/>
                <w:szCs w:val="22"/>
              </w:rPr>
            </w:r>
            <w:r w:rsidR="005478EA">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478EA">
              <w:rPr>
                <w:rFonts w:ascii="Arial" w:hAnsi="Arial" w:cs="Arial"/>
                <w:sz w:val="22"/>
                <w:szCs w:val="22"/>
              </w:rPr>
            </w:r>
            <w:r w:rsidR="005478EA">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478EA">
              <w:rPr>
                <w:rFonts w:ascii="Arial" w:hAnsi="Arial" w:cs="Arial"/>
                <w:sz w:val="22"/>
                <w:szCs w:val="22"/>
              </w:rPr>
            </w:r>
            <w:r w:rsidR="005478EA">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478EA">
              <w:rPr>
                <w:rFonts w:ascii="Arial" w:hAnsi="Arial" w:cs="Arial"/>
                <w:sz w:val="22"/>
                <w:szCs w:val="22"/>
              </w:rPr>
            </w:r>
            <w:r w:rsidR="005478EA">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595D85" w:rsidRPr="00230F35" w14:paraId="61CA9017" w14:textId="77777777" w:rsidTr="00783A82">
        <w:trPr>
          <w:trHeight w:val="978"/>
        </w:trPr>
        <w:tc>
          <w:tcPr>
            <w:tcW w:w="8856" w:type="dxa"/>
            <w:gridSpan w:val="5"/>
            <w:shd w:val="clear" w:color="auto" w:fill="D9D9D9"/>
          </w:tcPr>
          <w:p w14:paraId="2856EAB2" w14:textId="77777777" w:rsidR="00595D85" w:rsidRPr="00230F3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976777F" w14:textId="72305FF0" w:rsidR="00595D85" w:rsidRDefault="00595D85" w:rsidP="00783A8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306EF8">
              <w:rPr>
                <w:rFonts w:ascii="Arial" w:hAnsi="Arial" w:cs="Arial"/>
                <w:sz w:val="22"/>
                <w:szCs w:val="22"/>
              </w:rPr>
              <w:t>ANTHONY MANN</w:t>
            </w:r>
          </w:p>
          <w:p w14:paraId="40D30BE4" w14:textId="44DD7FB6" w:rsidR="00595D85" w:rsidRDefault="00595D85" w:rsidP="00783A8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306EF8">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7B7C11FA" w14:textId="77777777" w:rsidR="00595D85" w:rsidRPr="00230F35" w:rsidRDefault="00595D85" w:rsidP="00783A8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5D85" w:rsidRPr="00230F35" w14:paraId="58C60F67" w14:textId="77777777" w:rsidTr="00783A82">
        <w:trPr>
          <w:trHeight w:val="3972"/>
        </w:trPr>
        <w:tc>
          <w:tcPr>
            <w:tcW w:w="8856" w:type="dxa"/>
            <w:gridSpan w:val="5"/>
          </w:tcPr>
          <w:p w14:paraId="3306AE54" w14:textId="77777777" w:rsidR="00595D85" w:rsidRDefault="00595D85" w:rsidP="00783A82">
            <w:pPr>
              <w:rPr>
                <w:rFonts w:ascii="Arial" w:hAnsi="Arial"/>
                <w:b/>
              </w:rPr>
            </w:pPr>
          </w:p>
          <w:p w14:paraId="225A9C8B" w14:textId="77777777" w:rsidR="00595D85" w:rsidRPr="00116CE6" w:rsidRDefault="00595D85" w:rsidP="00783A8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595D85" w:rsidRPr="00116CE6" w14:paraId="41D686A7" w14:textId="77777777" w:rsidTr="00783A82">
              <w:tc>
                <w:tcPr>
                  <w:tcW w:w="6970" w:type="dxa"/>
                </w:tcPr>
                <w:p w14:paraId="093433AD" w14:textId="77777777" w:rsidR="00595D85" w:rsidRPr="00116CE6" w:rsidRDefault="00595D85" w:rsidP="00783A82">
                  <w:pPr>
                    <w:rPr>
                      <w:rFonts w:ascii="Arial" w:hAnsi="Arial"/>
                      <w:sz w:val="20"/>
                      <w:szCs w:val="20"/>
                    </w:rPr>
                  </w:pPr>
                </w:p>
                <w:p w14:paraId="32AF29A6" w14:textId="77777777" w:rsidR="00595D85" w:rsidRPr="00116CE6" w:rsidRDefault="00595D85" w:rsidP="00783A8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4DD88D2" w14:textId="77777777" w:rsidR="00595D85" w:rsidRPr="00116CE6" w:rsidRDefault="00595D85" w:rsidP="00783A82">
                  <w:pPr>
                    <w:rPr>
                      <w:rFonts w:ascii="Arial" w:hAnsi="Arial"/>
                      <w:sz w:val="20"/>
                      <w:szCs w:val="20"/>
                    </w:rPr>
                  </w:pPr>
                </w:p>
              </w:tc>
            </w:tr>
            <w:tr w:rsidR="00595D85" w:rsidRPr="00116CE6" w14:paraId="68839423" w14:textId="77777777" w:rsidTr="00783A82">
              <w:tc>
                <w:tcPr>
                  <w:tcW w:w="6970" w:type="dxa"/>
                </w:tcPr>
                <w:p w14:paraId="5DF88E81" w14:textId="77777777" w:rsidR="00595D85" w:rsidRPr="00116CE6" w:rsidRDefault="00595D85" w:rsidP="00783A82">
                  <w:pPr>
                    <w:rPr>
                      <w:rFonts w:ascii="Arial" w:hAnsi="Arial"/>
                      <w:sz w:val="20"/>
                      <w:szCs w:val="20"/>
                    </w:rPr>
                  </w:pPr>
                </w:p>
                <w:p w14:paraId="237FE2E7" w14:textId="77777777" w:rsidR="00595D85" w:rsidRPr="00116CE6" w:rsidRDefault="00595D85" w:rsidP="00783A8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C306AF1" w14:textId="77777777" w:rsidR="00595D85" w:rsidRPr="00116CE6" w:rsidRDefault="00595D85" w:rsidP="00783A82">
                  <w:pPr>
                    <w:rPr>
                      <w:rFonts w:ascii="Arial" w:hAnsi="Arial"/>
                      <w:sz w:val="20"/>
                      <w:szCs w:val="20"/>
                    </w:rPr>
                  </w:pPr>
                </w:p>
              </w:tc>
            </w:tr>
            <w:tr w:rsidR="00595D85" w:rsidRPr="00116CE6" w14:paraId="564DFC12" w14:textId="77777777" w:rsidTr="00783A82">
              <w:tc>
                <w:tcPr>
                  <w:tcW w:w="6970" w:type="dxa"/>
                </w:tcPr>
                <w:p w14:paraId="1AD6F4D5" w14:textId="77777777" w:rsidR="00595D85" w:rsidRPr="00116CE6" w:rsidRDefault="00595D85" w:rsidP="00783A82">
                  <w:pPr>
                    <w:rPr>
                      <w:rFonts w:ascii="Arial" w:hAnsi="Arial"/>
                      <w:sz w:val="20"/>
                      <w:szCs w:val="20"/>
                    </w:rPr>
                  </w:pPr>
                </w:p>
                <w:p w14:paraId="437B5B5B" w14:textId="77777777" w:rsidR="00595D85" w:rsidRPr="00116CE6" w:rsidRDefault="00595D85" w:rsidP="00783A8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E6C92F0" w14:textId="77777777" w:rsidR="00595D85" w:rsidRPr="00116CE6" w:rsidRDefault="00595D85" w:rsidP="00783A82">
                  <w:pPr>
                    <w:rPr>
                      <w:rFonts w:ascii="Arial" w:hAnsi="Arial"/>
                      <w:sz w:val="20"/>
                      <w:szCs w:val="20"/>
                    </w:rPr>
                  </w:pPr>
                </w:p>
              </w:tc>
            </w:tr>
            <w:tr w:rsidR="00595D85" w:rsidRPr="00116CE6" w14:paraId="4E34203A" w14:textId="77777777" w:rsidTr="00783A82">
              <w:tc>
                <w:tcPr>
                  <w:tcW w:w="6970" w:type="dxa"/>
                </w:tcPr>
                <w:p w14:paraId="08CC1430" w14:textId="77777777" w:rsidR="00595D85" w:rsidRDefault="00595D85" w:rsidP="00783A82">
                  <w:pPr>
                    <w:rPr>
                      <w:rFonts w:ascii="Arial" w:hAnsi="Arial"/>
                      <w:sz w:val="20"/>
                      <w:szCs w:val="20"/>
                    </w:rPr>
                  </w:pPr>
                </w:p>
                <w:p w14:paraId="182F1A28" w14:textId="77777777" w:rsidR="00595D85" w:rsidRPr="00022345" w:rsidRDefault="00595D85" w:rsidP="00783A82">
                  <w:pPr>
                    <w:rPr>
                      <w:rFonts w:ascii="Arial" w:hAnsi="Arial"/>
                      <w:b/>
                      <w:sz w:val="20"/>
                      <w:szCs w:val="20"/>
                    </w:rPr>
                  </w:pPr>
                  <w:r w:rsidRPr="00022345">
                    <w:rPr>
                      <w:rFonts w:ascii="Arial" w:hAnsi="Arial"/>
                      <w:b/>
                      <w:sz w:val="20"/>
                      <w:szCs w:val="20"/>
                    </w:rPr>
                    <w:t>Final Mark</w:t>
                  </w:r>
                </w:p>
                <w:p w14:paraId="620B2428" w14:textId="77777777" w:rsidR="00595D85" w:rsidRPr="00116CE6" w:rsidRDefault="00595D85" w:rsidP="00783A82">
                  <w:pPr>
                    <w:rPr>
                      <w:rFonts w:ascii="Arial" w:hAnsi="Arial"/>
                      <w:sz w:val="20"/>
                      <w:szCs w:val="20"/>
                    </w:rPr>
                  </w:pPr>
                </w:p>
              </w:tc>
              <w:tc>
                <w:tcPr>
                  <w:tcW w:w="1660" w:type="dxa"/>
                </w:tcPr>
                <w:p w14:paraId="6076F223" w14:textId="77777777" w:rsidR="00595D85" w:rsidRPr="00116CE6" w:rsidRDefault="00595D85" w:rsidP="00783A82">
                  <w:pPr>
                    <w:rPr>
                      <w:rFonts w:ascii="Arial" w:hAnsi="Arial"/>
                      <w:sz w:val="20"/>
                      <w:szCs w:val="20"/>
                    </w:rPr>
                  </w:pPr>
                </w:p>
              </w:tc>
            </w:tr>
          </w:tbl>
          <w:p w14:paraId="40C5200C" w14:textId="77777777" w:rsidR="00595D85" w:rsidRDefault="00595D85" w:rsidP="00783A82">
            <w:pPr>
              <w:pStyle w:val="NormalWeb"/>
              <w:spacing w:before="0" w:beforeAutospacing="0" w:after="0" w:afterAutospacing="0"/>
              <w:ind w:left="142" w:right="34"/>
              <w:rPr>
                <w:rFonts w:ascii="Arial" w:hAnsi="Arial" w:cs="Arial"/>
                <w:b/>
                <w:sz w:val="22"/>
                <w:szCs w:val="22"/>
              </w:rPr>
            </w:pPr>
          </w:p>
          <w:p w14:paraId="656B3111" w14:textId="77777777" w:rsidR="00595D85" w:rsidRPr="00230F35" w:rsidRDefault="00595D85" w:rsidP="00783A8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C4648AB" w14:textId="77777777" w:rsidR="00595D85" w:rsidRDefault="00595D85" w:rsidP="00783A82">
            <w:pPr>
              <w:pStyle w:val="NormalWeb"/>
              <w:spacing w:before="0" w:beforeAutospacing="0" w:after="0" w:afterAutospacing="0"/>
              <w:rPr>
                <w:rFonts w:ascii="Arial" w:hAnsi="Arial" w:cs="Arial"/>
                <w:b/>
                <w:sz w:val="22"/>
                <w:szCs w:val="22"/>
              </w:rPr>
            </w:pPr>
          </w:p>
          <w:p w14:paraId="0F5EACC1" w14:textId="77777777" w:rsidR="00595D85" w:rsidRDefault="00595D85" w:rsidP="00783A82">
            <w:pPr>
              <w:pStyle w:val="NormalWeb"/>
              <w:spacing w:before="0" w:beforeAutospacing="0" w:after="0" w:afterAutospacing="0"/>
              <w:rPr>
                <w:rFonts w:ascii="Arial" w:hAnsi="Arial" w:cs="Arial"/>
                <w:b/>
                <w:sz w:val="22"/>
                <w:szCs w:val="22"/>
              </w:rPr>
            </w:pPr>
          </w:p>
          <w:p w14:paraId="3E16196B" w14:textId="77777777" w:rsidR="00595D85" w:rsidRDefault="00595D85" w:rsidP="00783A82">
            <w:pPr>
              <w:pStyle w:val="NormalWeb"/>
              <w:spacing w:before="0" w:beforeAutospacing="0" w:after="0" w:afterAutospacing="0"/>
              <w:rPr>
                <w:rFonts w:ascii="Arial" w:hAnsi="Arial" w:cs="Arial"/>
                <w:b/>
                <w:sz w:val="22"/>
                <w:szCs w:val="22"/>
              </w:rPr>
            </w:pPr>
          </w:p>
          <w:p w14:paraId="70D9E546" w14:textId="77777777" w:rsidR="00595D85" w:rsidRDefault="00595D85" w:rsidP="00783A82">
            <w:pPr>
              <w:pStyle w:val="NormalWeb"/>
              <w:spacing w:before="0" w:beforeAutospacing="0" w:after="0" w:afterAutospacing="0"/>
              <w:rPr>
                <w:rFonts w:ascii="Arial" w:hAnsi="Arial" w:cs="Arial"/>
                <w:b/>
                <w:sz w:val="22"/>
                <w:szCs w:val="22"/>
              </w:rPr>
            </w:pPr>
          </w:p>
          <w:p w14:paraId="723DB29A" w14:textId="77777777" w:rsidR="00595D85" w:rsidRDefault="00595D85" w:rsidP="00783A82">
            <w:pPr>
              <w:pStyle w:val="NormalWeb"/>
              <w:spacing w:before="0" w:beforeAutospacing="0" w:after="0" w:afterAutospacing="0"/>
              <w:rPr>
                <w:rFonts w:ascii="Arial" w:hAnsi="Arial" w:cs="Arial"/>
                <w:b/>
                <w:sz w:val="22"/>
                <w:szCs w:val="22"/>
              </w:rPr>
            </w:pPr>
          </w:p>
          <w:p w14:paraId="43F9A7AB" w14:textId="77777777" w:rsidR="00595D85" w:rsidRPr="00230F35" w:rsidRDefault="00595D85" w:rsidP="00783A8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BA23059" w14:textId="77777777" w:rsidR="00595D85" w:rsidRDefault="00595D85" w:rsidP="00783A8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825AF61" w14:textId="77777777" w:rsidR="00595D85" w:rsidRPr="00001C3B" w:rsidRDefault="00595D85" w:rsidP="00783A82">
            <w:pPr>
              <w:pStyle w:val="NormalWeb"/>
              <w:rPr>
                <w:rFonts w:ascii="Arial" w:hAnsi="Arial" w:cs="Arial"/>
                <w:sz w:val="22"/>
                <w:szCs w:val="22"/>
              </w:rPr>
            </w:pPr>
          </w:p>
        </w:tc>
      </w:tr>
      <w:tr w:rsidR="00595D85" w:rsidRPr="00230F35" w14:paraId="45CEF86B" w14:textId="77777777" w:rsidTr="00783A82">
        <w:trPr>
          <w:trHeight w:val="492"/>
        </w:trPr>
        <w:tc>
          <w:tcPr>
            <w:tcW w:w="6768" w:type="dxa"/>
            <w:gridSpan w:val="3"/>
          </w:tcPr>
          <w:p w14:paraId="4149C34D" w14:textId="77777777" w:rsidR="00595D85" w:rsidRPr="00230F35" w:rsidRDefault="00595D85" w:rsidP="00783A8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5D6357E" w14:textId="77777777" w:rsidR="00595D85" w:rsidRPr="00230F35" w:rsidRDefault="00595D85" w:rsidP="00783A82">
            <w:pPr>
              <w:pStyle w:val="NormalWeb"/>
              <w:spacing w:after="0"/>
              <w:ind w:left="142" w:right="34"/>
              <w:rPr>
                <w:rFonts w:ascii="Arial" w:hAnsi="Arial" w:cs="Arial"/>
                <w:sz w:val="22"/>
                <w:szCs w:val="22"/>
              </w:rPr>
            </w:pPr>
            <w:r w:rsidRPr="00230F35">
              <w:rPr>
                <w:rFonts w:ascii="Arial" w:hAnsi="Arial" w:cs="Arial"/>
                <w:sz w:val="22"/>
                <w:szCs w:val="22"/>
              </w:rPr>
              <w:t>Date:</w:t>
            </w:r>
          </w:p>
        </w:tc>
      </w:tr>
      <w:tr w:rsidR="00595D85" w:rsidRPr="002F467C" w14:paraId="0AD4D184" w14:textId="77777777" w:rsidTr="00783A82">
        <w:tc>
          <w:tcPr>
            <w:tcW w:w="8856" w:type="dxa"/>
            <w:gridSpan w:val="5"/>
          </w:tcPr>
          <w:p w14:paraId="301CEBF3" w14:textId="77777777" w:rsidR="00595D85" w:rsidRPr="00230F35" w:rsidRDefault="00595D85" w:rsidP="00783A82">
            <w:pPr>
              <w:pStyle w:val="NormalWeb"/>
              <w:spacing w:before="0" w:beforeAutospacing="0" w:after="0" w:afterAutospacing="0"/>
              <w:ind w:right="-334"/>
              <w:rPr>
                <w:rFonts w:ascii="Arial" w:hAnsi="Arial" w:cs="Arial"/>
                <w:bCs/>
                <w:i/>
                <w:sz w:val="22"/>
                <w:szCs w:val="22"/>
              </w:rPr>
            </w:pPr>
          </w:p>
          <w:p w14:paraId="6094A344" w14:textId="77777777" w:rsidR="00595D85" w:rsidRPr="00230F35" w:rsidRDefault="00595D85" w:rsidP="00783A8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1484750" w14:textId="77777777" w:rsidR="00595D85" w:rsidRPr="00230F35" w:rsidRDefault="00595D85" w:rsidP="00783A82">
            <w:pPr>
              <w:pStyle w:val="NormalWeb"/>
              <w:spacing w:before="0" w:beforeAutospacing="0" w:after="0" w:afterAutospacing="0"/>
              <w:ind w:right="-334"/>
              <w:rPr>
                <w:rFonts w:ascii="Arial" w:hAnsi="Arial" w:cs="Arial"/>
                <w:b/>
                <w:bCs/>
                <w:sz w:val="22"/>
                <w:szCs w:val="22"/>
              </w:rPr>
            </w:pPr>
          </w:p>
          <w:p w14:paraId="0CE49937"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8D67B98"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17503AEE"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7BF18596"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7B9ED67B"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17972ACA"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1D5155D6"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5456AD09"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1C391840"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55640AE4" w14:textId="77777777" w:rsidR="00595D85" w:rsidRDefault="00595D85" w:rsidP="00783A82">
            <w:pPr>
              <w:pStyle w:val="NormalWeb"/>
              <w:spacing w:before="0" w:beforeAutospacing="0" w:after="0" w:afterAutospacing="0"/>
              <w:ind w:right="-334"/>
              <w:rPr>
                <w:rFonts w:ascii="Arial" w:hAnsi="Arial" w:cs="Arial"/>
                <w:bCs/>
                <w:sz w:val="22"/>
                <w:szCs w:val="22"/>
              </w:rPr>
            </w:pPr>
          </w:p>
          <w:p w14:paraId="7A02BD24"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561F18FF"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020EBF7D"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tc>
      </w:tr>
      <w:tr w:rsidR="00595D85" w:rsidRPr="002F467C" w14:paraId="655C3857" w14:textId="77777777" w:rsidTr="00783A82">
        <w:trPr>
          <w:trHeight w:val="720"/>
        </w:trPr>
        <w:tc>
          <w:tcPr>
            <w:tcW w:w="5211" w:type="dxa"/>
            <w:gridSpan w:val="2"/>
          </w:tcPr>
          <w:p w14:paraId="217663CA"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DEF4A5"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95D85" w:rsidRPr="002F467C" w14:paraId="73CE776C" w14:textId="77777777" w:rsidTr="00783A82">
        <w:trPr>
          <w:trHeight w:val="720"/>
        </w:trPr>
        <w:tc>
          <w:tcPr>
            <w:tcW w:w="8856" w:type="dxa"/>
            <w:gridSpan w:val="5"/>
          </w:tcPr>
          <w:p w14:paraId="1DEA5466" w14:textId="77777777" w:rsidR="00595D85" w:rsidRPr="00B34964" w:rsidRDefault="00595D85" w:rsidP="00783A82">
            <w:pPr>
              <w:rPr>
                <w:rFonts w:ascii="Arial" w:hAnsi="Arial" w:cs="Arial"/>
                <w:b/>
                <w:sz w:val="22"/>
                <w:szCs w:val="22"/>
              </w:rPr>
            </w:pPr>
            <w:r w:rsidRPr="00B34964">
              <w:rPr>
                <w:rFonts w:ascii="Arial" w:hAnsi="Arial" w:cs="Arial"/>
                <w:b/>
                <w:sz w:val="22"/>
                <w:szCs w:val="22"/>
              </w:rPr>
              <w:t>External Examiner’s comments (if relevant)</w:t>
            </w:r>
          </w:p>
          <w:p w14:paraId="41B48B05"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464620F9"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0B6BC85A"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40F1DAA5"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195DBD64"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3C3769D0"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34E32B27"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09FB41CD"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071805A8" w14:textId="77777777" w:rsidR="00595D85" w:rsidRDefault="00595D85" w:rsidP="00783A82">
            <w:pPr>
              <w:pStyle w:val="NormalWeb"/>
              <w:spacing w:before="0" w:beforeAutospacing="0" w:after="0" w:afterAutospacing="0"/>
              <w:ind w:right="-334"/>
              <w:rPr>
                <w:rFonts w:ascii="Arial" w:hAnsi="Arial" w:cs="Arial"/>
                <w:bCs/>
                <w:sz w:val="22"/>
                <w:szCs w:val="22"/>
              </w:rPr>
            </w:pPr>
          </w:p>
          <w:p w14:paraId="3F9DA9A4"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p w14:paraId="1E81C77B" w14:textId="77777777" w:rsidR="00595D85" w:rsidRPr="00230F35" w:rsidRDefault="00595D85" w:rsidP="00783A82">
            <w:pPr>
              <w:pStyle w:val="NormalWeb"/>
              <w:spacing w:before="0" w:beforeAutospacing="0" w:after="0" w:afterAutospacing="0"/>
              <w:ind w:right="-334"/>
              <w:rPr>
                <w:rFonts w:ascii="Arial" w:hAnsi="Arial" w:cs="Arial"/>
                <w:bCs/>
                <w:sz w:val="22"/>
                <w:szCs w:val="22"/>
              </w:rPr>
            </w:pPr>
          </w:p>
        </w:tc>
      </w:tr>
      <w:tr w:rsidR="00595D85" w:rsidRPr="002F467C" w14:paraId="0722310E" w14:textId="77777777" w:rsidTr="00783A82">
        <w:trPr>
          <w:trHeight w:val="720"/>
        </w:trPr>
        <w:tc>
          <w:tcPr>
            <w:tcW w:w="5211" w:type="dxa"/>
            <w:gridSpan w:val="2"/>
          </w:tcPr>
          <w:p w14:paraId="52C85DD9" w14:textId="77777777" w:rsidR="00595D85" w:rsidRPr="00230F35" w:rsidRDefault="00595D85" w:rsidP="00783A82">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6BC53229" w14:textId="77777777" w:rsidR="00595D85" w:rsidRPr="00230F35" w:rsidRDefault="00595D85" w:rsidP="00783A82">
            <w:pPr>
              <w:rPr>
                <w:rFonts w:ascii="Arial" w:hAnsi="Arial" w:cs="Arial"/>
                <w:sz w:val="22"/>
                <w:szCs w:val="22"/>
              </w:rPr>
            </w:pPr>
            <w:r w:rsidRPr="00230F35">
              <w:rPr>
                <w:rFonts w:ascii="Arial" w:hAnsi="Arial" w:cs="Arial"/>
                <w:sz w:val="22"/>
                <w:szCs w:val="22"/>
              </w:rPr>
              <w:t>Date:</w:t>
            </w:r>
          </w:p>
        </w:tc>
      </w:tr>
    </w:tbl>
    <w:p w14:paraId="45C097C3" w14:textId="77777777" w:rsidR="00595D85" w:rsidRPr="00D67BF8" w:rsidRDefault="00595D85" w:rsidP="00595D85">
      <w:pPr>
        <w:pStyle w:val="NormalWeb"/>
        <w:spacing w:before="0" w:beforeAutospacing="0" w:after="0" w:afterAutospacing="0"/>
        <w:ind w:right="-334"/>
        <w:rPr>
          <w:rFonts w:ascii="Trebuchet MS" w:hAnsi="Trebuchet MS" w:cs="Tahoma"/>
          <w:bCs/>
          <w:sz w:val="24"/>
          <w:szCs w:val="24"/>
        </w:rPr>
      </w:pPr>
    </w:p>
    <w:p w14:paraId="71CC2962" w14:textId="0B54CD5D" w:rsidR="00E14D9E" w:rsidRDefault="00E14D9E"/>
    <w:p w14:paraId="4F572BEC" w14:textId="5E3CCCFB" w:rsidR="000E1BE6" w:rsidRDefault="000E1BE6"/>
    <w:p w14:paraId="5D90A7A0" w14:textId="117B9B4A" w:rsidR="000E1BE6" w:rsidRDefault="000E1BE6"/>
    <w:p w14:paraId="4E012A84" w14:textId="7740A2DF" w:rsidR="000E1BE6" w:rsidRDefault="000E1BE6"/>
    <w:p w14:paraId="05B547C4" w14:textId="168EDC55" w:rsidR="00D95DA3" w:rsidRDefault="00D95DA3"/>
    <w:p w14:paraId="01A77037" w14:textId="0F889E76" w:rsidR="00D95DA3" w:rsidRDefault="00D95DA3"/>
    <w:p w14:paraId="0733DC5B" w14:textId="6B99329C" w:rsidR="00D95DA3" w:rsidRDefault="00D95DA3"/>
    <w:p w14:paraId="6F377EEC" w14:textId="3F0D09B6" w:rsidR="00D95DA3" w:rsidRDefault="00D95DA3"/>
    <w:p w14:paraId="723A6D32" w14:textId="467C0E73" w:rsidR="00D95DA3" w:rsidRDefault="00D95DA3"/>
    <w:p w14:paraId="20433236" w14:textId="4CEA12B0" w:rsidR="00D95DA3" w:rsidRDefault="00D95DA3"/>
    <w:p w14:paraId="4ADBD84E" w14:textId="6F061787" w:rsidR="00D95DA3" w:rsidRDefault="00D95DA3"/>
    <w:p w14:paraId="57C18529" w14:textId="361E5E1F" w:rsidR="00D95DA3" w:rsidRDefault="00D95DA3"/>
    <w:p w14:paraId="460D9823" w14:textId="12925E7E" w:rsidR="00D95DA3" w:rsidRDefault="00D95DA3"/>
    <w:p w14:paraId="143FD135" w14:textId="6F499207" w:rsidR="00D95DA3" w:rsidRDefault="00D95DA3"/>
    <w:p w14:paraId="74740416" w14:textId="21CDAF6A" w:rsidR="00D95DA3" w:rsidRDefault="00D95DA3"/>
    <w:p w14:paraId="6ACF2CE1" w14:textId="28F9967F" w:rsidR="00D95DA3" w:rsidRDefault="00D95DA3"/>
    <w:p w14:paraId="0A0F4933" w14:textId="0777F2D0" w:rsidR="00D95DA3" w:rsidRDefault="00D95DA3"/>
    <w:p w14:paraId="1FAABB67" w14:textId="73E42DD7" w:rsidR="00D95DA3" w:rsidRDefault="00D95DA3"/>
    <w:p w14:paraId="13BF7FA1" w14:textId="348FF3F8" w:rsidR="00D95DA3" w:rsidRDefault="00D95DA3"/>
    <w:p w14:paraId="118F3894" w14:textId="3E7A442E" w:rsidR="00D95DA3" w:rsidRDefault="00D95DA3"/>
    <w:p w14:paraId="73967E50" w14:textId="6F78A896" w:rsidR="00D95DA3" w:rsidRDefault="00D95DA3"/>
    <w:p w14:paraId="02E8877E" w14:textId="2DA2B023" w:rsidR="00D95DA3" w:rsidRDefault="00D95DA3"/>
    <w:p w14:paraId="554BED82" w14:textId="5CE366F2" w:rsidR="00D95DA3" w:rsidRDefault="00D95DA3"/>
    <w:p w14:paraId="1AF14023" w14:textId="3436399C" w:rsidR="00D95DA3" w:rsidRDefault="00D95DA3"/>
    <w:p w14:paraId="1F4CE6AC" w14:textId="643A1585" w:rsidR="00D95DA3" w:rsidRDefault="00D95DA3"/>
    <w:p w14:paraId="235882A2" w14:textId="1598493C" w:rsidR="00D95DA3" w:rsidRDefault="00D95DA3"/>
    <w:p w14:paraId="0E3E481C" w14:textId="06610E53" w:rsidR="00D95DA3" w:rsidRDefault="00D95DA3"/>
    <w:p w14:paraId="546F49D0" w14:textId="4C6F8B3A" w:rsidR="00D95DA3" w:rsidRDefault="00D95DA3"/>
    <w:p w14:paraId="6E3D01AA" w14:textId="3575CF8B" w:rsidR="00D95DA3" w:rsidRDefault="00D95DA3"/>
    <w:p w14:paraId="03A7D9D9" w14:textId="595CFED8" w:rsidR="00D95DA3" w:rsidRDefault="00D95DA3"/>
    <w:p w14:paraId="5FA99A54" w14:textId="08927E02" w:rsidR="00D95DA3" w:rsidRDefault="00D95DA3"/>
    <w:p w14:paraId="76F8BF02" w14:textId="3FC496FA" w:rsidR="00D95DA3" w:rsidRDefault="00D95DA3"/>
    <w:p w14:paraId="73E0DA58" w14:textId="142566E5" w:rsidR="00D95DA3" w:rsidRDefault="00D95DA3"/>
    <w:p w14:paraId="79E91BA8" w14:textId="7ED6EC45" w:rsidR="00D95DA3" w:rsidRDefault="00D95DA3"/>
    <w:p w14:paraId="1633172B" w14:textId="410C8917" w:rsidR="00D95DA3" w:rsidRDefault="00D95DA3"/>
    <w:p w14:paraId="18F4013D" w14:textId="63E03861" w:rsidR="00D95DA3" w:rsidRDefault="00D95DA3"/>
    <w:p w14:paraId="2BDFDC6C" w14:textId="4617E663" w:rsidR="00D95DA3" w:rsidRDefault="00D95DA3"/>
    <w:p w14:paraId="1DEE44ED" w14:textId="58D6ED38" w:rsidR="00D95DA3" w:rsidRDefault="00D95DA3"/>
    <w:p w14:paraId="4857753B" w14:textId="5E3923E3" w:rsidR="00D95DA3" w:rsidRDefault="00D95DA3"/>
    <w:p w14:paraId="512291EE" w14:textId="364548D4" w:rsidR="00D95DA3" w:rsidRDefault="00D95DA3"/>
    <w:p w14:paraId="1B07C00A" w14:textId="135EFD01" w:rsidR="00D95DA3" w:rsidRDefault="00D95DA3"/>
    <w:p w14:paraId="3E1CB9C6" w14:textId="6F0FB36C" w:rsidR="00D95DA3" w:rsidRDefault="00D95DA3"/>
    <w:p w14:paraId="486335E9" w14:textId="21181944" w:rsidR="00D95DA3" w:rsidRDefault="00D95DA3"/>
    <w:p w14:paraId="287DB0D5" w14:textId="78F5A1BC" w:rsidR="00D95DA3" w:rsidRDefault="00D95DA3"/>
    <w:p w14:paraId="024A98A5" w14:textId="400CCEDD" w:rsidR="00D95DA3" w:rsidRDefault="00D95DA3" w:rsidP="001C6A7B">
      <w:pPr>
        <w:spacing w:line="360" w:lineRule="auto"/>
        <w:jc w:val="center"/>
        <w:rPr>
          <w:b/>
          <w:u w:val="single"/>
        </w:rPr>
      </w:pPr>
      <w:r w:rsidRPr="00D95DA3">
        <w:rPr>
          <w:b/>
          <w:u w:val="single"/>
        </w:rPr>
        <w:t>‘Comparing and Contrasting Methodologies of Two research papers’</w:t>
      </w:r>
    </w:p>
    <w:p w14:paraId="4668C1E9" w14:textId="3BE3E861" w:rsidR="00D95DA3" w:rsidRDefault="00D95DA3" w:rsidP="001C6A7B">
      <w:pPr>
        <w:spacing w:line="360" w:lineRule="auto"/>
        <w:jc w:val="center"/>
        <w:rPr>
          <w:b/>
          <w:u w:val="single"/>
        </w:rPr>
      </w:pPr>
    </w:p>
    <w:p w14:paraId="315697D2" w14:textId="0498548A" w:rsidR="00D95DA3" w:rsidRDefault="00D95DA3" w:rsidP="001C6A7B">
      <w:pPr>
        <w:spacing w:line="360" w:lineRule="auto"/>
      </w:pPr>
      <w:r>
        <w:t>Word Count:</w:t>
      </w:r>
      <w:r w:rsidR="00D7501D">
        <w:t xml:space="preserve"> 1050 </w:t>
      </w:r>
      <w:bookmarkStart w:id="6" w:name="_GoBack"/>
      <w:bookmarkEnd w:id="6"/>
    </w:p>
    <w:p w14:paraId="52FCF7F8" w14:textId="4DC1D38A" w:rsidR="001C6A7B" w:rsidRDefault="001C6A7B" w:rsidP="001C6A7B">
      <w:pPr>
        <w:spacing w:line="360" w:lineRule="auto"/>
      </w:pPr>
    </w:p>
    <w:p w14:paraId="09646A30" w14:textId="0278FF00" w:rsidR="001C6A7B" w:rsidRDefault="001C6A7B" w:rsidP="001C6A7B">
      <w:pPr>
        <w:spacing w:line="360" w:lineRule="auto"/>
      </w:pPr>
      <w:r>
        <w:t xml:space="preserve">This paper will compare and contrast the methodologies used in two research papers. The papers chosen are T.L Brink’s, </w:t>
      </w:r>
      <w:r w:rsidRPr="003D4A55">
        <w:t>‘Inconsistency of Belief among Roman Catholic Girls: Concerning Religion, Astrology, Reincarnation’</w:t>
      </w:r>
      <w:r>
        <w:t>,</w:t>
      </w:r>
      <w:r>
        <w:rPr>
          <w:i/>
        </w:rPr>
        <w:t xml:space="preserve"> Review of Religious Research</w:t>
      </w:r>
      <w:r>
        <w:t xml:space="preserve">, 20 (1978), 82-85, and T. Walter and H. Waterhouse’s ‘A Very Private Belief: Reincarnation in Contemporary England’, </w:t>
      </w:r>
      <w:r>
        <w:rPr>
          <w:i/>
        </w:rPr>
        <w:t>Sociology of England</w:t>
      </w:r>
      <w:r>
        <w:t xml:space="preserve">, 60 (1999), 187-197. </w:t>
      </w:r>
    </w:p>
    <w:p w14:paraId="49393B52" w14:textId="33A58943" w:rsidR="001C6A7B" w:rsidRDefault="001C6A7B" w:rsidP="001C6A7B"/>
    <w:p w14:paraId="4A0C5C93" w14:textId="71770DEB" w:rsidR="00A572A4" w:rsidRDefault="00120E01" w:rsidP="00120E01">
      <w:pPr>
        <w:spacing w:line="360" w:lineRule="auto"/>
      </w:pPr>
      <w:r>
        <w:t xml:space="preserve">In considering the position of the researchers in relation to the fields of research. It can be suggested, that as a social scientist, T.L Brink had solid grounds for the pursuit of a study into belief structures. </w:t>
      </w:r>
      <w:r w:rsidR="009C237C">
        <w:t>However, what is not stated in his paper, nor is apparent from the perspective of the social sciences, is Brink’s capability to assess matters of Religion, Astrology</w:t>
      </w:r>
      <w:r w:rsidR="001C1A19">
        <w:t>,</w:t>
      </w:r>
      <w:r w:rsidR="009C237C">
        <w:t xml:space="preserve"> and Reincarnation. It can be argued from Brink’s paper, that he has knowledge of Religious doctrine and practices.</w:t>
      </w:r>
      <w:r w:rsidR="009C237C">
        <w:rPr>
          <w:rStyle w:val="FootnoteReference"/>
        </w:rPr>
        <w:footnoteReference w:id="1"/>
      </w:r>
      <w:r w:rsidR="009C237C">
        <w:t xml:space="preserve"> Yet, without positioning himself within the context of his study, there is limited evidence to his experience in all aspects of the study. In contrast, Walter and Waterhouse </w:t>
      </w:r>
      <w:r w:rsidR="001C1A19">
        <w:t>take up a ‘closer’ position in relation to the fields of research than Brink. Walter, with a background in sociology and death studies has in-depth knowledge of the primary research focus: Reincarnation in Contemporary England. Waterhouse, an expert in the field of Religious Studies, specifically Buddhist practices, lends further credence to the position of the researchers, given the nature of the field of research. In similarity to Brink, this is not clearly stated in the research study, and must be inferred from the evidence presented throughout the literature review and discussion sections.</w:t>
      </w:r>
    </w:p>
    <w:p w14:paraId="5F702EE1" w14:textId="77777777" w:rsidR="00736DBD" w:rsidRDefault="00736DBD" w:rsidP="00120E01">
      <w:pPr>
        <w:spacing w:line="360" w:lineRule="auto"/>
      </w:pPr>
    </w:p>
    <w:p w14:paraId="78B4B244" w14:textId="59EEDAA7" w:rsidR="008126BC" w:rsidRPr="00E62982" w:rsidRDefault="00EE487C" w:rsidP="008126BC">
      <w:pPr>
        <w:spacing w:line="360" w:lineRule="auto"/>
        <w:rPr>
          <w:color w:val="000000" w:themeColor="text1"/>
        </w:rPr>
      </w:pPr>
      <w:r>
        <w:t xml:space="preserve">In </w:t>
      </w:r>
      <w:r w:rsidR="00CC47BE">
        <w:t>investigating</w:t>
      </w:r>
      <w:r>
        <w:t xml:space="preserve"> the position of the researchers on the Insider/Outsider continuum, in relation to the target group, it can be </w:t>
      </w:r>
      <w:r w:rsidR="00A20836">
        <w:t>argued</w:t>
      </w:r>
      <w:r>
        <w:t xml:space="preserve"> that </w:t>
      </w:r>
      <w:r w:rsidR="00CC47BE">
        <w:t xml:space="preserve">Brink takes up an </w:t>
      </w:r>
      <w:r w:rsidR="00CC47BE">
        <w:rPr>
          <w:i/>
        </w:rPr>
        <w:t>Etic</w:t>
      </w:r>
      <w:r w:rsidR="00CC47BE">
        <w:t xml:space="preserve"> position, to </w:t>
      </w:r>
      <w:r w:rsidR="00CC47BE">
        <w:lastRenderedPageBreak/>
        <w:t xml:space="preserve">Walter and Waterhouse’s </w:t>
      </w:r>
      <w:r w:rsidR="00CC47BE">
        <w:rPr>
          <w:i/>
        </w:rPr>
        <w:t>Emic</w:t>
      </w:r>
      <w:r w:rsidR="00CC47BE">
        <w:t xml:space="preserve"> position.</w:t>
      </w:r>
      <w:r w:rsidR="00BD3641">
        <w:rPr>
          <w:rStyle w:val="FootnoteReference"/>
        </w:rPr>
        <w:footnoteReference w:id="2"/>
      </w:r>
      <w:r w:rsidR="00CC47BE">
        <w:t xml:space="preserve"> It can also be argued that Brink, and Walter</w:t>
      </w:r>
      <w:r w:rsidR="002C27B6">
        <w:t xml:space="preserve"> </w:t>
      </w:r>
      <w:r w:rsidR="00CC47BE">
        <w:t>and Waterhouse</w:t>
      </w:r>
      <w:r w:rsidR="002C27B6">
        <w:t xml:space="preserve"> take up places both as Insiders and Outsiders</w:t>
      </w:r>
      <w:r w:rsidR="00EF731B">
        <w:t xml:space="preserve">, </w:t>
      </w:r>
      <w:r w:rsidR="00E12063">
        <w:t xml:space="preserve">as such, the </w:t>
      </w:r>
      <w:r w:rsidR="00E12063">
        <w:rPr>
          <w:i/>
        </w:rPr>
        <w:t xml:space="preserve">etic </w:t>
      </w:r>
      <w:r w:rsidR="00E12063">
        <w:t xml:space="preserve">and </w:t>
      </w:r>
      <w:r w:rsidR="00E12063">
        <w:rPr>
          <w:i/>
        </w:rPr>
        <w:t>emic</w:t>
      </w:r>
      <w:r w:rsidR="00E12063">
        <w:t xml:space="preserve"> positions do at times become interlaced. As Brink’s research target group were students from a Catholic Girl’s High School, it can be </w:t>
      </w:r>
      <w:r w:rsidR="00A20836">
        <w:t>claimed</w:t>
      </w:r>
      <w:r w:rsidR="00E12063">
        <w:t xml:space="preserve"> that he is researching as an Outsider. However, his status as a Social Scientist provides access to specific knowledge that could be interwoven with aspects of </w:t>
      </w:r>
      <w:r w:rsidR="00E12063">
        <w:rPr>
          <w:i/>
        </w:rPr>
        <w:t>emic</w:t>
      </w:r>
      <w:r w:rsidR="00E12063">
        <w:t xml:space="preserve"> research methods. In contrast, Walter and Waterhouse </w:t>
      </w:r>
      <w:r w:rsidR="00AC4993">
        <w:t xml:space="preserve">conducted interviews with </w:t>
      </w:r>
      <w:r w:rsidR="007E3D61">
        <w:t>a variety of participants</w:t>
      </w:r>
      <w:r w:rsidR="00A572A4">
        <w:t>.</w:t>
      </w:r>
      <w:r w:rsidR="007E3D61">
        <w:t xml:space="preserve"> </w:t>
      </w:r>
      <w:r w:rsidR="00A572A4">
        <w:t>A</w:t>
      </w:r>
      <w:r w:rsidR="007E3D61">
        <w:t>lthough some were school-children, which would place them, like Brink, as Outsiders, the nature of the methodology</w:t>
      </w:r>
      <w:r w:rsidR="00A572A4">
        <w:t xml:space="preserve">; local, specific, relative, places them mainly as Insiders. </w:t>
      </w:r>
      <w:r w:rsidR="00E62982">
        <w:rPr>
          <w:color w:val="000000" w:themeColor="text1"/>
        </w:rPr>
        <w:t>It can be asserted that Brink’s position clearly shaped his research project, insofar that the inferences and claims made in the discussion section of his research clearly show a researcher positioned on the Outside of the study. In contrast, Walter and Waterhouse’s position as Insider’s allowed for more in-depth study, alongside a better placement within the larger academic framework.</w:t>
      </w:r>
    </w:p>
    <w:p w14:paraId="73357459" w14:textId="501DDBE1" w:rsidR="00EE487C" w:rsidRDefault="00EE487C" w:rsidP="00120E01">
      <w:pPr>
        <w:spacing w:line="360" w:lineRule="auto"/>
      </w:pPr>
    </w:p>
    <w:p w14:paraId="28405C9D" w14:textId="4C575CC0" w:rsidR="001C1A19" w:rsidRDefault="00966A62" w:rsidP="00120E01">
      <w:pPr>
        <w:spacing w:line="360" w:lineRule="auto"/>
      </w:pPr>
      <w:r>
        <w:t xml:space="preserve">It can be suggested that </w:t>
      </w:r>
      <w:r w:rsidR="008B6EF5">
        <w:t>the choice of methodology in Brink’s study is less valid than that of Walter and Waterhouse. In the case of Brink, the aim of the study was to investigate whether beliefs, previously held as ‘inconsistent’, could in fact, coexist in a larger personal cosmology</w:t>
      </w:r>
      <w:r w:rsidR="00456B1C">
        <w:rPr>
          <w:rStyle w:val="FootnoteReference"/>
        </w:rPr>
        <w:footnoteReference w:id="3"/>
      </w:r>
      <w:r w:rsidR="008B6EF5">
        <w:t xml:space="preserve">. In order to investigate this Brink chose to subject his research participants to a questionnaire. It is unclear from the findings of the questionnaire, alongside the discourse around the outcome, how effective the choice of a questionnaire was. Brink presents data, and discusses the outcomes of the data, yet, it can be inferred that a study such as this might ‘beg the question’ and require further clarification as to the ‘whys’, that Brink can only </w:t>
      </w:r>
      <w:r w:rsidR="00456B1C">
        <w:t>speculate</w:t>
      </w:r>
      <w:r w:rsidR="008B6EF5">
        <w:t xml:space="preserve"> from. </w:t>
      </w:r>
      <w:r w:rsidR="00456B1C">
        <w:t>In contrast to Brink, Walter and Waterhouse</w:t>
      </w:r>
      <w:r w:rsidR="00B859F3">
        <w:t xml:space="preserve">’s methodology consisted of one-to-one interviews, and group interviews, to </w:t>
      </w:r>
      <w:r w:rsidR="00B859F3">
        <w:lastRenderedPageBreak/>
        <w:t>gather data.</w:t>
      </w:r>
      <w:r w:rsidR="00B859F3">
        <w:rPr>
          <w:rStyle w:val="FootnoteReference"/>
        </w:rPr>
        <w:footnoteReference w:id="4"/>
      </w:r>
      <w:r w:rsidR="00B859F3">
        <w:t xml:space="preserve"> It can be argued that their choice of methodology ha</w:t>
      </w:r>
      <w:r w:rsidR="00CC47BE">
        <w:t>d</w:t>
      </w:r>
      <w:r w:rsidR="00B859F3">
        <w:t xml:space="preserve"> more foresight, and hence, a higher level of validity.</w:t>
      </w:r>
      <w:r w:rsidR="00BD3641">
        <w:rPr>
          <w:rStyle w:val="FootnoteReference"/>
        </w:rPr>
        <w:footnoteReference w:id="5"/>
      </w:r>
      <w:r w:rsidR="00B859F3">
        <w:t xml:space="preserve"> Unlike Brink, Walter and Waterhouse picked up on the outstanding ‘why’ of Brink’s study. </w:t>
      </w:r>
      <w:r w:rsidR="005169D1">
        <w:t>As Hennink, Hutter</w:t>
      </w:r>
      <w:r w:rsidR="00CC47BE">
        <w:t>,</w:t>
      </w:r>
      <w:r w:rsidR="005169D1">
        <w:t xml:space="preserve"> and Bailey (2011) suggest, it</w:t>
      </w:r>
      <w:r w:rsidR="00D2267C">
        <w:t xml:space="preserve"> </w:t>
      </w:r>
      <w:r w:rsidR="005169D1">
        <w:t xml:space="preserve">can be </w:t>
      </w:r>
      <w:r w:rsidR="00A20836">
        <w:t>claimed</w:t>
      </w:r>
      <w:r w:rsidR="005169D1">
        <w:t xml:space="preserve"> that Brink was missing </w:t>
      </w:r>
      <w:r w:rsidR="00CC47BE">
        <w:rPr>
          <w:i/>
        </w:rPr>
        <w:t>Verstehen</w:t>
      </w:r>
      <w:r w:rsidR="00CC47BE">
        <w:t>, which “refers to understanding the life of the people whom you study from their own perspectives, in their own context”</w:t>
      </w:r>
      <w:r w:rsidR="00CC47BE">
        <w:rPr>
          <w:rStyle w:val="FootnoteReference"/>
        </w:rPr>
        <w:footnoteReference w:id="6"/>
      </w:r>
      <w:r w:rsidR="00CC47BE">
        <w:t>.</w:t>
      </w:r>
    </w:p>
    <w:p w14:paraId="1B63201D" w14:textId="2C8C82F4" w:rsidR="00CC47BE" w:rsidRDefault="00CC47BE" w:rsidP="00120E01">
      <w:pPr>
        <w:spacing w:line="360" w:lineRule="auto"/>
      </w:pPr>
    </w:p>
    <w:p w14:paraId="087A9541" w14:textId="7CCED65B" w:rsidR="00CC47BE" w:rsidRDefault="00A572A4" w:rsidP="00120E01">
      <w:pPr>
        <w:spacing w:line="360" w:lineRule="auto"/>
      </w:pPr>
      <w:r>
        <w:t xml:space="preserve">In terms of effectiveness in the researcher’s ability to relate their fieldwork data, with relevant literature, and the subsequent positioning of their study within a larger academic framework, it can be argued that the two studies presented have polarising differences in this area. Brink’s </w:t>
      </w:r>
      <w:r w:rsidR="00857F47">
        <w:t>literature review is deeply flawed and relies on the reader to conducted further study using the various references given without context.</w:t>
      </w:r>
      <w:r w:rsidR="00857F47">
        <w:rPr>
          <w:rStyle w:val="FootnoteReference"/>
        </w:rPr>
        <w:footnoteReference w:id="7"/>
      </w:r>
      <w:r w:rsidR="00857F47">
        <w:t xml:space="preserve"> In Brink’s results and discussion section there is little reference to the prior literature, and new literature is also brought in to help Brink validate his inferences</w:t>
      </w:r>
      <w:r w:rsidR="00A20836">
        <w:rPr>
          <w:rStyle w:val="FootnoteReference"/>
        </w:rPr>
        <w:footnoteReference w:id="8"/>
      </w:r>
      <w:r w:rsidR="00857F47">
        <w:t>. In contrast, Walter and Waterhouse compile an extensive series of references and validate their study hypothesis via these references. Again, in contrast to Brink, Walter and Waterhouse use these references in their results and discussion section to explain and investigate their findings.</w:t>
      </w:r>
      <w:r w:rsidR="00857F47">
        <w:rPr>
          <w:rStyle w:val="FootnoteReference"/>
        </w:rPr>
        <w:footnoteReference w:id="9"/>
      </w:r>
      <w:r w:rsidR="00857F47">
        <w:t xml:space="preserve"> It can be </w:t>
      </w:r>
      <w:r w:rsidR="00857F47">
        <w:lastRenderedPageBreak/>
        <w:t xml:space="preserve">argued that Brink’s study seems to </w:t>
      </w:r>
      <w:r w:rsidR="00D2267C">
        <w:t xml:space="preserve">have ‘missed the mark’ with its methodology. It uses vast generalisations, an </w:t>
      </w:r>
      <w:r w:rsidR="00A03D2C">
        <w:t xml:space="preserve">imprecise literature review, a vague data set and findings that use new data to validate it. In contrast, Walter and Waterhouse’s study is more likely to have a larger impact on the wider academic framework, due to its clear literature review, unambiguous data gathering method, and findings supported by previously discussed literature. </w:t>
      </w:r>
    </w:p>
    <w:p w14:paraId="26024F0E" w14:textId="77777777" w:rsidR="009A7D3F" w:rsidRDefault="009A7D3F" w:rsidP="00120E01">
      <w:pPr>
        <w:spacing w:line="360" w:lineRule="auto"/>
      </w:pPr>
    </w:p>
    <w:p w14:paraId="12F32BE5" w14:textId="449E5EEF" w:rsidR="00CC47BE" w:rsidRDefault="002C27B6" w:rsidP="00120E01">
      <w:pPr>
        <w:spacing w:line="360" w:lineRule="auto"/>
      </w:pPr>
      <w:r>
        <w:t xml:space="preserve">In summary, this paper has discussed the position of the chosen researchers in relation their fields of research; investigated the validity of the researcher’s choice in methodology; explored the position of the researcher’s in the Insider/Outsider continuum; considered how this position has shaped their project; and the effectiveness of the researcher’s ability to relate their field work to the literature, including their position within </w:t>
      </w:r>
      <w:r w:rsidR="00D7501D">
        <w:t xml:space="preserve">the </w:t>
      </w:r>
      <w:r>
        <w:t>academic framework.</w:t>
      </w:r>
    </w:p>
    <w:p w14:paraId="7413F68E" w14:textId="77777777" w:rsidR="00CC47BE" w:rsidRPr="00CC47BE" w:rsidRDefault="00CC47BE" w:rsidP="00120E01">
      <w:pPr>
        <w:spacing w:line="360" w:lineRule="auto"/>
      </w:pPr>
    </w:p>
    <w:p w14:paraId="21138637" w14:textId="77777777" w:rsidR="001C1A19" w:rsidRDefault="001C1A19" w:rsidP="00120E01">
      <w:pPr>
        <w:spacing w:line="360" w:lineRule="auto"/>
      </w:pPr>
    </w:p>
    <w:p w14:paraId="2E023006" w14:textId="77777777" w:rsidR="00AC7D9C" w:rsidRDefault="00AC7D9C" w:rsidP="001C6A7B">
      <w:pPr>
        <w:spacing w:line="360" w:lineRule="auto"/>
        <w:rPr>
          <w:b/>
          <w:u w:val="single"/>
        </w:rPr>
      </w:pPr>
    </w:p>
    <w:p w14:paraId="05A8AD85" w14:textId="77777777" w:rsidR="00AC7D9C" w:rsidRDefault="00AC7D9C" w:rsidP="001C6A7B">
      <w:pPr>
        <w:spacing w:line="360" w:lineRule="auto"/>
        <w:rPr>
          <w:b/>
          <w:u w:val="single"/>
        </w:rPr>
      </w:pPr>
    </w:p>
    <w:p w14:paraId="59F4F0D7" w14:textId="77777777" w:rsidR="00AC7D9C" w:rsidRDefault="00AC7D9C" w:rsidP="001C6A7B">
      <w:pPr>
        <w:spacing w:line="360" w:lineRule="auto"/>
        <w:rPr>
          <w:b/>
          <w:u w:val="single"/>
        </w:rPr>
      </w:pPr>
    </w:p>
    <w:p w14:paraId="3290C756" w14:textId="77777777" w:rsidR="00AC7D9C" w:rsidRDefault="00AC7D9C" w:rsidP="001C6A7B">
      <w:pPr>
        <w:spacing w:line="360" w:lineRule="auto"/>
        <w:rPr>
          <w:b/>
          <w:u w:val="single"/>
        </w:rPr>
      </w:pPr>
    </w:p>
    <w:p w14:paraId="5300D6F7" w14:textId="77777777" w:rsidR="00AC7D9C" w:rsidRDefault="00AC7D9C" w:rsidP="001C6A7B">
      <w:pPr>
        <w:spacing w:line="360" w:lineRule="auto"/>
        <w:rPr>
          <w:b/>
          <w:u w:val="single"/>
        </w:rPr>
      </w:pPr>
    </w:p>
    <w:p w14:paraId="5A6E56C6" w14:textId="77777777" w:rsidR="00AC7D9C" w:rsidRDefault="00AC7D9C" w:rsidP="001C6A7B">
      <w:pPr>
        <w:spacing w:line="360" w:lineRule="auto"/>
        <w:rPr>
          <w:b/>
          <w:u w:val="single"/>
        </w:rPr>
      </w:pPr>
    </w:p>
    <w:p w14:paraId="6B5758C5" w14:textId="77777777" w:rsidR="00AC7D9C" w:rsidRDefault="00AC7D9C" w:rsidP="001C6A7B">
      <w:pPr>
        <w:spacing w:line="360" w:lineRule="auto"/>
        <w:rPr>
          <w:b/>
          <w:u w:val="single"/>
        </w:rPr>
      </w:pPr>
    </w:p>
    <w:p w14:paraId="300CF82F" w14:textId="77777777" w:rsidR="00AC7D9C" w:rsidRDefault="00AC7D9C" w:rsidP="001C6A7B">
      <w:pPr>
        <w:spacing w:line="360" w:lineRule="auto"/>
        <w:rPr>
          <w:b/>
          <w:u w:val="single"/>
        </w:rPr>
      </w:pPr>
    </w:p>
    <w:p w14:paraId="3818AABF" w14:textId="77777777" w:rsidR="00AC7D9C" w:rsidRDefault="00AC7D9C" w:rsidP="001C6A7B">
      <w:pPr>
        <w:spacing w:line="360" w:lineRule="auto"/>
        <w:rPr>
          <w:b/>
          <w:u w:val="single"/>
        </w:rPr>
      </w:pPr>
    </w:p>
    <w:p w14:paraId="33F6E00B" w14:textId="77777777" w:rsidR="00AC7D9C" w:rsidRDefault="00AC7D9C" w:rsidP="001C6A7B">
      <w:pPr>
        <w:spacing w:line="360" w:lineRule="auto"/>
        <w:rPr>
          <w:b/>
          <w:u w:val="single"/>
        </w:rPr>
      </w:pPr>
    </w:p>
    <w:p w14:paraId="43508B25" w14:textId="77777777" w:rsidR="00AC7D9C" w:rsidRDefault="00AC7D9C" w:rsidP="001C6A7B">
      <w:pPr>
        <w:spacing w:line="360" w:lineRule="auto"/>
        <w:rPr>
          <w:b/>
          <w:u w:val="single"/>
        </w:rPr>
      </w:pPr>
    </w:p>
    <w:p w14:paraId="2EBAD132" w14:textId="77777777" w:rsidR="00AC7D9C" w:rsidRDefault="00AC7D9C" w:rsidP="001C6A7B">
      <w:pPr>
        <w:spacing w:line="360" w:lineRule="auto"/>
        <w:rPr>
          <w:b/>
          <w:u w:val="single"/>
        </w:rPr>
      </w:pPr>
    </w:p>
    <w:p w14:paraId="00C71CB2" w14:textId="77777777" w:rsidR="00AC7D9C" w:rsidRDefault="00AC7D9C" w:rsidP="001C6A7B">
      <w:pPr>
        <w:spacing w:line="360" w:lineRule="auto"/>
        <w:rPr>
          <w:b/>
          <w:u w:val="single"/>
        </w:rPr>
      </w:pPr>
    </w:p>
    <w:p w14:paraId="5272BDCD" w14:textId="77777777" w:rsidR="00AC7D9C" w:rsidRDefault="00AC7D9C" w:rsidP="001C6A7B">
      <w:pPr>
        <w:spacing w:line="360" w:lineRule="auto"/>
        <w:rPr>
          <w:b/>
          <w:u w:val="single"/>
        </w:rPr>
      </w:pPr>
    </w:p>
    <w:p w14:paraId="6591853C" w14:textId="77777777" w:rsidR="00AC7D9C" w:rsidRDefault="00AC7D9C" w:rsidP="001C6A7B">
      <w:pPr>
        <w:spacing w:line="360" w:lineRule="auto"/>
        <w:rPr>
          <w:b/>
          <w:u w:val="single"/>
        </w:rPr>
      </w:pPr>
    </w:p>
    <w:p w14:paraId="1AB2B868" w14:textId="77777777" w:rsidR="00AC7D9C" w:rsidRDefault="00AC7D9C" w:rsidP="001C6A7B">
      <w:pPr>
        <w:spacing w:line="360" w:lineRule="auto"/>
        <w:rPr>
          <w:b/>
          <w:u w:val="single"/>
        </w:rPr>
      </w:pPr>
    </w:p>
    <w:p w14:paraId="571E757E" w14:textId="77777777" w:rsidR="00AC7D9C" w:rsidRDefault="00AC7D9C" w:rsidP="001C6A7B">
      <w:pPr>
        <w:spacing w:line="360" w:lineRule="auto"/>
        <w:rPr>
          <w:b/>
          <w:u w:val="single"/>
        </w:rPr>
      </w:pPr>
    </w:p>
    <w:p w14:paraId="583AC247" w14:textId="77777777" w:rsidR="00AC7D9C" w:rsidRDefault="00AC7D9C" w:rsidP="001C6A7B">
      <w:pPr>
        <w:spacing w:line="360" w:lineRule="auto"/>
        <w:rPr>
          <w:b/>
          <w:u w:val="single"/>
        </w:rPr>
      </w:pPr>
    </w:p>
    <w:p w14:paraId="0531E92F" w14:textId="5C976E8E" w:rsidR="00D95DA3" w:rsidRDefault="00D95DA3" w:rsidP="001C6A7B">
      <w:pPr>
        <w:spacing w:line="360" w:lineRule="auto"/>
        <w:rPr>
          <w:b/>
          <w:u w:val="single"/>
        </w:rPr>
      </w:pPr>
      <w:r>
        <w:rPr>
          <w:b/>
          <w:u w:val="single"/>
        </w:rPr>
        <w:lastRenderedPageBreak/>
        <w:t>Bibliography</w:t>
      </w:r>
    </w:p>
    <w:p w14:paraId="50A3D00C" w14:textId="377140C4" w:rsidR="00783A82" w:rsidRDefault="00783A82" w:rsidP="001C6A7B">
      <w:pPr>
        <w:spacing w:line="360" w:lineRule="auto"/>
        <w:rPr>
          <w:b/>
          <w:u w:val="single"/>
        </w:rPr>
      </w:pPr>
    </w:p>
    <w:p w14:paraId="0ECE61F8" w14:textId="412186EF" w:rsidR="00783A82" w:rsidRPr="00783A82" w:rsidRDefault="00783A82" w:rsidP="001C6A7B">
      <w:pPr>
        <w:spacing w:line="360" w:lineRule="auto"/>
        <w:rPr>
          <w:u w:val="single"/>
        </w:rPr>
      </w:pPr>
      <w:r w:rsidRPr="00783A82">
        <w:rPr>
          <w:u w:val="single"/>
        </w:rPr>
        <w:t>Primary Sources</w:t>
      </w:r>
    </w:p>
    <w:p w14:paraId="36DC8947" w14:textId="77777777" w:rsidR="00783A82" w:rsidRDefault="00783A82" w:rsidP="001C6A7B">
      <w:pPr>
        <w:spacing w:line="360" w:lineRule="auto"/>
        <w:rPr>
          <w:b/>
          <w:u w:val="single"/>
        </w:rPr>
      </w:pPr>
    </w:p>
    <w:p w14:paraId="0F8E6FC2" w14:textId="40A791BF" w:rsidR="003D4A55" w:rsidRDefault="003D4A55" w:rsidP="001C6A7B">
      <w:pPr>
        <w:spacing w:line="360" w:lineRule="auto"/>
      </w:pPr>
      <w:r>
        <w:t xml:space="preserve">Brink, T.L, </w:t>
      </w:r>
      <w:r w:rsidRPr="003D4A55">
        <w:t>‘Inconsistency of Belief among Roman Catholic Girls: Concerning Religion, Astrology, Reincarnation’</w:t>
      </w:r>
      <w:r>
        <w:t>,</w:t>
      </w:r>
      <w:r>
        <w:rPr>
          <w:i/>
        </w:rPr>
        <w:t xml:space="preserve"> Review of Religious Research</w:t>
      </w:r>
      <w:r>
        <w:t>, 20 (1978), 82-85.</w:t>
      </w:r>
    </w:p>
    <w:p w14:paraId="3E2D7671" w14:textId="1C22FDC3" w:rsidR="00783A82" w:rsidRDefault="00783A82" w:rsidP="001C6A7B">
      <w:pPr>
        <w:spacing w:line="360" w:lineRule="auto"/>
        <w:rPr>
          <w:b/>
          <w:u w:val="single"/>
        </w:rPr>
      </w:pPr>
    </w:p>
    <w:p w14:paraId="63B11E2C" w14:textId="77777777" w:rsidR="00783A82" w:rsidRDefault="00783A82" w:rsidP="001C6A7B">
      <w:pPr>
        <w:spacing w:line="360" w:lineRule="auto"/>
      </w:pPr>
      <w:r>
        <w:t xml:space="preserve">Walter, T. &amp; Waterhouse, H, ‘A Very Private Belief: Reincarnation in Contemporary England’, </w:t>
      </w:r>
      <w:r>
        <w:rPr>
          <w:i/>
        </w:rPr>
        <w:t>Sociology of England</w:t>
      </w:r>
      <w:r>
        <w:t xml:space="preserve">, 60 (1999), 187-197. </w:t>
      </w:r>
    </w:p>
    <w:p w14:paraId="056DE32E" w14:textId="1CDF5C3F" w:rsidR="00783A82" w:rsidRDefault="00783A82" w:rsidP="001C6A7B">
      <w:pPr>
        <w:spacing w:line="360" w:lineRule="auto"/>
        <w:rPr>
          <w:b/>
          <w:u w:val="single"/>
        </w:rPr>
      </w:pPr>
    </w:p>
    <w:p w14:paraId="3FE2A3B2" w14:textId="483FF0C7" w:rsidR="00783A82" w:rsidRDefault="00783A82" w:rsidP="001C6A7B">
      <w:pPr>
        <w:spacing w:line="360" w:lineRule="auto"/>
        <w:rPr>
          <w:u w:val="single"/>
        </w:rPr>
      </w:pPr>
      <w:r w:rsidRPr="00783A82">
        <w:rPr>
          <w:u w:val="single"/>
        </w:rPr>
        <w:t>Secondary Sources</w:t>
      </w:r>
    </w:p>
    <w:p w14:paraId="5804F036" w14:textId="5080335D" w:rsidR="00CF1E65" w:rsidRDefault="00CF1E65" w:rsidP="001C6A7B">
      <w:pPr>
        <w:spacing w:line="360" w:lineRule="auto"/>
        <w:rPr>
          <w:u w:val="single"/>
        </w:rPr>
      </w:pPr>
    </w:p>
    <w:p w14:paraId="613F5844" w14:textId="23BB0C6A" w:rsidR="00CF1E65" w:rsidRPr="008126BC" w:rsidRDefault="00CF1E65" w:rsidP="001C6A7B">
      <w:pPr>
        <w:spacing w:line="360" w:lineRule="auto"/>
      </w:pPr>
      <w:r w:rsidRPr="00CF1E65">
        <w:t>Bryman</w:t>
      </w:r>
      <w:r>
        <w:t>, A</w:t>
      </w:r>
      <w:r w:rsidR="008126BC">
        <w:t xml:space="preserve">lan, </w:t>
      </w:r>
      <w:r w:rsidR="008126BC">
        <w:rPr>
          <w:i/>
        </w:rPr>
        <w:t>Quantity and Quality in Social Research</w:t>
      </w:r>
      <w:r w:rsidR="008126BC">
        <w:t xml:space="preserve"> (London: Routledge, 1988).</w:t>
      </w:r>
    </w:p>
    <w:p w14:paraId="778F1B48" w14:textId="4816A3A0" w:rsidR="003D4A55" w:rsidRDefault="003D4A55" w:rsidP="001C6A7B">
      <w:pPr>
        <w:spacing w:line="360" w:lineRule="auto"/>
      </w:pPr>
    </w:p>
    <w:p w14:paraId="1B4D4CDE" w14:textId="7F8A91CC" w:rsidR="00783A82" w:rsidRPr="00783A82" w:rsidRDefault="00783A82" w:rsidP="001C6A7B">
      <w:pPr>
        <w:spacing w:line="360" w:lineRule="auto"/>
      </w:pPr>
      <w:r>
        <w:t xml:space="preserve">Hennink, Monique. Hutter, Inge. &amp; Bailey, Ajay, </w:t>
      </w:r>
      <w:r>
        <w:rPr>
          <w:i/>
        </w:rPr>
        <w:t xml:space="preserve">Qualitative Research Methods </w:t>
      </w:r>
      <w:r>
        <w:t>(Los Angeles: London: SAGE, 2011).</w:t>
      </w:r>
    </w:p>
    <w:p w14:paraId="159C2DE7" w14:textId="2399AE24" w:rsidR="003D4A55" w:rsidRDefault="003D4A55" w:rsidP="00D95DA3"/>
    <w:p w14:paraId="02FF0FFC" w14:textId="0E14EBF9" w:rsidR="003D4A55" w:rsidRDefault="003D4A55" w:rsidP="00D95DA3"/>
    <w:p w14:paraId="53AD767E" w14:textId="77777777" w:rsidR="003D4A55" w:rsidRPr="003D4A55" w:rsidRDefault="003D4A55" w:rsidP="00D95DA3"/>
    <w:sectPr w:rsidR="003D4A55" w:rsidRPr="003D4A55" w:rsidSect="00783A82">
      <w:headerReference w:type="default" r:id="rId9"/>
      <w:footerReference w:type="default" r:id="rId1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37C82" w14:textId="77777777" w:rsidR="005478EA" w:rsidRDefault="005478EA">
      <w:r>
        <w:separator/>
      </w:r>
    </w:p>
  </w:endnote>
  <w:endnote w:type="continuationSeparator" w:id="0">
    <w:p w14:paraId="7889E89C" w14:textId="77777777" w:rsidR="005478EA" w:rsidRDefault="005478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AFE18" w14:textId="77777777" w:rsidR="00783A82" w:rsidRPr="00337A70" w:rsidRDefault="00783A82">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E6F61" w14:textId="77777777" w:rsidR="005478EA" w:rsidRDefault="005478EA">
      <w:r>
        <w:separator/>
      </w:r>
    </w:p>
  </w:footnote>
  <w:footnote w:type="continuationSeparator" w:id="0">
    <w:p w14:paraId="23E82C48" w14:textId="77777777" w:rsidR="005478EA" w:rsidRDefault="005478EA">
      <w:r>
        <w:continuationSeparator/>
      </w:r>
    </w:p>
  </w:footnote>
  <w:footnote w:id="1">
    <w:p w14:paraId="2453EA75" w14:textId="3505A05A" w:rsidR="009C237C" w:rsidRDefault="009C237C" w:rsidP="009C237C">
      <w:pPr>
        <w:spacing w:line="360" w:lineRule="auto"/>
      </w:pPr>
      <w:r>
        <w:rPr>
          <w:rStyle w:val="FootnoteReference"/>
        </w:rPr>
        <w:footnoteRef/>
      </w:r>
      <w:r>
        <w:t xml:space="preserve"> T.L. Brink</w:t>
      </w:r>
      <w:r>
        <w:t xml:space="preserve">, </w:t>
      </w:r>
      <w:r w:rsidRPr="003D4A55">
        <w:t>‘Inconsistency of Belief among Roman Catholic Girls: Concerning Religion, Astrology, Reincarnation’</w:t>
      </w:r>
      <w:r>
        <w:t>,</w:t>
      </w:r>
      <w:r>
        <w:rPr>
          <w:i/>
        </w:rPr>
        <w:t xml:space="preserve"> Review of Religious Research</w:t>
      </w:r>
      <w:r>
        <w:t>, 20 (1978), 82-85.</w:t>
      </w:r>
    </w:p>
    <w:p w14:paraId="35BF0DEA" w14:textId="06A17EE9" w:rsidR="009C237C" w:rsidRDefault="009C237C">
      <w:pPr>
        <w:pStyle w:val="FootnoteText"/>
      </w:pPr>
    </w:p>
  </w:footnote>
  <w:footnote w:id="2">
    <w:p w14:paraId="05EF6156" w14:textId="7C3D6DF5" w:rsidR="00BD3641" w:rsidRDefault="00BD3641" w:rsidP="00BD3641">
      <w:pPr>
        <w:pStyle w:val="FootnoteText"/>
        <w:spacing w:line="360" w:lineRule="auto"/>
      </w:pPr>
      <w:r>
        <w:rPr>
          <w:rStyle w:val="FootnoteReference"/>
        </w:rPr>
        <w:footnoteRef/>
      </w:r>
      <w:r>
        <w:t xml:space="preserve"> </w:t>
      </w:r>
      <w:r w:rsidRPr="00BD3641">
        <w:rPr>
          <w:sz w:val="24"/>
          <w:szCs w:val="24"/>
        </w:rPr>
        <w:t xml:space="preserve">Monique, Hennink. Inge, Hutter. and Ajay, Bailey, </w:t>
      </w:r>
      <w:r w:rsidRPr="00BD3641">
        <w:rPr>
          <w:i/>
          <w:sz w:val="24"/>
          <w:szCs w:val="24"/>
        </w:rPr>
        <w:t xml:space="preserve">Qualitative Research Methods </w:t>
      </w:r>
      <w:r w:rsidRPr="00BD3641">
        <w:rPr>
          <w:sz w:val="24"/>
          <w:szCs w:val="24"/>
        </w:rPr>
        <w:t>(Los Angeles: London: SAGE, 2011)</w:t>
      </w:r>
      <w:r w:rsidRPr="00BD3641">
        <w:rPr>
          <w:sz w:val="24"/>
          <w:szCs w:val="24"/>
        </w:rPr>
        <w:t>.</w:t>
      </w:r>
      <w:r>
        <w:t xml:space="preserve"> </w:t>
      </w:r>
    </w:p>
    <w:p w14:paraId="5BB03E26" w14:textId="77777777" w:rsidR="00BD3641" w:rsidRDefault="00BD3641" w:rsidP="00BD3641">
      <w:pPr>
        <w:pStyle w:val="FootnoteText"/>
        <w:spacing w:line="360" w:lineRule="auto"/>
      </w:pPr>
    </w:p>
  </w:footnote>
  <w:footnote w:id="3">
    <w:p w14:paraId="613EBFB5" w14:textId="6D45C663" w:rsidR="00456B1C" w:rsidRDefault="00456B1C" w:rsidP="00BD3641">
      <w:pPr>
        <w:pStyle w:val="FootnoteText"/>
        <w:spacing w:line="360" w:lineRule="auto"/>
        <w:rPr>
          <w:sz w:val="24"/>
          <w:szCs w:val="24"/>
        </w:rPr>
      </w:pPr>
      <w:r w:rsidRPr="00456B1C">
        <w:rPr>
          <w:rStyle w:val="FootnoteReference"/>
          <w:sz w:val="24"/>
          <w:szCs w:val="24"/>
        </w:rPr>
        <w:footnoteRef/>
      </w:r>
      <w:r w:rsidRPr="00456B1C">
        <w:rPr>
          <w:sz w:val="24"/>
          <w:szCs w:val="24"/>
        </w:rPr>
        <w:t xml:space="preserve"> T.L. Brink, </w:t>
      </w:r>
      <w:r w:rsidRPr="00456B1C">
        <w:rPr>
          <w:sz w:val="24"/>
          <w:szCs w:val="24"/>
        </w:rPr>
        <w:t>Inconsistency of Belief among Roman Catholic Girls: Concerning Religion, Astrology, Reincarnation’</w:t>
      </w:r>
      <w:r w:rsidRPr="00456B1C">
        <w:rPr>
          <w:sz w:val="24"/>
          <w:szCs w:val="24"/>
        </w:rPr>
        <w:t>.</w:t>
      </w:r>
    </w:p>
    <w:p w14:paraId="28D8BD21" w14:textId="77777777" w:rsidR="00B859F3" w:rsidRPr="00456B1C" w:rsidRDefault="00B859F3" w:rsidP="00BD3641">
      <w:pPr>
        <w:pStyle w:val="FootnoteText"/>
        <w:spacing w:line="360" w:lineRule="auto"/>
        <w:rPr>
          <w:sz w:val="24"/>
          <w:szCs w:val="24"/>
        </w:rPr>
      </w:pPr>
    </w:p>
  </w:footnote>
  <w:footnote w:id="4">
    <w:p w14:paraId="031239F3" w14:textId="1B3E62B3" w:rsidR="00B859F3" w:rsidRDefault="00B859F3" w:rsidP="00BD3641">
      <w:pPr>
        <w:spacing w:line="360" w:lineRule="auto"/>
      </w:pPr>
      <w:r>
        <w:rPr>
          <w:rStyle w:val="FootnoteReference"/>
        </w:rPr>
        <w:footnoteRef/>
      </w:r>
      <w:r>
        <w:t xml:space="preserve"> </w:t>
      </w:r>
      <w:r w:rsidR="00CC47BE">
        <w:t>T. Walter and H. Waterhouse</w:t>
      </w:r>
      <w:r>
        <w:t xml:space="preserve">, ‘A Very Private Belief: Reincarnation in Contemporary England’, </w:t>
      </w:r>
      <w:r>
        <w:rPr>
          <w:i/>
        </w:rPr>
        <w:t>Sociology of England</w:t>
      </w:r>
      <w:r>
        <w:t xml:space="preserve">, 60 (1999), 187-197. </w:t>
      </w:r>
    </w:p>
    <w:p w14:paraId="3FE66D2F" w14:textId="002DE823" w:rsidR="00B859F3" w:rsidRDefault="00B859F3" w:rsidP="00CC47BE">
      <w:pPr>
        <w:pStyle w:val="FootnoteText"/>
        <w:spacing w:line="360" w:lineRule="auto"/>
      </w:pPr>
    </w:p>
  </w:footnote>
  <w:footnote w:id="5">
    <w:p w14:paraId="26B82BE8" w14:textId="40A2F269" w:rsidR="00BD3641" w:rsidRPr="00A20836" w:rsidRDefault="00BD3641" w:rsidP="00A20836">
      <w:pPr>
        <w:spacing w:line="360" w:lineRule="auto"/>
      </w:pPr>
      <w:r w:rsidRPr="00A20836">
        <w:rPr>
          <w:rStyle w:val="FootnoteReference"/>
        </w:rPr>
        <w:footnoteRef/>
      </w:r>
      <w:r w:rsidRPr="00A20836">
        <w:t xml:space="preserve"> Alan, Bryman</w:t>
      </w:r>
      <w:r w:rsidRPr="00A20836">
        <w:t xml:space="preserve">, </w:t>
      </w:r>
      <w:r w:rsidRPr="00A20836">
        <w:rPr>
          <w:i/>
        </w:rPr>
        <w:t>Quantity and Quality in Social Research</w:t>
      </w:r>
      <w:r w:rsidRPr="00A20836">
        <w:t xml:space="preserve"> (London: Routledge, 1988).</w:t>
      </w:r>
    </w:p>
    <w:p w14:paraId="37380C0D" w14:textId="027D948A" w:rsidR="00BD3641" w:rsidRPr="00A20836" w:rsidRDefault="00BD3641" w:rsidP="00A20836">
      <w:pPr>
        <w:pStyle w:val="FootnoteText"/>
        <w:spacing w:line="360" w:lineRule="auto"/>
        <w:rPr>
          <w:sz w:val="24"/>
          <w:szCs w:val="24"/>
        </w:rPr>
      </w:pPr>
    </w:p>
  </w:footnote>
  <w:footnote w:id="6">
    <w:p w14:paraId="4665DDAD" w14:textId="284C5638" w:rsidR="00CC47BE" w:rsidRPr="00A20836" w:rsidRDefault="00CC47BE" w:rsidP="00A20836">
      <w:pPr>
        <w:spacing w:line="360" w:lineRule="auto"/>
      </w:pPr>
      <w:r w:rsidRPr="00A20836">
        <w:rPr>
          <w:rStyle w:val="FootnoteReference"/>
        </w:rPr>
        <w:footnoteRef/>
      </w:r>
      <w:r w:rsidRPr="00A20836">
        <w:t xml:space="preserve"> Monique, Hennink</w:t>
      </w:r>
      <w:r w:rsidRPr="00A20836">
        <w:t xml:space="preserve">. </w:t>
      </w:r>
      <w:r w:rsidRPr="00A20836">
        <w:t>Inge, Hutter</w:t>
      </w:r>
      <w:r w:rsidRPr="00A20836">
        <w:t xml:space="preserve">. </w:t>
      </w:r>
      <w:r w:rsidRPr="00A20836">
        <w:t>and</w:t>
      </w:r>
      <w:r w:rsidRPr="00A20836">
        <w:t xml:space="preserve"> </w:t>
      </w:r>
      <w:r w:rsidRPr="00A20836">
        <w:t>Ajay, Bailey</w:t>
      </w:r>
      <w:r w:rsidRPr="00A20836">
        <w:t xml:space="preserve">, </w:t>
      </w:r>
      <w:r w:rsidRPr="00A20836">
        <w:rPr>
          <w:i/>
        </w:rPr>
        <w:t xml:space="preserve">Qualitative Research Methods </w:t>
      </w:r>
      <w:r w:rsidRPr="00A20836">
        <w:t>(Los Angeles: London: SAGE, 2011)</w:t>
      </w:r>
      <w:r w:rsidRPr="00A20836">
        <w:t>, p.17.</w:t>
      </w:r>
    </w:p>
    <w:p w14:paraId="7B16E5F4" w14:textId="3DA7D814" w:rsidR="00CC47BE" w:rsidRPr="00A20836" w:rsidRDefault="00CC47BE" w:rsidP="00A20836">
      <w:pPr>
        <w:pStyle w:val="FootnoteText"/>
        <w:spacing w:line="360" w:lineRule="auto"/>
        <w:rPr>
          <w:sz w:val="24"/>
          <w:szCs w:val="24"/>
        </w:rPr>
      </w:pPr>
    </w:p>
  </w:footnote>
  <w:footnote w:id="7">
    <w:p w14:paraId="63502E56" w14:textId="30A9228F" w:rsidR="00857F47" w:rsidRPr="00A20836" w:rsidRDefault="00857F47" w:rsidP="00A20836">
      <w:pPr>
        <w:pStyle w:val="FootnoteText"/>
        <w:spacing w:line="360" w:lineRule="auto"/>
        <w:rPr>
          <w:sz w:val="24"/>
          <w:szCs w:val="24"/>
        </w:rPr>
      </w:pPr>
      <w:r w:rsidRPr="00A20836">
        <w:rPr>
          <w:rStyle w:val="FootnoteReference"/>
          <w:sz w:val="24"/>
          <w:szCs w:val="24"/>
        </w:rPr>
        <w:footnoteRef/>
      </w:r>
      <w:r w:rsidRPr="00A20836">
        <w:rPr>
          <w:sz w:val="24"/>
          <w:szCs w:val="24"/>
        </w:rPr>
        <w:t xml:space="preserve"> </w:t>
      </w:r>
      <w:r w:rsidRPr="00A20836">
        <w:rPr>
          <w:sz w:val="24"/>
          <w:szCs w:val="24"/>
        </w:rPr>
        <w:t>T.L. Brink, Inconsistency of Belief among Roman Catholic Girls: Concerning Religion, Astrology, Reincarnation’.</w:t>
      </w:r>
    </w:p>
    <w:p w14:paraId="639F99D8" w14:textId="77777777" w:rsidR="00857F47" w:rsidRPr="00A20836" w:rsidRDefault="00857F47" w:rsidP="00A20836">
      <w:pPr>
        <w:pStyle w:val="FootnoteText"/>
        <w:spacing w:line="360" w:lineRule="auto"/>
        <w:rPr>
          <w:sz w:val="24"/>
          <w:szCs w:val="24"/>
        </w:rPr>
      </w:pPr>
    </w:p>
  </w:footnote>
  <w:footnote w:id="8">
    <w:p w14:paraId="3C05FE84" w14:textId="477A30B2" w:rsidR="00A20836" w:rsidRPr="00A20836" w:rsidRDefault="00A20836" w:rsidP="00A20836">
      <w:pPr>
        <w:pStyle w:val="FootnoteText"/>
        <w:spacing w:line="360" w:lineRule="auto"/>
        <w:rPr>
          <w:sz w:val="24"/>
          <w:szCs w:val="24"/>
        </w:rPr>
      </w:pPr>
      <w:r w:rsidRPr="00A20836">
        <w:rPr>
          <w:rStyle w:val="FootnoteReference"/>
          <w:sz w:val="24"/>
          <w:szCs w:val="24"/>
        </w:rPr>
        <w:footnoteRef/>
      </w:r>
      <w:r w:rsidRPr="00A20836">
        <w:rPr>
          <w:sz w:val="24"/>
          <w:szCs w:val="24"/>
        </w:rPr>
        <w:t xml:space="preserve"> </w:t>
      </w:r>
      <w:r w:rsidRPr="00A20836">
        <w:rPr>
          <w:sz w:val="24"/>
          <w:szCs w:val="24"/>
        </w:rPr>
        <w:t>T.L. Brink, Inconsistency of Belief among Roman Catholic Girls: Concerning Religion, Astrology, Reincarnation’.</w:t>
      </w:r>
    </w:p>
    <w:p w14:paraId="35AB057D" w14:textId="77777777" w:rsidR="00A20836" w:rsidRPr="00A20836" w:rsidRDefault="00A20836" w:rsidP="00A20836">
      <w:pPr>
        <w:pStyle w:val="FootnoteText"/>
        <w:spacing w:line="360" w:lineRule="auto"/>
        <w:rPr>
          <w:sz w:val="24"/>
          <w:szCs w:val="24"/>
        </w:rPr>
      </w:pPr>
    </w:p>
  </w:footnote>
  <w:footnote w:id="9">
    <w:p w14:paraId="532EA3D0" w14:textId="526E7DB0" w:rsidR="00857F47" w:rsidRDefault="00857F47" w:rsidP="00A20836">
      <w:pPr>
        <w:pStyle w:val="FootnoteText"/>
        <w:spacing w:line="360" w:lineRule="auto"/>
      </w:pPr>
      <w:r w:rsidRPr="00A20836">
        <w:rPr>
          <w:rStyle w:val="FootnoteReference"/>
          <w:sz w:val="24"/>
          <w:szCs w:val="24"/>
        </w:rPr>
        <w:footnoteRef/>
      </w:r>
      <w:r w:rsidRPr="00A20836">
        <w:rPr>
          <w:sz w:val="24"/>
          <w:szCs w:val="24"/>
        </w:rPr>
        <w:t xml:space="preserve"> </w:t>
      </w:r>
      <w:r w:rsidRPr="00A20836">
        <w:rPr>
          <w:sz w:val="24"/>
          <w:szCs w:val="24"/>
        </w:rPr>
        <w:t>T. Walter and H. Waterhouse, ‘A Very Private Belief: Reincarnation in Contemporary England’</w:t>
      </w:r>
      <w:r w:rsidRPr="00A20836">
        <w:rPr>
          <w:sz w:val="24"/>
          <w:szCs w:val="24"/>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14:paraId="3272C01B" w14:textId="35FEE9A5" w:rsidR="00783A82" w:rsidRDefault="00783A82" w:rsidP="00D95DA3">
        <w:pPr>
          <w:pStyle w:val="Header"/>
          <w:jc w:val="right"/>
        </w:pPr>
        <w:r>
          <w:t xml:space="preserve">Anthony Mann 1803415                                                                                      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p w14:paraId="440959F6" w14:textId="77777777" w:rsidR="00783A82" w:rsidRDefault="00783A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4445D2"/>
    <w:multiLevelType w:val="hybridMultilevel"/>
    <w:tmpl w:val="8B48D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D85"/>
    <w:rsid w:val="000266D4"/>
    <w:rsid w:val="000C15D0"/>
    <w:rsid w:val="000E1BE6"/>
    <w:rsid w:val="00120E01"/>
    <w:rsid w:val="001367E7"/>
    <w:rsid w:val="001C1A19"/>
    <w:rsid w:val="001C6A7B"/>
    <w:rsid w:val="00216974"/>
    <w:rsid w:val="002C27B6"/>
    <w:rsid w:val="002F551A"/>
    <w:rsid w:val="00306EF8"/>
    <w:rsid w:val="003D4A55"/>
    <w:rsid w:val="00456B1C"/>
    <w:rsid w:val="00465AD3"/>
    <w:rsid w:val="004F1DBC"/>
    <w:rsid w:val="005046FA"/>
    <w:rsid w:val="005169D1"/>
    <w:rsid w:val="005436D3"/>
    <w:rsid w:val="005478EA"/>
    <w:rsid w:val="0059003F"/>
    <w:rsid w:val="00595D85"/>
    <w:rsid w:val="00736DBD"/>
    <w:rsid w:val="00783A82"/>
    <w:rsid w:val="007E3D61"/>
    <w:rsid w:val="007F503C"/>
    <w:rsid w:val="008126BC"/>
    <w:rsid w:val="00857F47"/>
    <w:rsid w:val="008B6EF5"/>
    <w:rsid w:val="008D15A0"/>
    <w:rsid w:val="008D70E7"/>
    <w:rsid w:val="008D7B53"/>
    <w:rsid w:val="008F0469"/>
    <w:rsid w:val="00966A62"/>
    <w:rsid w:val="009A7D3F"/>
    <w:rsid w:val="009C237C"/>
    <w:rsid w:val="00A03D2C"/>
    <w:rsid w:val="00A20836"/>
    <w:rsid w:val="00A20846"/>
    <w:rsid w:val="00A2461A"/>
    <w:rsid w:val="00A572A4"/>
    <w:rsid w:val="00A644D5"/>
    <w:rsid w:val="00AC4993"/>
    <w:rsid w:val="00AC7D9C"/>
    <w:rsid w:val="00AD671B"/>
    <w:rsid w:val="00B73143"/>
    <w:rsid w:val="00B859F3"/>
    <w:rsid w:val="00BD3641"/>
    <w:rsid w:val="00CC47BE"/>
    <w:rsid w:val="00CF1E65"/>
    <w:rsid w:val="00D2267C"/>
    <w:rsid w:val="00D7501D"/>
    <w:rsid w:val="00D95DA3"/>
    <w:rsid w:val="00DC7C0A"/>
    <w:rsid w:val="00DF3B2F"/>
    <w:rsid w:val="00E12063"/>
    <w:rsid w:val="00E14D9E"/>
    <w:rsid w:val="00E62982"/>
    <w:rsid w:val="00EE487C"/>
    <w:rsid w:val="00EF731B"/>
    <w:rsid w:val="00F23AA4"/>
    <w:rsid w:val="00F75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7C358"/>
  <w15:chartTrackingRefBased/>
  <w15:docId w15:val="{4061F976-3F17-409A-A114-5CCA5DC56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5D85"/>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595D85"/>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595D85"/>
    <w:rPr>
      <w:rFonts w:ascii="Tahoma" w:eastAsia="SimSun" w:hAnsi="Tahoma" w:cs="Tahoma"/>
      <w:b/>
      <w:bCs/>
      <w:sz w:val="20"/>
      <w:szCs w:val="20"/>
      <w:lang w:eastAsia="zh-CN"/>
    </w:rPr>
  </w:style>
  <w:style w:type="paragraph" w:styleId="NormalWeb">
    <w:name w:val="Normal (Web)"/>
    <w:basedOn w:val="Normal"/>
    <w:rsid w:val="00595D85"/>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595D85"/>
    <w:pPr>
      <w:tabs>
        <w:tab w:val="center" w:pos="4513"/>
        <w:tab w:val="right" w:pos="9026"/>
      </w:tabs>
    </w:pPr>
    <w:rPr>
      <w:lang w:val="x-none"/>
    </w:rPr>
  </w:style>
  <w:style w:type="character" w:customStyle="1" w:styleId="FooterChar">
    <w:name w:val="Footer Char"/>
    <w:basedOn w:val="DefaultParagraphFont"/>
    <w:link w:val="Footer"/>
    <w:uiPriority w:val="99"/>
    <w:rsid w:val="00595D85"/>
    <w:rPr>
      <w:rFonts w:ascii="Times New Roman" w:eastAsia="SimSun" w:hAnsi="Times New Roman" w:cs="Times New Roman"/>
      <w:sz w:val="24"/>
      <w:szCs w:val="24"/>
      <w:lang w:val="x-none" w:eastAsia="zh-CN"/>
    </w:rPr>
  </w:style>
  <w:style w:type="paragraph" w:styleId="Header">
    <w:name w:val="header"/>
    <w:basedOn w:val="Normal"/>
    <w:link w:val="HeaderChar"/>
    <w:uiPriority w:val="99"/>
    <w:unhideWhenUsed/>
    <w:rsid w:val="00D95DA3"/>
    <w:pPr>
      <w:tabs>
        <w:tab w:val="center" w:pos="4513"/>
        <w:tab w:val="right" w:pos="9026"/>
      </w:tabs>
    </w:pPr>
  </w:style>
  <w:style w:type="character" w:customStyle="1" w:styleId="HeaderChar">
    <w:name w:val="Header Char"/>
    <w:basedOn w:val="DefaultParagraphFont"/>
    <w:link w:val="Header"/>
    <w:uiPriority w:val="99"/>
    <w:rsid w:val="00D95DA3"/>
    <w:rPr>
      <w:rFonts w:ascii="Times New Roman" w:eastAsia="SimSun" w:hAnsi="Times New Roman" w:cs="Times New Roman"/>
      <w:sz w:val="24"/>
      <w:szCs w:val="24"/>
      <w:lang w:eastAsia="zh-CN"/>
    </w:rPr>
  </w:style>
  <w:style w:type="paragraph" w:styleId="ListParagraph">
    <w:name w:val="List Paragraph"/>
    <w:basedOn w:val="Normal"/>
    <w:uiPriority w:val="34"/>
    <w:qFormat/>
    <w:rsid w:val="00D95DA3"/>
    <w:pPr>
      <w:ind w:left="720"/>
      <w:contextualSpacing/>
    </w:pPr>
  </w:style>
  <w:style w:type="paragraph" w:styleId="BalloonText">
    <w:name w:val="Balloon Text"/>
    <w:basedOn w:val="Normal"/>
    <w:link w:val="BalloonTextChar"/>
    <w:uiPriority w:val="99"/>
    <w:semiHidden/>
    <w:unhideWhenUsed/>
    <w:rsid w:val="00AD671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71B"/>
    <w:rPr>
      <w:rFonts w:ascii="Segoe UI" w:eastAsia="SimSun" w:hAnsi="Segoe UI" w:cs="Segoe UI"/>
      <w:sz w:val="18"/>
      <w:szCs w:val="18"/>
      <w:lang w:eastAsia="zh-CN"/>
    </w:rPr>
  </w:style>
  <w:style w:type="paragraph" w:styleId="FootnoteText">
    <w:name w:val="footnote text"/>
    <w:basedOn w:val="Normal"/>
    <w:link w:val="FootnoteTextChar"/>
    <w:uiPriority w:val="99"/>
    <w:semiHidden/>
    <w:unhideWhenUsed/>
    <w:rsid w:val="009C237C"/>
    <w:rPr>
      <w:sz w:val="20"/>
      <w:szCs w:val="20"/>
    </w:rPr>
  </w:style>
  <w:style w:type="character" w:customStyle="1" w:styleId="FootnoteTextChar">
    <w:name w:val="Footnote Text Char"/>
    <w:basedOn w:val="DefaultParagraphFont"/>
    <w:link w:val="FootnoteText"/>
    <w:uiPriority w:val="99"/>
    <w:semiHidden/>
    <w:rsid w:val="009C237C"/>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9C23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FF1A76-A458-46A1-BA45-F5D480DB5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8</Pages>
  <Words>1247</Words>
  <Characters>7111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Mann (1803415)</dc:creator>
  <cp:keywords/>
  <dc:description/>
  <cp:lastModifiedBy>Anthony Mann (1803415)</cp:lastModifiedBy>
  <cp:revision>44</cp:revision>
  <dcterms:created xsi:type="dcterms:W3CDTF">2019-02-08T08:19:00Z</dcterms:created>
  <dcterms:modified xsi:type="dcterms:W3CDTF">2019-03-17T21:29:00Z</dcterms:modified>
</cp:coreProperties>
</file>