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20671019"/>
        <w:docPartObj>
          <w:docPartGallery w:val="Cover Pages"/>
          <w:docPartUnique/>
        </w:docPartObj>
      </w:sdtPr>
      <w:sdtContent>
        <w:p w14:paraId="7AC533D6" w14:textId="171E86C1" w:rsidR="0065717D" w:rsidRDefault="00086E6C">
          <w:r>
            <w:rPr>
              <w:noProof/>
            </w:rPr>
            <mc:AlternateContent>
              <mc:Choice Requires="wps">
                <w:drawing>
                  <wp:anchor distT="0" distB="0" distL="114300" distR="114300" simplePos="0" relativeHeight="251659264" behindDoc="0" locked="0" layoutInCell="1" allowOverlap="1" wp14:anchorId="49B99AD7" wp14:editId="1D7470F7">
                    <wp:simplePos x="0" y="0"/>
                    <wp:positionH relativeFrom="page">
                      <wp:align>center</wp:align>
                    </wp:positionH>
                    <wp:positionV relativeFrom="page">
                      <wp:align>center</wp:align>
                    </wp:positionV>
                    <wp:extent cx="7112635" cy="8265160"/>
                    <wp:effectExtent l="0" t="0" r="0" b="0"/>
                    <wp:wrapNone/>
                    <wp:docPr id="195300760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2635" cy="8265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8"/>
                                  <w:gridCol w:w="5318"/>
                                </w:tblGrid>
                                <w:tr w:rsidR="0065717D" w14:paraId="71996412" w14:textId="77777777" w:rsidTr="0065717D">
                                  <w:trPr>
                                    <w:trHeight w:val="3564"/>
                                    <w:jc w:val="center"/>
                                  </w:trPr>
                                  <w:tc>
                                    <w:tcPr>
                                      <w:tcW w:w="2568" w:type="pct"/>
                                      <w:vAlign w:val="center"/>
                                    </w:tcPr>
                                    <w:p w14:paraId="0017B240" w14:textId="4CC29A21" w:rsidR="0065717D" w:rsidRDefault="0065717D">
                                      <w:pPr>
                                        <w:jc w:val="right"/>
                                      </w:pPr>
                                      <w:r>
                                        <w:rPr>
                                          <w:noProof/>
                                        </w:rPr>
                                        <w:drawing>
                                          <wp:inline distT="0" distB="0" distL="0" distR="0" wp14:anchorId="609FC7B7" wp14:editId="21165E87">
                                            <wp:extent cx="3281785" cy="2187759"/>
                                            <wp:effectExtent l="0" t="0" r="0" b="0"/>
                                            <wp:docPr id="141021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1419" name=""/>
                                                    <pic:cNvPicPr/>
                                                  </pic:nvPicPr>
                                                  <pic:blipFill>
                                                    <a:blip r:embed="rId5"/>
                                                    <a:stretch>
                                                      <a:fillRect/>
                                                    </a:stretch>
                                                  </pic:blipFill>
                                                  <pic:spPr>
                                                    <a:xfrm>
                                                      <a:off x="0" y="0"/>
                                                      <a:ext cx="3318271" cy="2212082"/>
                                                    </a:xfrm>
                                                    <a:prstGeom prst="rect">
                                                      <a:avLst/>
                                                    </a:prstGeom>
                                                  </pic:spPr>
                                                </pic:pic>
                                              </a:graphicData>
                                            </a:graphic>
                                          </wp:inline>
                                        </w:drawing>
                                      </w:r>
                                    </w:p>
                                    <w:p w14:paraId="1FB57B95" w14:textId="0EC1A000" w:rsidR="0065717D" w:rsidRPr="0065717D" w:rsidRDefault="00000000">
                                      <w:pPr>
                                        <w:jc w:val="right"/>
                                        <w:rPr>
                                          <w:color w:val="8EAADB" w:themeColor="accent1" w:themeTint="99"/>
                                          <w:sz w:val="24"/>
                                          <w:szCs w:val="24"/>
                                        </w:rPr>
                                      </w:pPr>
                                      <w:sdt>
                                        <w:sdtPr>
                                          <w:rPr>
                                            <w:caps/>
                                            <w:color w:val="8EAADB" w:themeColor="accent1" w:themeTint="99"/>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caps w:val="0"/>
                                            <w:sz w:val="22"/>
                                            <w:szCs w:val="22"/>
                                          </w:rPr>
                                        </w:sdtEndPr>
                                        <w:sdtContent>
                                          <w:r w:rsidR="0065717D" w:rsidRPr="0065717D">
                                            <w:rPr>
                                              <w:caps/>
                                              <w:color w:val="8EAADB" w:themeColor="accent1" w:themeTint="99"/>
                                              <w:sz w:val="72"/>
                                              <w:szCs w:val="72"/>
                                            </w:rPr>
                                            <w:t xml:space="preserve">     </w:t>
                                          </w:r>
                                        </w:sdtContent>
                                      </w:sdt>
                                      <w:r w:rsidR="0065717D" w:rsidRPr="0065717D">
                                        <w:rPr>
                                          <w:rFonts w:ascii="Arial" w:hAnsi="Arial" w:cs="Arial"/>
                                          <w:b/>
                                          <w:color w:val="8EAADB" w:themeColor="accent1" w:themeTint="99"/>
                                        </w:rPr>
                                        <w:t xml:space="preserve">Living with Care: The Older Person </w:t>
                                      </w:r>
                                      <w:sdt>
                                        <w:sdtPr>
                                          <w:rPr>
                                            <w:color w:val="8EAADB" w:themeColor="accent1" w:themeTint="99"/>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r w:rsidR="0065717D">
                                            <w:rPr>
                                              <w:color w:val="8EAADB" w:themeColor="accent1" w:themeTint="99"/>
                                              <w:sz w:val="24"/>
                                              <w:szCs w:val="24"/>
                                            </w:rPr>
                                            <w:t xml:space="preserve">     </w:t>
                                          </w:r>
                                        </w:sdtContent>
                                      </w:sdt>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3B221C2" w14:textId="7CE1DBA3" w:rsidR="0065717D" w:rsidRDefault="0065717D">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3C5FF91" w14:textId="1AF2433B" w:rsidR="0065717D" w:rsidRDefault="0065717D">
                                          <w:pPr>
                                            <w:pStyle w:val="NoSpacing"/>
                                            <w:rPr>
                                              <w:color w:val="ED7D31" w:themeColor="accent2"/>
                                              <w:sz w:val="26"/>
                                              <w:szCs w:val="26"/>
                                            </w:rPr>
                                          </w:pPr>
                                          <w:r>
                                            <w:rPr>
                                              <w:color w:val="ED7D31" w:themeColor="accent2"/>
                                              <w:sz w:val="26"/>
                                              <w:szCs w:val="26"/>
                                            </w:rPr>
                                            <w:t>Rebecca Davies</w:t>
                                          </w:r>
                                        </w:p>
                                      </w:sdtContent>
                                    </w:sdt>
                                    <w:p w14:paraId="0DEA53B1" w14:textId="13983498" w:rsidR="0065717D"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5717D">
                                            <w:rPr>
                                              <w:color w:val="44546A" w:themeColor="text2"/>
                                            </w:rPr>
                                            <w:t>2103819</w:t>
                                          </w:r>
                                        </w:sdtContent>
                                      </w:sdt>
                                    </w:p>
                                  </w:tc>
                                </w:tr>
                              </w:tbl>
                              <w:p w14:paraId="24A0FE47" w14:textId="77777777" w:rsidR="0065717D" w:rsidRDefault="0065717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9B99AD7" id="_x0000_t202" coordsize="21600,21600" o:spt="202" path="m,l,21600r21600,l21600,xe">
                    <v:stroke joinstyle="miter"/>
                    <v:path gradientshapeok="t" o:connecttype="rect"/>
                  </v:shapetype>
                  <v:shape id="Text Box 1" o:spid="_x0000_s1026" type="#_x0000_t202" style="position:absolute;margin-left:0;margin-top:0;width:560.05pt;height:650.8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888"/>
                            <w:gridCol w:w="5318"/>
                          </w:tblGrid>
                          <w:tr w:rsidR="0065717D" w14:paraId="71996412" w14:textId="77777777" w:rsidTr="0065717D">
                            <w:trPr>
                              <w:trHeight w:val="3564"/>
                              <w:jc w:val="center"/>
                            </w:trPr>
                            <w:tc>
                              <w:tcPr>
                                <w:tcW w:w="2568" w:type="pct"/>
                                <w:vAlign w:val="center"/>
                              </w:tcPr>
                              <w:p w14:paraId="0017B240" w14:textId="4CC29A21" w:rsidR="0065717D" w:rsidRDefault="0065717D">
                                <w:pPr>
                                  <w:jc w:val="right"/>
                                </w:pPr>
                                <w:r>
                                  <w:rPr>
                                    <w:noProof/>
                                  </w:rPr>
                                  <w:drawing>
                                    <wp:inline distT="0" distB="0" distL="0" distR="0" wp14:anchorId="609FC7B7" wp14:editId="21165E87">
                                      <wp:extent cx="3281785" cy="2187759"/>
                                      <wp:effectExtent l="0" t="0" r="0" b="0"/>
                                      <wp:docPr id="141021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1419" name=""/>
                                              <pic:cNvPicPr/>
                                            </pic:nvPicPr>
                                            <pic:blipFill>
                                              <a:blip r:embed="rId5"/>
                                              <a:stretch>
                                                <a:fillRect/>
                                              </a:stretch>
                                            </pic:blipFill>
                                            <pic:spPr>
                                              <a:xfrm>
                                                <a:off x="0" y="0"/>
                                                <a:ext cx="3318271" cy="2212082"/>
                                              </a:xfrm>
                                              <a:prstGeom prst="rect">
                                                <a:avLst/>
                                              </a:prstGeom>
                                            </pic:spPr>
                                          </pic:pic>
                                        </a:graphicData>
                                      </a:graphic>
                                    </wp:inline>
                                  </w:drawing>
                                </w:r>
                              </w:p>
                              <w:p w14:paraId="1FB57B95" w14:textId="0EC1A000" w:rsidR="0065717D" w:rsidRPr="0065717D" w:rsidRDefault="00000000">
                                <w:pPr>
                                  <w:jc w:val="right"/>
                                  <w:rPr>
                                    <w:color w:val="8EAADB" w:themeColor="accent1" w:themeTint="99"/>
                                    <w:sz w:val="24"/>
                                    <w:szCs w:val="24"/>
                                  </w:rPr>
                                </w:pPr>
                                <w:sdt>
                                  <w:sdtPr>
                                    <w:rPr>
                                      <w:caps/>
                                      <w:color w:val="8EAADB" w:themeColor="accent1" w:themeTint="99"/>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caps w:val="0"/>
                                      <w:sz w:val="22"/>
                                      <w:szCs w:val="22"/>
                                    </w:rPr>
                                  </w:sdtEndPr>
                                  <w:sdtContent>
                                    <w:r w:rsidR="0065717D" w:rsidRPr="0065717D">
                                      <w:rPr>
                                        <w:caps/>
                                        <w:color w:val="8EAADB" w:themeColor="accent1" w:themeTint="99"/>
                                        <w:sz w:val="72"/>
                                        <w:szCs w:val="72"/>
                                      </w:rPr>
                                      <w:t xml:space="preserve">     </w:t>
                                    </w:r>
                                  </w:sdtContent>
                                </w:sdt>
                                <w:r w:rsidR="0065717D" w:rsidRPr="0065717D">
                                  <w:rPr>
                                    <w:rFonts w:ascii="Arial" w:hAnsi="Arial" w:cs="Arial"/>
                                    <w:b/>
                                    <w:color w:val="8EAADB" w:themeColor="accent1" w:themeTint="99"/>
                                  </w:rPr>
                                  <w:t xml:space="preserve">Living with Care: The Older Person </w:t>
                                </w:r>
                                <w:sdt>
                                  <w:sdtPr>
                                    <w:rPr>
                                      <w:color w:val="8EAADB" w:themeColor="accent1" w:themeTint="99"/>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r w:rsidR="0065717D">
                                      <w:rPr>
                                        <w:color w:val="8EAADB" w:themeColor="accent1" w:themeTint="99"/>
                                        <w:sz w:val="24"/>
                                        <w:szCs w:val="24"/>
                                      </w:rPr>
                                      <w:t xml:space="preserve">     </w:t>
                                    </w:r>
                                  </w:sdtContent>
                                </w:sdt>
                              </w:p>
                            </w:tc>
                            <w:tc>
                              <w:tcPr>
                                <w:tcW w:w="2432" w:type="pct"/>
                                <w:vAlign w:val="center"/>
                              </w:tcP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53B221C2" w14:textId="7CE1DBA3" w:rsidR="0065717D" w:rsidRDefault="0065717D">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3C5FF91" w14:textId="1AF2433B" w:rsidR="0065717D" w:rsidRDefault="0065717D">
                                    <w:pPr>
                                      <w:pStyle w:val="NoSpacing"/>
                                      <w:rPr>
                                        <w:color w:val="ED7D31" w:themeColor="accent2"/>
                                        <w:sz w:val="26"/>
                                        <w:szCs w:val="26"/>
                                      </w:rPr>
                                    </w:pPr>
                                    <w:r>
                                      <w:rPr>
                                        <w:color w:val="ED7D31" w:themeColor="accent2"/>
                                        <w:sz w:val="26"/>
                                        <w:szCs w:val="26"/>
                                      </w:rPr>
                                      <w:t>Rebecca Davies</w:t>
                                    </w:r>
                                  </w:p>
                                </w:sdtContent>
                              </w:sdt>
                              <w:p w14:paraId="0DEA53B1" w14:textId="13983498" w:rsidR="0065717D" w:rsidRDefault="00000000">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5717D">
                                      <w:rPr>
                                        <w:color w:val="44546A" w:themeColor="text2"/>
                                      </w:rPr>
                                      <w:t>2103819</w:t>
                                    </w:r>
                                  </w:sdtContent>
                                </w:sdt>
                              </w:p>
                            </w:tc>
                          </w:tr>
                        </w:tbl>
                        <w:p w14:paraId="24A0FE47" w14:textId="77777777" w:rsidR="0065717D" w:rsidRDefault="0065717D"/>
                      </w:txbxContent>
                    </v:textbox>
                    <w10:wrap anchorx="page" anchory="page"/>
                  </v:shape>
                </w:pict>
              </mc:Fallback>
            </mc:AlternateContent>
          </w:r>
          <w:r w:rsidR="0065717D">
            <w:br w:type="page"/>
          </w:r>
        </w:p>
      </w:sdtContent>
    </w:sdt>
    <w:p w14:paraId="7AE4DFEC" w14:textId="4F272E18" w:rsidR="00345442" w:rsidRDefault="0065717D" w:rsidP="00127066">
      <w:r>
        <w:lastRenderedPageBreak/>
        <w:t>This essay wil</w:t>
      </w:r>
      <w:r w:rsidR="00F90D1B">
        <w:t>l</w:t>
      </w:r>
      <w:r>
        <w:t xml:space="preserve"> discuss the care provided </w:t>
      </w:r>
      <w:r w:rsidR="00F90D1B">
        <w:t xml:space="preserve">to an elderly person with dementia, </w:t>
      </w:r>
      <w:r w:rsidR="006769D3">
        <w:t>briefly through</w:t>
      </w:r>
      <w:r w:rsidR="00F90D1B">
        <w:t xml:space="preserve"> historical time period</w:t>
      </w:r>
      <w:r w:rsidR="006769D3">
        <w:t xml:space="preserve"> in the United Kingdom </w:t>
      </w:r>
      <w:r w:rsidR="00F90D1B">
        <w:t>to current times,</w:t>
      </w:r>
      <w:r w:rsidR="006769D3">
        <w:t xml:space="preserve"> by</w:t>
      </w:r>
      <w:r w:rsidR="00F90D1B">
        <w:t xml:space="preserve"> looking at policies and legislations implemented within private, </w:t>
      </w:r>
      <w:r w:rsidR="001B4613">
        <w:t>statutory,</w:t>
      </w:r>
      <w:r w:rsidR="00F90D1B">
        <w:t xml:space="preserve"> and voluntary healthcare services and organisations.</w:t>
      </w:r>
      <w:r w:rsidR="00EB658F">
        <w:t xml:space="preserve"> It will focus on Wales and the United Kingdom and will compare </w:t>
      </w:r>
      <w:r w:rsidR="000C6755">
        <w:t>UK dementia care provided through statutory</w:t>
      </w:r>
      <w:r w:rsidR="006769D3">
        <w:t xml:space="preserve"> and private sectors to Denmark.</w:t>
      </w:r>
      <w:r w:rsidR="00127066" w:rsidRPr="00127066">
        <w:t xml:space="preserve"> </w:t>
      </w:r>
      <w:r w:rsidR="00127066">
        <w:t>Dementia is</w:t>
      </w:r>
      <w:r w:rsidR="002E29B2">
        <w:t xml:space="preserve"> defined by </w:t>
      </w:r>
      <w:r w:rsidR="00A91DBC">
        <w:t>Aldridge and Harrison Dening (2019) as</w:t>
      </w:r>
      <w:r w:rsidR="00127066">
        <w:t xml:space="preserve"> a term for a decline in mental ability severe enough to interfere with daily life. It is not a specific </w:t>
      </w:r>
      <w:r w:rsidR="00233ED8">
        <w:t xml:space="preserve">symptoms of the </w:t>
      </w:r>
      <w:r w:rsidR="00127066">
        <w:t xml:space="preserve">disease but </w:t>
      </w:r>
      <w:r w:rsidR="00233ED8">
        <w:t>commonly found as</w:t>
      </w:r>
      <w:r w:rsidR="00127066">
        <w:t xml:space="preserve"> a group of symptoms associated with a decline in </w:t>
      </w:r>
      <w:r w:rsidR="00233ED8">
        <w:t xml:space="preserve">cognitive movements and thinking, </w:t>
      </w:r>
      <w:r w:rsidR="00127066">
        <w:t>memory, communication abilities, and othe</w:t>
      </w:r>
      <w:r w:rsidR="00924CAF">
        <w:t>r</w:t>
      </w:r>
      <w:r w:rsidR="00127066">
        <w:t xml:space="preserve"> functions. Dementia can affect a person's behaviour, emotions, and relationships as well. Common types of dementia include Alzheimer's disease, vascular dementia, and frontotemporal dementia. </w:t>
      </w:r>
      <w:r w:rsidR="006515F8">
        <w:t>Scheltens et al (2016) identify that e</w:t>
      </w:r>
      <w:r w:rsidR="00127066">
        <w:t>ach type has its own unique characteristics and progression. Symptoms of dementia can vary widely but may include memory loss, difficulty with problem-solving, confusion, disorientation, personality changes, and impaired judgment. These symptoms typically worsen over time and can eventually become severe enough to interfere with the person's ability to perform everyday tasks</w:t>
      </w:r>
      <w:r w:rsidR="002E29B2">
        <w:t xml:space="preserve"> (Ebert, Kulibert and McFadden, 2019)</w:t>
      </w:r>
      <w:r w:rsidR="00127066">
        <w:t xml:space="preserve">. </w:t>
      </w:r>
      <w:r w:rsidR="00305C0A">
        <w:t>Dementia is a chronic cond</w:t>
      </w:r>
      <w:r w:rsidR="00430B9B">
        <w:t>ition, which means</w:t>
      </w:r>
      <w:r w:rsidR="00127066">
        <w:t xml:space="preserve"> there is currently no cure for most types of dementia, treatments and interventions can help manage symptoms and improve quality of life for affected individuals. Early diagnosis and appropriate medical care are important for managing the condition and providing support to both the individual with dementia and their caregivers</w:t>
      </w:r>
      <w:r w:rsidR="00D937C9">
        <w:t xml:space="preserve"> </w:t>
      </w:r>
      <w:r w:rsidR="004F6FD8">
        <w:t>(Wang, Robinson and Carter-Harris, 2014)</w:t>
      </w:r>
      <w:r w:rsidR="00127066">
        <w:t>.</w:t>
      </w:r>
      <w:r w:rsidR="00F90D1B">
        <w:t xml:space="preserve"> </w:t>
      </w:r>
    </w:p>
    <w:p w14:paraId="68DEF2A0" w14:textId="77777777" w:rsidR="006769D3" w:rsidRDefault="00127066" w:rsidP="00127066">
      <w:r>
        <w:t>The historical treatment of dementia in the UK has evolved significantly over the centuries, reflecting changing societal attitudes, medical knowledge, and healthcare practices.</w:t>
      </w:r>
      <w:r w:rsidR="008C5ADE">
        <w:t xml:space="preserve"> Andrews (2017) </w:t>
      </w:r>
      <w:r w:rsidR="00F94956">
        <w:t xml:space="preserve">research discusses </w:t>
      </w:r>
      <w:r w:rsidR="00754992">
        <w:t>h</w:t>
      </w:r>
      <w:r>
        <w:t>istorically, dementia was often misunderstood or misattributed to other causes. In ancient times, it might have been perceived as a natural part of aging or even as a form of possession. Medical understanding of dementia as a distinct condition began to emerge in the late 19th and early 20th centuries.</w:t>
      </w:r>
      <w:r w:rsidR="001B4613">
        <w:t xml:space="preserve"> </w:t>
      </w:r>
      <w:r>
        <w:t>Due to this lack of understanding and awareness many elderly people with dementia would find themselves institutionalised, during the 19th and early 20th centuries, people with dementia were often institutionali</w:t>
      </w:r>
      <w:r w:rsidR="00754992">
        <w:t>s</w:t>
      </w:r>
      <w:r>
        <w:t xml:space="preserve">ed in asylums </w:t>
      </w:r>
      <w:r w:rsidR="008F7276">
        <w:t xml:space="preserve">in </w:t>
      </w:r>
      <w:r w:rsidR="003B0118">
        <w:t xml:space="preserve">workhouses. </w:t>
      </w:r>
      <w:r>
        <w:t xml:space="preserve"> </w:t>
      </w:r>
      <w:r w:rsidR="009A5080">
        <w:t>Ritch (2013) observes that t</w:t>
      </w:r>
      <w:r>
        <w:t xml:space="preserve">hese institutions provided custodial care rather than treatment, and conditions could be harsh and dehumanisation. Emergence of specialist care in the mid-20th century, specialised care facilities for people with dementia began to appear. </w:t>
      </w:r>
    </w:p>
    <w:p w14:paraId="3988DDB7" w14:textId="5EA435C6" w:rsidR="00127066" w:rsidRDefault="00127066" w:rsidP="00127066">
      <w:r>
        <w:t xml:space="preserve">These institutions focused on providing a more therapeutic environment and attempting to manage the symptoms of dementia. However, the quality of care varied widely, and many facilities still struggled to meet the complex needs of their residents. </w:t>
      </w:r>
      <w:r w:rsidR="00702C7B">
        <w:t xml:space="preserve">Mauricio et al </w:t>
      </w:r>
      <w:r w:rsidR="00686019">
        <w:t>(</w:t>
      </w:r>
      <w:r w:rsidR="00702C7B">
        <w:t>2019)</w:t>
      </w:r>
      <w:r w:rsidR="001B0459">
        <w:t xml:space="preserve"> </w:t>
      </w:r>
      <w:r w:rsidR="001B223A">
        <w:t>publish advancements</w:t>
      </w:r>
      <w:r>
        <w:t xml:space="preserve"> in medical understanding throughout the 20th century were significant in the medical understanding of dementia, particularly Alzheimer's disease, which is the most common form of dementia. Researchers made progress in identifying the underlying biological mechanisms of the condition and developing diagnostic tools. </w:t>
      </w:r>
      <w:r w:rsidR="001B223A">
        <w:t>I</w:t>
      </w:r>
      <w:r>
        <w:t>n the latter half of the 20th century and into the 21st century, there was a shift towards providing care for people with dementia in community settings rather than in institutions. This change was driven by a recognition of the importance of maintaining individuals independence and quality of life for as long as possible.</w:t>
      </w:r>
      <w:r w:rsidR="006769D3">
        <w:t xml:space="preserve"> </w:t>
      </w:r>
      <w:r w:rsidR="00D65517" w:rsidRPr="000C7F91">
        <w:t xml:space="preserve">Pickett et al (2018) discuss </w:t>
      </w:r>
      <w:r w:rsidR="000C7F91" w:rsidRPr="000C7F91">
        <w:t>t</w:t>
      </w:r>
      <w:r w:rsidR="008401C5" w:rsidRPr="000C7F91">
        <w:t xml:space="preserve">here </w:t>
      </w:r>
      <w:r w:rsidRPr="000C7F91">
        <w:t xml:space="preserve">have been improvements in the </w:t>
      </w:r>
      <w:r>
        <w:t>diagnosis and treatment of dementia. Early diagnosis allows for better management of symptoms and the implementation of interventions that can help slow the progression of the condition and improve quality of life.</w:t>
      </w:r>
      <w:r w:rsidR="001B4613">
        <w:t xml:space="preserve"> </w:t>
      </w:r>
      <w:r w:rsidR="00862008">
        <w:t>Such as</w:t>
      </w:r>
      <w:r>
        <w:t xml:space="preserve"> </w:t>
      </w:r>
      <w:r w:rsidR="001B4613">
        <w:t>i</w:t>
      </w:r>
      <w:r>
        <w:t>n recent years, there has been an increasing emphasis on person-</w:t>
      </w:r>
      <w:r w:rsidR="001B4613">
        <w:t>centred</w:t>
      </w:r>
      <w:r>
        <w:t xml:space="preserve"> care for people with dementia. This approach recogni</w:t>
      </w:r>
      <w:r w:rsidR="00862008">
        <w:t>s</w:t>
      </w:r>
      <w:r>
        <w:t>es the individuality of each person with dementia and aims to provide care that is tailored to their unique needs, preferences, and abilities.</w:t>
      </w:r>
      <w:r w:rsidR="001B4613">
        <w:t xml:space="preserve"> </w:t>
      </w:r>
      <w:r>
        <w:t xml:space="preserve">Overall, the historical treatment of dementia in the UK has evolved from institutionalization and custodial care to a more holistic approach that emphasizes support, </w:t>
      </w:r>
      <w:r>
        <w:lastRenderedPageBreak/>
        <w:t>dignity, and quality of life for individuals living with the condition. However, challenges such as stigma, access to care, and disparities in service provision continue to be areas of concern.</w:t>
      </w:r>
    </w:p>
    <w:p w14:paraId="1470C808" w14:textId="3AED11BC" w:rsidR="004979E6" w:rsidRDefault="002F27D5" w:rsidP="004979E6">
      <w:pPr>
        <w:rPr>
          <w:rFonts w:eastAsia="Times New Roman" w:cstheme="minorHAnsi"/>
          <w:kern w:val="0"/>
          <w:lang w:eastAsia="en-GB"/>
          <w14:ligatures w14:val="none"/>
        </w:rPr>
      </w:pPr>
      <w:r>
        <w:t xml:space="preserve">Issues found within stigma, access to care, and disparities in service provision remain significant challenges in the care of dementia in the UK, and policies have been developed to address these issues. </w:t>
      </w:r>
      <w:r w:rsidR="00DE0C75" w:rsidRPr="00DE0C75">
        <w:t xml:space="preserve">Nguyen and Li </w:t>
      </w:r>
      <w:r w:rsidR="00DE0C75">
        <w:t>(</w:t>
      </w:r>
      <w:r w:rsidR="00DE0C75" w:rsidRPr="00DE0C75">
        <w:t>2020)</w:t>
      </w:r>
      <w:r w:rsidR="00DE0C75">
        <w:t xml:space="preserve"> </w:t>
      </w:r>
      <w:r w:rsidR="00783140">
        <w:t>view that s</w:t>
      </w:r>
      <w:r>
        <w:t xml:space="preserve">tigma surrounding dementia can lead to discrimination, social isolation, and a reluctance to seek help. Public awareness campaigns, educational initiatives, and </w:t>
      </w:r>
      <w:r w:rsidR="00783140">
        <w:t xml:space="preserve">charities providing </w:t>
      </w:r>
      <w:r>
        <w:t xml:space="preserve">advocacy efforts have been implemented to challenge stigma and increase understanding about dementia. Policies </w:t>
      </w:r>
      <w:r w:rsidR="00AA626E">
        <w:t xml:space="preserve">and organisations </w:t>
      </w:r>
      <w:r>
        <w:t>aim to promote a more inclusive society where people with dementia are treated with respect and dignity</w:t>
      </w:r>
      <w:r w:rsidR="00AA626E">
        <w:t xml:space="preserve">, such as Dementia UK </w:t>
      </w:r>
      <w:r w:rsidR="00AA626E" w:rsidRPr="00AA626E">
        <w:rPr>
          <w:rFonts w:eastAsia="Times New Roman" w:cstheme="minorHAnsi"/>
          <w:kern w:val="0"/>
          <w:lang w:eastAsia="en-GB"/>
          <w14:ligatures w14:val="none"/>
        </w:rPr>
        <w:t>(Dementia UK, 2024)</w:t>
      </w:r>
      <w:r w:rsidR="00C4449C">
        <w:rPr>
          <w:rFonts w:eastAsia="Times New Roman" w:cstheme="minorHAnsi"/>
          <w:kern w:val="0"/>
          <w:lang w:eastAsia="en-GB"/>
          <w14:ligatures w14:val="none"/>
        </w:rPr>
        <w:t xml:space="preserve">, this charitable organisation </w:t>
      </w:r>
      <w:r w:rsidR="0067412D">
        <w:rPr>
          <w:rFonts w:eastAsia="Times New Roman" w:cstheme="minorHAnsi"/>
          <w:kern w:val="0"/>
          <w:lang w:eastAsia="en-GB"/>
          <w14:ligatures w14:val="none"/>
        </w:rPr>
        <w:t>is</w:t>
      </w:r>
      <w:r w:rsidR="00545729">
        <w:rPr>
          <w:rFonts w:eastAsia="Times New Roman" w:cstheme="minorHAnsi"/>
          <w:kern w:val="0"/>
          <w:lang w:eastAsia="en-GB"/>
          <w14:ligatures w14:val="none"/>
        </w:rPr>
        <w:t xml:space="preserve"> made up of nurses and </w:t>
      </w:r>
      <w:r w:rsidR="00783140">
        <w:rPr>
          <w:rFonts w:eastAsia="Times New Roman" w:cstheme="minorHAnsi"/>
          <w:kern w:val="0"/>
          <w:lang w:eastAsia="en-GB"/>
          <w14:ligatures w14:val="none"/>
        </w:rPr>
        <w:t>professionals</w:t>
      </w:r>
      <w:r w:rsidR="00545729">
        <w:rPr>
          <w:rFonts w:eastAsia="Times New Roman" w:cstheme="minorHAnsi"/>
          <w:kern w:val="0"/>
          <w:lang w:eastAsia="en-GB"/>
          <w14:ligatures w14:val="none"/>
        </w:rPr>
        <w:t xml:space="preserve"> designed to support not just the individual, but their families too. </w:t>
      </w:r>
      <w:r w:rsidR="001E262C" w:rsidRPr="001E262C">
        <w:rPr>
          <w:rFonts w:eastAsia="Times New Roman" w:cstheme="minorHAnsi"/>
          <w:kern w:val="0"/>
          <w:lang w:eastAsia="en-GB"/>
          <w14:ligatures w14:val="none"/>
        </w:rPr>
        <w:t>Office for Health Improvement &amp; Disparities</w:t>
      </w:r>
      <w:r w:rsidR="001E262C">
        <w:rPr>
          <w:rFonts w:eastAsia="Times New Roman" w:cstheme="minorHAnsi"/>
          <w:kern w:val="0"/>
          <w:lang w:eastAsia="en-GB"/>
          <w14:ligatures w14:val="none"/>
        </w:rPr>
        <w:t xml:space="preserve"> (</w:t>
      </w:r>
      <w:r w:rsidR="001E262C" w:rsidRPr="001E262C">
        <w:rPr>
          <w:rFonts w:eastAsia="Times New Roman" w:cstheme="minorHAnsi"/>
          <w:kern w:val="0"/>
          <w:lang w:eastAsia="en-GB"/>
          <w14:ligatures w14:val="none"/>
        </w:rPr>
        <w:t>2022)</w:t>
      </w:r>
      <w:r w:rsidR="00283256">
        <w:rPr>
          <w:rFonts w:eastAsia="Times New Roman" w:cstheme="minorHAnsi"/>
          <w:kern w:val="0"/>
          <w:lang w:eastAsia="en-GB"/>
          <w14:ligatures w14:val="none"/>
        </w:rPr>
        <w:t xml:space="preserve"> publishes </w:t>
      </w:r>
      <w:r w:rsidR="00986690">
        <w:rPr>
          <w:rFonts w:eastAsia="Times New Roman" w:cstheme="minorHAnsi"/>
          <w:kern w:val="0"/>
          <w:lang w:eastAsia="en-GB"/>
          <w14:ligatures w14:val="none"/>
        </w:rPr>
        <w:t>m</w:t>
      </w:r>
      <w:r w:rsidR="00986690" w:rsidRPr="00986690">
        <w:rPr>
          <w:rFonts w:eastAsia="Times New Roman" w:cstheme="minorHAnsi"/>
          <w:kern w:val="0"/>
          <w:lang w:eastAsia="en-GB"/>
          <w14:ligatures w14:val="none"/>
        </w:rPr>
        <w:t xml:space="preserve">ost people associate dementia with older people but there are more than 40,000 people in the UK under the age of 65 affected by this condition. Dementia costs </w:t>
      </w:r>
      <w:r w:rsidR="008B3959">
        <w:rPr>
          <w:rFonts w:eastAsia="Times New Roman" w:cstheme="minorHAnsi"/>
          <w:kern w:val="0"/>
          <w:lang w:eastAsia="en-GB"/>
          <w14:ligatures w14:val="none"/>
        </w:rPr>
        <w:t>the NHS health allocation</w:t>
      </w:r>
      <w:r w:rsidR="00986690" w:rsidRPr="00986690">
        <w:rPr>
          <w:rFonts w:eastAsia="Times New Roman" w:cstheme="minorHAnsi"/>
          <w:kern w:val="0"/>
          <w:lang w:eastAsia="en-GB"/>
          <w14:ligatures w14:val="none"/>
        </w:rPr>
        <w:t xml:space="preserve"> £34.77 billion a year in the UK and this cost is set to rise as the population</w:t>
      </w:r>
      <w:r w:rsidR="009F6B57">
        <w:rPr>
          <w:rFonts w:eastAsia="Times New Roman" w:cstheme="minorHAnsi"/>
          <w:kern w:val="0"/>
          <w:lang w:eastAsia="en-GB"/>
          <w14:ligatures w14:val="none"/>
        </w:rPr>
        <w:t xml:space="preserve"> grows and</w:t>
      </w:r>
      <w:r w:rsidR="00986690" w:rsidRPr="00986690">
        <w:rPr>
          <w:rFonts w:eastAsia="Times New Roman" w:cstheme="minorHAnsi"/>
          <w:kern w:val="0"/>
          <w:lang w:eastAsia="en-GB"/>
          <w14:ligatures w14:val="none"/>
        </w:rPr>
        <w:t xml:space="preserve"> ages.</w:t>
      </w:r>
      <w:r w:rsidR="00986690">
        <w:rPr>
          <w:rFonts w:eastAsia="Times New Roman" w:cstheme="minorHAnsi"/>
          <w:kern w:val="0"/>
          <w:lang w:eastAsia="en-GB"/>
          <w14:ligatures w14:val="none"/>
        </w:rPr>
        <w:t xml:space="preserve"> </w:t>
      </w:r>
      <w:r w:rsidR="00986690">
        <w:t>A</w:t>
      </w:r>
      <w:r>
        <w:t xml:space="preserve">ccess to high-quality dementia care services can be limited by various factors, including geographic location, socioeconomic status, and availability of specialized resources. Government policies </w:t>
      </w:r>
      <w:r w:rsidR="00DA660E">
        <w:t xml:space="preserve">such as Dementia: applying all our health </w:t>
      </w:r>
      <w:r>
        <w:t>focus</w:t>
      </w:r>
      <w:r w:rsidR="00DA660E">
        <w:t>es</w:t>
      </w:r>
      <w:r>
        <w:t xml:space="preserve"> on</w:t>
      </w:r>
      <w:r w:rsidR="00DA660E">
        <w:t xml:space="preserve"> prevention and</w:t>
      </w:r>
      <w:r>
        <w:t xml:space="preserve"> improving access to dementia diagnosis, treatment, and support services through initiatives such as memory clinics, community-based services, and caregiver support programs. Efforts are made to ensure that services are equitable and accessible to all, regardless of background or circumstances</w:t>
      </w:r>
      <w:r w:rsidR="004979E6">
        <w:t xml:space="preserve"> </w:t>
      </w:r>
      <w:r w:rsidR="004979E6" w:rsidRPr="004979E6">
        <w:rPr>
          <w:rFonts w:eastAsia="Times New Roman" w:cstheme="minorHAnsi"/>
          <w:kern w:val="0"/>
          <w:lang w:eastAsia="en-GB"/>
          <w14:ligatures w14:val="none"/>
        </w:rPr>
        <w:t>(Wittenberg et al, 2019)</w:t>
      </w:r>
      <w:r w:rsidR="004979E6">
        <w:rPr>
          <w:rFonts w:eastAsia="Times New Roman" w:cstheme="minorHAnsi"/>
          <w:kern w:val="0"/>
          <w:lang w:eastAsia="en-GB"/>
          <w14:ligatures w14:val="none"/>
        </w:rPr>
        <w:t>.</w:t>
      </w:r>
    </w:p>
    <w:p w14:paraId="5D1444D9" w14:textId="78DE7D6F" w:rsidR="002F27D5" w:rsidRPr="00C60504" w:rsidRDefault="00C60504" w:rsidP="00C60504">
      <w:pPr>
        <w:spacing w:after="0" w:line="240" w:lineRule="auto"/>
        <w:rPr>
          <w:rFonts w:eastAsia="Times New Roman" w:cstheme="minorHAnsi"/>
          <w:kern w:val="0"/>
          <w:lang w:eastAsia="en-GB"/>
          <w14:ligatures w14:val="none"/>
        </w:rPr>
      </w:pPr>
      <w:r w:rsidRPr="00C60504">
        <w:rPr>
          <w:rFonts w:eastAsia="Times New Roman" w:cstheme="minorHAnsi"/>
          <w:kern w:val="0"/>
          <w:lang w:eastAsia="en-GB"/>
          <w14:ligatures w14:val="none"/>
        </w:rPr>
        <w:t>Quinn et al (2021)</w:t>
      </w:r>
      <w:r>
        <w:rPr>
          <w:rFonts w:eastAsia="Times New Roman" w:cstheme="minorHAnsi"/>
          <w:kern w:val="0"/>
          <w:lang w:eastAsia="en-GB"/>
          <w14:ligatures w14:val="none"/>
        </w:rPr>
        <w:t xml:space="preserve"> identifies </w:t>
      </w:r>
      <w:r>
        <w:t>d</w:t>
      </w:r>
      <w:r w:rsidR="002F27D5">
        <w:t>isparities in the provision of dementia care services can exist between different regions</w:t>
      </w:r>
      <w:r>
        <w:t xml:space="preserve"> such as local authorities and </w:t>
      </w:r>
      <w:r w:rsidR="00F867A0">
        <w:t>health boards</w:t>
      </w:r>
      <w:r w:rsidR="002F27D5">
        <w:t>, demographic groups, and healthcare settings</w:t>
      </w:r>
      <w:r>
        <w:t xml:space="preserve"> and staff</w:t>
      </w:r>
      <w:r w:rsidR="00F867A0">
        <w:t>ing</w:t>
      </w:r>
      <w:r w:rsidR="002F27D5">
        <w:t>. Policies aim to address these disparities by promoting standards of care, increasing funding for dementia services, and implementing strategies to reduce variation in service provision</w:t>
      </w:r>
      <w:r w:rsidR="0046466A">
        <w:t xml:space="preserve"> in Wales </w:t>
      </w:r>
      <w:r w:rsidR="0046466A" w:rsidRPr="0046466A">
        <w:t>as noted in both the Well-being of Future Generations Act 2015 and the Social Services and Well-being (Wales) Act 2014</w:t>
      </w:r>
      <w:r w:rsidR="00710ACC">
        <w:t xml:space="preserve"> </w:t>
      </w:r>
      <w:r w:rsidR="00710ACC" w:rsidRPr="00710ACC">
        <w:t>(Windle et al, 2019)</w:t>
      </w:r>
      <w:r w:rsidR="00260C1D">
        <w:t xml:space="preserve">. </w:t>
      </w:r>
      <w:r w:rsidR="00CD5DE6" w:rsidRPr="00CD5DE6">
        <w:t xml:space="preserve">Azam </w:t>
      </w:r>
      <w:r w:rsidR="00CD5DE6">
        <w:t>(</w:t>
      </w:r>
      <w:r w:rsidR="00CD5DE6" w:rsidRPr="00CD5DE6">
        <w:t>2020)</w:t>
      </w:r>
      <w:r w:rsidR="00CD5DE6">
        <w:t xml:space="preserve"> promotes these acts and legislations </w:t>
      </w:r>
      <w:r w:rsidR="002F27D5">
        <w:t>include initiatives to improve workforce training, strengthen collaboration between healthcare providers, and allocate resources based on local needs assessments. Recognizing the complex needs of people with dementia, policies emphasize the importance of integrating health and social care services to provide coordinated, holistic support. Integrated care models aim to improve care coordination, enhance communication between different providers, and ensure that individuals receive comprehensive support tailored to their needs.</w:t>
      </w:r>
    </w:p>
    <w:p w14:paraId="7A4A628E" w14:textId="6B362D27" w:rsidR="002F27D5" w:rsidRDefault="002F27D5" w:rsidP="002F27D5">
      <w:r>
        <w:t>The UK government has developed national dementia strategies to guide policy development and coordinate efforts to improve dementia care and support</w:t>
      </w:r>
      <w:r w:rsidR="00EC71B7">
        <w:t>, such as the</w:t>
      </w:r>
      <w:r w:rsidR="00EC71B7" w:rsidRPr="00EC71B7">
        <w:t xml:space="preserve"> Dementia Action Plan for Wales 2018-2022, the plan sets out our vision for Wales to be a dementia friendly nation</w:t>
      </w:r>
      <w:r>
        <w:t xml:space="preserve">. </w:t>
      </w:r>
      <w:r w:rsidR="00422C6F" w:rsidRPr="00422C6F">
        <w:t xml:space="preserve">Saltus, Duval and Vougioukalou </w:t>
      </w:r>
      <w:r w:rsidR="00422C6F">
        <w:t>(</w:t>
      </w:r>
      <w:r w:rsidR="00422C6F" w:rsidRPr="00422C6F">
        <w:t>2021)</w:t>
      </w:r>
      <w:r w:rsidR="00422C6F">
        <w:t xml:space="preserve"> outline t</w:t>
      </w:r>
      <w:r>
        <w:t xml:space="preserve">hese strategies outline priorities such as early diagnosis, post-diagnostic support, caregiver support, and research investment. By setting clear objectives and targets, these strategies provide a framework for action at the national, regional, and local levels. Policies also support research and innovation in dementia care, including efforts to develop new treatments, diagnostic tools, and care approaches. Investment in research is crucial for advancing our understanding of dementia, identifying effective interventions, and improving outcomes for people living with the condition. </w:t>
      </w:r>
      <w:r w:rsidR="007D66B6">
        <w:t xml:space="preserve">Although </w:t>
      </w:r>
      <w:r w:rsidR="00453FE2" w:rsidRPr="00453FE2">
        <w:t xml:space="preserve">Gamble et al </w:t>
      </w:r>
      <w:r w:rsidR="00453FE2">
        <w:t>(</w:t>
      </w:r>
      <w:r w:rsidR="00453FE2" w:rsidRPr="00453FE2">
        <w:t>2022)</w:t>
      </w:r>
      <w:r w:rsidR="00453FE2">
        <w:t xml:space="preserve"> express that while</w:t>
      </w:r>
      <w:r>
        <w:t xml:space="preserve"> progress has been made in addressing these challenges, ongoing efforts are needed to ensure that policies are effectively implemented, resources are allocated equitably, and the needs of people with dementia and their caregivers are fully met. </w:t>
      </w:r>
      <w:r w:rsidR="00633CE5">
        <w:t>For this there must be c</w:t>
      </w:r>
      <w:r>
        <w:t>ollaboration between government, healthcare providers, community organizations, and advocacy groups is essential for driving positive change and improving dementia care in the UK.</w:t>
      </w:r>
    </w:p>
    <w:p w14:paraId="3847CC42" w14:textId="141F1542" w:rsidR="00EB658F" w:rsidRDefault="00EB658F" w:rsidP="002F27D5">
      <w:r>
        <w:lastRenderedPageBreak/>
        <w:t>In Wales, t</w:t>
      </w:r>
      <w:r w:rsidRPr="00320BFC">
        <w:t>ransitions between care settings, such as hospital discharge or moving to a residential care facility, can be challenging for individuals with dementia and their families. Poor coordination and communication during transitions may disrupt continuity of care and increase the risk of adverse events, including medication errors and hospital readmissions</w:t>
      </w:r>
      <w:r w:rsidR="00433C3E">
        <w:t xml:space="preserve"> </w:t>
      </w:r>
      <w:r w:rsidR="00433C3E" w:rsidRPr="00433C3E">
        <w:t>(Kelly, Vassallo and Nyman, 2023)</w:t>
      </w:r>
      <w:r w:rsidRPr="00320BFC">
        <w:t xml:space="preserve">. This </w:t>
      </w:r>
      <w:r w:rsidR="00524AE7">
        <w:t xml:space="preserve">leads </w:t>
      </w:r>
      <w:r w:rsidRPr="00320BFC">
        <w:t>to individuals relying on private care companies and agencies when statutory services provided in the individuals areas may not be available or at full capacity of individuals allocated care.</w:t>
      </w:r>
      <w:r>
        <w:t xml:space="preserve"> </w:t>
      </w:r>
      <w:r w:rsidR="00875948" w:rsidRPr="00875948">
        <w:t xml:space="preserve">Feast et al </w:t>
      </w:r>
      <w:r w:rsidR="00875948">
        <w:t>(</w:t>
      </w:r>
      <w:r w:rsidR="00875948" w:rsidRPr="00875948">
        <w:t>2020)</w:t>
      </w:r>
      <w:r w:rsidR="00616017">
        <w:t xml:space="preserve"> explain t</w:t>
      </w:r>
      <w:r>
        <w:t xml:space="preserve">his </w:t>
      </w:r>
      <w:r w:rsidR="00616017">
        <w:t xml:space="preserve">leads to private care to </w:t>
      </w:r>
      <w:r>
        <w:t>be funded through a combination of public and private sources, including government subsidies, insurance, and out-of-pocket payments.</w:t>
      </w:r>
    </w:p>
    <w:p w14:paraId="7A9C9E2A" w14:textId="77777777" w:rsidR="004D6B2C" w:rsidRDefault="002F27D5" w:rsidP="002F27D5">
      <w:r>
        <w:t>In the UK, statutory services for dementia are those provided by government agencies or local authorities that are mandated by law.</w:t>
      </w:r>
      <w:r w:rsidR="00DA1EA8" w:rsidRPr="00DA1EA8">
        <w:t xml:space="preserve"> Davies et al </w:t>
      </w:r>
      <w:r w:rsidR="00A0045C">
        <w:t>(</w:t>
      </w:r>
      <w:r w:rsidR="00DA1EA8" w:rsidRPr="00DA1EA8">
        <w:t>2019)</w:t>
      </w:r>
      <w:r>
        <w:t xml:space="preserve"> </w:t>
      </w:r>
      <w:r w:rsidR="00A0045C">
        <w:t>identify t</w:t>
      </w:r>
      <w:r>
        <w:t xml:space="preserve">hese services are essential for supporting individuals with dementia and their caregivers. </w:t>
      </w:r>
      <w:r w:rsidR="00606D94">
        <w:t>K</w:t>
      </w:r>
      <w:r>
        <w:t xml:space="preserve">ey statutory services </w:t>
      </w:r>
      <w:r w:rsidR="00A0045C">
        <w:t>in</w:t>
      </w:r>
      <w:r w:rsidR="00606D94">
        <w:t xml:space="preserve"> the</w:t>
      </w:r>
      <w:r>
        <w:t xml:space="preserve"> NHS provides dementia diagnosis and medical treatment through primary care services, memory clinics, and specialist dementia services.</w:t>
      </w:r>
      <w:r w:rsidR="00BA39E9">
        <w:t xml:space="preserve"> </w:t>
      </w:r>
      <w:r w:rsidR="00BA39E9" w:rsidRPr="00BA39E9">
        <w:t xml:space="preserve">Almutairi, Masters and Donyai </w:t>
      </w:r>
      <w:r w:rsidR="00BA39E9">
        <w:t>(</w:t>
      </w:r>
      <w:r w:rsidR="00BA39E9" w:rsidRPr="00BA39E9">
        <w:t>2018)</w:t>
      </w:r>
      <w:r>
        <w:t xml:space="preserve"> </w:t>
      </w:r>
      <w:r w:rsidR="00052E05">
        <w:t>identify the</w:t>
      </w:r>
      <w:r>
        <w:t xml:space="preserve"> NHS </w:t>
      </w:r>
      <w:r w:rsidR="00606D94">
        <w:t xml:space="preserve">GP’S and pharmacists </w:t>
      </w:r>
      <w:r>
        <w:t>prescribe and monitor medications for managing dementia symptoms, such as cholinesterase inhibitors and memantine</w:t>
      </w:r>
      <w:r w:rsidR="00052E05">
        <w:t>, while m</w:t>
      </w:r>
      <w:r>
        <w:t xml:space="preserve">ental health services within the NHS offer support for individuals with dementia experiencing psychological or behavioural symptoms. </w:t>
      </w:r>
      <w:r w:rsidR="0014221B" w:rsidRPr="0014221B">
        <w:t>Reilly et al</w:t>
      </w:r>
      <w:r w:rsidR="0014221B">
        <w:t xml:space="preserve"> (</w:t>
      </w:r>
      <w:r w:rsidR="0014221B" w:rsidRPr="0014221B">
        <w:t>2020)</w:t>
      </w:r>
      <w:r w:rsidR="0014221B">
        <w:t xml:space="preserve"> promote l</w:t>
      </w:r>
      <w:r>
        <w:t xml:space="preserve">ocal authorities </w:t>
      </w:r>
      <w:r w:rsidR="0014221B">
        <w:t xml:space="preserve">(LA) </w:t>
      </w:r>
      <w:r>
        <w:t xml:space="preserve">in the UK provide social care services, including assessments of care needs and support planning for individuals with dementia and their caregivers. Statutory home care services help with daily living activities, personal care, and household tasks for people with dementia living in their own homes. </w:t>
      </w:r>
      <w:r w:rsidR="0023479A">
        <w:t>Sometimes r</w:t>
      </w:r>
      <w:r>
        <w:t>espite Care</w:t>
      </w:r>
      <w:r w:rsidR="0023479A">
        <w:t xml:space="preserve"> may be provided by</w:t>
      </w:r>
      <w:r>
        <w:t xml:space="preserve"> local authorities to give caregivers a break from their caregiving responsibilities. </w:t>
      </w:r>
    </w:p>
    <w:p w14:paraId="01F3EEE8" w14:textId="4A47DAB2" w:rsidR="000460D5" w:rsidRDefault="00D22D24" w:rsidP="000460D5">
      <w:r w:rsidRPr="00D22D24">
        <w:t>Dixon et al</w:t>
      </w:r>
      <w:r>
        <w:t xml:space="preserve"> (</w:t>
      </w:r>
      <w:r w:rsidRPr="00D22D24">
        <w:t>2021)</w:t>
      </w:r>
      <w:r w:rsidR="007A16B5">
        <w:t xml:space="preserve"> describe the</w:t>
      </w:r>
      <w:r w:rsidR="002F27D5">
        <w:t xml:space="preserve"> safeguarding </w:t>
      </w:r>
      <w:r w:rsidR="007A16B5">
        <w:t>role of the LA social worker</w:t>
      </w:r>
      <w:r w:rsidR="002F27D5">
        <w:t xml:space="preserve"> to protect </w:t>
      </w:r>
      <w:r w:rsidR="007A16B5">
        <w:t>vulnerable people with dementia from</w:t>
      </w:r>
      <w:r w:rsidR="002F27D5">
        <w:t xml:space="preserve"> risk</w:t>
      </w:r>
      <w:r w:rsidR="007A16B5">
        <w:t>s</w:t>
      </w:r>
      <w:r w:rsidR="002F27D5">
        <w:t xml:space="preserve"> of harm or abuse, by investigating concerns and providing support and protection as needed. Advocacy services may be provided to help individuals with dementia understand their rights, express their preferences, and make informed decisions about their care and support. </w:t>
      </w:r>
      <w:r w:rsidR="00426D36" w:rsidRPr="00426D36">
        <w:t xml:space="preserve">Dening </w:t>
      </w:r>
      <w:r w:rsidR="00426D36">
        <w:t>(</w:t>
      </w:r>
      <w:r w:rsidR="00426D36" w:rsidRPr="00426D36">
        <w:t>2019)</w:t>
      </w:r>
      <w:r w:rsidR="00426D36">
        <w:t xml:space="preserve"> </w:t>
      </w:r>
      <w:r w:rsidR="00245F01">
        <w:t>promotes</w:t>
      </w:r>
      <w:r w:rsidR="00426D36">
        <w:t xml:space="preserve"> t</w:t>
      </w:r>
      <w:r w:rsidR="002F27D5">
        <w:t>hese statutory services play a crucial role in supporting the well-being and quality of life of individuals with dementia and their caregivers, ensuring that they receive the necessary care, support, and protection as mandated by law</w:t>
      </w:r>
      <w:r w:rsidR="00D26247">
        <w:t xml:space="preserve">. </w:t>
      </w:r>
      <w:r w:rsidR="00C32D8B" w:rsidRPr="00C32D8B">
        <w:t>Dixon, Laing and Valentine</w:t>
      </w:r>
      <w:r w:rsidR="00C32D8B">
        <w:t xml:space="preserve"> (</w:t>
      </w:r>
      <w:r w:rsidR="00C32D8B" w:rsidRPr="00C32D8B">
        <w:t>2018)</w:t>
      </w:r>
      <w:r w:rsidR="00F70F0B">
        <w:t xml:space="preserve"> express concerns i</w:t>
      </w:r>
      <w:r w:rsidR="000460D5">
        <w:t>n the statutory care of dementia</w:t>
      </w:r>
      <w:r w:rsidR="00F70F0B">
        <w:t>,</w:t>
      </w:r>
      <w:r w:rsidR="000460D5">
        <w:t xml:space="preserve"> several issues are commonly encountered. Some of the key issues include disparities in access to statutory care services may exist based on factors such as geographic location, socioeconomic status, and cultural background.</w:t>
      </w:r>
      <w:r w:rsidR="008071BF">
        <w:t xml:space="preserve"> These challenges can impact the quality of care provided to individuals with dementia and their families. </w:t>
      </w:r>
      <w:r w:rsidR="00D12BF1" w:rsidRPr="00D12BF1">
        <w:t xml:space="preserve">Greenwood et al </w:t>
      </w:r>
      <w:r w:rsidR="00D12BF1">
        <w:t>(</w:t>
      </w:r>
      <w:r w:rsidR="00D12BF1" w:rsidRPr="00D12BF1">
        <w:t>2019)</w:t>
      </w:r>
      <w:r w:rsidR="000460D5">
        <w:t xml:space="preserve"> </w:t>
      </w:r>
      <w:r w:rsidR="009360AA">
        <w:t>add that r</w:t>
      </w:r>
      <w:r w:rsidR="000460D5">
        <w:t>ural areas or areas with fewer resources may have limited availability of specialist dementia services, leading to inequities in care provision.</w:t>
      </w:r>
      <w:r w:rsidR="00D05CB4" w:rsidRPr="00D05CB4">
        <w:t xml:space="preserve"> Howick et al</w:t>
      </w:r>
      <w:r w:rsidR="00D05CB4">
        <w:t xml:space="preserve"> (</w:t>
      </w:r>
      <w:r w:rsidR="00D05CB4" w:rsidRPr="00D05CB4">
        <w:t>2018)</w:t>
      </w:r>
      <w:r w:rsidR="00D3781D">
        <w:t xml:space="preserve"> </w:t>
      </w:r>
      <w:r w:rsidR="0011047C">
        <w:t>warn that t</w:t>
      </w:r>
      <w:r w:rsidR="000460D5">
        <w:t xml:space="preserve">he </w:t>
      </w:r>
      <w:r w:rsidR="00063C72">
        <w:t>lack of communication between</w:t>
      </w:r>
      <w:r w:rsidR="000460D5">
        <w:t xml:space="preserve"> health and social care services can result in disjointed care pathways for individuals with dementia. Lack of coordination between different agencies and providers may lead to gaps in care, duplication of services, and confusion for patients and caregivers navigating the system</w:t>
      </w:r>
      <w:r w:rsidR="00063C72">
        <w:t>, such as lack of communication between the social worker, district nurses and the care/support worker</w:t>
      </w:r>
      <w:r w:rsidR="00141526">
        <w:t xml:space="preserve">. </w:t>
      </w:r>
    </w:p>
    <w:p w14:paraId="18A99D44" w14:textId="33560B51" w:rsidR="000460D5" w:rsidRDefault="00DF2B21" w:rsidP="000460D5">
      <w:r w:rsidRPr="00DF2B21">
        <w:t xml:space="preserve">Paraskevaidi, Martin-Hirsch and Martin </w:t>
      </w:r>
      <w:r>
        <w:t>(</w:t>
      </w:r>
      <w:r w:rsidRPr="00DF2B21">
        <w:t>2018)</w:t>
      </w:r>
      <w:r>
        <w:t xml:space="preserve"> promote early diagnosis and interventions are crucial in conditions like dementia, and d</w:t>
      </w:r>
      <w:r w:rsidR="000460D5">
        <w:t xml:space="preserve">elays in dementia diagnosis and intervention </w:t>
      </w:r>
      <w:r w:rsidR="00141526">
        <w:t xml:space="preserve">from general practitioners and lengthy waiting list </w:t>
      </w:r>
      <w:r w:rsidR="000460D5">
        <w:t xml:space="preserve">can </w:t>
      </w:r>
      <w:r w:rsidR="005447B1">
        <w:t>negatively impact</w:t>
      </w:r>
      <w:r w:rsidR="000460D5">
        <w:t xml:space="preserve"> access to appropriate support and treatment. </w:t>
      </w:r>
      <w:r w:rsidR="00564FEA">
        <w:t>In the NHS common f</w:t>
      </w:r>
      <w:r w:rsidR="000460D5">
        <w:t>actors contributing to delays may include insufficient awareness among healthcare professionals, stigma surrounding dementia, and limited availability of diagnostic services, particularly in primary care settings.</w:t>
      </w:r>
      <w:r w:rsidR="00141526">
        <w:t xml:space="preserve"> </w:t>
      </w:r>
      <w:r w:rsidR="00B05270">
        <w:t>L</w:t>
      </w:r>
      <w:r w:rsidR="00B05270" w:rsidRPr="00B05270">
        <w:t>acobucci</w:t>
      </w:r>
      <w:r w:rsidR="00B05270">
        <w:t xml:space="preserve"> (</w:t>
      </w:r>
      <w:r w:rsidR="00B05270" w:rsidRPr="00B05270">
        <w:t>2018)</w:t>
      </w:r>
      <w:r w:rsidR="00B05270">
        <w:t xml:space="preserve"> critique </w:t>
      </w:r>
      <w:r w:rsidR="00EE15F2">
        <w:t>a concerning number and staff</w:t>
      </w:r>
      <w:r w:rsidR="00141526">
        <w:t xml:space="preserve"> s</w:t>
      </w:r>
      <w:r w:rsidR="000460D5">
        <w:t xml:space="preserve">hortages of trained healthcare professionals, including doctors, nurses, and social workers, </w:t>
      </w:r>
      <w:r w:rsidR="000460D5">
        <w:lastRenderedPageBreak/>
        <w:t>impact</w:t>
      </w:r>
      <w:r w:rsidR="00EE15F2">
        <w:t>ing</w:t>
      </w:r>
      <w:r w:rsidR="000460D5">
        <w:t xml:space="preserve"> the quality and availability of dementia care services.</w:t>
      </w:r>
      <w:r w:rsidR="00884C10">
        <w:t xml:space="preserve"> </w:t>
      </w:r>
      <w:r w:rsidR="00884C10" w:rsidRPr="00884C10">
        <w:t xml:space="preserve">Surr et al </w:t>
      </w:r>
      <w:r w:rsidR="00884C10">
        <w:t>(</w:t>
      </w:r>
      <w:r w:rsidR="00884C10" w:rsidRPr="00884C10">
        <w:t>2018)</w:t>
      </w:r>
      <w:r w:rsidR="000460D5">
        <w:t xml:space="preserve"> </w:t>
      </w:r>
      <w:r w:rsidR="00884C10">
        <w:t>express u</w:t>
      </w:r>
      <w:r w:rsidR="000460D5">
        <w:t>nderstaffing may result in long waiting times for assessments, limited access to specialist support, and inadequate support for caregivers.</w:t>
      </w:r>
      <w:r w:rsidR="00F023D0">
        <w:t xml:space="preserve"> </w:t>
      </w:r>
      <w:r w:rsidR="00245F01" w:rsidRPr="00245F01">
        <w:t>Chenoweth et al</w:t>
      </w:r>
      <w:r w:rsidR="00245F01">
        <w:t xml:space="preserve"> (</w:t>
      </w:r>
      <w:r w:rsidR="00245F01" w:rsidRPr="00245F01">
        <w:t>2021)</w:t>
      </w:r>
      <w:r w:rsidR="00407D54">
        <w:t xml:space="preserve"> </w:t>
      </w:r>
      <w:r w:rsidR="00245F01">
        <w:t>explain t</w:t>
      </w:r>
      <w:r w:rsidR="000460D5">
        <w:t xml:space="preserve">here may be a lack of diverse care options tailored to the individual needs and preferences of people with dementia. Limited availability of residential care facilities, respite care services, and day programs may restrict choice and flexibility in care provision, particularly for individuals with complex needs or challenging </w:t>
      </w:r>
      <w:r w:rsidR="00141526">
        <w:t>behaviours</w:t>
      </w:r>
      <w:r w:rsidR="00A03758">
        <w:t>, an individual’s finances may also impact the care they receive particularly an issue found in residential care.</w:t>
      </w:r>
      <w:r w:rsidR="00826F89" w:rsidRPr="00826F89">
        <w:t xml:space="preserve"> Lindeza et al</w:t>
      </w:r>
      <w:r w:rsidR="00826F89">
        <w:t xml:space="preserve"> (</w:t>
      </w:r>
      <w:r w:rsidR="00826F89" w:rsidRPr="00826F89">
        <w:t>2020)</w:t>
      </w:r>
      <w:r w:rsidR="00A03758">
        <w:t xml:space="preserve"> </w:t>
      </w:r>
      <w:r w:rsidR="00826F89">
        <w:t>warn that c</w:t>
      </w:r>
      <w:r w:rsidR="000460D5">
        <w:t xml:space="preserve">aregivers of individuals with dementia often face significant physical, emotional, and financial burdens. Statutory care services may not always adequately address the support needs of caregivers, including access to respite care, </w:t>
      </w:r>
      <w:r w:rsidR="00A03758">
        <w:t>counselling</w:t>
      </w:r>
      <w:r w:rsidR="000460D5">
        <w:t>, and practical assistance with caregiving responsibilities.</w:t>
      </w:r>
    </w:p>
    <w:p w14:paraId="118DCCE0" w14:textId="1F84B33E" w:rsidR="00CF36E0" w:rsidRDefault="004101C2" w:rsidP="00CF36E0">
      <w:r>
        <w:t>An alternative for many individuals is p</w:t>
      </w:r>
      <w:r w:rsidR="00CF36E0">
        <w:t>rivate dementia care</w:t>
      </w:r>
      <w:r>
        <w:t xml:space="preserve">, but </w:t>
      </w:r>
      <w:r w:rsidR="00582475">
        <w:t>this</w:t>
      </w:r>
      <w:r w:rsidR="00CF36E0">
        <w:t xml:space="preserve"> can be prohibitively expensive, placing a significant financial burden on individuals and families. </w:t>
      </w:r>
      <w:r w:rsidR="00D00C2F" w:rsidRPr="00D00C2F">
        <w:t xml:space="preserve">Wittenberg et al </w:t>
      </w:r>
      <w:r w:rsidR="00D00C2F">
        <w:t>(</w:t>
      </w:r>
      <w:r w:rsidR="00D00C2F" w:rsidRPr="00D00C2F">
        <w:t>2019b)</w:t>
      </w:r>
      <w:r w:rsidR="002A0323">
        <w:t xml:space="preserve"> </w:t>
      </w:r>
      <w:r w:rsidR="006B4F20">
        <w:t>warn</w:t>
      </w:r>
      <w:r w:rsidR="002A0323">
        <w:t>s</w:t>
      </w:r>
      <w:r w:rsidR="006B4F20">
        <w:t xml:space="preserve"> that t</w:t>
      </w:r>
      <w:r w:rsidR="00CF36E0">
        <w:t>he high cost often limits access to quality care for those who cannot afford it, leading to inequalities in service provision</w:t>
      </w:r>
      <w:r w:rsidR="00EC553B">
        <w:t>, such as access to specialist dementia services, such as memory clinics, dementia-specific day care, and respite services are often found to be limited within the private sector. This can result in individuals with dementia and their families not receiving the</w:t>
      </w:r>
      <w:r w:rsidR="00470941">
        <w:t xml:space="preserve"> correct level of treatment and support.</w:t>
      </w:r>
      <w:r w:rsidR="00EC553B">
        <w:t xml:space="preserve"> </w:t>
      </w:r>
      <w:r w:rsidR="00470941">
        <w:t xml:space="preserve">Research by </w:t>
      </w:r>
      <w:r w:rsidR="006C5A1D" w:rsidRPr="006C5A1D">
        <w:t>Watson et al</w:t>
      </w:r>
      <w:r w:rsidR="00470941">
        <w:t xml:space="preserve"> (</w:t>
      </w:r>
      <w:r w:rsidR="006C5A1D" w:rsidRPr="006C5A1D">
        <w:t>2020)</w:t>
      </w:r>
      <w:r w:rsidR="007B1D38">
        <w:t xml:space="preserve"> found that private care sectors and residential </w:t>
      </w:r>
      <w:r w:rsidR="00CF36E0">
        <w:t>homes frequently face</w:t>
      </w:r>
      <w:r w:rsidR="007B1D38">
        <w:t xml:space="preserve"> </w:t>
      </w:r>
      <w:r w:rsidR="00A3517C">
        <w:t>similar or often more</w:t>
      </w:r>
      <w:r w:rsidR="00CF36E0">
        <w:t xml:space="preserve"> staffing challenges, including recruitment and </w:t>
      </w:r>
      <w:r w:rsidR="00A3517C">
        <w:t>training and education</w:t>
      </w:r>
      <w:r w:rsidR="00CF36E0">
        <w:t xml:space="preserve"> issues. This can result in high turnover rates, inadequate staffing levels, and reduced continuity of care for individuals with dementia. </w:t>
      </w:r>
      <w:r w:rsidR="007A327F" w:rsidRPr="007A327F">
        <w:t xml:space="preserve">Wittenberg et al </w:t>
      </w:r>
      <w:r w:rsidR="007A327F">
        <w:t>(</w:t>
      </w:r>
      <w:r w:rsidR="007A327F" w:rsidRPr="007A327F">
        <w:t>2019c)</w:t>
      </w:r>
      <w:r w:rsidR="007A327F">
        <w:t xml:space="preserve"> discuss </w:t>
      </w:r>
      <w:r w:rsidR="009937A4">
        <w:t xml:space="preserve">that </w:t>
      </w:r>
      <w:r w:rsidR="007A327F">
        <w:t>i</w:t>
      </w:r>
      <w:r w:rsidR="00CF36E0">
        <w:t>nsufficiently trained staff can also impact the quality of care provided.</w:t>
      </w:r>
    </w:p>
    <w:p w14:paraId="06868B8B" w14:textId="10314A37" w:rsidR="00CF36E0" w:rsidRDefault="007E42B7" w:rsidP="00CF36E0">
      <w:r w:rsidRPr="007E42B7">
        <w:t>In Wales, as in many other places, the issue of person-centred care in private community-based dementia care is significant</w:t>
      </w:r>
      <w:r>
        <w:t xml:space="preserve"> </w:t>
      </w:r>
      <w:r w:rsidRPr="007E42B7">
        <w:t xml:space="preserve">(Francis and Hanna, 2020). </w:t>
      </w:r>
      <w:r w:rsidR="00A177A7" w:rsidRPr="00A177A7">
        <w:t>Dalgarno et al</w:t>
      </w:r>
      <w:r w:rsidR="00A177A7">
        <w:t xml:space="preserve"> (</w:t>
      </w:r>
      <w:r w:rsidR="00A177A7" w:rsidRPr="00A177A7">
        <w:t>2021)</w:t>
      </w:r>
      <w:r w:rsidR="00A177A7">
        <w:t xml:space="preserve"> </w:t>
      </w:r>
      <w:r w:rsidR="00DA2FB3">
        <w:t>address that p</w:t>
      </w:r>
      <w:r w:rsidRPr="007E42B7">
        <w:t xml:space="preserve">erson-centred care is an approach that prioritizes the individual's needs, preferences, and choices, aiming to empower them and enhance their quality of life. However, in </w:t>
      </w:r>
      <w:r>
        <w:t xml:space="preserve">many cases of caring for an individual </w:t>
      </w:r>
      <w:r w:rsidR="00A177A7">
        <w:t xml:space="preserve">community based or residential this is not always achievable. </w:t>
      </w:r>
      <w:r w:rsidR="00945F0C" w:rsidRPr="00945F0C">
        <w:t xml:space="preserve">Gitlin and Maslow </w:t>
      </w:r>
      <w:r w:rsidR="00945F0C">
        <w:t>(</w:t>
      </w:r>
      <w:r w:rsidR="00945F0C" w:rsidRPr="00945F0C">
        <w:t>2018)</w:t>
      </w:r>
      <w:r w:rsidR="00945F0C">
        <w:t xml:space="preserve"> </w:t>
      </w:r>
      <w:r w:rsidR="002C7F1D">
        <w:t>discuss another implication of the quality of the private care sector of Dementia being demographic, that i</w:t>
      </w:r>
      <w:r w:rsidR="009937A4">
        <w:t>n some regions, there may be limited choice and availability of private dementia care facilities, particularly in rural areas. This can lead to long waiting lists and individuals being placed in care homes that may not fully meet their needs or preferences.</w:t>
      </w:r>
      <w:r w:rsidR="000B61B2">
        <w:t xml:space="preserve"> </w:t>
      </w:r>
      <w:r w:rsidR="00C35161" w:rsidRPr="00C35161">
        <w:t>Grabowski and Mor</w:t>
      </w:r>
      <w:r w:rsidR="00C35161">
        <w:t xml:space="preserve"> (</w:t>
      </w:r>
      <w:r w:rsidR="00C35161" w:rsidRPr="00C35161">
        <w:t>2020)</w:t>
      </w:r>
      <w:r w:rsidR="00C35161">
        <w:t xml:space="preserve"> criti</w:t>
      </w:r>
      <w:r w:rsidR="000B61B2">
        <w:t>ses that w</w:t>
      </w:r>
      <w:r w:rsidR="00CF36E0">
        <w:t>hile many private care homes strive to deliver high-quality dementia care, there are concerns about variations in standards across different facilities. Reports of neglect, abuse, and substandard care in some private care homes highlight the need for better regulation and oversight to ensure the well-being and safety of residents.</w:t>
      </w:r>
    </w:p>
    <w:p w14:paraId="6C6D9416" w14:textId="6F9F8925" w:rsidR="00CF36E0" w:rsidRDefault="00CF36E0" w:rsidP="000460D5">
      <w:r>
        <w:t>There are concerns about the lack of transparency and accountability in the private care sector, including issues related to fee structures, contract terms,</w:t>
      </w:r>
      <w:r w:rsidR="000B61B2">
        <w:t xml:space="preserve"> whistle</w:t>
      </w:r>
      <w:r w:rsidR="00937380">
        <w:t xml:space="preserve"> </w:t>
      </w:r>
      <w:r w:rsidR="000B61B2">
        <w:t>blowing</w:t>
      </w:r>
      <w:r>
        <w:t xml:space="preserve"> and complaints procedures</w:t>
      </w:r>
      <w:r w:rsidR="009E75C2">
        <w:t xml:space="preserve"> </w:t>
      </w:r>
      <w:r w:rsidR="009E75C2" w:rsidRPr="009E75C2">
        <w:t>(Vian, 2020)</w:t>
      </w:r>
      <w:r w:rsidR="00472419">
        <w:t xml:space="preserve">. </w:t>
      </w:r>
      <w:r>
        <w:t>Improved transparency and stronger regulatory mechanisms are needed to ensure that private care homes meet regulatory standards and provide high-quality care</w:t>
      </w:r>
      <w:r w:rsidR="00472419">
        <w:t>, by a</w:t>
      </w:r>
      <w:r>
        <w:t>ddressing these issues requires a concerted effort from policymakers, regulators, care providers, and advocacy groups to improve the accessibility, affordability, and quality of private dementia care in the UK.</w:t>
      </w:r>
      <w:r w:rsidR="00937380">
        <w:t xml:space="preserve"> The </w:t>
      </w:r>
      <w:r w:rsidR="00937380" w:rsidRPr="00937380">
        <w:t xml:space="preserve">World Health Organization </w:t>
      </w:r>
      <w:r w:rsidR="00937380">
        <w:t>(</w:t>
      </w:r>
      <w:r w:rsidR="00937380" w:rsidRPr="00937380">
        <w:t>2018)</w:t>
      </w:r>
      <w:r>
        <w:t xml:space="preserve"> </w:t>
      </w:r>
      <w:r w:rsidR="00B32735">
        <w:t>state</w:t>
      </w:r>
      <w:r>
        <w:t xml:space="preserve"> implementing better regulation, increasing funding for dementia services, enhancing workforce training and support, and promoting transparency and accountability within</w:t>
      </w:r>
      <w:r w:rsidR="00B32735">
        <w:t xml:space="preserve"> all</w:t>
      </w:r>
      <w:r>
        <w:t xml:space="preserve"> the</w:t>
      </w:r>
      <w:r w:rsidR="00B32735">
        <w:t xml:space="preserve"> global health</w:t>
      </w:r>
      <w:r>
        <w:t xml:space="preserve"> sector</w:t>
      </w:r>
      <w:r w:rsidR="00B32735">
        <w:t>s</w:t>
      </w:r>
      <w:r>
        <w:t>.</w:t>
      </w:r>
    </w:p>
    <w:p w14:paraId="3C8EE19B" w14:textId="718333BF" w:rsidR="000E5B15" w:rsidRDefault="000E5B15" w:rsidP="000E5B15">
      <w:r>
        <w:t>In comparison to other countries care and treatment of Dementia between Wales and</w:t>
      </w:r>
      <w:r w:rsidR="004C0000">
        <w:t xml:space="preserve"> </w:t>
      </w:r>
      <w:r w:rsidR="00DA2FB3">
        <w:t>Denmark</w:t>
      </w:r>
      <w:r w:rsidR="0008137E">
        <w:t xml:space="preserve">, </w:t>
      </w:r>
      <w:r w:rsidR="002B4F79">
        <w:t>t</w:t>
      </w:r>
      <w:r>
        <w:t>he Netherlands</w:t>
      </w:r>
      <w:r w:rsidR="00DA2FB3">
        <w:t xml:space="preserve"> </w:t>
      </w:r>
      <w:r w:rsidR="002B4F79">
        <w:t xml:space="preserve">have what is known as a </w:t>
      </w:r>
      <w:r>
        <w:t>dementia village, known as Hogeweyk</w:t>
      </w:r>
      <w:r w:rsidR="002B4F79">
        <w:t>.</w:t>
      </w:r>
      <w:r w:rsidR="00EA6C8D">
        <w:t xml:space="preserve"> </w:t>
      </w:r>
      <w:r w:rsidR="00EA6C8D" w:rsidRPr="00EA6C8D">
        <w:t xml:space="preserve">Pedro et al </w:t>
      </w:r>
      <w:r w:rsidR="00EA6C8D">
        <w:t>(</w:t>
      </w:r>
      <w:r w:rsidR="00EA6C8D" w:rsidRPr="00EA6C8D">
        <w:t xml:space="preserve">2020) </w:t>
      </w:r>
      <w:r w:rsidR="00EA6C8D">
        <w:t>describe t</w:t>
      </w:r>
      <w:r w:rsidR="002B4F79">
        <w:t>his</w:t>
      </w:r>
      <w:r>
        <w:t xml:space="preserve"> is a unique concept that aims to create a more normali</w:t>
      </w:r>
      <w:r w:rsidR="002B4F79">
        <w:t>s</w:t>
      </w:r>
      <w:r>
        <w:t xml:space="preserve">ed living environment for people with dementia. </w:t>
      </w:r>
      <w:r w:rsidR="00EA6C8D">
        <w:t>Created in 2009, it was the first Dementia village</w:t>
      </w:r>
      <w:r w:rsidR="00F52673">
        <w:t>. I</w:t>
      </w:r>
      <w:r>
        <w:t>t's designed to resemble a small village with various amenities and activities tailored to the residents preferences and needs.</w:t>
      </w:r>
      <w:r w:rsidR="0008137E">
        <w:t xml:space="preserve"> </w:t>
      </w:r>
      <w:r>
        <w:t>There's a focus on safety and accessibility, with adaptations made to support individuals with dementia.</w:t>
      </w:r>
      <w:r w:rsidR="00F52673">
        <w:t xml:space="preserve"> </w:t>
      </w:r>
      <w:r w:rsidR="00116903" w:rsidRPr="00116903">
        <w:t>Anderzhon</w:t>
      </w:r>
      <w:r w:rsidR="00116903">
        <w:t xml:space="preserve"> (</w:t>
      </w:r>
      <w:r w:rsidR="00116903" w:rsidRPr="00116903">
        <w:t>2023)</w:t>
      </w:r>
      <w:r w:rsidR="0008137E">
        <w:t xml:space="preserve"> </w:t>
      </w:r>
      <w:r w:rsidR="00881CBD">
        <w:t xml:space="preserve">describe </w:t>
      </w:r>
      <w:r>
        <w:t xml:space="preserve">Hogeweyk </w:t>
      </w:r>
      <w:r w:rsidR="00881CBD">
        <w:t>as</w:t>
      </w:r>
      <w:r>
        <w:t xml:space="preserve"> designed to mimic a typical Dutch village with streets, shops, and gardens. The environment is intentionally designed to promote independence and freedom of movement while ensuring safety through discreet monitoring and supervision.</w:t>
      </w:r>
      <w:r w:rsidR="00B12CED">
        <w:t xml:space="preserve"> </w:t>
      </w:r>
      <w:r w:rsidR="00207BE8">
        <w:t>Though c</w:t>
      </w:r>
      <w:r>
        <w:t xml:space="preserve">are staff in Wales and the UK receive </w:t>
      </w:r>
      <w:r w:rsidR="002B4F79">
        <w:t xml:space="preserve">basic </w:t>
      </w:r>
      <w:r>
        <w:t>training in dementia care and are often supported by multidisciplinary teams</w:t>
      </w:r>
      <w:r w:rsidR="00881CBD">
        <w:t xml:space="preserve">, </w:t>
      </w:r>
      <w:r w:rsidR="00207BE8">
        <w:t xml:space="preserve">in comparison the </w:t>
      </w:r>
      <w:r>
        <w:t>therapists</w:t>
      </w:r>
      <w:r w:rsidR="00207BE8">
        <w:t xml:space="preserve"> and</w:t>
      </w:r>
      <w:r w:rsidR="00881CBD">
        <w:t xml:space="preserve"> </w:t>
      </w:r>
      <w:r w:rsidR="00C603B8">
        <w:t>s</w:t>
      </w:r>
      <w:r>
        <w:t>taff at Hogeweyk receive specialized training in dementia care and are trained to provide person-</w:t>
      </w:r>
      <w:r w:rsidR="007D65EF">
        <w:t>centred</w:t>
      </w:r>
      <w:r>
        <w:t xml:space="preserve"> support tailored to each resident's preferences and needs</w:t>
      </w:r>
      <w:r w:rsidR="00FA4A3C">
        <w:t xml:space="preserve"> </w:t>
      </w:r>
      <w:r w:rsidR="00FA4A3C" w:rsidRPr="00FA4A3C">
        <w:t>(McLaughlan, Annear and Pert, 2018)</w:t>
      </w:r>
      <w:r>
        <w:t>. There's a higher staff-to-resident ratio compared to traditional care homes, allowing for more individualized attention</w:t>
      </w:r>
      <w:r w:rsidR="007D65EF">
        <w:t xml:space="preserve">, this is very different to the private/statutory care in Wales where person centred care is strived for, but </w:t>
      </w:r>
      <w:r w:rsidR="002F4A99">
        <w:t>not always possible to deliver due to staff shortages and the training provided, particularly within the private sector</w:t>
      </w:r>
      <w:r w:rsidR="006A42E0" w:rsidRPr="006A42E0">
        <w:t xml:space="preserve"> (Sutcliffe et al, 2021)</w:t>
      </w:r>
      <w:r w:rsidR="00DF2305">
        <w:t xml:space="preserve"> </w:t>
      </w:r>
      <w:r w:rsidR="002F4A99">
        <w:t>.</w:t>
      </w:r>
    </w:p>
    <w:p w14:paraId="259D234C" w14:textId="40493DE7" w:rsidR="000E5B15" w:rsidRDefault="000E5B15" w:rsidP="000E5B15">
      <w:r>
        <w:t>Dementia care facilities in Wales and the UK offer various social activities and programs to engage residents and promote well-being</w:t>
      </w:r>
      <w:r w:rsidR="002C1DEB">
        <w:t>, h</w:t>
      </w:r>
      <w:r>
        <w:t>owever, the range and frequency of activities may vary depending on resources and staffing</w:t>
      </w:r>
      <w:r w:rsidR="00A21E92">
        <w:t>, while</w:t>
      </w:r>
      <w:r>
        <w:t xml:space="preserve"> Hogeweyk offers a wide range of activities and social opportunities within the village, including shops, restaurants, and clubs</w:t>
      </w:r>
      <w:r w:rsidR="002C1DEB" w:rsidRPr="002C1DEB">
        <w:t xml:space="preserve"> (Morgan et al., 2019)</w:t>
      </w:r>
      <w:r>
        <w:t>. Residents are encouraged to participate in daily tasks and recreational activities, fostering a sense of community and purpose.</w:t>
      </w:r>
      <w:r w:rsidR="00A21E92">
        <w:t xml:space="preserve"> </w:t>
      </w:r>
      <w:r>
        <w:t>Dementia care services in Wales and the UK aim to integrate individuals with dementia into the broader community through outreach programs and initiatives promoting awareness and understanding</w:t>
      </w:r>
      <w:r w:rsidR="00A21E92">
        <w:t>,</w:t>
      </w:r>
      <w:r>
        <w:t xml:space="preserve"> </w:t>
      </w:r>
      <w:r w:rsidR="00A21E92">
        <w:t>w</w:t>
      </w:r>
      <w:r>
        <w:t xml:space="preserve">hile </w:t>
      </w:r>
      <w:r w:rsidR="001F4DAF" w:rsidRPr="004D7F2A">
        <w:t xml:space="preserve">Sixsmith, Sixsmith and Horst </w:t>
      </w:r>
      <w:r w:rsidR="001F4DAF">
        <w:t>(</w:t>
      </w:r>
      <w:r w:rsidR="001F4DAF" w:rsidRPr="004D7F2A">
        <w:t xml:space="preserve">2020) </w:t>
      </w:r>
      <w:r w:rsidR="001F4DAF">
        <w:t xml:space="preserve">compare </w:t>
      </w:r>
      <w:r>
        <w:t>Hogeweyk is a self-contained village, efforts are made to maintain connections with the surrounding community through partnerships with local organizations and the involvement of volunteers.</w:t>
      </w:r>
    </w:p>
    <w:p w14:paraId="396DA0CE" w14:textId="2408F75E" w:rsidR="000E5B15" w:rsidRDefault="000E5B15" w:rsidP="000E5B15">
      <w:r>
        <w:t>The cost of care can vary depending on the level of support required and the type of facility</w:t>
      </w:r>
      <w:r w:rsidR="00320BFC">
        <w:t xml:space="preserve">, but typically will be funded by the individual needing care or in some cases their families and is </w:t>
      </w:r>
      <w:r w:rsidR="00354FD3">
        <w:t>very expensive with private firms, while t</w:t>
      </w:r>
      <w:r>
        <w:t>he cost of living in Hogeweyk is typically covered by the Dutch healthcare system, with residents paying a standard fee based on their income</w:t>
      </w:r>
      <w:r w:rsidR="009F77D6" w:rsidRPr="009F77D6">
        <w:t xml:space="preserve"> (Krier, Wittwer and Amieva, 2023)</w:t>
      </w:r>
      <w:r>
        <w:t>. This model aims to ensure equitable access to high-quality dementia care for all residents.</w:t>
      </w:r>
      <w:r w:rsidR="00241B03">
        <w:t xml:space="preserve"> </w:t>
      </w:r>
      <w:r w:rsidR="008E4618">
        <w:t>While</w:t>
      </w:r>
      <w:r>
        <w:t xml:space="preserve"> both Wales/UK and the Netherlands strive to provide quality dementia care, the Netherlands</w:t>
      </w:r>
      <w:r w:rsidR="008E4618">
        <w:t xml:space="preserve"> </w:t>
      </w:r>
      <w:r>
        <w:t>dementia village concept offers a more innovative approach focused on creating a supportive and immersive living environment tailored to the unique needs of individuals with dementia.</w:t>
      </w:r>
      <w:r w:rsidR="00241B03">
        <w:t xml:space="preserve"> </w:t>
      </w:r>
      <w:r w:rsidR="005A305C" w:rsidRPr="005A305C">
        <w:t>Pozo Menéndez and Higueras García</w:t>
      </w:r>
      <w:r w:rsidR="005A305C">
        <w:t xml:space="preserve"> </w:t>
      </w:r>
      <w:r w:rsidR="0098705A">
        <w:t>(</w:t>
      </w:r>
      <w:r w:rsidR="005A305C" w:rsidRPr="005A305C">
        <w:t>2022)</w:t>
      </w:r>
      <w:r w:rsidR="00241B03">
        <w:t xml:space="preserve"> </w:t>
      </w:r>
      <w:r w:rsidR="0098705A">
        <w:t>explain o</w:t>
      </w:r>
      <w:r w:rsidR="00241B03" w:rsidRPr="00241B03">
        <w:t>ne of the primary criticisms of Hogeweyk is its high cost. Building and maintaining a village-like environment with specialized facilities and staff requires significant financial investment. This raises questions about the scalability and affordability of the model, particularly in regions with limited resources or where public funding for healthcare is constrained.</w:t>
      </w:r>
      <w:r w:rsidR="0098705A">
        <w:t xml:space="preserve"> This may make this a questionable concept to be adopted by </w:t>
      </w:r>
      <w:r w:rsidR="00572317">
        <w:t xml:space="preserve">the already struggling </w:t>
      </w:r>
      <w:r w:rsidR="0098705A">
        <w:t>NHS</w:t>
      </w:r>
      <w:r w:rsidR="00572317">
        <w:t>.</w:t>
      </w:r>
      <w:r w:rsidR="0098705A">
        <w:t xml:space="preserve"> </w:t>
      </w:r>
    </w:p>
    <w:p w14:paraId="08E87EF3" w14:textId="02377911" w:rsidR="004031AE" w:rsidRDefault="009F77D6" w:rsidP="004031AE">
      <w:r>
        <w:t>Another concern with concepts such as Hogeweyk, is the surrounding stigma</w:t>
      </w:r>
      <w:r w:rsidR="0086115E">
        <w:t xml:space="preserve"> of Dementia</w:t>
      </w:r>
      <w:r>
        <w:t xml:space="preserve"> that </w:t>
      </w:r>
      <w:r w:rsidR="0086115E">
        <w:t xml:space="preserve">existing </w:t>
      </w:r>
      <w:r>
        <w:t xml:space="preserve">Welsh policies are designated to overcoming, yet a village </w:t>
      </w:r>
      <w:r w:rsidR="00670AFC">
        <w:t xml:space="preserve">designed </w:t>
      </w:r>
      <w:r>
        <w:t>such as this</w:t>
      </w:r>
      <w:r w:rsidR="00670AFC">
        <w:t>,</w:t>
      </w:r>
      <w:r>
        <w:t xml:space="preserve"> </w:t>
      </w:r>
      <w:r w:rsidR="00670AFC">
        <w:t>c</w:t>
      </w:r>
      <w:r w:rsidR="009C0B84" w:rsidRPr="00F61B84">
        <w:t>ritics</w:t>
      </w:r>
      <w:r w:rsidR="0086115E">
        <w:t xml:space="preserve"> such as </w:t>
      </w:r>
      <w:r w:rsidR="0086115E" w:rsidRPr="0086115E">
        <w:t xml:space="preserve">Shannon </w:t>
      </w:r>
      <w:r w:rsidR="0086115E">
        <w:t>(</w:t>
      </w:r>
      <w:r w:rsidR="0086115E" w:rsidRPr="0086115E">
        <w:t>2021)</w:t>
      </w:r>
      <w:r w:rsidR="009C0B84" w:rsidRPr="00F61B84">
        <w:t xml:space="preserve"> argue that the concept of a "dementia village" may inadvertently reinforce stigma and segregation, further isolating individuals with dementia from the broader community </w:t>
      </w:r>
      <w:r w:rsidR="006C4033">
        <w:t>w</w:t>
      </w:r>
      <w:r w:rsidR="00F61B84" w:rsidRPr="00F61B84">
        <w:t>hile Hogeweyk aims to create a more normali</w:t>
      </w:r>
      <w:r w:rsidR="006C4033">
        <w:t>s</w:t>
      </w:r>
      <w:r w:rsidR="00F61B84" w:rsidRPr="00F61B84">
        <w:t>ed living environment for individuals with dementia</w:t>
      </w:r>
      <w:r w:rsidR="0086115E">
        <w:t>.</w:t>
      </w:r>
      <w:r w:rsidR="00761F15">
        <w:t xml:space="preserve"> Another concern reported by </w:t>
      </w:r>
      <w:r w:rsidR="00FB2E5D" w:rsidRPr="00FB2E5D">
        <w:t xml:space="preserve">Grimm, Kemmerer and Möllers </w:t>
      </w:r>
      <w:r w:rsidR="00FB2E5D">
        <w:t>(</w:t>
      </w:r>
      <w:r w:rsidR="00FB2E5D" w:rsidRPr="00FB2E5D">
        <w:t>2018)</w:t>
      </w:r>
      <w:r w:rsidR="00FB2E5D">
        <w:t xml:space="preserve"> that</w:t>
      </w:r>
      <w:r w:rsidR="00F61B84" w:rsidRPr="00F61B84">
        <w:t xml:space="preserve"> some critics </w:t>
      </w:r>
      <w:r w:rsidR="00FB2E5D">
        <w:t xml:space="preserve">have </w:t>
      </w:r>
      <w:r w:rsidR="00F61B84" w:rsidRPr="00F61B84">
        <w:t>raise</w:t>
      </w:r>
      <w:r w:rsidR="00FB2E5D">
        <w:t>d</w:t>
      </w:r>
      <w:r w:rsidR="00761F15">
        <w:t xml:space="preserve"> </w:t>
      </w:r>
      <w:r w:rsidR="00F61B84" w:rsidRPr="00F61B84">
        <w:t xml:space="preserve">ethical concerns about the level of autonomy and freedom residents have within the controlled environment of the village. </w:t>
      </w:r>
      <w:r w:rsidR="00E663CB">
        <w:t xml:space="preserve">Yet </w:t>
      </w:r>
      <w:r w:rsidR="00E663CB" w:rsidRPr="00E663CB">
        <w:t>Maydan</w:t>
      </w:r>
      <w:r w:rsidR="00E663CB">
        <w:t xml:space="preserve"> (</w:t>
      </w:r>
      <w:r w:rsidR="00E663CB" w:rsidRPr="00E663CB">
        <w:t>2023)</w:t>
      </w:r>
      <w:r w:rsidR="00E663CB">
        <w:t xml:space="preserve"> maintains that</w:t>
      </w:r>
      <w:r w:rsidR="00E663CB" w:rsidRPr="00E663CB">
        <w:t xml:space="preserve"> </w:t>
      </w:r>
      <w:r w:rsidR="00E663CB">
        <w:t>o</w:t>
      </w:r>
      <w:r w:rsidR="004031AE">
        <w:t>verall, while Hogeweyk represents an innovative approach to dementia care, it is not without its critiques and challenges. Addressing these criticisms requires careful consideration of issues such as cost, ethics, diversity, research evidence, sustainability, and community integration to ensure that dementia care models are inclusive, effective, and accessible to all individuals living with dementia.</w:t>
      </w:r>
    </w:p>
    <w:p w14:paraId="02CFA897" w14:textId="386D876F" w:rsidR="00AE1FE1" w:rsidRDefault="00AE1FE1" w:rsidP="004031AE">
      <w:r>
        <w:t>Following on from the topics and discussions within this critique, the following recommendations would be suitable to apply within Wales and the UK to enhance Dementia care for the elderly:</w:t>
      </w:r>
    </w:p>
    <w:p w14:paraId="39B2BE3B" w14:textId="5F2E5E63" w:rsidR="00AE1FE1" w:rsidRDefault="006911CA" w:rsidP="00AE1FE1">
      <w:pPr>
        <w:pStyle w:val="ListParagraph"/>
        <w:numPr>
          <w:ilvl w:val="0"/>
          <w:numId w:val="1"/>
        </w:numPr>
      </w:pPr>
      <w:r>
        <w:t>I</w:t>
      </w:r>
      <w:r w:rsidRPr="006911CA">
        <w:t>ncreased investment in training and education for healthcare professionals, particularly in the private sector. This includes specialized training in dementia care, person-centred approaches, and communication skills to better support individuals with dementia and their families.</w:t>
      </w:r>
    </w:p>
    <w:p w14:paraId="2A7200F5" w14:textId="2F459AEF" w:rsidR="006911CA" w:rsidRDefault="009A17B5" w:rsidP="00AE1FE1">
      <w:pPr>
        <w:pStyle w:val="ListParagraph"/>
        <w:numPr>
          <w:ilvl w:val="0"/>
          <w:numId w:val="1"/>
        </w:numPr>
      </w:pPr>
      <w:r>
        <w:t>I</w:t>
      </w:r>
      <w:r w:rsidRPr="009A17B5">
        <w:t>mprove access to dementia care services, particularly in rural areas and underserved communities. This could involve expanding the availability of memory clinics, community-based services, and caregiver support programs to ensure equitable access to car</w:t>
      </w:r>
      <w:r>
        <w:t>e.</w:t>
      </w:r>
    </w:p>
    <w:p w14:paraId="168E2F4D" w14:textId="22E7BF74" w:rsidR="009A17B5" w:rsidRDefault="00794D24" w:rsidP="00AE1FE1">
      <w:pPr>
        <w:pStyle w:val="ListParagraph"/>
        <w:numPr>
          <w:ilvl w:val="0"/>
          <w:numId w:val="1"/>
        </w:numPr>
      </w:pPr>
      <w:r>
        <w:t>B</w:t>
      </w:r>
      <w:r w:rsidRPr="00794D24">
        <w:t>etter coordination and collaboration between different healthcare providers, social services, and community organizations involved in dementia care. Integrated care models can help improve care coordination, enhance communication, and ensure that individuals receive comprehensive, holistic support tailored to their needs.</w:t>
      </w:r>
    </w:p>
    <w:p w14:paraId="6F4D1E5E" w14:textId="37D1F27E" w:rsidR="00794D24" w:rsidRDefault="00B05345" w:rsidP="00AE1FE1">
      <w:pPr>
        <w:pStyle w:val="ListParagraph"/>
        <w:numPr>
          <w:ilvl w:val="0"/>
          <w:numId w:val="1"/>
        </w:numPr>
      </w:pPr>
      <w:r w:rsidRPr="00B05345">
        <w:t>Stronger regulatory mechanisms and oversight are needed to ensure that private care homes meet regulatory standards and provide high-quality care. This includes improving transparency, accountability, and monitoring of private care providers to prevent neglect, abuse, and substandard care.</w:t>
      </w:r>
    </w:p>
    <w:p w14:paraId="55D573A9" w14:textId="22A2B2EE" w:rsidR="00B05345" w:rsidRDefault="00692C72" w:rsidP="00AE1FE1">
      <w:pPr>
        <w:pStyle w:val="ListParagraph"/>
        <w:numPr>
          <w:ilvl w:val="0"/>
          <w:numId w:val="1"/>
        </w:numPr>
      </w:pPr>
      <w:r w:rsidRPr="00692C72">
        <w:t>There should be a continued emphasis on person-centered care approaches in both statutory and private dementia care settings. This involves recognizing the individuality of each person with dementia, respecting their preferences and choices, and empowering them to live with dignity and independence for as long as possible.</w:t>
      </w:r>
    </w:p>
    <w:p w14:paraId="39F15435" w14:textId="76AEACA2" w:rsidR="00692C72" w:rsidRDefault="000D58C0" w:rsidP="00D011FD">
      <w:r>
        <w:t xml:space="preserve">In conclusion, the care provided to elderly individuals with dementia in Wales and the United Kingdom has evolved significantly over time, reflecting changing societal attitudes, medical knowledge, and healthcare practices. </w:t>
      </w:r>
      <w:r w:rsidR="00E63C80" w:rsidRPr="00E63C80">
        <w:t xml:space="preserve">Rahman et al </w:t>
      </w:r>
      <w:r w:rsidR="00E63C80">
        <w:t>(</w:t>
      </w:r>
      <w:r w:rsidR="00E63C80" w:rsidRPr="00E63C80">
        <w:t>2022)</w:t>
      </w:r>
      <w:r w:rsidR="00E63C80">
        <w:t xml:space="preserve"> digresses f</w:t>
      </w:r>
      <w:r>
        <w:t>rom historical institutionali</w:t>
      </w:r>
      <w:r w:rsidR="00877937">
        <w:t>s</w:t>
      </w:r>
      <w:r>
        <w:t>ation to a more person-</w:t>
      </w:r>
      <w:r w:rsidR="00877937">
        <w:t>centred</w:t>
      </w:r>
      <w:r>
        <w:t xml:space="preserve"> and community-based approach, there has been progress in improving the quality of dementia care and support services.</w:t>
      </w:r>
      <w:r w:rsidR="00877937">
        <w:t xml:space="preserve"> </w:t>
      </w:r>
      <w:r>
        <w:t xml:space="preserve">However, challenges such as stigma, access to care, disparities in service provision, and the quality of care in private settings persist. </w:t>
      </w:r>
      <w:r w:rsidR="00146D8C" w:rsidRPr="00146D8C">
        <w:t>James et al</w:t>
      </w:r>
      <w:r w:rsidR="00146D8C">
        <w:t xml:space="preserve"> (</w:t>
      </w:r>
      <w:r w:rsidR="00146D8C" w:rsidRPr="00146D8C">
        <w:t>2020)</w:t>
      </w:r>
      <w:r w:rsidR="00146D8C">
        <w:t xml:space="preserve"> praise the existing p</w:t>
      </w:r>
      <w:r>
        <w:t>olicy initiatives and legislative measures</w:t>
      </w:r>
      <w:r w:rsidR="00146D8C">
        <w:t xml:space="preserve"> that</w:t>
      </w:r>
      <w:r>
        <w:t xml:space="preserve"> have been implemented to address these challenges, including promoting public awareness, improving access to services, and enhancing regulatory oversight.</w:t>
      </w:r>
      <w:r w:rsidR="00146D8C">
        <w:t xml:space="preserve"> </w:t>
      </w:r>
      <w:r w:rsidR="00B30D41">
        <w:t xml:space="preserve">Though </w:t>
      </w:r>
      <w:r w:rsidR="00B30D41" w:rsidRPr="00B30D41">
        <w:t xml:space="preserve">Livingston et al </w:t>
      </w:r>
      <w:r w:rsidR="00B30D41">
        <w:t>(</w:t>
      </w:r>
      <w:r w:rsidR="00B30D41" w:rsidRPr="00B30D41">
        <w:t>2020)</w:t>
      </w:r>
      <w:r w:rsidR="00B30D41">
        <w:t xml:space="preserve"> express w</w:t>
      </w:r>
      <w:r>
        <w:t>hile progress has been made, ongoing efforts are needed to ensure that policies are effectively implemented, resources are allocated equitably, and the needs of individuals with dementia and their caregivers are fully met. Collaboration between government, healthcare providers, community organizations, and advocacy groups is essential for driving positive change and improving dementia care in Wales and the United Kingdom</w:t>
      </w:r>
      <w:r w:rsidR="00B30D41">
        <w:t xml:space="preserve"> </w:t>
      </w:r>
      <w:r w:rsidR="00D011FD" w:rsidRPr="00D011FD">
        <w:t>(Cations et al, 2018)</w:t>
      </w:r>
      <w:r>
        <w:t>.</w:t>
      </w:r>
      <w:r w:rsidR="00E6672B" w:rsidRPr="00E6672B">
        <w:t xml:space="preserve"> Wenborn et al</w:t>
      </w:r>
      <w:r w:rsidR="00E6672B">
        <w:t xml:space="preserve"> (</w:t>
      </w:r>
      <w:r w:rsidR="00E6672B" w:rsidRPr="00E6672B">
        <w:t>2023)</w:t>
      </w:r>
      <w:r w:rsidR="00D011FD">
        <w:t xml:space="preserve"> </w:t>
      </w:r>
      <w:r w:rsidR="00E6672B">
        <w:t>promotes b</w:t>
      </w:r>
      <w:r>
        <w:t>y addressing the recommendations outlined above and continuing to prioritize person-</w:t>
      </w:r>
      <w:r w:rsidR="00D011FD">
        <w:t>centred</w:t>
      </w:r>
      <w:r>
        <w:t xml:space="preserve"> care, it is possible to enhance the quality of life and well-being of individuals living with dementia and their families, ultimately creating a more supportive and inclusive society for all.</w:t>
      </w:r>
    </w:p>
    <w:p w14:paraId="5A5AE5B3" w14:textId="77777777" w:rsidR="004031AE" w:rsidRDefault="004031AE" w:rsidP="004031AE"/>
    <w:p w14:paraId="6C2AF16C" w14:textId="77777777" w:rsidR="004031AE" w:rsidRDefault="004031AE" w:rsidP="004031AE"/>
    <w:p w14:paraId="467C9D91" w14:textId="0C1062B4" w:rsidR="004031AE" w:rsidRDefault="00616017" w:rsidP="004031AE">
      <w:pPr>
        <w:rPr>
          <w:u w:val="single"/>
        </w:rPr>
      </w:pPr>
      <w:r>
        <w:rPr>
          <w:u w:val="single"/>
        </w:rPr>
        <w:t>References</w:t>
      </w:r>
    </w:p>
    <w:p w14:paraId="257C7553" w14:textId="77777777" w:rsidR="0072664A" w:rsidRDefault="0072664A" w:rsidP="0072664A">
      <w:pPr>
        <w:pStyle w:val="NormalWeb"/>
        <w:spacing w:before="0" w:beforeAutospacing="0" w:after="240" w:afterAutospacing="0" w:line="360" w:lineRule="auto"/>
      </w:pPr>
    </w:p>
    <w:p w14:paraId="645267CF" w14:textId="3D5E6E89"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Aldridge, Z. and Harrison Dening, K. (2019). </w:t>
      </w:r>
      <w:r w:rsidRPr="00B42186">
        <w:rPr>
          <w:rFonts w:asciiTheme="minorHAnsi" w:hAnsiTheme="minorHAnsi" w:cstheme="minorHAnsi"/>
          <w:i/>
          <w:iCs/>
          <w:sz w:val="22"/>
          <w:szCs w:val="22"/>
        </w:rPr>
        <w:t>Admiral Nursing in Primary Care: Peri and Post-Diagnostic Support for Families Affected by Dementia within the UK Primary Care Network Model.</w:t>
      </w:r>
      <w:r w:rsidRPr="00B42186">
        <w:rPr>
          <w:rFonts w:asciiTheme="minorHAnsi" w:hAnsiTheme="minorHAnsi" w:cstheme="minorHAnsi"/>
          <w:sz w:val="22"/>
          <w:szCs w:val="22"/>
        </w:rPr>
        <w:t xml:space="preserve"> </w:t>
      </w:r>
      <w:r w:rsidRPr="00B42186">
        <w:rPr>
          <w:rFonts w:asciiTheme="minorHAnsi" w:hAnsiTheme="minorHAnsi" w:cstheme="minorHAnsi"/>
          <w:i/>
          <w:iCs/>
          <w:sz w:val="22"/>
          <w:szCs w:val="22"/>
        </w:rPr>
        <w:t>OBM Geriatrics</w:t>
      </w:r>
      <w:r w:rsidRPr="00B42186">
        <w:rPr>
          <w:rFonts w:asciiTheme="minorHAnsi" w:hAnsiTheme="minorHAnsi" w:cstheme="minorHAnsi"/>
          <w:sz w:val="22"/>
          <w:szCs w:val="22"/>
        </w:rPr>
        <w:t xml:space="preserve">, 3(4), pp.1–1. </w:t>
      </w:r>
    </w:p>
    <w:p w14:paraId="48655068"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Almutairi, S., Masters, K. and Donyai, P. (2018). The health professional experience of using antipsychotic medication for dementia in care homes: A study using grounded theory and focussing on inappropriate prescribing. </w:t>
      </w:r>
      <w:r w:rsidRPr="00B42186">
        <w:rPr>
          <w:rFonts w:asciiTheme="minorHAnsi" w:hAnsiTheme="minorHAnsi" w:cstheme="minorHAnsi"/>
          <w:i/>
          <w:iCs/>
          <w:sz w:val="22"/>
          <w:szCs w:val="22"/>
        </w:rPr>
        <w:t>Journal of Psychiatric and Mental Health Nursing</w:t>
      </w:r>
      <w:r w:rsidRPr="00B42186">
        <w:rPr>
          <w:rFonts w:asciiTheme="minorHAnsi" w:hAnsiTheme="minorHAnsi" w:cstheme="minorHAnsi"/>
          <w:sz w:val="22"/>
          <w:szCs w:val="22"/>
        </w:rPr>
        <w:t>, 25(5-6), pp.307–318.</w:t>
      </w:r>
    </w:p>
    <w:p w14:paraId="71CA884F" w14:textId="74D7C421"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Anderzhon, J. (2023). </w:t>
      </w:r>
      <w:r w:rsidRPr="00B42186">
        <w:rPr>
          <w:rFonts w:asciiTheme="minorHAnsi" w:hAnsiTheme="minorHAnsi" w:cstheme="minorHAnsi"/>
          <w:i/>
          <w:iCs/>
          <w:sz w:val="22"/>
          <w:szCs w:val="22"/>
        </w:rPr>
        <w:t>Designing for Dementia: An Approach that Works for Everyone.</w:t>
      </w:r>
      <w:r w:rsidRPr="00B42186">
        <w:rPr>
          <w:rFonts w:asciiTheme="minorHAnsi" w:hAnsiTheme="minorHAnsi" w:cstheme="minorHAnsi"/>
          <w:sz w:val="22"/>
          <w:szCs w:val="22"/>
        </w:rPr>
        <w:t xml:space="preserve"> </w:t>
      </w:r>
      <w:r w:rsidRPr="00B42186">
        <w:rPr>
          <w:rFonts w:asciiTheme="minorHAnsi" w:hAnsiTheme="minorHAnsi" w:cstheme="minorHAnsi"/>
          <w:i/>
          <w:iCs/>
          <w:sz w:val="22"/>
          <w:szCs w:val="22"/>
        </w:rPr>
        <w:t>Springer Books</w:t>
      </w:r>
      <w:r w:rsidR="00B42186">
        <w:rPr>
          <w:rFonts w:asciiTheme="minorHAnsi" w:hAnsiTheme="minorHAnsi" w:cstheme="minorHAnsi"/>
          <w:i/>
          <w:iCs/>
          <w:sz w:val="22"/>
          <w:szCs w:val="22"/>
        </w:rPr>
        <w:t>: London</w:t>
      </w:r>
      <w:r w:rsidRPr="00B42186">
        <w:rPr>
          <w:rFonts w:asciiTheme="minorHAnsi" w:hAnsiTheme="minorHAnsi" w:cstheme="minorHAnsi"/>
          <w:sz w:val="22"/>
          <w:szCs w:val="22"/>
        </w:rPr>
        <w:t>, pp.163–178.</w:t>
      </w:r>
    </w:p>
    <w:p w14:paraId="01DC3970" w14:textId="4D7FA026"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Azam, S. (2020). A ‘futures’ approach towards the wellbeing of future generations in Wales and beyond. </w:t>
      </w:r>
      <w:r w:rsidRPr="00B42186">
        <w:rPr>
          <w:rFonts w:asciiTheme="minorHAnsi" w:hAnsiTheme="minorHAnsi" w:cstheme="minorHAnsi"/>
          <w:i/>
          <w:iCs/>
          <w:sz w:val="22"/>
          <w:szCs w:val="22"/>
        </w:rPr>
        <w:t>European Journal of Public Health</w:t>
      </w:r>
      <w:r w:rsidRPr="00B42186">
        <w:rPr>
          <w:rFonts w:asciiTheme="minorHAnsi" w:hAnsiTheme="minorHAnsi" w:cstheme="minorHAnsi"/>
          <w:sz w:val="22"/>
          <w:szCs w:val="22"/>
        </w:rPr>
        <w:t>, 30(</w:t>
      </w:r>
      <w:r w:rsidR="0082064D">
        <w:rPr>
          <w:rFonts w:asciiTheme="minorHAnsi" w:hAnsiTheme="minorHAnsi" w:cstheme="minorHAnsi"/>
          <w:sz w:val="22"/>
          <w:szCs w:val="22"/>
        </w:rPr>
        <w:t>7).</w:t>
      </w:r>
    </w:p>
    <w:p w14:paraId="78941F2D" w14:textId="29364F50"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Cations, M., Radisic, G., Crotty, M. and Laver, K.E. (2018). What does the general public understand about prevention and treatment of dementia? </w:t>
      </w:r>
      <w:r w:rsidRPr="0082064D">
        <w:rPr>
          <w:rFonts w:asciiTheme="minorHAnsi" w:hAnsiTheme="minorHAnsi" w:cstheme="minorHAnsi"/>
          <w:i/>
          <w:iCs/>
          <w:sz w:val="22"/>
          <w:szCs w:val="22"/>
        </w:rPr>
        <w:t>A systematic review of population-based surveys.</w:t>
      </w:r>
      <w:r w:rsidRPr="00B42186">
        <w:rPr>
          <w:rFonts w:asciiTheme="minorHAnsi" w:hAnsiTheme="minorHAnsi" w:cstheme="minorHAnsi"/>
          <w:sz w:val="22"/>
          <w:szCs w:val="22"/>
        </w:rPr>
        <w:t xml:space="preserve"> 13(4).</w:t>
      </w:r>
    </w:p>
    <w:p w14:paraId="657D08F8" w14:textId="02AF081F"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Chenoweth, L., Williams, A., Fry, M., Endean, E. and Liu, Z. (2021). Outcomes of Person-</w:t>
      </w:r>
      <w:r w:rsidR="0082064D" w:rsidRPr="00B42186">
        <w:rPr>
          <w:rFonts w:asciiTheme="minorHAnsi" w:hAnsiTheme="minorHAnsi" w:cstheme="minorHAnsi"/>
          <w:sz w:val="22"/>
          <w:szCs w:val="22"/>
        </w:rPr>
        <w:t>centred</w:t>
      </w:r>
      <w:r w:rsidRPr="00B42186">
        <w:rPr>
          <w:rFonts w:asciiTheme="minorHAnsi" w:hAnsiTheme="minorHAnsi" w:cstheme="minorHAnsi"/>
          <w:sz w:val="22"/>
          <w:szCs w:val="22"/>
        </w:rPr>
        <w:t xml:space="preserve"> Care for Persons with Dementia in the Acute Care Setting: A Pilot Study. </w:t>
      </w:r>
      <w:r w:rsidRPr="00B42186">
        <w:rPr>
          <w:rFonts w:asciiTheme="minorHAnsi" w:hAnsiTheme="minorHAnsi" w:cstheme="minorHAnsi"/>
          <w:i/>
          <w:iCs/>
          <w:sz w:val="22"/>
          <w:szCs w:val="22"/>
        </w:rPr>
        <w:t>Clinical Gerontologist</w:t>
      </w:r>
      <w:r w:rsidRPr="00B42186">
        <w:rPr>
          <w:rFonts w:asciiTheme="minorHAnsi" w:hAnsiTheme="minorHAnsi" w:cstheme="minorHAnsi"/>
          <w:sz w:val="22"/>
          <w:szCs w:val="22"/>
        </w:rPr>
        <w:t>, 45(4), pp.1–15.</w:t>
      </w:r>
    </w:p>
    <w:p w14:paraId="08CDFA2C"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Dalgarno, E.L., Gillan, V., Roberts, A., Tottie, J., Britt, D., Toole, C. and Clarkson, P. (2021). Home care in dementia: The views of informal carers from a co-designed consultation. </w:t>
      </w:r>
      <w:r w:rsidRPr="00B42186">
        <w:rPr>
          <w:rFonts w:asciiTheme="minorHAnsi" w:hAnsiTheme="minorHAnsi" w:cstheme="minorHAnsi"/>
          <w:i/>
          <w:iCs/>
          <w:sz w:val="22"/>
          <w:szCs w:val="22"/>
        </w:rPr>
        <w:t>Dementia</w:t>
      </w:r>
      <w:r w:rsidRPr="00B42186">
        <w:rPr>
          <w:rFonts w:asciiTheme="minorHAnsi" w:hAnsiTheme="minorHAnsi" w:cstheme="minorHAnsi"/>
          <w:sz w:val="22"/>
          <w:szCs w:val="22"/>
        </w:rPr>
        <w:t>, 20(7).</w:t>
      </w:r>
    </w:p>
    <w:p w14:paraId="610328EC"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Davies, S., Hughes, J., Ahmed, S., Clarkson, P. and Challis, D. (2019). Commissioning social care for people with dementia living at home: Findings from a national survey. </w:t>
      </w:r>
      <w:r w:rsidRPr="00B42186">
        <w:rPr>
          <w:rFonts w:asciiTheme="minorHAnsi" w:hAnsiTheme="minorHAnsi" w:cstheme="minorHAnsi"/>
          <w:i/>
          <w:iCs/>
          <w:sz w:val="22"/>
          <w:szCs w:val="22"/>
        </w:rPr>
        <w:t>International Journal of Geriatric Psychiatry</w:t>
      </w:r>
      <w:r w:rsidRPr="00B42186">
        <w:rPr>
          <w:rFonts w:asciiTheme="minorHAnsi" w:hAnsiTheme="minorHAnsi" w:cstheme="minorHAnsi"/>
          <w:sz w:val="22"/>
          <w:szCs w:val="22"/>
        </w:rPr>
        <w:t>, 35(1), pp.53–59.</w:t>
      </w:r>
    </w:p>
    <w:p w14:paraId="5145D5C0" w14:textId="21CE3713"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Dementia UK (2024). </w:t>
      </w:r>
      <w:r w:rsidRPr="00B42186">
        <w:rPr>
          <w:rFonts w:asciiTheme="minorHAnsi" w:hAnsiTheme="minorHAnsi" w:cstheme="minorHAnsi"/>
          <w:i/>
          <w:iCs/>
          <w:sz w:val="22"/>
          <w:szCs w:val="22"/>
        </w:rPr>
        <w:t>Specialist support to families facing dementia</w:t>
      </w:r>
      <w:r w:rsidRPr="00B42186">
        <w:rPr>
          <w:rFonts w:asciiTheme="minorHAnsi" w:hAnsiTheme="minorHAnsi" w:cstheme="minorHAnsi"/>
          <w:sz w:val="22"/>
          <w:szCs w:val="22"/>
        </w:rPr>
        <w:t xml:space="preserve">. Dementia UK. Available at: https://www.dementiauk.org/?msclkid=9aa35b317cfb14ee2d093ed8f35bdb01&amp;utm_source=bing&amp;utm_medium=cpc&amp;utm_campaign=Dementia%20UK%20%5BTier%201%5D%20%20-%20%20%5BDEM02%5D&amp;utm_term=uk%20dementia&amp;utm_content=Dementia%20UK </w:t>
      </w:r>
      <w:r w:rsidR="0082064D">
        <w:rPr>
          <w:rFonts w:asciiTheme="minorHAnsi" w:hAnsiTheme="minorHAnsi" w:cstheme="minorHAnsi"/>
          <w:sz w:val="22"/>
          <w:szCs w:val="22"/>
        </w:rPr>
        <w:t>(</w:t>
      </w:r>
      <w:r w:rsidRPr="00B42186">
        <w:rPr>
          <w:rFonts w:asciiTheme="minorHAnsi" w:hAnsiTheme="minorHAnsi" w:cstheme="minorHAnsi"/>
          <w:sz w:val="22"/>
          <w:szCs w:val="22"/>
        </w:rPr>
        <w:t xml:space="preserve">Accessed </w:t>
      </w:r>
      <w:r w:rsidR="00651CAB">
        <w:rPr>
          <w:rFonts w:asciiTheme="minorHAnsi" w:hAnsiTheme="minorHAnsi" w:cstheme="minorHAnsi"/>
          <w:sz w:val="22"/>
          <w:szCs w:val="22"/>
        </w:rPr>
        <w:t>3</w:t>
      </w:r>
      <w:r w:rsidRPr="00B42186">
        <w:rPr>
          <w:rFonts w:asciiTheme="minorHAnsi" w:hAnsiTheme="minorHAnsi" w:cstheme="minorHAnsi"/>
          <w:sz w:val="22"/>
          <w:szCs w:val="22"/>
        </w:rPr>
        <w:t xml:space="preserve"> </w:t>
      </w:r>
      <w:r w:rsidR="00651CAB">
        <w:rPr>
          <w:rFonts w:asciiTheme="minorHAnsi" w:hAnsiTheme="minorHAnsi" w:cstheme="minorHAnsi"/>
          <w:sz w:val="22"/>
          <w:szCs w:val="22"/>
        </w:rPr>
        <w:t>Feb,</w:t>
      </w:r>
      <w:r w:rsidRPr="00B42186">
        <w:rPr>
          <w:rFonts w:asciiTheme="minorHAnsi" w:hAnsiTheme="minorHAnsi" w:cstheme="minorHAnsi"/>
          <w:sz w:val="22"/>
          <w:szCs w:val="22"/>
        </w:rPr>
        <w:t xml:space="preserve"> 2024</w:t>
      </w:r>
      <w:r w:rsidR="00651CAB">
        <w:rPr>
          <w:rFonts w:asciiTheme="minorHAnsi" w:hAnsiTheme="minorHAnsi" w:cstheme="minorHAnsi"/>
          <w:sz w:val="22"/>
          <w:szCs w:val="22"/>
        </w:rPr>
        <w:t>)</w:t>
      </w:r>
      <w:r w:rsidRPr="00B42186">
        <w:rPr>
          <w:rFonts w:asciiTheme="minorHAnsi" w:hAnsiTheme="minorHAnsi" w:cstheme="minorHAnsi"/>
          <w:sz w:val="22"/>
          <w:szCs w:val="22"/>
        </w:rPr>
        <w:t>.</w:t>
      </w:r>
    </w:p>
    <w:p w14:paraId="7F2615CA"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Dening, K.H. (2019). </w:t>
      </w:r>
      <w:r w:rsidRPr="00B42186">
        <w:rPr>
          <w:rFonts w:asciiTheme="minorHAnsi" w:hAnsiTheme="minorHAnsi" w:cstheme="minorHAnsi"/>
          <w:i/>
          <w:iCs/>
          <w:sz w:val="22"/>
          <w:szCs w:val="22"/>
        </w:rPr>
        <w:t>Evidence-Based Practice in Dementia for Nurses and Nursing Students</w:t>
      </w:r>
      <w:r w:rsidRPr="00B42186">
        <w:rPr>
          <w:rFonts w:asciiTheme="minorHAnsi" w:hAnsiTheme="minorHAnsi" w:cstheme="minorHAnsi"/>
          <w:sz w:val="22"/>
          <w:szCs w:val="22"/>
        </w:rPr>
        <w:t xml:space="preserve">. </w:t>
      </w:r>
      <w:r w:rsidRPr="00B42186">
        <w:rPr>
          <w:rFonts w:asciiTheme="minorHAnsi" w:hAnsiTheme="minorHAnsi" w:cstheme="minorHAnsi"/>
          <w:i/>
          <w:iCs/>
          <w:sz w:val="22"/>
          <w:szCs w:val="22"/>
        </w:rPr>
        <w:t>Google Books</w:t>
      </w:r>
      <w:r w:rsidRPr="00B42186">
        <w:rPr>
          <w:rFonts w:asciiTheme="minorHAnsi" w:hAnsiTheme="minorHAnsi" w:cstheme="minorHAnsi"/>
          <w:sz w:val="22"/>
          <w:szCs w:val="22"/>
        </w:rPr>
        <w:t>. London: Jessica Kingsley Publishers.</w:t>
      </w:r>
    </w:p>
    <w:p w14:paraId="731EEDED"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Dixon, J., Donnelly, S., Campbell, J. and Laing, J. (2021). Safeguarding People Living with Dementia: How Social Workers Can Use Supported Decision-Making Strategies to Support the Human Rights of Individuals during Adult Safeguarding Enquiries. </w:t>
      </w:r>
      <w:r w:rsidRPr="00B42186">
        <w:rPr>
          <w:rFonts w:asciiTheme="minorHAnsi" w:hAnsiTheme="minorHAnsi" w:cstheme="minorHAnsi"/>
          <w:i/>
          <w:iCs/>
          <w:sz w:val="22"/>
          <w:szCs w:val="22"/>
        </w:rPr>
        <w:t>The British Journal of Social Work</w:t>
      </w:r>
      <w:r w:rsidRPr="00B42186">
        <w:rPr>
          <w:rFonts w:asciiTheme="minorHAnsi" w:hAnsiTheme="minorHAnsi" w:cstheme="minorHAnsi"/>
          <w:sz w:val="22"/>
          <w:szCs w:val="22"/>
        </w:rPr>
        <w:t>, 52(3).</w:t>
      </w:r>
    </w:p>
    <w:p w14:paraId="049A8D92"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Dixon, J., Laing, J. and Valentine, C. (2018). A human rights approach to advocacy for people with dementia: A review of current provision in England and Wales. </w:t>
      </w:r>
      <w:r w:rsidRPr="00B42186">
        <w:rPr>
          <w:rFonts w:asciiTheme="minorHAnsi" w:hAnsiTheme="minorHAnsi" w:cstheme="minorHAnsi"/>
          <w:i/>
          <w:iCs/>
          <w:sz w:val="22"/>
          <w:szCs w:val="22"/>
        </w:rPr>
        <w:t>Dementia</w:t>
      </w:r>
      <w:r w:rsidRPr="00B42186">
        <w:rPr>
          <w:rFonts w:asciiTheme="minorHAnsi" w:hAnsiTheme="minorHAnsi" w:cstheme="minorHAnsi"/>
          <w:sz w:val="22"/>
          <w:szCs w:val="22"/>
        </w:rPr>
        <w:t>, 19(2), pp.221–236.</w:t>
      </w:r>
    </w:p>
    <w:p w14:paraId="3835BFE1"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Ebert, A.R., Kulibert, D. and McFadden, S.H. (2019). Effects of dementia knowledge and dementia fear on comfort with people having dementia: Implications for dementia-friendly communities. </w:t>
      </w:r>
      <w:r w:rsidRPr="00B42186">
        <w:rPr>
          <w:rFonts w:asciiTheme="minorHAnsi" w:hAnsiTheme="minorHAnsi" w:cstheme="minorHAnsi"/>
          <w:i/>
          <w:iCs/>
          <w:sz w:val="22"/>
          <w:szCs w:val="22"/>
        </w:rPr>
        <w:t>Dementia</w:t>
      </w:r>
      <w:r w:rsidRPr="00B42186">
        <w:rPr>
          <w:rFonts w:asciiTheme="minorHAnsi" w:hAnsiTheme="minorHAnsi" w:cstheme="minorHAnsi"/>
          <w:sz w:val="22"/>
          <w:szCs w:val="22"/>
        </w:rPr>
        <w:t>, 19(8).</w:t>
      </w:r>
    </w:p>
    <w:p w14:paraId="010EEA2B"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Emily Stella Andrews (2017). Institutionalising senile dementia in 19th‐century Britain. </w:t>
      </w:r>
      <w:r w:rsidRPr="00B42186">
        <w:rPr>
          <w:rFonts w:asciiTheme="minorHAnsi" w:hAnsiTheme="minorHAnsi" w:cstheme="minorHAnsi"/>
          <w:i/>
          <w:iCs/>
          <w:sz w:val="22"/>
          <w:szCs w:val="22"/>
        </w:rPr>
        <w:t>Ageing, Dementia and the Social Mind, First Edition</w:t>
      </w:r>
      <w:r w:rsidRPr="00B42186">
        <w:rPr>
          <w:rFonts w:asciiTheme="minorHAnsi" w:hAnsiTheme="minorHAnsi" w:cstheme="minorHAnsi"/>
          <w:sz w:val="22"/>
          <w:szCs w:val="22"/>
        </w:rPr>
        <w:t>, 33(13), pp.69–82.</w:t>
      </w:r>
    </w:p>
    <w:p w14:paraId="343A156A"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Feast, A.R., White, N., Candy, B., Kupeli, N. and Sampson, E.L. (2020). The effectiveness of interventions to improve the care and management of people with dementia in general hospitals: A systematic review. </w:t>
      </w:r>
      <w:r w:rsidRPr="00B42186">
        <w:rPr>
          <w:rFonts w:asciiTheme="minorHAnsi" w:hAnsiTheme="minorHAnsi" w:cstheme="minorHAnsi"/>
          <w:i/>
          <w:iCs/>
          <w:sz w:val="22"/>
          <w:szCs w:val="22"/>
        </w:rPr>
        <w:t>International Journal of Geriatric Psychiatry</w:t>
      </w:r>
      <w:r w:rsidRPr="00B42186">
        <w:rPr>
          <w:rFonts w:asciiTheme="minorHAnsi" w:hAnsiTheme="minorHAnsi" w:cstheme="minorHAnsi"/>
          <w:sz w:val="22"/>
          <w:szCs w:val="22"/>
        </w:rPr>
        <w:t>, 35(5), pp.463–488.</w:t>
      </w:r>
    </w:p>
    <w:p w14:paraId="33545A47"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Francis, N. and Hanna, P. (2020). Informal carer experiences of UK dementia services – a systematic review. </w:t>
      </w:r>
      <w:r w:rsidRPr="00B42186">
        <w:rPr>
          <w:rFonts w:asciiTheme="minorHAnsi" w:hAnsiTheme="minorHAnsi" w:cstheme="minorHAnsi"/>
          <w:i/>
          <w:iCs/>
          <w:sz w:val="22"/>
          <w:szCs w:val="22"/>
        </w:rPr>
        <w:t>Journal of Psychiatric and Mental Health Nursing</w:t>
      </w:r>
      <w:r w:rsidRPr="00B42186">
        <w:rPr>
          <w:rFonts w:asciiTheme="minorHAnsi" w:hAnsiTheme="minorHAnsi" w:cstheme="minorHAnsi"/>
          <w:sz w:val="22"/>
          <w:szCs w:val="22"/>
        </w:rPr>
        <w:t>, 29(1).</w:t>
      </w:r>
    </w:p>
    <w:p w14:paraId="461821CF"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Gamble, L.D., Matthews, F.E., Jones, I.R., Hillman, A.E., Woods, B., Macleod, C.A., Martyr, A., Collins, R., Pentecost, C., Rusted, J.M. and Clare, L. (2022). Characteristics of people living with undiagnosed dementia: findings from the CFAS Wales study. </w:t>
      </w:r>
      <w:r w:rsidRPr="00B42186">
        <w:rPr>
          <w:rFonts w:asciiTheme="minorHAnsi" w:hAnsiTheme="minorHAnsi" w:cstheme="minorHAnsi"/>
          <w:i/>
          <w:iCs/>
          <w:sz w:val="22"/>
          <w:szCs w:val="22"/>
        </w:rPr>
        <w:t>BMC Geriatrics</w:t>
      </w:r>
      <w:r w:rsidRPr="00B42186">
        <w:rPr>
          <w:rFonts w:asciiTheme="minorHAnsi" w:hAnsiTheme="minorHAnsi" w:cstheme="minorHAnsi"/>
          <w:sz w:val="22"/>
          <w:szCs w:val="22"/>
        </w:rPr>
        <w:t>, 22(1).</w:t>
      </w:r>
    </w:p>
    <w:p w14:paraId="26D5D363"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Gitlin, L. and Maslow, K. (2018). </w:t>
      </w:r>
      <w:r w:rsidRPr="00B42186">
        <w:rPr>
          <w:rFonts w:asciiTheme="minorHAnsi" w:hAnsiTheme="minorHAnsi" w:cstheme="minorHAnsi"/>
          <w:i/>
          <w:iCs/>
          <w:sz w:val="22"/>
          <w:szCs w:val="22"/>
        </w:rPr>
        <w:t>National Research Summit on Care, Services, and Supports for Persons with Dementia and Their Caregivers Report to the National Advisory Council on Alzheimer’s Research, Care, and Services</w:t>
      </w:r>
      <w:r w:rsidRPr="00B42186">
        <w:rPr>
          <w:rFonts w:asciiTheme="minorHAnsi" w:hAnsiTheme="minorHAnsi" w:cstheme="minorHAnsi"/>
          <w:sz w:val="22"/>
          <w:szCs w:val="22"/>
        </w:rPr>
        <w:t>. London: Report to the National Advisory Council on Alzheimer’s Research, Care, and Services .</w:t>
      </w:r>
    </w:p>
    <w:p w14:paraId="741B3C34"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Grabowski, D.C. and Mor, V. (2020). Nursing Home Care in Crisis in the Wake of COVID-19. </w:t>
      </w:r>
      <w:r w:rsidRPr="00B42186">
        <w:rPr>
          <w:rFonts w:asciiTheme="minorHAnsi" w:hAnsiTheme="minorHAnsi" w:cstheme="minorHAnsi"/>
          <w:i/>
          <w:iCs/>
          <w:sz w:val="22"/>
          <w:szCs w:val="22"/>
        </w:rPr>
        <w:t>JAMA</w:t>
      </w:r>
      <w:r w:rsidRPr="00B42186">
        <w:rPr>
          <w:rFonts w:asciiTheme="minorHAnsi" w:hAnsiTheme="minorHAnsi" w:cstheme="minorHAnsi"/>
          <w:sz w:val="22"/>
          <w:szCs w:val="22"/>
        </w:rPr>
        <w:t>, 324(1).</w:t>
      </w:r>
    </w:p>
    <w:p w14:paraId="53E17C6B"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Greenwood, N., Pound, C., Smith, R. and Brearley, S. (2019). Experiences and support needs of older carers: A focus group study of perceptions from the voluntary and statutory sectors. </w:t>
      </w:r>
      <w:r w:rsidRPr="00B42186">
        <w:rPr>
          <w:rFonts w:asciiTheme="minorHAnsi" w:hAnsiTheme="minorHAnsi" w:cstheme="minorHAnsi"/>
          <w:i/>
          <w:iCs/>
          <w:sz w:val="22"/>
          <w:szCs w:val="22"/>
        </w:rPr>
        <w:t>Maturitas</w:t>
      </w:r>
      <w:r w:rsidRPr="00B42186">
        <w:rPr>
          <w:rFonts w:asciiTheme="minorHAnsi" w:hAnsiTheme="minorHAnsi" w:cstheme="minorHAnsi"/>
          <w:sz w:val="22"/>
          <w:szCs w:val="22"/>
        </w:rPr>
        <w:t>, 123(45), pp.40–44.</w:t>
      </w:r>
    </w:p>
    <w:p w14:paraId="0C6EF382" w14:textId="04F1B40D"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Grimm, D., Kemmerer, A. and Möllers, C. eds., (2018). </w:t>
      </w:r>
      <w:r w:rsidRPr="00B42186">
        <w:rPr>
          <w:rFonts w:asciiTheme="minorHAnsi" w:hAnsiTheme="minorHAnsi" w:cstheme="minorHAnsi"/>
          <w:i/>
          <w:iCs/>
          <w:sz w:val="22"/>
          <w:szCs w:val="22"/>
        </w:rPr>
        <w:t>Human Dignity in Context</w:t>
      </w:r>
      <w:r w:rsidRPr="00B42186">
        <w:rPr>
          <w:rFonts w:asciiTheme="minorHAnsi" w:hAnsiTheme="minorHAnsi" w:cstheme="minorHAnsi"/>
          <w:sz w:val="22"/>
          <w:szCs w:val="22"/>
        </w:rPr>
        <w:t xml:space="preserve">. Germany: Nomos Verlagsgesellschaft mbH &amp; Co. KG. </w:t>
      </w:r>
    </w:p>
    <w:p w14:paraId="17808584"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Howick, J., Moscrop, A., Mebius, A., Fanshawe, T.R., Lewith, G., Bishop, F.L., Mistiaen, P., Roberts, N.W., Dieninytė, E., Hu, X.-Y., Aveyard, P. and Onakpoya, I.J. (2018). Effects of Empathic and Positive Communication in Healthcare consultations: a Systematic Review and meta-analysis. </w:t>
      </w:r>
      <w:r w:rsidRPr="00B42186">
        <w:rPr>
          <w:rFonts w:asciiTheme="minorHAnsi" w:hAnsiTheme="minorHAnsi" w:cstheme="minorHAnsi"/>
          <w:i/>
          <w:iCs/>
          <w:sz w:val="22"/>
          <w:szCs w:val="22"/>
        </w:rPr>
        <w:t>Journal of the Royal Society of Medicine</w:t>
      </w:r>
      <w:r w:rsidRPr="00B42186">
        <w:rPr>
          <w:rFonts w:asciiTheme="minorHAnsi" w:hAnsiTheme="minorHAnsi" w:cstheme="minorHAnsi"/>
          <w:sz w:val="22"/>
          <w:szCs w:val="22"/>
        </w:rPr>
        <w:t>, 111(7), pp.240–252.</w:t>
      </w:r>
    </w:p>
    <w:p w14:paraId="388ED0C7"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Iacobucci, G. (2018). NHS staff shortages could reach 250 000 by 2030 without urgent action, experts warn. </w:t>
      </w:r>
      <w:r w:rsidRPr="00B42186">
        <w:rPr>
          <w:rFonts w:asciiTheme="minorHAnsi" w:hAnsiTheme="minorHAnsi" w:cstheme="minorHAnsi"/>
          <w:i/>
          <w:iCs/>
          <w:sz w:val="22"/>
          <w:szCs w:val="22"/>
        </w:rPr>
        <w:t>BMJ</w:t>
      </w:r>
      <w:r w:rsidRPr="00B42186">
        <w:rPr>
          <w:rFonts w:asciiTheme="minorHAnsi" w:hAnsiTheme="minorHAnsi" w:cstheme="minorHAnsi"/>
          <w:sz w:val="22"/>
          <w:szCs w:val="22"/>
        </w:rPr>
        <w:t>, 363(76).</w:t>
      </w:r>
    </w:p>
    <w:p w14:paraId="59EC2221"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James, G., Collin, E., Lawrance, M., Mueller, A., Podhorna, J., Zaremba-Pechmann, L., Rijnbeek, P., van, Avillach, P., Pedersen, L., Ansell, D., Pasqua, A., Grosdidier, S., Gungabissoon, U., Egger, P., Stewart, R.J., Celis-Morales, C., Alexander, M., Novak, G. and Mark Forrest Gordon (2020). Treatment pathway analysis of newly diagnosed dementia patients in four electronic health record databases in Europe. </w:t>
      </w:r>
      <w:r w:rsidRPr="00B42186">
        <w:rPr>
          <w:rFonts w:asciiTheme="minorHAnsi" w:hAnsiTheme="minorHAnsi" w:cstheme="minorHAnsi"/>
          <w:i/>
          <w:iCs/>
          <w:sz w:val="22"/>
          <w:szCs w:val="22"/>
        </w:rPr>
        <w:t>Social Psychiatry and Psychiatric Epidemiology</w:t>
      </w:r>
      <w:r w:rsidRPr="00B42186">
        <w:rPr>
          <w:rFonts w:asciiTheme="minorHAnsi" w:hAnsiTheme="minorHAnsi" w:cstheme="minorHAnsi"/>
          <w:sz w:val="22"/>
          <w:szCs w:val="22"/>
        </w:rPr>
        <w:t>, 56(3), pp.409–416.</w:t>
      </w:r>
    </w:p>
    <w:p w14:paraId="52E642E6"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Kelly, F., Vassallo, M. and Nyman, S.R. (2023). Understanding the hospital discharge planning process for medical patients with dementia. </w:t>
      </w:r>
      <w:r w:rsidRPr="00B42186">
        <w:rPr>
          <w:rFonts w:asciiTheme="minorHAnsi" w:hAnsiTheme="minorHAnsi" w:cstheme="minorHAnsi"/>
          <w:i/>
          <w:iCs/>
          <w:sz w:val="22"/>
          <w:szCs w:val="22"/>
        </w:rPr>
        <w:t>Contemporary Nurse</w:t>
      </w:r>
      <w:r w:rsidRPr="00B42186">
        <w:rPr>
          <w:rFonts w:asciiTheme="minorHAnsi" w:hAnsiTheme="minorHAnsi" w:cstheme="minorHAnsi"/>
          <w:sz w:val="22"/>
          <w:szCs w:val="22"/>
        </w:rPr>
        <w:t>, 59(4-5), pp.323–333.</w:t>
      </w:r>
    </w:p>
    <w:p w14:paraId="66A15582"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Krier, D., Wittwer, J. and Amieva, H. (2023). Evaluation of Dementia-Friendly Initiatives, Small-Scale Homelike Residential Care, and Dementia Village Models: A Scoping Review. </w:t>
      </w:r>
      <w:r w:rsidRPr="00B42186">
        <w:rPr>
          <w:rFonts w:asciiTheme="minorHAnsi" w:hAnsiTheme="minorHAnsi" w:cstheme="minorHAnsi"/>
          <w:i/>
          <w:iCs/>
          <w:sz w:val="22"/>
          <w:szCs w:val="22"/>
        </w:rPr>
        <w:t>Journal of the American Medical Directors Association</w:t>
      </w:r>
      <w:r w:rsidRPr="00B42186">
        <w:rPr>
          <w:rFonts w:asciiTheme="minorHAnsi" w:hAnsiTheme="minorHAnsi" w:cstheme="minorHAnsi"/>
          <w:sz w:val="22"/>
          <w:szCs w:val="22"/>
        </w:rPr>
        <w:t>, 24(7).</w:t>
      </w:r>
    </w:p>
    <w:p w14:paraId="565A41E7"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Lindeza, P., Rodrigues, M., Costa, J., Guerreiro, M. and Rosa, M.M. (2020). Impact of dementia on informal care: a systematic review of family caregivers’ perceptions. </w:t>
      </w:r>
      <w:r w:rsidRPr="00B42186">
        <w:rPr>
          <w:rFonts w:asciiTheme="minorHAnsi" w:hAnsiTheme="minorHAnsi" w:cstheme="minorHAnsi"/>
          <w:i/>
          <w:iCs/>
          <w:sz w:val="22"/>
          <w:szCs w:val="22"/>
        </w:rPr>
        <w:t>BMJ Supportive &amp; Palliative Care</w:t>
      </w:r>
      <w:r w:rsidRPr="00B42186">
        <w:rPr>
          <w:rFonts w:asciiTheme="minorHAnsi" w:hAnsiTheme="minorHAnsi" w:cstheme="minorHAnsi"/>
          <w:sz w:val="22"/>
          <w:szCs w:val="22"/>
        </w:rPr>
        <w:t>, 201(67).</w:t>
      </w:r>
    </w:p>
    <w:p w14:paraId="5F9F276A"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Livingston, G., Huntley, J., Sommerlad, A., Ames, D., Ballard, C., Banerjee, S., Brayne, C., Burns, A., Cohen-Mansfield, J., Cooper, C., Costafreda, S.G., Dias, A., Fox, N., Gitlin, L.N., Howard, R., Kales, H.C., Kivimäki, M., Larson, E.B., Ogunniyi, A. and Orgeta, V. (2020). Dementia prevention, intervention, and care: 2020 report of the lancet commission. </w:t>
      </w:r>
      <w:r w:rsidRPr="00B42186">
        <w:rPr>
          <w:rFonts w:asciiTheme="minorHAnsi" w:hAnsiTheme="minorHAnsi" w:cstheme="minorHAnsi"/>
          <w:i/>
          <w:iCs/>
          <w:sz w:val="22"/>
          <w:szCs w:val="22"/>
        </w:rPr>
        <w:t>The Lancet</w:t>
      </w:r>
      <w:r w:rsidRPr="00B42186">
        <w:rPr>
          <w:rFonts w:asciiTheme="minorHAnsi" w:hAnsiTheme="minorHAnsi" w:cstheme="minorHAnsi"/>
          <w:sz w:val="22"/>
          <w:szCs w:val="22"/>
        </w:rPr>
        <w:t>, 396(10248), pp.413–446.</w:t>
      </w:r>
    </w:p>
    <w:p w14:paraId="77B7E7F1"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Mauricio, R., Benn, C., Davis, J., Dawson, G., Dawson, L.A., Evans, A., Fox, N., Gallacher, J., Hutton, M., Isaac, J., Jones, D.N.C., Jones, L., Lalli, G., Libri, V., Lovestone, S., Moody, C., Noble, W., Perry, H., Pickett, J. and Reynolds, D. (2019). Tackling gaps in developing life-changing treatments for dementia. </w:t>
      </w:r>
      <w:r w:rsidRPr="00B42186">
        <w:rPr>
          <w:rFonts w:asciiTheme="minorHAnsi" w:hAnsiTheme="minorHAnsi" w:cstheme="minorHAnsi"/>
          <w:i/>
          <w:iCs/>
          <w:sz w:val="22"/>
          <w:szCs w:val="22"/>
        </w:rPr>
        <w:t>Alzheimer’s &amp; Dementia : Translational Research &amp; Clinical Interventions</w:t>
      </w:r>
      <w:r w:rsidRPr="00B42186">
        <w:rPr>
          <w:rFonts w:asciiTheme="minorHAnsi" w:hAnsiTheme="minorHAnsi" w:cstheme="minorHAnsi"/>
          <w:sz w:val="22"/>
          <w:szCs w:val="22"/>
        </w:rPr>
        <w:t>, 5(2), pp.241–253.</w:t>
      </w:r>
    </w:p>
    <w:p w14:paraId="654A11F8"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Maydan, D. (2023). Truth that Matters. </w:t>
      </w:r>
      <w:r w:rsidRPr="00B42186">
        <w:rPr>
          <w:rFonts w:asciiTheme="minorHAnsi" w:hAnsiTheme="minorHAnsi" w:cstheme="minorHAnsi"/>
          <w:i/>
          <w:iCs/>
          <w:sz w:val="22"/>
          <w:szCs w:val="22"/>
        </w:rPr>
        <w:t>Voices in bioethics</w:t>
      </w:r>
      <w:r w:rsidRPr="00B42186">
        <w:rPr>
          <w:rFonts w:asciiTheme="minorHAnsi" w:hAnsiTheme="minorHAnsi" w:cstheme="minorHAnsi"/>
          <w:sz w:val="22"/>
          <w:szCs w:val="22"/>
        </w:rPr>
        <w:t>, 9(3).</w:t>
      </w:r>
    </w:p>
    <w:p w14:paraId="65A03607"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McLaughlan, R., Annear, M. and Pert, A. (2018). Dementia, ageing, and the city: learning from the streets of Melbourne. </w:t>
      </w:r>
      <w:r w:rsidRPr="00B42186">
        <w:rPr>
          <w:rFonts w:asciiTheme="minorHAnsi" w:hAnsiTheme="minorHAnsi" w:cstheme="minorHAnsi"/>
          <w:i/>
          <w:iCs/>
          <w:sz w:val="22"/>
          <w:szCs w:val="22"/>
        </w:rPr>
        <w:t>Architectural Research Quarterly</w:t>
      </w:r>
      <w:r w:rsidRPr="00B42186">
        <w:rPr>
          <w:rFonts w:asciiTheme="minorHAnsi" w:hAnsiTheme="minorHAnsi" w:cstheme="minorHAnsi"/>
          <w:sz w:val="22"/>
          <w:szCs w:val="22"/>
        </w:rPr>
        <w:t>, 22(2), pp.104–114.</w:t>
      </w:r>
    </w:p>
    <w:p w14:paraId="4E4589B4"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Morgan, R.C., Castro, J., Garcia, J.G., Gibson, B.T., Hall, S. and Hauber, E. (2019). There’s No Place like a Home - Or a Nursing Home That Looks like Home: A Visit to De Hogeweyk. </w:t>
      </w:r>
      <w:r w:rsidRPr="00B42186">
        <w:rPr>
          <w:rFonts w:asciiTheme="minorHAnsi" w:hAnsiTheme="minorHAnsi" w:cstheme="minorHAnsi"/>
          <w:i/>
          <w:iCs/>
          <w:sz w:val="22"/>
          <w:szCs w:val="22"/>
        </w:rPr>
        <w:t>Journal of Comparative and International Aging Law &amp; Policy</w:t>
      </w:r>
      <w:r w:rsidRPr="00B42186">
        <w:rPr>
          <w:rFonts w:asciiTheme="minorHAnsi" w:hAnsiTheme="minorHAnsi" w:cstheme="minorHAnsi"/>
          <w:sz w:val="22"/>
          <w:szCs w:val="22"/>
        </w:rPr>
        <w:t>, 10(2), p.143.</w:t>
      </w:r>
    </w:p>
    <w:p w14:paraId="5CC08C17"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Nguyen, T. and Li, X. (2020). Understanding public-stigma and self-stigma in the context of dementia: A systematic review of the global literature. </w:t>
      </w:r>
      <w:r w:rsidRPr="00B42186">
        <w:rPr>
          <w:rFonts w:asciiTheme="minorHAnsi" w:hAnsiTheme="minorHAnsi" w:cstheme="minorHAnsi"/>
          <w:i/>
          <w:iCs/>
          <w:sz w:val="22"/>
          <w:szCs w:val="22"/>
        </w:rPr>
        <w:t>Dementia</w:t>
      </w:r>
      <w:r w:rsidRPr="00B42186">
        <w:rPr>
          <w:rFonts w:asciiTheme="minorHAnsi" w:hAnsiTheme="minorHAnsi" w:cstheme="minorHAnsi"/>
          <w:sz w:val="22"/>
          <w:szCs w:val="22"/>
        </w:rPr>
        <w:t>, 19(2), pp.148–181.</w:t>
      </w:r>
    </w:p>
    <w:p w14:paraId="61CB360E" w14:textId="1401A478"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Office for Health Improvement &amp; Disparities (2022). </w:t>
      </w:r>
      <w:r w:rsidRPr="00B42186">
        <w:rPr>
          <w:rFonts w:asciiTheme="minorHAnsi" w:hAnsiTheme="minorHAnsi" w:cstheme="minorHAnsi"/>
          <w:i/>
          <w:iCs/>
          <w:sz w:val="22"/>
          <w:szCs w:val="22"/>
        </w:rPr>
        <w:t>Dementia: Applying All Our Health</w:t>
      </w:r>
      <w:r w:rsidRPr="00B42186">
        <w:rPr>
          <w:rFonts w:asciiTheme="minorHAnsi" w:hAnsiTheme="minorHAnsi" w:cstheme="minorHAnsi"/>
          <w:sz w:val="22"/>
          <w:szCs w:val="22"/>
        </w:rPr>
        <w:t xml:space="preserve">. Available at: https://www.gov.uk/government/publications/dementia-applying-all-our-health/dementia-applying-all-our-health </w:t>
      </w:r>
      <w:r w:rsidR="002D3DD4">
        <w:rPr>
          <w:rFonts w:asciiTheme="minorHAnsi" w:hAnsiTheme="minorHAnsi" w:cstheme="minorHAnsi"/>
          <w:sz w:val="22"/>
          <w:szCs w:val="22"/>
        </w:rPr>
        <w:t>(</w:t>
      </w:r>
      <w:r w:rsidRPr="00B42186">
        <w:rPr>
          <w:rFonts w:asciiTheme="minorHAnsi" w:hAnsiTheme="minorHAnsi" w:cstheme="minorHAnsi"/>
          <w:sz w:val="22"/>
          <w:szCs w:val="22"/>
        </w:rPr>
        <w:t xml:space="preserve">Accessed 7 </w:t>
      </w:r>
      <w:r w:rsidR="002D3DD4">
        <w:rPr>
          <w:rFonts w:asciiTheme="minorHAnsi" w:hAnsiTheme="minorHAnsi" w:cstheme="minorHAnsi"/>
          <w:sz w:val="22"/>
          <w:szCs w:val="22"/>
        </w:rPr>
        <w:t>Feb</w:t>
      </w:r>
      <w:r w:rsidRPr="00B42186">
        <w:rPr>
          <w:rFonts w:asciiTheme="minorHAnsi" w:hAnsiTheme="minorHAnsi" w:cstheme="minorHAnsi"/>
          <w:sz w:val="22"/>
          <w:szCs w:val="22"/>
        </w:rPr>
        <w:t>. 2024</w:t>
      </w:r>
      <w:r w:rsidR="002D3DD4">
        <w:rPr>
          <w:rFonts w:asciiTheme="minorHAnsi" w:hAnsiTheme="minorHAnsi" w:cstheme="minorHAnsi"/>
          <w:sz w:val="22"/>
          <w:szCs w:val="22"/>
        </w:rPr>
        <w:t>)</w:t>
      </w:r>
      <w:r w:rsidRPr="00B42186">
        <w:rPr>
          <w:rFonts w:asciiTheme="minorHAnsi" w:hAnsiTheme="minorHAnsi" w:cstheme="minorHAnsi"/>
          <w:sz w:val="22"/>
          <w:szCs w:val="22"/>
        </w:rPr>
        <w:t>.</w:t>
      </w:r>
    </w:p>
    <w:p w14:paraId="4BE59FE9"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Paraskevaidi, M., Martin-Hirsch, P.L. and Martin, F.L. (2018). Progress and Challenges in the Diagnosis of Dementia: A Critical Review. </w:t>
      </w:r>
      <w:r w:rsidRPr="00B42186">
        <w:rPr>
          <w:rFonts w:asciiTheme="minorHAnsi" w:hAnsiTheme="minorHAnsi" w:cstheme="minorHAnsi"/>
          <w:i/>
          <w:iCs/>
          <w:sz w:val="22"/>
          <w:szCs w:val="22"/>
        </w:rPr>
        <w:t>ACS Chemical Neuroscience</w:t>
      </w:r>
      <w:r w:rsidRPr="00B42186">
        <w:rPr>
          <w:rFonts w:asciiTheme="minorHAnsi" w:hAnsiTheme="minorHAnsi" w:cstheme="minorHAnsi"/>
          <w:sz w:val="22"/>
          <w:szCs w:val="22"/>
        </w:rPr>
        <w:t>, 9(3), pp.446–461.</w:t>
      </w:r>
    </w:p>
    <w:p w14:paraId="43348BE8"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Pedro, C., Duarte, M., Jorge, B. and Freitas, D. (2020). 440 - Dementia villages: rethinking dementia care. </w:t>
      </w:r>
      <w:r w:rsidRPr="00B42186">
        <w:rPr>
          <w:rFonts w:asciiTheme="minorHAnsi" w:hAnsiTheme="minorHAnsi" w:cstheme="minorHAnsi"/>
          <w:i/>
          <w:iCs/>
          <w:sz w:val="22"/>
          <w:szCs w:val="22"/>
        </w:rPr>
        <w:t>International Psychogeriatrics</w:t>
      </w:r>
      <w:r w:rsidRPr="00B42186">
        <w:rPr>
          <w:rFonts w:asciiTheme="minorHAnsi" w:hAnsiTheme="minorHAnsi" w:cstheme="minorHAnsi"/>
          <w:sz w:val="22"/>
          <w:szCs w:val="22"/>
        </w:rPr>
        <w:t>, 32(S1), pp.158–158.</w:t>
      </w:r>
    </w:p>
    <w:p w14:paraId="51E80A16"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Pickett, J., Bird, C., Ballard, C., Banerjee, S., Brayne, C., Cowan, K., Clare, L., Comas-Herrera, A., Corner, L., Daley, S., Knapp, M., Lafortune, L., Livingston, G., Manthorpe, J., Marchant, N., Moriarty, J., Robinson, L., van Lynden, C., Windle, G. and Woods, B. (2018). A roadmap to advance dementia research in prevention, diagnosis, intervention, and care by 2025. </w:t>
      </w:r>
      <w:r w:rsidRPr="00B42186">
        <w:rPr>
          <w:rFonts w:asciiTheme="minorHAnsi" w:hAnsiTheme="minorHAnsi" w:cstheme="minorHAnsi"/>
          <w:i/>
          <w:iCs/>
          <w:sz w:val="22"/>
          <w:szCs w:val="22"/>
        </w:rPr>
        <w:t>International Journal of Geriatric Psychiatry</w:t>
      </w:r>
      <w:r w:rsidRPr="00B42186">
        <w:rPr>
          <w:rFonts w:asciiTheme="minorHAnsi" w:hAnsiTheme="minorHAnsi" w:cstheme="minorHAnsi"/>
          <w:sz w:val="22"/>
          <w:szCs w:val="22"/>
        </w:rPr>
        <w:t>, 33(7), pp.900–906.</w:t>
      </w:r>
    </w:p>
    <w:p w14:paraId="4DD7E0C8"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Pozo Menéndez, E. and Higueras García, E. (2022). Best Practices from Eight European Dementia-Friendly Study Cases of Innovation. </w:t>
      </w:r>
      <w:r w:rsidRPr="00B42186">
        <w:rPr>
          <w:rFonts w:asciiTheme="minorHAnsi" w:hAnsiTheme="minorHAnsi" w:cstheme="minorHAnsi"/>
          <w:i/>
          <w:iCs/>
          <w:sz w:val="22"/>
          <w:szCs w:val="22"/>
        </w:rPr>
        <w:t>International Journal of Environmental Research and Public Health</w:t>
      </w:r>
      <w:r w:rsidRPr="00B42186">
        <w:rPr>
          <w:rFonts w:asciiTheme="minorHAnsi" w:hAnsiTheme="minorHAnsi" w:cstheme="minorHAnsi"/>
          <w:sz w:val="22"/>
          <w:szCs w:val="22"/>
        </w:rPr>
        <w:t>, 19(21).</w:t>
      </w:r>
    </w:p>
    <w:p w14:paraId="6DD73CFC"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Quinn, C., Pickett, J.A., Litherland, R., Morris, R.G., Martyr, A. and Clare, L. (2021). Living well with dementia: What is possible and how to promote it. </w:t>
      </w:r>
      <w:r w:rsidRPr="00B42186">
        <w:rPr>
          <w:rFonts w:asciiTheme="minorHAnsi" w:hAnsiTheme="minorHAnsi" w:cstheme="minorHAnsi"/>
          <w:i/>
          <w:iCs/>
          <w:sz w:val="22"/>
          <w:szCs w:val="22"/>
        </w:rPr>
        <w:t>International Journal of Geriatric Psychiatry</w:t>
      </w:r>
      <w:r w:rsidRPr="00B42186">
        <w:rPr>
          <w:rFonts w:asciiTheme="minorHAnsi" w:hAnsiTheme="minorHAnsi" w:cstheme="minorHAnsi"/>
          <w:sz w:val="22"/>
          <w:szCs w:val="22"/>
        </w:rPr>
        <w:t>, 37(1).</w:t>
      </w:r>
    </w:p>
    <w:p w14:paraId="754B71B3"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Rahman, Md.M., Kamal, M.A., Mim, S.A., Islam, Md.R., Parvez, A., Islam, F., Uddin, M.B., Rahaman, Md.S., Shuvo, P.A., Ahmed, M. and Greig, N.H. (2022). Exploring the Recent Trends in Management of Dementia and Frailty: Focus on Diagnosis and Treatment. </w:t>
      </w:r>
      <w:r w:rsidRPr="00B42186">
        <w:rPr>
          <w:rFonts w:asciiTheme="minorHAnsi" w:hAnsiTheme="minorHAnsi" w:cstheme="minorHAnsi"/>
          <w:i/>
          <w:iCs/>
          <w:sz w:val="22"/>
          <w:szCs w:val="22"/>
        </w:rPr>
        <w:t>Current Medicinal Chemistry</w:t>
      </w:r>
      <w:r w:rsidRPr="00B42186">
        <w:rPr>
          <w:rFonts w:asciiTheme="minorHAnsi" w:hAnsiTheme="minorHAnsi" w:cstheme="minorHAnsi"/>
          <w:sz w:val="22"/>
          <w:szCs w:val="22"/>
        </w:rPr>
        <w:t>, 29(32), pp.5289–5314.</w:t>
      </w:r>
    </w:p>
    <w:p w14:paraId="6A55DE6E"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Reilly, S.T., Harding, A.J.E., Morbey, H., Ahmed, F., Williamson, P.R., Swarbrick, C., Leroi, I., Davies, L., Reeves, D., Holland, F., Hann, M. and Keady, J. (2020). What is important to people with dementia living at home? A set of core outcome items for use in the evaluation of non-pharmacological community-based health and social care interventions. </w:t>
      </w:r>
      <w:r w:rsidRPr="00B42186">
        <w:rPr>
          <w:rFonts w:asciiTheme="minorHAnsi" w:hAnsiTheme="minorHAnsi" w:cstheme="minorHAnsi"/>
          <w:i/>
          <w:iCs/>
          <w:sz w:val="22"/>
          <w:szCs w:val="22"/>
        </w:rPr>
        <w:t>Age and Ageing</w:t>
      </w:r>
      <w:r w:rsidRPr="00B42186">
        <w:rPr>
          <w:rFonts w:asciiTheme="minorHAnsi" w:hAnsiTheme="minorHAnsi" w:cstheme="minorHAnsi"/>
          <w:sz w:val="22"/>
          <w:szCs w:val="22"/>
        </w:rPr>
        <w:t>, 49(4), pp.664–671.</w:t>
      </w:r>
    </w:p>
    <w:p w14:paraId="7B430C48"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Ritch, A. (2013). English Poor Law Institutional Care for Older People: Identifying the ‘Aged and Infirm’ and the ‘Sick’ in Birmingham Workhouse, 1852-1912. </w:t>
      </w:r>
      <w:r w:rsidRPr="00B42186">
        <w:rPr>
          <w:rFonts w:asciiTheme="minorHAnsi" w:hAnsiTheme="minorHAnsi" w:cstheme="minorHAnsi"/>
          <w:i/>
          <w:iCs/>
          <w:sz w:val="22"/>
          <w:szCs w:val="22"/>
        </w:rPr>
        <w:t>Social History of Medicine</w:t>
      </w:r>
      <w:r w:rsidRPr="00B42186">
        <w:rPr>
          <w:rFonts w:asciiTheme="minorHAnsi" w:hAnsiTheme="minorHAnsi" w:cstheme="minorHAnsi"/>
          <w:sz w:val="22"/>
          <w:szCs w:val="22"/>
        </w:rPr>
        <w:t>, 27(1), pp.64–85.</w:t>
      </w:r>
    </w:p>
    <w:p w14:paraId="563B1CB1" w14:textId="47437ADC"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Saltus, R., Duval, S. and Vougioukalou, S. (2021). </w:t>
      </w:r>
      <w:r w:rsidRPr="00B42186">
        <w:rPr>
          <w:rFonts w:asciiTheme="minorHAnsi" w:hAnsiTheme="minorHAnsi" w:cstheme="minorHAnsi"/>
          <w:i/>
          <w:iCs/>
          <w:sz w:val="22"/>
          <w:szCs w:val="22"/>
        </w:rPr>
        <w:t>Leave no-one behind: Improving pathways to dementia information, early assessment, and support for older people from minoritised and racialised backgrounds in Wales</w:t>
      </w:r>
      <w:r w:rsidRPr="00B42186">
        <w:rPr>
          <w:rFonts w:asciiTheme="minorHAnsi" w:hAnsiTheme="minorHAnsi" w:cstheme="minorHAnsi"/>
          <w:sz w:val="22"/>
          <w:szCs w:val="22"/>
        </w:rPr>
        <w:t xml:space="preserve">. Available at: https://orca.cardiff.ac.uk/id/eprint/142814/ </w:t>
      </w:r>
      <w:r w:rsidR="002D3DD4">
        <w:rPr>
          <w:rFonts w:asciiTheme="minorHAnsi" w:hAnsiTheme="minorHAnsi" w:cstheme="minorHAnsi"/>
          <w:sz w:val="22"/>
          <w:szCs w:val="22"/>
        </w:rPr>
        <w:t>(</w:t>
      </w:r>
      <w:r w:rsidRPr="00B42186">
        <w:rPr>
          <w:rFonts w:asciiTheme="minorHAnsi" w:hAnsiTheme="minorHAnsi" w:cstheme="minorHAnsi"/>
          <w:sz w:val="22"/>
          <w:szCs w:val="22"/>
        </w:rPr>
        <w:t xml:space="preserve">Accessed </w:t>
      </w:r>
      <w:r w:rsidR="00F0215C">
        <w:rPr>
          <w:rFonts w:asciiTheme="minorHAnsi" w:hAnsiTheme="minorHAnsi" w:cstheme="minorHAnsi"/>
          <w:sz w:val="22"/>
          <w:szCs w:val="22"/>
        </w:rPr>
        <w:t>2 Feb, 2024)</w:t>
      </w:r>
      <w:r w:rsidRPr="00B42186">
        <w:rPr>
          <w:rFonts w:asciiTheme="minorHAnsi" w:hAnsiTheme="minorHAnsi" w:cstheme="minorHAnsi"/>
          <w:sz w:val="22"/>
          <w:szCs w:val="22"/>
        </w:rPr>
        <w:t>.</w:t>
      </w:r>
    </w:p>
    <w:p w14:paraId="34C899ED"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Scheltens, P., Blennow, K., Breteler, M.M.B., de Strooper, B., Frisoni, G.B., Salloway, S. and Van der Flier, W.M. (2016). Alzheimer’s disease. </w:t>
      </w:r>
      <w:r w:rsidRPr="00B42186">
        <w:rPr>
          <w:rFonts w:asciiTheme="minorHAnsi" w:hAnsiTheme="minorHAnsi" w:cstheme="minorHAnsi"/>
          <w:i/>
          <w:iCs/>
          <w:sz w:val="22"/>
          <w:szCs w:val="22"/>
        </w:rPr>
        <w:t>The Lancet</w:t>
      </w:r>
      <w:r w:rsidRPr="00B42186">
        <w:rPr>
          <w:rFonts w:asciiTheme="minorHAnsi" w:hAnsiTheme="minorHAnsi" w:cstheme="minorHAnsi"/>
          <w:sz w:val="22"/>
          <w:szCs w:val="22"/>
        </w:rPr>
        <w:t>, 388(10043), pp.505–517.</w:t>
      </w:r>
    </w:p>
    <w:p w14:paraId="0EC5FAF5" w14:textId="0733FBD2"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Shannon, K. (2021). </w:t>
      </w:r>
      <w:r w:rsidRPr="00B42186">
        <w:rPr>
          <w:rFonts w:asciiTheme="minorHAnsi" w:hAnsiTheme="minorHAnsi" w:cstheme="minorHAnsi"/>
          <w:i/>
          <w:iCs/>
          <w:sz w:val="22"/>
          <w:szCs w:val="22"/>
        </w:rPr>
        <w:t>The Creation of a Dementia-friendly Community in Aged Residential Care: A Critical Realist Case Study</w:t>
      </w:r>
      <w:r w:rsidRPr="00B42186">
        <w:rPr>
          <w:rFonts w:asciiTheme="minorHAnsi" w:hAnsiTheme="minorHAnsi" w:cstheme="minorHAnsi"/>
          <w:sz w:val="22"/>
          <w:szCs w:val="22"/>
        </w:rPr>
        <w:t xml:space="preserve">. Available at: https://openrepository.aut.ac.nz/handle/10292/14226 </w:t>
      </w:r>
      <w:r w:rsidR="00F0215C">
        <w:rPr>
          <w:rFonts w:asciiTheme="minorHAnsi" w:hAnsiTheme="minorHAnsi" w:cstheme="minorHAnsi"/>
          <w:sz w:val="22"/>
          <w:szCs w:val="22"/>
        </w:rPr>
        <w:t>(</w:t>
      </w:r>
      <w:r w:rsidRPr="00B42186">
        <w:rPr>
          <w:rFonts w:asciiTheme="minorHAnsi" w:hAnsiTheme="minorHAnsi" w:cstheme="minorHAnsi"/>
          <w:sz w:val="22"/>
          <w:szCs w:val="22"/>
        </w:rPr>
        <w:t xml:space="preserve">Accessed </w:t>
      </w:r>
      <w:r w:rsidR="00F0215C">
        <w:rPr>
          <w:rFonts w:asciiTheme="minorHAnsi" w:hAnsiTheme="minorHAnsi" w:cstheme="minorHAnsi"/>
          <w:sz w:val="22"/>
          <w:szCs w:val="22"/>
        </w:rPr>
        <w:t>1</w:t>
      </w:r>
      <w:r w:rsidRPr="00B42186">
        <w:rPr>
          <w:rFonts w:asciiTheme="minorHAnsi" w:hAnsiTheme="minorHAnsi" w:cstheme="minorHAnsi"/>
          <w:sz w:val="22"/>
          <w:szCs w:val="22"/>
        </w:rPr>
        <w:t xml:space="preserve"> Mar. 2024</w:t>
      </w:r>
      <w:r w:rsidR="00F0215C">
        <w:rPr>
          <w:rFonts w:asciiTheme="minorHAnsi" w:hAnsiTheme="minorHAnsi" w:cstheme="minorHAnsi"/>
          <w:sz w:val="22"/>
          <w:szCs w:val="22"/>
        </w:rPr>
        <w:t>)</w:t>
      </w:r>
      <w:r w:rsidRPr="00B42186">
        <w:rPr>
          <w:rFonts w:asciiTheme="minorHAnsi" w:hAnsiTheme="minorHAnsi" w:cstheme="minorHAnsi"/>
          <w:sz w:val="22"/>
          <w:szCs w:val="22"/>
        </w:rPr>
        <w:t>.</w:t>
      </w:r>
    </w:p>
    <w:p w14:paraId="5C394505"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Sixsmith, A., Sixsmith, J. and Horst, B. (2020). Supportive Homes and Communities. </w:t>
      </w:r>
      <w:r w:rsidRPr="00B42186">
        <w:rPr>
          <w:rFonts w:asciiTheme="minorHAnsi" w:hAnsiTheme="minorHAnsi" w:cstheme="minorHAnsi"/>
          <w:i/>
          <w:iCs/>
          <w:sz w:val="22"/>
          <w:szCs w:val="22"/>
        </w:rPr>
        <w:t>Synthesis lectures on assistive, rehabilitative, and health-preserving technologies</w:t>
      </w:r>
      <w:r w:rsidRPr="00B42186">
        <w:rPr>
          <w:rFonts w:asciiTheme="minorHAnsi" w:hAnsiTheme="minorHAnsi" w:cstheme="minorHAnsi"/>
          <w:sz w:val="22"/>
          <w:szCs w:val="22"/>
        </w:rPr>
        <w:t>, 367(83), pp.21–26.</w:t>
      </w:r>
    </w:p>
    <w:p w14:paraId="1C19BD9D"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Surr, C.A., Sass, C., Burnley, N., Drury, M., Smith, S.J., Parveen, S., Burden, S. and Oyebode, J. (2018). Components of impactful dementia training for general hospital staff: a collective case study. </w:t>
      </w:r>
      <w:r w:rsidRPr="00B42186">
        <w:rPr>
          <w:rFonts w:asciiTheme="minorHAnsi" w:hAnsiTheme="minorHAnsi" w:cstheme="minorHAnsi"/>
          <w:i/>
          <w:iCs/>
          <w:sz w:val="22"/>
          <w:szCs w:val="22"/>
        </w:rPr>
        <w:t>Aging &amp; Mental Health</w:t>
      </w:r>
      <w:r w:rsidRPr="00B42186">
        <w:rPr>
          <w:rFonts w:asciiTheme="minorHAnsi" w:hAnsiTheme="minorHAnsi" w:cstheme="minorHAnsi"/>
          <w:sz w:val="22"/>
          <w:szCs w:val="22"/>
        </w:rPr>
        <w:t>, 24(3), pp.1–11.</w:t>
      </w:r>
    </w:p>
    <w:p w14:paraId="228BFFFC" w14:textId="56D935D0"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Sutcliffe, C., Davies, K., Ahmed, S., Hughes, J. and Challis, D. (2021). Delivering Personalised Home Care for People with Dementia: An Investigation of Care Providers’ Roles and Responsibilities. </w:t>
      </w:r>
      <w:r w:rsidRPr="00B42186">
        <w:rPr>
          <w:rFonts w:asciiTheme="minorHAnsi" w:hAnsiTheme="minorHAnsi" w:cstheme="minorHAnsi"/>
          <w:i/>
          <w:iCs/>
          <w:sz w:val="22"/>
          <w:szCs w:val="22"/>
        </w:rPr>
        <w:t xml:space="preserve">Journal of </w:t>
      </w:r>
      <w:r w:rsidR="00F0215C" w:rsidRPr="00B42186">
        <w:rPr>
          <w:rFonts w:asciiTheme="minorHAnsi" w:hAnsiTheme="minorHAnsi" w:cstheme="minorHAnsi"/>
          <w:i/>
          <w:iCs/>
          <w:sz w:val="22"/>
          <w:szCs w:val="22"/>
        </w:rPr>
        <w:t>Long-Term</w:t>
      </w:r>
      <w:r w:rsidRPr="00B42186">
        <w:rPr>
          <w:rFonts w:asciiTheme="minorHAnsi" w:hAnsiTheme="minorHAnsi" w:cstheme="minorHAnsi"/>
          <w:i/>
          <w:iCs/>
          <w:sz w:val="22"/>
          <w:szCs w:val="22"/>
        </w:rPr>
        <w:t xml:space="preserve"> Care</w:t>
      </w:r>
      <w:r w:rsidRPr="00B42186">
        <w:rPr>
          <w:rFonts w:asciiTheme="minorHAnsi" w:hAnsiTheme="minorHAnsi" w:cstheme="minorHAnsi"/>
          <w:sz w:val="22"/>
          <w:szCs w:val="22"/>
        </w:rPr>
        <w:t>, 45(24), pp.58–69.</w:t>
      </w:r>
    </w:p>
    <w:p w14:paraId="6FE8391E"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Vian, T. (2020). Anti-corruption, Transparency and Accountability in health: concepts, frameworks, and Approaches. </w:t>
      </w:r>
      <w:r w:rsidRPr="00B42186">
        <w:rPr>
          <w:rFonts w:asciiTheme="minorHAnsi" w:hAnsiTheme="minorHAnsi" w:cstheme="minorHAnsi"/>
          <w:i/>
          <w:iCs/>
          <w:sz w:val="22"/>
          <w:szCs w:val="22"/>
        </w:rPr>
        <w:t>Global Health Action</w:t>
      </w:r>
      <w:r w:rsidRPr="00B42186">
        <w:rPr>
          <w:rFonts w:asciiTheme="minorHAnsi" w:hAnsiTheme="minorHAnsi" w:cstheme="minorHAnsi"/>
          <w:sz w:val="22"/>
          <w:szCs w:val="22"/>
        </w:rPr>
        <w:t>, 13(1).</w:t>
      </w:r>
    </w:p>
    <w:p w14:paraId="3AE4142F"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Wang, X.R., Robinson, K.M. and Carter-Harris, L. (2014). Prevalence of chronic illnesses and characteristics of chronically ill informal caregivers of persons with dementia. </w:t>
      </w:r>
      <w:r w:rsidRPr="00B42186">
        <w:rPr>
          <w:rFonts w:asciiTheme="minorHAnsi" w:hAnsiTheme="minorHAnsi" w:cstheme="minorHAnsi"/>
          <w:i/>
          <w:iCs/>
          <w:sz w:val="22"/>
          <w:szCs w:val="22"/>
        </w:rPr>
        <w:t>Age and Ageing</w:t>
      </w:r>
      <w:r w:rsidRPr="00B42186">
        <w:rPr>
          <w:rFonts w:asciiTheme="minorHAnsi" w:hAnsiTheme="minorHAnsi" w:cstheme="minorHAnsi"/>
          <w:sz w:val="22"/>
          <w:szCs w:val="22"/>
        </w:rPr>
        <w:t>, 43(1).</w:t>
      </w:r>
    </w:p>
    <w:p w14:paraId="5AE71249"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Watson, J., Giebel, C., Green, M., Darlington‐Pollock, F. and Akpan, A. (2020). Use of routine and cohort data globally in exploring dementia care pathways and inequalities: A systematic review. </w:t>
      </w:r>
      <w:r w:rsidRPr="00B42186">
        <w:rPr>
          <w:rFonts w:asciiTheme="minorHAnsi" w:hAnsiTheme="minorHAnsi" w:cstheme="minorHAnsi"/>
          <w:i/>
          <w:iCs/>
          <w:sz w:val="22"/>
          <w:szCs w:val="22"/>
        </w:rPr>
        <w:t>International Journal of Geriatric Psychiatry</w:t>
      </w:r>
      <w:r w:rsidRPr="00B42186">
        <w:rPr>
          <w:rFonts w:asciiTheme="minorHAnsi" w:hAnsiTheme="minorHAnsi" w:cstheme="minorHAnsi"/>
          <w:sz w:val="22"/>
          <w:szCs w:val="22"/>
        </w:rPr>
        <w:t>, 36(2), pp.252–270.</w:t>
      </w:r>
    </w:p>
    <w:p w14:paraId="6DB551BC"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Wenborn, J., Moniz-Cook, E., Poland, F., King, M., O’Keeffe, A., Morris, S., Pizzo, E., Michie, S., Vernooij-Dassen, M., Graff, M., Hill, J., Challis, D., Russell, I., Sackley, C., Hynes, S., Crellin, N., Mundy, J., Burgess, J., Swinson, T. and Di Bona, L. (2023). Community Occupational Therapy in Dementia intervention for people with mild to moderate dementia and their family carers in the UK: the VALID research programme including RCT. </w:t>
      </w:r>
      <w:r w:rsidRPr="00B42186">
        <w:rPr>
          <w:rFonts w:asciiTheme="minorHAnsi" w:hAnsiTheme="minorHAnsi" w:cstheme="minorHAnsi"/>
          <w:i/>
          <w:iCs/>
          <w:sz w:val="22"/>
          <w:szCs w:val="22"/>
        </w:rPr>
        <w:t>Programme Grants for Applied Research</w:t>
      </w:r>
      <w:r w:rsidRPr="00B42186">
        <w:rPr>
          <w:rFonts w:asciiTheme="minorHAnsi" w:hAnsiTheme="minorHAnsi" w:cstheme="minorHAnsi"/>
          <w:sz w:val="22"/>
          <w:szCs w:val="22"/>
        </w:rPr>
        <w:t>, 11(5), pp.1–76.</w:t>
      </w:r>
    </w:p>
    <w:p w14:paraId="600D839E"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Windle, G., Algar-Skaife, K., Caulfield, M., Pickering-Jones, L., Killick, J., Zeilig, H. and Tischler, V. (2019). Enhancing communication between dementia care staff and their residents: an arts-inspired intervention. </w:t>
      </w:r>
      <w:r w:rsidRPr="00B42186">
        <w:rPr>
          <w:rFonts w:asciiTheme="minorHAnsi" w:hAnsiTheme="minorHAnsi" w:cstheme="minorHAnsi"/>
          <w:i/>
          <w:iCs/>
          <w:sz w:val="22"/>
          <w:szCs w:val="22"/>
        </w:rPr>
        <w:t>Aging &amp; Mental Health</w:t>
      </w:r>
      <w:r w:rsidRPr="00B42186">
        <w:rPr>
          <w:rFonts w:asciiTheme="minorHAnsi" w:hAnsiTheme="minorHAnsi" w:cstheme="minorHAnsi"/>
          <w:sz w:val="22"/>
          <w:szCs w:val="22"/>
        </w:rPr>
        <w:t>, 24(8), pp.1–10.</w:t>
      </w:r>
    </w:p>
    <w:p w14:paraId="017F3B04"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Wittenberg, R., Hu, B., Barraza-Araiza, L. and Funder, A. (2019a). </w:t>
      </w:r>
      <w:r w:rsidRPr="00B42186">
        <w:rPr>
          <w:rFonts w:asciiTheme="minorHAnsi" w:hAnsiTheme="minorHAnsi" w:cstheme="minorHAnsi"/>
          <w:i/>
          <w:iCs/>
          <w:sz w:val="22"/>
          <w:szCs w:val="22"/>
        </w:rPr>
        <w:t>CARE POLICY AND EVALUATION CENTRE CPEC CPEC Working Paper 5 ACKNOWLEDGMENTS</w:t>
      </w:r>
      <w:r w:rsidRPr="00B42186">
        <w:rPr>
          <w:rFonts w:asciiTheme="minorHAnsi" w:hAnsiTheme="minorHAnsi" w:cstheme="minorHAnsi"/>
          <w:sz w:val="22"/>
          <w:szCs w:val="22"/>
        </w:rPr>
        <w:t>. London: The London school of economics.</w:t>
      </w:r>
    </w:p>
    <w:p w14:paraId="0907AA2D"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Wittenberg, R., Hu, B., Jagger, C., Kingston, A., Knapp, M., Comas-Herrera, A., King, D., Rehill, A. and Banerjee, S. (2019b). Projections of care for older people with dementia in England: 2015 to 2040. </w:t>
      </w:r>
      <w:r w:rsidRPr="00B42186">
        <w:rPr>
          <w:rFonts w:asciiTheme="minorHAnsi" w:hAnsiTheme="minorHAnsi" w:cstheme="minorHAnsi"/>
          <w:i/>
          <w:iCs/>
          <w:sz w:val="22"/>
          <w:szCs w:val="22"/>
        </w:rPr>
        <w:t>Age and Ageing</w:t>
      </w:r>
      <w:r w:rsidRPr="00B42186">
        <w:rPr>
          <w:rFonts w:asciiTheme="minorHAnsi" w:hAnsiTheme="minorHAnsi" w:cstheme="minorHAnsi"/>
          <w:sz w:val="22"/>
          <w:szCs w:val="22"/>
        </w:rPr>
        <w:t>, 49(2), pp.264–269.</w:t>
      </w:r>
    </w:p>
    <w:p w14:paraId="061829CA" w14:textId="77777777"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Wittenberg, R., Knapp, M., Hu, B., Comas‐Herrera, A., King, D., Rehill, A., Shi, C., Banerjee, S., Patel, A., Jagger, C. and Kingston, A. (2019c). The costs of dementia in England. </w:t>
      </w:r>
      <w:r w:rsidRPr="00B42186">
        <w:rPr>
          <w:rFonts w:asciiTheme="minorHAnsi" w:hAnsiTheme="minorHAnsi" w:cstheme="minorHAnsi"/>
          <w:i/>
          <w:iCs/>
          <w:sz w:val="22"/>
          <w:szCs w:val="22"/>
        </w:rPr>
        <w:t>International Journal of Geriatric Psychiatry</w:t>
      </w:r>
      <w:r w:rsidRPr="00B42186">
        <w:rPr>
          <w:rFonts w:asciiTheme="minorHAnsi" w:hAnsiTheme="minorHAnsi" w:cstheme="minorHAnsi"/>
          <w:sz w:val="22"/>
          <w:szCs w:val="22"/>
        </w:rPr>
        <w:t>, 34(7).</w:t>
      </w:r>
    </w:p>
    <w:p w14:paraId="6807D427" w14:textId="7C061FD6" w:rsidR="0072664A" w:rsidRPr="00B42186" w:rsidRDefault="0072664A" w:rsidP="0072664A">
      <w:pPr>
        <w:pStyle w:val="NormalWeb"/>
        <w:spacing w:before="0" w:beforeAutospacing="0" w:after="240" w:afterAutospacing="0" w:line="360" w:lineRule="auto"/>
        <w:rPr>
          <w:rFonts w:asciiTheme="minorHAnsi" w:hAnsiTheme="minorHAnsi" w:cstheme="minorHAnsi"/>
          <w:sz w:val="22"/>
          <w:szCs w:val="22"/>
        </w:rPr>
      </w:pPr>
      <w:r w:rsidRPr="00B42186">
        <w:rPr>
          <w:rFonts w:asciiTheme="minorHAnsi" w:hAnsiTheme="minorHAnsi" w:cstheme="minorHAnsi"/>
          <w:sz w:val="22"/>
          <w:szCs w:val="22"/>
        </w:rPr>
        <w:t xml:space="preserve">World Health Organization (2018). </w:t>
      </w:r>
      <w:r w:rsidRPr="00B42186">
        <w:rPr>
          <w:rFonts w:asciiTheme="minorHAnsi" w:hAnsiTheme="minorHAnsi" w:cstheme="minorHAnsi"/>
          <w:i/>
          <w:iCs/>
          <w:sz w:val="22"/>
          <w:szCs w:val="22"/>
        </w:rPr>
        <w:t>Continuity and coordination of care A practice brief to support implementation of the WHO Framework on integrated people-centred health services</w:t>
      </w:r>
      <w:r w:rsidRPr="00B42186">
        <w:rPr>
          <w:rFonts w:asciiTheme="minorHAnsi" w:hAnsiTheme="minorHAnsi" w:cstheme="minorHAnsi"/>
          <w:sz w:val="22"/>
          <w:szCs w:val="22"/>
        </w:rPr>
        <w:t xml:space="preserve">. Available at: </w:t>
      </w:r>
      <w:r w:rsidR="00F0215C" w:rsidRPr="00F0215C">
        <w:rPr>
          <w:rFonts w:asciiTheme="minorHAnsi" w:hAnsiTheme="minorHAnsi" w:cstheme="minorHAnsi"/>
          <w:sz w:val="22"/>
          <w:szCs w:val="22"/>
        </w:rPr>
        <w:t>https://iris.who.int/bitstream/handle/10665/274628/9789241514033-eng.pdf</w:t>
      </w:r>
      <w:r w:rsidRPr="00B42186">
        <w:rPr>
          <w:rFonts w:asciiTheme="minorHAnsi" w:hAnsiTheme="minorHAnsi" w:cstheme="minorHAnsi"/>
          <w:sz w:val="22"/>
          <w:szCs w:val="22"/>
        </w:rPr>
        <w:t>.</w:t>
      </w:r>
      <w:r w:rsidR="00F0215C">
        <w:rPr>
          <w:rFonts w:asciiTheme="minorHAnsi" w:hAnsiTheme="minorHAnsi" w:cstheme="minorHAnsi"/>
          <w:sz w:val="22"/>
          <w:szCs w:val="22"/>
        </w:rPr>
        <w:t xml:space="preserve"> (Accessed 20 Feb, 2024).</w:t>
      </w:r>
    </w:p>
    <w:p w14:paraId="0FB2590E" w14:textId="77777777" w:rsidR="00325FBC" w:rsidRPr="00B42186" w:rsidRDefault="00325FBC" w:rsidP="004031AE">
      <w:pPr>
        <w:rPr>
          <w:rFonts w:cstheme="minorHAnsi"/>
          <w:u w:val="single"/>
        </w:rPr>
      </w:pPr>
    </w:p>
    <w:p w14:paraId="35B59BB8" w14:textId="77777777" w:rsidR="004031AE" w:rsidRPr="00B42186" w:rsidRDefault="004031AE" w:rsidP="004031AE">
      <w:pPr>
        <w:rPr>
          <w:rFonts w:cstheme="minorHAnsi"/>
        </w:rPr>
      </w:pPr>
    </w:p>
    <w:p w14:paraId="6B93C086" w14:textId="1323A5BB" w:rsidR="000460D5" w:rsidRPr="00B42186" w:rsidRDefault="000460D5" w:rsidP="000460D5">
      <w:pPr>
        <w:rPr>
          <w:rFonts w:cstheme="minorHAnsi"/>
          <w:color w:val="FF0000"/>
        </w:rPr>
      </w:pPr>
    </w:p>
    <w:p w14:paraId="76085C74" w14:textId="36FAA316" w:rsidR="00DA2DD1" w:rsidRPr="00B42186" w:rsidRDefault="00DA2DD1" w:rsidP="000460D5">
      <w:pPr>
        <w:rPr>
          <w:rFonts w:cstheme="minorHAnsi"/>
        </w:rPr>
      </w:pPr>
    </w:p>
    <w:p w14:paraId="12B3CF6F" w14:textId="77777777" w:rsidR="002F27D5" w:rsidRPr="00B42186" w:rsidRDefault="002F27D5" w:rsidP="002F27D5">
      <w:pPr>
        <w:rPr>
          <w:rFonts w:cstheme="minorHAnsi"/>
        </w:rPr>
      </w:pPr>
    </w:p>
    <w:p w14:paraId="172993E4" w14:textId="77777777" w:rsidR="002F27D5" w:rsidRPr="00B42186" w:rsidRDefault="002F27D5" w:rsidP="002F27D5">
      <w:pPr>
        <w:rPr>
          <w:rFonts w:cstheme="minorHAnsi"/>
        </w:rPr>
      </w:pPr>
    </w:p>
    <w:p w14:paraId="311B5F01" w14:textId="77777777" w:rsidR="002F27D5" w:rsidRPr="00B42186" w:rsidRDefault="002F27D5" w:rsidP="002F27D5">
      <w:pPr>
        <w:rPr>
          <w:rFonts w:cstheme="minorHAnsi"/>
        </w:rPr>
      </w:pPr>
    </w:p>
    <w:p w14:paraId="1C2FAEFD" w14:textId="77777777" w:rsidR="002F27D5" w:rsidRDefault="002F27D5" w:rsidP="00127066"/>
    <w:sectPr w:rsidR="002F27D5" w:rsidSect="00B9728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406BA"/>
    <w:multiLevelType w:val="hybridMultilevel"/>
    <w:tmpl w:val="7A42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3112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17D"/>
    <w:rsid w:val="000460D5"/>
    <w:rsid w:val="00052E05"/>
    <w:rsid w:val="00063C72"/>
    <w:rsid w:val="0008137E"/>
    <w:rsid w:val="00086E6C"/>
    <w:rsid w:val="000B61B2"/>
    <w:rsid w:val="000C6755"/>
    <w:rsid w:val="000C7F91"/>
    <w:rsid w:val="000D58C0"/>
    <w:rsid w:val="000E5B15"/>
    <w:rsid w:val="0011047C"/>
    <w:rsid w:val="00116903"/>
    <w:rsid w:val="00127066"/>
    <w:rsid w:val="00141526"/>
    <w:rsid w:val="0014221B"/>
    <w:rsid w:val="00146D8C"/>
    <w:rsid w:val="0015074D"/>
    <w:rsid w:val="001B0459"/>
    <w:rsid w:val="001B223A"/>
    <w:rsid w:val="001B4613"/>
    <w:rsid w:val="001C1C3C"/>
    <w:rsid w:val="001E262C"/>
    <w:rsid w:val="001F4DAF"/>
    <w:rsid w:val="001F54E2"/>
    <w:rsid w:val="00207BE8"/>
    <w:rsid w:val="00233ED8"/>
    <w:rsid w:val="0023479A"/>
    <w:rsid w:val="00241B03"/>
    <w:rsid w:val="00245F01"/>
    <w:rsid w:val="00260C1D"/>
    <w:rsid w:val="00283256"/>
    <w:rsid w:val="002A0323"/>
    <w:rsid w:val="002B4F79"/>
    <w:rsid w:val="002C1DEB"/>
    <w:rsid w:val="002C7F1D"/>
    <w:rsid w:val="002D3DD4"/>
    <w:rsid w:val="002E29B2"/>
    <w:rsid w:val="002F27D5"/>
    <w:rsid w:val="002F4A99"/>
    <w:rsid w:val="00305373"/>
    <w:rsid w:val="00305C0A"/>
    <w:rsid w:val="00320BFC"/>
    <w:rsid w:val="00325FBC"/>
    <w:rsid w:val="00345442"/>
    <w:rsid w:val="003529AC"/>
    <w:rsid w:val="00354FD3"/>
    <w:rsid w:val="00394500"/>
    <w:rsid w:val="003B0118"/>
    <w:rsid w:val="004031AE"/>
    <w:rsid w:val="00407D54"/>
    <w:rsid w:val="004101C2"/>
    <w:rsid w:val="00422C6F"/>
    <w:rsid w:val="00426D36"/>
    <w:rsid w:val="00430B9B"/>
    <w:rsid w:val="00433C3E"/>
    <w:rsid w:val="00453FE2"/>
    <w:rsid w:val="0046135E"/>
    <w:rsid w:val="0046466A"/>
    <w:rsid w:val="00470941"/>
    <w:rsid w:val="00472419"/>
    <w:rsid w:val="004979E6"/>
    <w:rsid w:val="004C0000"/>
    <w:rsid w:val="004D6B2C"/>
    <w:rsid w:val="004D7F2A"/>
    <w:rsid w:val="004F6FD8"/>
    <w:rsid w:val="00524AE7"/>
    <w:rsid w:val="005447B1"/>
    <w:rsid w:val="00545729"/>
    <w:rsid w:val="00564FEA"/>
    <w:rsid w:val="00572317"/>
    <w:rsid w:val="00582475"/>
    <w:rsid w:val="0058400A"/>
    <w:rsid w:val="005A305C"/>
    <w:rsid w:val="00602243"/>
    <w:rsid w:val="00606D94"/>
    <w:rsid w:val="00616017"/>
    <w:rsid w:val="00633CE5"/>
    <w:rsid w:val="006515F8"/>
    <w:rsid w:val="00651CAB"/>
    <w:rsid w:val="0065717D"/>
    <w:rsid w:val="00670AFC"/>
    <w:rsid w:val="0067412D"/>
    <w:rsid w:val="006769D3"/>
    <w:rsid w:val="006843CF"/>
    <w:rsid w:val="00686019"/>
    <w:rsid w:val="006911CA"/>
    <w:rsid w:val="00692C72"/>
    <w:rsid w:val="00694269"/>
    <w:rsid w:val="006A42E0"/>
    <w:rsid w:val="006B4F20"/>
    <w:rsid w:val="006C4033"/>
    <w:rsid w:val="006C5A1D"/>
    <w:rsid w:val="006E5300"/>
    <w:rsid w:val="006F1B45"/>
    <w:rsid w:val="007021BC"/>
    <w:rsid w:val="00702C7B"/>
    <w:rsid w:val="00710ACC"/>
    <w:rsid w:val="0072664A"/>
    <w:rsid w:val="00754992"/>
    <w:rsid w:val="00761F15"/>
    <w:rsid w:val="00783140"/>
    <w:rsid w:val="00794D24"/>
    <w:rsid w:val="007A16B5"/>
    <w:rsid w:val="007A327F"/>
    <w:rsid w:val="007B1D38"/>
    <w:rsid w:val="007D65EF"/>
    <w:rsid w:val="007D66B6"/>
    <w:rsid w:val="007E42B7"/>
    <w:rsid w:val="008071BF"/>
    <w:rsid w:val="0082064D"/>
    <w:rsid w:val="00821971"/>
    <w:rsid w:val="00826F89"/>
    <w:rsid w:val="008401C5"/>
    <w:rsid w:val="00856920"/>
    <w:rsid w:val="0086115E"/>
    <w:rsid w:val="00862008"/>
    <w:rsid w:val="00875948"/>
    <w:rsid w:val="00877937"/>
    <w:rsid w:val="00880F58"/>
    <w:rsid w:val="00881CBD"/>
    <w:rsid w:val="00884C10"/>
    <w:rsid w:val="008B3959"/>
    <w:rsid w:val="008C5ADE"/>
    <w:rsid w:val="008E4618"/>
    <w:rsid w:val="008F7276"/>
    <w:rsid w:val="00924CAF"/>
    <w:rsid w:val="009360AA"/>
    <w:rsid w:val="00937380"/>
    <w:rsid w:val="00945F0C"/>
    <w:rsid w:val="00986690"/>
    <w:rsid w:val="0098705A"/>
    <w:rsid w:val="009937A4"/>
    <w:rsid w:val="009A17B5"/>
    <w:rsid w:val="009A5080"/>
    <w:rsid w:val="009C0B84"/>
    <w:rsid w:val="009E75C2"/>
    <w:rsid w:val="009F6B57"/>
    <w:rsid w:val="009F77D6"/>
    <w:rsid w:val="00A0045C"/>
    <w:rsid w:val="00A03758"/>
    <w:rsid w:val="00A177A7"/>
    <w:rsid w:val="00A21E92"/>
    <w:rsid w:val="00A3517C"/>
    <w:rsid w:val="00A91DBC"/>
    <w:rsid w:val="00AA626E"/>
    <w:rsid w:val="00AE1FE1"/>
    <w:rsid w:val="00B05270"/>
    <w:rsid w:val="00B05345"/>
    <w:rsid w:val="00B12CED"/>
    <w:rsid w:val="00B30D41"/>
    <w:rsid w:val="00B32735"/>
    <w:rsid w:val="00B42186"/>
    <w:rsid w:val="00B45FD9"/>
    <w:rsid w:val="00B6192B"/>
    <w:rsid w:val="00B97289"/>
    <w:rsid w:val="00BA39E9"/>
    <w:rsid w:val="00C118FA"/>
    <w:rsid w:val="00C12C93"/>
    <w:rsid w:val="00C32D8B"/>
    <w:rsid w:val="00C35161"/>
    <w:rsid w:val="00C4449C"/>
    <w:rsid w:val="00C603B8"/>
    <w:rsid w:val="00C60504"/>
    <w:rsid w:val="00CD5DE6"/>
    <w:rsid w:val="00CF36E0"/>
    <w:rsid w:val="00D00C2F"/>
    <w:rsid w:val="00D00C8C"/>
    <w:rsid w:val="00D011FD"/>
    <w:rsid w:val="00D05CB4"/>
    <w:rsid w:val="00D12BF1"/>
    <w:rsid w:val="00D22D24"/>
    <w:rsid w:val="00D26247"/>
    <w:rsid w:val="00D3781D"/>
    <w:rsid w:val="00D47333"/>
    <w:rsid w:val="00D475E7"/>
    <w:rsid w:val="00D65517"/>
    <w:rsid w:val="00D937C9"/>
    <w:rsid w:val="00DA1EA8"/>
    <w:rsid w:val="00DA2DD1"/>
    <w:rsid w:val="00DA2FB3"/>
    <w:rsid w:val="00DA660E"/>
    <w:rsid w:val="00DD78BC"/>
    <w:rsid w:val="00DE0C75"/>
    <w:rsid w:val="00DF2305"/>
    <w:rsid w:val="00DF2B21"/>
    <w:rsid w:val="00E14AF5"/>
    <w:rsid w:val="00E63C80"/>
    <w:rsid w:val="00E663CB"/>
    <w:rsid w:val="00E6672B"/>
    <w:rsid w:val="00E934C8"/>
    <w:rsid w:val="00EA6C8D"/>
    <w:rsid w:val="00EB658F"/>
    <w:rsid w:val="00EC553B"/>
    <w:rsid w:val="00EC71B7"/>
    <w:rsid w:val="00EE15F2"/>
    <w:rsid w:val="00F0215C"/>
    <w:rsid w:val="00F023D0"/>
    <w:rsid w:val="00F04562"/>
    <w:rsid w:val="00F17F15"/>
    <w:rsid w:val="00F32EBC"/>
    <w:rsid w:val="00F52673"/>
    <w:rsid w:val="00F61B84"/>
    <w:rsid w:val="00F70F0B"/>
    <w:rsid w:val="00F867A0"/>
    <w:rsid w:val="00F90D1B"/>
    <w:rsid w:val="00F94956"/>
    <w:rsid w:val="00FA4A3C"/>
    <w:rsid w:val="00FB2E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EA77E"/>
  <w15:chartTrackingRefBased/>
  <w15:docId w15:val="{94E4093E-BA63-4774-9989-AE2A53ED6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5717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65717D"/>
    <w:rPr>
      <w:rFonts w:eastAsiaTheme="minorEastAsia"/>
      <w:kern w:val="0"/>
      <w:lang w:val="en-US"/>
    </w:rPr>
  </w:style>
  <w:style w:type="paragraph" w:styleId="ListParagraph">
    <w:name w:val="List Paragraph"/>
    <w:basedOn w:val="Normal"/>
    <w:uiPriority w:val="34"/>
    <w:qFormat/>
    <w:rsid w:val="00AE1FE1"/>
    <w:pPr>
      <w:ind w:left="720"/>
      <w:contextualSpacing/>
    </w:pPr>
  </w:style>
  <w:style w:type="paragraph" w:styleId="NormalWeb">
    <w:name w:val="Normal (Web)"/>
    <w:basedOn w:val="Normal"/>
    <w:uiPriority w:val="99"/>
    <w:semiHidden/>
    <w:unhideWhenUsed/>
    <w:rsid w:val="007266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0215C"/>
    <w:rPr>
      <w:color w:val="0563C1" w:themeColor="hyperlink"/>
      <w:u w:val="single"/>
    </w:rPr>
  </w:style>
  <w:style w:type="character" w:styleId="UnresolvedMention">
    <w:name w:val="Unresolved Mention"/>
    <w:basedOn w:val="DefaultParagraphFont"/>
    <w:uiPriority w:val="99"/>
    <w:semiHidden/>
    <w:unhideWhenUsed/>
    <w:rsid w:val="00F021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665">
      <w:bodyDiv w:val="1"/>
      <w:marLeft w:val="0"/>
      <w:marRight w:val="0"/>
      <w:marTop w:val="0"/>
      <w:marBottom w:val="0"/>
      <w:divBdr>
        <w:top w:val="none" w:sz="0" w:space="0" w:color="auto"/>
        <w:left w:val="none" w:sz="0" w:space="0" w:color="auto"/>
        <w:bottom w:val="none" w:sz="0" w:space="0" w:color="auto"/>
        <w:right w:val="none" w:sz="0" w:space="0" w:color="auto"/>
      </w:divBdr>
      <w:divsChild>
        <w:div w:id="700783448">
          <w:marLeft w:val="0"/>
          <w:marRight w:val="0"/>
          <w:marTop w:val="0"/>
          <w:marBottom w:val="0"/>
          <w:divBdr>
            <w:top w:val="none" w:sz="0" w:space="0" w:color="auto"/>
            <w:left w:val="none" w:sz="0" w:space="0" w:color="auto"/>
            <w:bottom w:val="none" w:sz="0" w:space="0" w:color="auto"/>
            <w:right w:val="none" w:sz="0" w:space="0" w:color="auto"/>
          </w:divBdr>
        </w:div>
      </w:divsChild>
    </w:div>
    <w:div w:id="206525923">
      <w:bodyDiv w:val="1"/>
      <w:marLeft w:val="0"/>
      <w:marRight w:val="0"/>
      <w:marTop w:val="0"/>
      <w:marBottom w:val="0"/>
      <w:divBdr>
        <w:top w:val="none" w:sz="0" w:space="0" w:color="auto"/>
        <w:left w:val="none" w:sz="0" w:space="0" w:color="auto"/>
        <w:bottom w:val="none" w:sz="0" w:space="0" w:color="auto"/>
        <w:right w:val="none" w:sz="0" w:space="0" w:color="auto"/>
      </w:divBdr>
    </w:div>
    <w:div w:id="705179652">
      <w:bodyDiv w:val="1"/>
      <w:marLeft w:val="0"/>
      <w:marRight w:val="0"/>
      <w:marTop w:val="0"/>
      <w:marBottom w:val="0"/>
      <w:divBdr>
        <w:top w:val="none" w:sz="0" w:space="0" w:color="auto"/>
        <w:left w:val="none" w:sz="0" w:space="0" w:color="auto"/>
        <w:bottom w:val="none" w:sz="0" w:space="0" w:color="auto"/>
        <w:right w:val="none" w:sz="0" w:space="0" w:color="auto"/>
      </w:divBdr>
    </w:div>
    <w:div w:id="869227260">
      <w:bodyDiv w:val="1"/>
      <w:marLeft w:val="0"/>
      <w:marRight w:val="0"/>
      <w:marTop w:val="0"/>
      <w:marBottom w:val="0"/>
      <w:divBdr>
        <w:top w:val="none" w:sz="0" w:space="0" w:color="auto"/>
        <w:left w:val="none" w:sz="0" w:space="0" w:color="auto"/>
        <w:bottom w:val="none" w:sz="0" w:space="0" w:color="auto"/>
        <w:right w:val="none" w:sz="0" w:space="0" w:color="auto"/>
      </w:divBdr>
    </w:div>
    <w:div w:id="1038705633">
      <w:bodyDiv w:val="1"/>
      <w:marLeft w:val="0"/>
      <w:marRight w:val="0"/>
      <w:marTop w:val="0"/>
      <w:marBottom w:val="0"/>
      <w:divBdr>
        <w:top w:val="none" w:sz="0" w:space="0" w:color="auto"/>
        <w:left w:val="none" w:sz="0" w:space="0" w:color="auto"/>
        <w:bottom w:val="none" w:sz="0" w:space="0" w:color="auto"/>
        <w:right w:val="none" w:sz="0" w:space="0" w:color="auto"/>
      </w:divBdr>
    </w:div>
    <w:div w:id="1316376332">
      <w:bodyDiv w:val="1"/>
      <w:marLeft w:val="0"/>
      <w:marRight w:val="0"/>
      <w:marTop w:val="0"/>
      <w:marBottom w:val="0"/>
      <w:divBdr>
        <w:top w:val="none" w:sz="0" w:space="0" w:color="auto"/>
        <w:left w:val="none" w:sz="0" w:space="0" w:color="auto"/>
        <w:bottom w:val="none" w:sz="0" w:space="0" w:color="auto"/>
        <w:right w:val="none" w:sz="0" w:space="0" w:color="auto"/>
      </w:divBdr>
    </w:div>
    <w:div w:id="1346176177">
      <w:bodyDiv w:val="1"/>
      <w:marLeft w:val="0"/>
      <w:marRight w:val="0"/>
      <w:marTop w:val="0"/>
      <w:marBottom w:val="0"/>
      <w:divBdr>
        <w:top w:val="none" w:sz="0" w:space="0" w:color="auto"/>
        <w:left w:val="none" w:sz="0" w:space="0" w:color="auto"/>
        <w:bottom w:val="none" w:sz="0" w:space="0" w:color="auto"/>
        <w:right w:val="none" w:sz="0" w:space="0" w:color="auto"/>
      </w:divBdr>
    </w:div>
    <w:div w:id="1402479708">
      <w:bodyDiv w:val="1"/>
      <w:marLeft w:val="0"/>
      <w:marRight w:val="0"/>
      <w:marTop w:val="0"/>
      <w:marBottom w:val="0"/>
      <w:divBdr>
        <w:top w:val="none" w:sz="0" w:space="0" w:color="auto"/>
        <w:left w:val="none" w:sz="0" w:space="0" w:color="auto"/>
        <w:bottom w:val="none" w:sz="0" w:space="0" w:color="auto"/>
        <w:right w:val="none" w:sz="0" w:space="0" w:color="auto"/>
      </w:divBdr>
    </w:div>
    <w:div w:id="1778021956">
      <w:bodyDiv w:val="1"/>
      <w:marLeft w:val="0"/>
      <w:marRight w:val="0"/>
      <w:marTop w:val="0"/>
      <w:marBottom w:val="0"/>
      <w:divBdr>
        <w:top w:val="none" w:sz="0" w:space="0" w:color="auto"/>
        <w:left w:val="none" w:sz="0" w:space="0" w:color="auto"/>
        <w:bottom w:val="none" w:sz="0" w:space="0" w:color="auto"/>
        <w:right w:val="none" w:sz="0" w:space="0" w:color="auto"/>
      </w:divBdr>
    </w:div>
    <w:div w:id="2004160231">
      <w:bodyDiv w:val="1"/>
      <w:marLeft w:val="0"/>
      <w:marRight w:val="0"/>
      <w:marTop w:val="0"/>
      <w:marBottom w:val="0"/>
      <w:divBdr>
        <w:top w:val="none" w:sz="0" w:space="0" w:color="auto"/>
        <w:left w:val="none" w:sz="0" w:space="0" w:color="auto"/>
        <w:bottom w:val="none" w:sz="0" w:space="0" w:color="auto"/>
        <w:right w:val="none" w:sz="0" w:space="0" w:color="auto"/>
      </w:divBdr>
    </w:div>
    <w:div w:id="202147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6755</TotalTime>
  <Pages>5</Pages>
  <Words>5679</Words>
  <Characters>33683</Characters>
  <Application>Microsoft Office Word</Application>
  <DocSecurity>0</DocSecurity>
  <Lines>437</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Davies</dc:creator>
  <cp:keywords/>
  <dc:description/>
  <cp:lastModifiedBy>Rebecca</cp:lastModifiedBy>
  <cp:revision>197</cp:revision>
  <dcterms:created xsi:type="dcterms:W3CDTF">2024-02-28T11:29:00Z</dcterms:created>
  <dcterms:modified xsi:type="dcterms:W3CDTF">2024-03-07T16:00:00Z</dcterms:modified>
  <cp:category>2103819</cp:category>
</cp:coreProperties>
</file>