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2A9F8C" w14:textId="33F492AE" w:rsidR="00E07E41" w:rsidRPr="00BA6AD6" w:rsidRDefault="00BA6AD6" w:rsidP="00BA6AD6">
      <w:pPr>
        <w:jc w:val="center"/>
        <w:rPr>
          <w:sz w:val="32"/>
          <w:szCs w:val="32"/>
          <w:u w:val="single"/>
        </w:rPr>
      </w:pPr>
      <w:r w:rsidRPr="00B51A12">
        <w:rPr>
          <w:sz w:val="32"/>
          <w:szCs w:val="32"/>
          <w:u w:val="single"/>
        </w:rPr>
        <w:t>A</w:t>
      </w:r>
      <w:r w:rsidR="007B4E7A" w:rsidRPr="00B51A12">
        <w:rPr>
          <w:sz w:val="32"/>
          <w:szCs w:val="32"/>
          <w:u w:val="single"/>
        </w:rPr>
        <w:t xml:space="preserve"> critical commentary on Walter of Châtillon</w:t>
      </w:r>
      <w:r w:rsidRPr="00B51A12">
        <w:rPr>
          <w:sz w:val="32"/>
          <w:szCs w:val="32"/>
          <w:u w:val="single"/>
        </w:rPr>
        <w:t>’s</w:t>
      </w:r>
      <w:r w:rsidR="007B4E7A" w:rsidRPr="00BA6AD6">
        <w:rPr>
          <w:i/>
          <w:iCs/>
          <w:sz w:val="32"/>
          <w:szCs w:val="32"/>
          <w:u w:val="single"/>
        </w:rPr>
        <w:t xml:space="preserve"> Alexandreis 1.452-92</w:t>
      </w:r>
    </w:p>
    <w:p w14:paraId="33F90CE3" w14:textId="74704145" w:rsidR="00C402CD" w:rsidRDefault="00C402CD" w:rsidP="007B4E7A"/>
    <w:p w14:paraId="53F1B63D" w14:textId="7AE39A6D" w:rsidR="00B6613D" w:rsidRDefault="00C402CD" w:rsidP="007B4E7A">
      <w:r>
        <w:t xml:space="preserve">A literary treasure of the medieval era, the </w:t>
      </w:r>
      <w:r>
        <w:rPr>
          <w:i/>
          <w:iCs/>
        </w:rPr>
        <w:t>Alexandreis</w:t>
      </w:r>
      <w:r>
        <w:t xml:space="preserve"> was written</w:t>
      </w:r>
      <w:r w:rsidR="00674D42">
        <w:t xml:space="preserve"> by Walter of Chatillon in the </w:t>
      </w:r>
      <w:r w:rsidR="00E92E45">
        <w:t>twelfth century</w:t>
      </w:r>
      <w:r>
        <w:t xml:space="preserve"> </w:t>
      </w:r>
      <w:r w:rsidR="00BF6C29">
        <w:t xml:space="preserve">for the </w:t>
      </w:r>
      <w:r w:rsidR="00F556AD">
        <w:t>Archb</w:t>
      </w:r>
      <w:r>
        <w:t>ishop Willian of Sens and, later, of Rheims. This epic poem traces the adventures of Alexander the Great as he conquered his empire, depicting him ‘[…] as a hero flawed mainly by living without the benefit of Christianity and divine Grace.’</w:t>
      </w:r>
      <w:r>
        <w:rPr>
          <w:rStyle w:val="FootnoteReference"/>
        </w:rPr>
        <w:footnoteReference w:id="1"/>
      </w:r>
      <w:r w:rsidR="00D37D06">
        <w:t xml:space="preserve"> </w:t>
      </w:r>
      <w:r w:rsidR="00674D42">
        <w:t>As a</w:t>
      </w:r>
      <w:r w:rsidR="00D37D06">
        <w:t xml:space="preserve"> twelfth-</w:t>
      </w:r>
      <w:r w:rsidR="00E92E45">
        <w:t>c</w:t>
      </w:r>
      <w:r w:rsidR="00D37D06">
        <w:t>entury</w:t>
      </w:r>
      <w:r w:rsidR="00674D42">
        <w:t xml:space="preserve"> author</w:t>
      </w:r>
      <w:r w:rsidR="00D37D06">
        <w:t xml:space="preserve">, Walter was looking back on the history of Alexander through the lens of the Bible, </w:t>
      </w:r>
      <w:r w:rsidR="00262682">
        <w:t xml:space="preserve">the medieval context </w:t>
      </w:r>
      <w:r w:rsidR="00D37D06">
        <w:t xml:space="preserve">and </w:t>
      </w:r>
      <w:r w:rsidR="00262682">
        <w:t>the</w:t>
      </w:r>
      <w:r w:rsidR="00D37D06">
        <w:t xml:space="preserve"> immediate circumstances</w:t>
      </w:r>
      <w:r w:rsidR="00262682">
        <w:t xml:space="preserve"> of authorship</w:t>
      </w:r>
      <w:r w:rsidR="00D37D06">
        <w:t xml:space="preserve">. </w:t>
      </w:r>
      <w:r w:rsidR="00584207">
        <w:t>T</w:t>
      </w:r>
      <w:r w:rsidR="00D37D06">
        <w:t xml:space="preserve">hese will be assessed to convey something of what the medieval reader would have known or expected surrounding the </w:t>
      </w:r>
      <w:r w:rsidR="00D37D06">
        <w:rPr>
          <w:i/>
          <w:iCs/>
        </w:rPr>
        <w:t>Alexandreis</w:t>
      </w:r>
      <w:r w:rsidR="00D37D06">
        <w:t>.</w:t>
      </w:r>
      <w:r w:rsidR="00B6613D">
        <w:t xml:space="preserve"> </w:t>
      </w:r>
      <w:r w:rsidR="00584207">
        <w:t>For a more complete examination</w:t>
      </w:r>
      <w:r w:rsidR="00B6613D">
        <w:t xml:space="preserve">, </w:t>
      </w:r>
      <w:r w:rsidR="00B6613D" w:rsidRPr="00B6613D">
        <w:t>lines</w:t>
      </w:r>
      <w:r w:rsidR="00B6613D">
        <w:t xml:space="preserve"> 396-451 and 493-558 which surround the assigned extract for this work will be included, albeit briefly.</w:t>
      </w:r>
    </w:p>
    <w:p w14:paraId="0E34BC03" w14:textId="181D726B" w:rsidR="00B6613D" w:rsidRDefault="00B6613D" w:rsidP="007B4E7A">
      <w:r>
        <w:tab/>
      </w:r>
    </w:p>
    <w:p w14:paraId="2830E2DA" w14:textId="0197E455" w:rsidR="00B6613D" w:rsidRPr="00584207" w:rsidRDefault="00584207" w:rsidP="007B4E7A">
      <w:r>
        <w:rPr>
          <w:u w:val="single"/>
        </w:rPr>
        <w:t>The Lens of the Bible</w:t>
      </w:r>
    </w:p>
    <w:p w14:paraId="0966A9F3" w14:textId="59F85819" w:rsidR="00584207" w:rsidRDefault="00750EE4" w:rsidP="007B4E7A">
      <w:r>
        <w:t>Of all the texts of the medieval era, there is none more important than the Bible</w:t>
      </w:r>
      <w:r w:rsidR="00C148EB">
        <w:t>, the single most reproduced and studied text of the medieval era</w:t>
      </w:r>
      <w:r>
        <w:t>. Aside from Walter reading Christian theology back into the Alexander mythos, Daniel 8</w:t>
      </w:r>
      <w:r w:rsidR="00C148EB">
        <w:t xml:space="preserve"> prophesied Alexander’s campaign across the Middle East (known to him as Asia)</w:t>
      </w:r>
      <w:r>
        <w:t>, in which the imagery of a one-horned goat represent</w:t>
      </w:r>
      <w:r w:rsidR="00C148EB">
        <w:t>ed</w:t>
      </w:r>
      <w:r>
        <w:t xml:space="preserve"> his advance.</w:t>
      </w:r>
      <w:r w:rsidR="00DF6B77">
        <w:t xml:space="preserve"> The Biblical context must be further remembered because it would be through the Bible that Walter would have been most familiar with the ‘Assyrians, Medes, and Persians [that] hold the land whose name is Parthia, […]</w:t>
      </w:r>
      <w:r w:rsidR="00DA4960">
        <w:t>.</w:t>
      </w:r>
      <w:r w:rsidR="00DF6B77">
        <w:t>’</w:t>
      </w:r>
      <w:r w:rsidR="00DF6B77">
        <w:rPr>
          <w:rStyle w:val="FootnoteReference"/>
        </w:rPr>
        <w:footnoteReference w:id="2"/>
      </w:r>
      <w:r w:rsidR="004C6B17">
        <w:t xml:space="preserve"> In the Bible, the Assyrians</w:t>
      </w:r>
      <w:r w:rsidR="00EE776C">
        <w:t>, mentioned alongside the Medes and Persians in lines 396</w:t>
      </w:r>
      <w:r w:rsidR="008E21D6">
        <w:t xml:space="preserve"> </w:t>
      </w:r>
      <w:r w:rsidR="00EE776C">
        <w:t>-</w:t>
      </w:r>
      <w:r w:rsidR="008E21D6">
        <w:t xml:space="preserve"> </w:t>
      </w:r>
      <w:r w:rsidR="00EE776C">
        <w:t>426,</w:t>
      </w:r>
      <w:r w:rsidR="004C6B17">
        <w:t xml:space="preserve"> were one of the peoples who attempted to conquer Israel and Judah, ultimately succeeding in the case of the former as a manifestation of God’s punishment on them for forsaking Him and His Laws. The Medes and the Persians, by contrast</w:t>
      </w:r>
      <w:r w:rsidR="005C31D7">
        <w:t>,</w:t>
      </w:r>
      <w:r w:rsidR="004C6B17">
        <w:t xml:space="preserve"> were the peoples whose conquest of the later Babylonian Empire allowed the exiled Jews to return home.</w:t>
      </w:r>
    </w:p>
    <w:p w14:paraId="6442EA72" w14:textId="2F5B01D9" w:rsidR="00D9559F" w:rsidRDefault="00D9559F" w:rsidP="007B4E7A">
      <w:r>
        <w:tab/>
        <w:t>A later parallel in the tale</w:t>
      </w:r>
      <w:r w:rsidR="003773D6">
        <w:t xml:space="preserve">—lines </w:t>
      </w:r>
      <w:r w:rsidR="003773D6" w:rsidRPr="003773D6">
        <w:t>493-538</w:t>
      </w:r>
      <w:r w:rsidR="003773D6">
        <w:t>—is an allusion specifically to Jesus.</w:t>
      </w:r>
      <w:r w:rsidR="00735187">
        <w:t xml:space="preserve"> While lying awake one evening, undecided whether or not to attack his enemies or defend his kingdom, Alexander has a vision of </w:t>
      </w:r>
      <w:r w:rsidR="00735187" w:rsidRPr="00735187">
        <w:t xml:space="preserve">a blazing </w:t>
      </w:r>
      <w:r w:rsidR="00210B6B">
        <w:t>individual</w:t>
      </w:r>
      <w:r w:rsidR="00735187" w:rsidRPr="00735187">
        <w:t xml:space="preserve"> wearing a priest’s diadem and of such radiant glory that he does not know whether to call him a man.</w:t>
      </w:r>
      <w:r w:rsidR="00363C11">
        <w:rPr>
          <w:rStyle w:val="FootnoteReference"/>
        </w:rPr>
        <w:footnoteReference w:id="3"/>
      </w:r>
      <w:r w:rsidR="00735187" w:rsidRPr="00735187">
        <w:t xml:space="preserve"> This appears to be Walter depicting Alexander receiving a vision of the pre-incarnate Jesus.  Th</w:t>
      </w:r>
      <w:r w:rsidR="00210B6B">
        <w:t>is</w:t>
      </w:r>
      <w:r w:rsidR="00735187" w:rsidRPr="00735187">
        <w:t xml:space="preserve"> </w:t>
      </w:r>
      <w:r w:rsidR="00210B6B">
        <w:t xml:space="preserve">person </w:t>
      </w:r>
      <w:r w:rsidR="00735187" w:rsidRPr="00735187">
        <w:t>tells him to go on his campaign, as all the world had been given to him.</w:t>
      </w:r>
      <w:r w:rsidR="006F7829">
        <w:rPr>
          <w:rStyle w:val="FootnoteReference"/>
        </w:rPr>
        <w:footnoteReference w:id="4"/>
      </w:r>
      <w:r w:rsidR="00735187" w:rsidRPr="00735187">
        <w:t xml:space="preserve"> H</w:t>
      </w:r>
      <w:r w:rsidR="005D4D2E">
        <w:t>is</w:t>
      </w:r>
      <w:r w:rsidR="00735187" w:rsidRPr="00735187">
        <w:t xml:space="preserve"> only command </w:t>
      </w:r>
      <w:r w:rsidR="005D4D2E">
        <w:t>is that</w:t>
      </w:r>
      <w:r w:rsidR="00735187" w:rsidRPr="00735187">
        <w:t xml:space="preserve"> ‘[…]</w:t>
      </w:r>
      <w:r w:rsidR="005D4D2E">
        <w:t xml:space="preserve"> if perchance</w:t>
      </w:r>
      <w:r w:rsidR="00735187" w:rsidRPr="00735187">
        <w:t xml:space="preserve"> you see one like me […] spare my people.’</w:t>
      </w:r>
      <w:r w:rsidR="00735187">
        <w:rPr>
          <w:rStyle w:val="FootnoteReference"/>
        </w:rPr>
        <w:footnoteReference w:id="5"/>
      </w:r>
      <w:r w:rsidR="00416977">
        <w:t xml:space="preserve"> The fact that Walter is specifying ‘</w:t>
      </w:r>
      <w:r w:rsidR="00416977">
        <w:rPr>
          <w:i/>
          <w:iCs/>
        </w:rPr>
        <w:t xml:space="preserve">my </w:t>
      </w:r>
      <w:r w:rsidR="00416977">
        <w:t>people’, rather than ‘</w:t>
      </w:r>
      <w:r w:rsidR="00416977">
        <w:rPr>
          <w:i/>
          <w:iCs/>
        </w:rPr>
        <w:t xml:space="preserve">God’s </w:t>
      </w:r>
      <w:r w:rsidR="00416977">
        <w:t xml:space="preserve">people’ is a good indication that </w:t>
      </w:r>
      <w:r w:rsidR="00EE5794">
        <w:t>Walter intended this</w:t>
      </w:r>
      <w:r w:rsidR="00416977">
        <w:t xml:space="preserve"> to be Jesus speaking, rather than an angel</w:t>
      </w:r>
      <w:r w:rsidR="000864E8">
        <w:t>. A</w:t>
      </w:r>
      <w:r w:rsidR="00416977">
        <w:t xml:space="preserve">ngels, </w:t>
      </w:r>
      <w:r w:rsidR="00416977">
        <w:lastRenderedPageBreak/>
        <w:t>although Heavenly beings of that inspire terror in those they visit, are only messengers and servants of God.</w:t>
      </w:r>
      <w:r w:rsidR="00416977">
        <w:rPr>
          <w:rStyle w:val="FootnoteReference"/>
        </w:rPr>
        <w:footnoteReference w:id="6"/>
      </w:r>
    </w:p>
    <w:p w14:paraId="1ACB58A0" w14:textId="08F71893" w:rsidR="008E21D6" w:rsidRDefault="008E21D6" w:rsidP="007B4E7A"/>
    <w:p w14:paraId="3ED01E1D" w14:textId="4BF67AB5" w:rsidR="002E289F" w:rsidRDefault="00FB537D" w:rsidP="007B4E7A">
      <w:r>
        <w:rPr>
          <w:u w:val="single"/>
        </w:rPr>
        <w:t xml:space="preserve">The </w:t>
      </w:r>
      <w:r w:rsidR="002625BE">
        <w:rPr>
          <w:u w:val="single"/>
        </w:rPr>
        <w:t xml:space="preserve">Medieval </w:t>
      </w:r>
      <w:r w:rsidR="00D46457">
        <w:rPr>
          <w:u w:val="single"/>
        </w:rPr>
        <w:t>Culture</w:t>
      </w:r>
      <w:r w:rsidR="00D46457">
        <w:rPr>
          <w:u w:val="single"/>
        </w:rPr>
        <w:t xml:space="preserve"> </w:t>
      </w:r>
      <w:r w:rsidR="00FC6EBF">
        <w:rPr>
          <w:u w:val="single"/>
        </w:rPr>
        <w:t>C</w:t>
      </w:r>
      <w:r w:rsidR="002625BE">
        <w:rPr>
          <w:u w:val="single"/>
        </w:rPr>
        <w:t>ontext</w:t>
      </w:r>
    </w:p>
    <w:p w14:paraId="60A36BA1" w14:textId="2F3345CE" w:rsidR="002E289F" w:rsidRDefault="00167AF3" w:rsidP="007B4E7A">
      <w:r>
        <w:t xml:space="preserve">While medieval culture was at least nominally Christian in terms of practices, the Scriptures were not the only texts to survive from the Classical era. Greek mythology was passed down, also.  Because of this and the popularity of the Greek legends, the Pagan gods were known to the medieval world and featured in several pieces of literature, such as Joseph of Exeter’s </w:t>
      </w:r>
      <w:r>
        <w:rPr>
          <w:i/>
          <w:iCs/>
        </w:rPr>
        <w:t>De Bello Troiano</w:t>
      </w:r>
      <w:r>
        <w:t xml:space="preserve"> where they were personifications of the natural forces.</w:t>
      </w:r>
      <w:r w:rsidR="00076BE6">
        <w:rPr>
          <w:rStyle w:val="FootnoteReference"/>
        </w:rPr>
        <w:footnoteReference w:id="7"/>
      </w:r>
      <w:r w:rsidR="00D12731">
        <w:t xml:space="preserve"> This motif is also used in</w:t>
      </w:r>
      <w:r w:rsidR="004F26B5">
        <w:t xml:space="preserve"> Geoffrey Chaucer’s </w:t>
      </w:r>
      <w:r w:rsidR="004F26B5" w:rsidRPr="00603864">
        <w:rPr>
          <w:i/>
          <w:iCs/>
        </w:rPr>
        <w:t>T</w:t>
      </w:r>
      <w:r w:rsidR="00D12731" w:rsidRPr="00603864">
        <w:rPr>
          <w:i/>
          <w:iCs/>
        </w:rPr>
        <w:t>he Knight’s Tale</w:t>
      </w:r>
      <w:r w:rsidR="00D12731">
        <w:t>.</w:t>
      </w:r>
      <w:r w:rsidR="004F26B5">
        <w:rPr>
          <w:rStyle w:val="FootnoteReference"/>
        </w:rPr>
        <w:footnoteReference w:id="8"/>
      </w:r>
    </w:p>
    <w:p w14:paraId="5AA3194B" w14:textId="18B02581" w:rsidR="0084441A" w:rsidRDefault="0084441A" w:rsidP="007B4E7A">
      <w:r>
        <w:tab/>
      </w:r>
      <w:r w:rsidR="00C422B0">
        <w:t>To write his epic,</w:t>
      </w:r>
      <w:r>
        <w:t xml:space="preserve"> Walter was drawing from historical sources, such as Curtius Rufus’ </w:t>
      </w:r>
      <w:r>
        <w:rPr>
          <w:i/>
          <w:iCs/>
        </w:rPr>
        <w:t>Historiae Alexandri Magni</w:t>
      </w:r>
      <w:r w:rsidR="00C422B0">
        <w:t xml:space="preserve">. Much of his narrative is copied from Curtius very closely, but there are other influences involved. He drew from the Latin Josephus and Justinus to fill in the blanks from </w:t>
      </w:r>
      <w:r w:rsidR="00A41E13">
        <w:t>Curtius</w:t>
      </w:r>
      <w:r w:rsidR="00A41E13">
        <w:t>’</w:t>
      </w:r>
      <w:r w:rsidR="00A41E13">
        <w:t xml:space="preserve"> </w:t>
      </w:r>
      <w:r w:rsidR="00C422B0">
        <w:t>missing books and completely ignored the Alexander romance</w:t>
      </w:r>
      <w:r w:rsidR="00A41E13">
        <w:t xml:space="preserve">, while paralleling the speeches from the </w:t>
      </w:r>
      <w:r w:rsidR="00A41E13">
        <w:rPr>
          <w:i/>
          <w:iCs/>
        </w:rPr>
        <w:t>Historiae</w:t>
      </w:r>
      <w:r w:rsidR="00A41E13">
        <w:t xml:space="preserve"> as much as the writing style he’d chosen would allow</w:t>
      </w:r>
      <w:r w:rsidR="00C422B0">
        <w:t>.</w:t>
      </w:r>
      <w:r w:rsidR="00A373EB">
        <w:rPr>
          <w:rStyle w:val="FootnoteReference"/>
        </w:rPr>
        <w:footnoteReference w:id="9"/>
      </w:r>
      <w:r w:rsidR="00A41E13">
        <w:t xml:space="preserve"> </w:t>
      </w:r>
      <w:r w:rsidR="00C422B0">
        <w:t xml:space="preserve"> There is, however, some originality in the work: ‘Nature’s appearance in book 10, […] where she challenges Leviathan to do something about Alexander […].’</w:t>
      </w:r>
      <w:r w:rsidR="00C422B0">
        <w:rPr>
          <w:rStyle w:val="FootnoteReference"/>
        </w:rPr>
        <w:footnoteReference w:id="10"/>
      </w:r>
    </w:p>
    <w:p w14:paraId="71959917" w14:textId="6C6B9B16" w:rsidR="00A373EB" w:rsidRPr="0084441A" w:rsidRDefault="005F50E8" w:rsidP="007B4E7A">
      <w:r>
        <w:tab/>
      </w:r>
      <w:r w:rsidR="00F62D9E">
        <w:t>In terms of writing style, Walter followed in the tradition of Ovid ‘[…] and the poets of the Silver Age […].’</w:t>
      </w:r>
      <w:r w:rsidR="00F62D9E">
        <w:rPr>
          <w:rStyle w:val="FootnoteReference"/>
        </w:rPr>
        <w:footnoteReference w:id="11"/>
      </w:r>
      <w:r w:rsidR="003219E0">
        <w:t xml:space="preserve"> Rather than being a passive figure who introduces the tale and stands aside, the narration breaks off to praise or blame the characters, or interpret the events for the reader.</w:t>
      </w:r>
      <w:r w:rsidR="003219E0">
        <w:rPr>
          <w:rStyle w:val="FootnoteReference"/>
        </w:rPr>
        <w:footnoteReference w:id="12"/>
      </w:r>
      <w:r w:rsidR="00600E46">
        <w:t xml:space="preserve"> Lafferty notes that this is a characteristic drawn from Lucan’s </w:t>
      </w:r>
      <w:r w:rsidR="00600E46" w:rsidRPr="00600E46">
        <w:rPr>
          <w:i/>
          <w:iCs/>
        </w:rPr>
        <w:t>Pharsalia</w:t>
      </w:r>
      <w:r w:rsidR="00600E46">
        <w:rPr>
          <w:i/>
          <w:iCs/>
        </w:rPr>
        <w:t xml:space="preserve"> </w:t>
      </w:r>
      <w:r w:rsidR="00600E46" w:rsidRPr="00600E46">
        <w:t>as,</w:t>
      </w:r>
      <w:r w:rsidR="00600E46">
        <w:t xml:space="preserve"> </w:t>
      </w:r>
      <w:r w:rsidR="00104024">
        <w:t>‘</w:t>
      </w:r>
      <w:r w:rsidR="00600E46">
        <w:t xml:space="preserve">[he] </w:t>
      </w:r>
      <w:r w:rsidR="00104024" w:rsidRPr="00104024">
        <w:t>draws on the full range of</w:t>
      </w:r>
      <w:r w:rsidR="00600E46">
        <w:t xml:space="preserve"> </w:t>
      </w:r>
      <w:r w:rsidR="00104024" w:rsidRPr="00104024">
        <w:t xml:space="preserve">stylistic features </w:t>
      </w:r>
      <w:r w:rsidR="00AE498B">
        <w:t>[and]</w:t>
      </w:r>
      <w:r w:rsidR="00104024" w:rsidRPr="00104024">
        <w:t xml:space="preserve"> alters them to reflect contemporary taste and concern.</w:t>
      </w:r>
      <w:r w:rsidR="00104024">
        <w:t>’</w:t>
      </w:r>
      <w:r w:rsidR="00104024">
        <w:rPr>
          <w:rStyle w:val="FootnoteReference"/>
        </w:rPr>
        <w:footnoteReference w:id="13"/>
      </w:r>
      <w:r w:rsidR="00A373EB">
        <w:tab/>
      </w:r>
    </w:p>
    <w:p w14:paraId="3C39D9AD" w14:textId="77777777" w:rsidR="0086282A" w:rsidRPr="002E289F" w:rsidRDefault="0086282A" w:rsidP="007B4E7A"/>
    <w:p w14:paraId="39359E41" w14:textId="4AD5166F" w:rsidR="004C6B17" w:rsidRDefault="00BC0534" w:rsidP="007B4E7A">
      <w:pPr>
        <w:rPr>
          <w:u w:val="single"/>
        </w:rPr>
      </w:pPr>
      <w:r>
        <w:rPr>
          <w:u w:val="single"/>
        </w:rPr>
        <w:t>Immediate Circumstances</w:t>
      </w:r>
      <w:r w:rsidR="00CC1209">
        <w:rPr>
          <w:u w:val="single"/>
        </w:rPr>
        <w:t xml:space="preserve"> of Authorship</w:t>
      </w:r>
    </w:p>
    <w:p w14:paraId="13FEF353" w14:textId="348DE221" w:rsidR="00C576CD" w:rsidRDefault="00650504" w:rsidP="007B4E7A">
      <w:r>
        <w:t xml:space="preserve">The more immediate circumstances that Walter was writing in was his need to </w:t>
      </w:r>
      <w:r w:rsidR="00A15FD2">
        <w:t xml:space="preserve">repair his broken relationship with the </w:t>
      </w:r>
      <w:r w:rsidR="008715A7">
        <w:t>Archb</w:t>
      </w:r>
      <w:r w:rsidR="00A15FD2">
        <w:t xml:space="preserve">ishop William. Originally the </w:t>
      </w:r>
      <w:r w:rsidR="004838B4">
        <w:t>Archb</w:t>
      </w:r>
      <w:r w:rsidR="00A15FD2">
        <w:t xml:space="preserve">ishop of Sens, William became the Archbishop of Rheims </w:t>
      </w:r>
      <w:r w:rsidR="000A3FB4">
        <w:t>in 1176. Walter served him as ‘</w:t>
      </w:r>
      <w:r w:rsidR="000A3FB4">
        <w:rPr>
          <w:i/>
          <w:iCs/>
        </w:rPr>
        <w:t xml:space="preserve">notarius </w:t>
      </w:r>
      <w:r w:rsidR="000A3FB4">
        <w:t xml:space="preserve">and </w:t>
      </w:r>
      <w:r w:rsidR="000A3FB4" w:rsidRPr="000A3FB4">
        <w:rPr>
          <w:i/>
          <w:iCs/>
        </w:rPr>
        <w:t>orator</w:t>
      </w:r>
      <w:r w:rsidR="00DC7052">
        <w:rPr>
          <w:i/>
          <w:iCs/>
        </w:rPr>
        <w:t>,</w:t>
      </w:r>
      <w:r w:rsidR="000A3FB4">
        <w:t>’</w:t>
      </w:r>
      <w:r w:rsidR="000A3FB4">
        <w:rPr>
          <w:rStyle w:val="FootnoteReference"/>
        </w:rPr>
        <w:footnoteReference w:id="14"/>
      </w:r>
      <w:r w:rsidR="00AB1D0F">
        <w:t xml:space="preserve"> that is, he wrote legal documents for The Archbishop and </w:t>
      </w:r>
      <w:r w:rsidR="00DC7052">
        <w:t>was a professional public speaker</w:t>
      </w:r>
      <w:r w:rsidR="00F8798D">
        <w:t>.</w:t>
      </w:r>
      <w:r w:rsidR="009340CB">
        <w:t xml:space="preserve"> This was by no means a small matter for Walter; quite aside from the prominence of an Archbishop, William came from the Champagne-Blois family and was related to Philip Augustus, the French King during the Third Crusade.</w:t>
      </w:r>
      <w:r w:rsidR="009340CB">
        <w:rPr>
          <w:rStyle w:val="FootnoteReference"/>
        </w:rPr>
        <w:footnoteReference w:id="15"/>
      </w:r>
    </w:p>
    <w:p w14:paraId="5DE6C361" w14:textId="0DB7F1A2" w:rsidR="00FB122C" w:rsidRDefault="00C576CD" w:rsidP="00291D02">
      <w:pPr>
        <w:ind w:firstLine="720"/>
      </w:pPr>
      <w:r>
        <w:lastRenderedPageBreak/>
        <w:t xml:space="preserve">Although there are several accounts of the reasons for the </w:t>
      </w:r>
      <w:r w:rsidRPr="00C576CD">
        <w:rPr>
          <w:i/>
          <w:iCs/>
        </w:rPr>
        <w:t>Alexandreis’</w:t>
      </w:r>
      <w:r>
        <w:t xml:space="preserve"> writing</w:t>
      </w:r>
      <w:r w:rsidR="00A0678C">
        <w:t>,</w:t>
      </w:r>
      <w:r>
        <w:t xml:space="preserve"> a </w:t>
      </w:r>
      <w:r w:rsidR="00FB122C">
        <w:t>prominent one is that</w:t>
      </w:r>
      <w:r w:rsidR="00A0678C">
        <w:t xml:space="preserve"> William was engaged in a ‘[…] sexual relationship with a certain master Berter.’</w:t>
      </w:r>
      <w:r w:rsidR="00A0678C">
        <w:rPr>
          <w:rStyle w:val="FootnoteReference"/>
        </w:rPr>
        <w:footnoteReference w:id="16"/>
      </w:r>
      <w:r>
        <w:t xml:space="preserve"> Envious of this, Walter set up Berter by giving him a sealed envelope containing the unfortunate man’s own </w:t>
      </w:r>
      <w:r>
        <w:t>exposé</w:t>
      </w:r>
      <w:r>
        <w:t xml:space="preserve"> of </w:t>
      </w:r>
      <w:r w:rsidR="00FB122C">
        <w:t xml:space="preserve">his and William’s </w:t>
      </w:r>
      <w:r>
        <w:t>relationship, with instructions only to read this before the pope. Humiliated, William</w:t>
      </w:r>
      <w:r w:rsidR="00FB122C">
        <w:t xml:space="preserve"> dismissed </w:t>
      </w:r>
      <w:r>
        <w:t xml:space="preserve">Walter from his company. </w:t>
      </w:r>
      <w:r w:rsidR="00C964AF">
        <w:t xml:space="preserve">By choosing Alexander as the theme for his epic, </w:t>
      </w:r>
      <w:r>
        <w:t>Walter is comparing William’s virtues to Alexander the Great</w:t>
      </w:r>
      <w:r w:rsidR="00C964AF">
        <w:t>’</w:t>
      </w:r>
      <w:r>
        <w:t>s</w:t>
      </w:r>
      <w:r w:rsidR="00A24180">
        <w:t xml:space="preserve"> as means of getting back in William’s good graces, although Maura Lafferty notes that the source this comes from</w:t>
      </w:r>
      <w:r w:rsidR="00E35009">
        <w:t>—‘A 13</w:t>
      </w:r>
      <w:r w:rsidR="00E35009" w:rsidRPr="00E35009">
        <w:rPr>
          <w:vertAlign w:val="superscript"/>
        </w:rPr>
        <w:t>th</w:t>
      </w:r>
      <w:r w:rsidR="00E35009">
        <w:t xml:space="preserve"> century gloss […]’</w:t>
      </w:r>
      <w:r w:rsidR="00E35009">
        <w:rPr>
          <w:rStyle w:val="FootnoteReference"/>
        </w:rPr>
        <w:footnoteReference w:id="17"/>
      </w:r>
      <w:r w:rsidR="00A24180">
        <w:t xml:space="preserve"> may be more based in how poets of the time were perceived, rather than how many of them actually were.</w:t>
      </w:r>
      <w:r w:rsidR="00A24180">
        <w:rPr>
          <w:rStyle w:val="FootnoteReference"/>
        </w:rPr>
        <w:footnoteReference w:id="18"/>
      </w:r>
      <w:r w:rsidR="00C109C1">
        <w:t xml:space="preserve"> Another possibility is it was essentially written to win a bet with Matthew of Vendomé.</w:t>
      </w:r>
      <w:r w:rsidR="00C109C1">
        <w:rPr>
          <w:rStyle w:val="FootnoteReference"/>
        </w:rPr>
        <w:footnoteReference w:id="19"/>
      </w:r>
    </w:p>
    <w:p w14:paraId="033DBBC0" w14:textId="72585A23" w:rsidR="00D957D0" w:rsidRDefault="00D957D0" w:rsidP="00D957D0"/>
    <w:p w14:paraId="4286E30F" w14:textId="5B06F8D2" w:rsidR="00D957D0" w:rsidRDefault="00D957D0" w:rsidP="00D957D0">
      <w:r>
        <w:rPr>
          <w:u w:val="single"/>
        </w:rPr>
        <w:t>Conclusion</w:t>
      </w:r>
    </w:p>
    <w:p w14:paraId="1A595D40" w14:textId="585C6C94" w:rsidR="00FB122C" w:rsidRDefault="00E01160" w:rsidP="00FB122C">
      <w:r w:rsidRPr="00E01160">
        <w:t>As a twelfth-century author, Walter was looking back on the history of Alexander through the lens</w:t>
      </w:r>
      <w:r>
        <w:t xml:space="preserve">es of his own time and used him as the basis for an epic that is became widely circulated and enjoyed. </w:t>
      </w:r>
      <w:r w:rsidR="00822364">
        <w:t>Whatever can be learned from it by historians, in this epic Walter of Chatillon told the story of the human Alexander and used the tale to accrue favour with his master by promoting his fame. Possibly in this, Walter most emulated the writers of the classical era.</w:t>
      </w:r>
    </w:p>
    <w:p w14:paraId="7F8D9521" w14:textId="77777777" w:rsidR="00E01160" w:rsidRDefault="00E01160" w:rsidP="00FB122C"/>
    <w:p w14:paraId="47F4186C" w14:textId="09AC7FCB" w:rsidR="00FB122C" w:rsidRPr="00C576CD" w:rsidRDefault="00FB122C" w:rsidP="00FB122C">
      <w:pPr>
        <w:rPr>
          <w:u w:val="single"/>
        </w:rPr>
      </w:pPr>
      <w:r>
        <w:rPr>
          <w:u w:val="single"/>
        </w:rPr>
        <w:t xml:space="preserve">Word count: </w:t>
      </w:r>
      <w:r w:rsidR="00822364">
        <w:rPr>
          <w:u w:val="single"/>
        </w:rPr>
        <w:t>1,059</w:t>
      </w:r>
      <w:bookmarkStart w:id="0" w:name="_GoBack"/>
      <w:bookmarkEnd w:id="0"/>
    </w:p>
    <w:sdt>
      <w:sdtPr>
        <w:rPr>
          <w:rFonts w:asciiTheme="minorHAnsi" w:eastAsiaTheme="minorHAnsi" w:hAnsiTheme="minorHAnsi" w:cstheme="minorBidi"/>
          <w:color w:val="auto"/>
          <w:sz w:val="22"/>
          <w:szCs w:val="22"/>
          <w:lang w:val="en-GB"/>
        </w:rPr>
        <w:id w:val="-1434595003"/>
        <w:docPartObj>
          <w:docPartGallery w:val="Bibliographies"/>
          <w:docPartUnique/>
        </w:docPartObj>
      </w:sdtPr>
      <w:sdtContent>
        <w:p w14:paraId="45011092" w14:textId="05340EFA" w:rsidR="003029CE" w:rsidRDefault="003029CE">
          <w:pPr>
            <w:pStyle w:val="Heading1"/>
            <w:rPr>
              <w:color w:val="auto"/>
            </w:rPr>
          </w:pPr>
          <w:r w:rsidRPr="00FD737D">
            <w:rPr>
              <w:color w:val="auto"/>
            </w:rPr>
            <w:t>Bibliography</w:t>
          </w:r>
        </w:p>
        <w:p w14:paraId="392F379B" w14:textId="4AA283E0" w:rsidR="00D957D0" w:rsidRDefault="00D957D0" w:rsidP="00D957D0">
          <w:pPr>
            <w:rPr>
              <w:lang w:val="en-US"/>
            </w:rPr>
          </w:pPr>
        </w:p>
        <w:p w14:paraId="57AA0A01" w14:textId="5FF4FF4F" w:rsidR="00D957D0" w:rsidRPr="00D957D0" w:rsidRDefault="00D957D0" w:rsidP="00D957D0">
          <w:pPr>
            <w:rPr>
              <w:lang w:val="en-US"/>
            </w:rPr>
          </w:pPr>
          <w:r>
            <w:rPr>
              <w:u w:val="single"/>
              <w:lang w:val="en-US"/>
            </w:rPr>
            <w:t>Primary Sources</w:t>
          </w:r>
        </w:p>
        <w:sdt>
          <w:sdtPr>
            <w:id w:val="111145805"/>
            <w:bibliography/>
          </w:sdtPr>
          <w:sdtContent>
            <w:p w14:paraId="2AFD0553" w14:textId="77777777" w:rsidR="00D957D0" w:rsidRDefault="003029CE" w:rsidP="00D957D0">
              <w:pPr>
                <w:pStyle w:val="Bibliography"/>
                <w:ind w:left="720" w:hanging="720"/>
                <w:rPr>
                  <w:noProof/>
                  <w:lang w:val="en-US"/>
                </w:rPr>
              </w:pPr>
              <w:r w:rsidRPr="00FD737D">
                <w:fldChar w:fldCharType="begin"/>
              </w:r>
              <w:r w:rsidRPr="00FD737D">
                <w:instrText xml:space="preserve"> BIBLIOGRAPHY </w:instrText>
              </w:r>
              <w:r w:rsidRPr="00FD737D">
                <w:fldChar w:fldCharType="separate"/>
              </w:r>
              <w:r w:rsidR="00D957D0">
                <w:rPr>
                  <w:i/>
                  <w:iCs/>
                  <w:noProof/>
                  <w:lang w:val="en-US"/>
                </w:rPr>
                <w:t>Holy Bible: new Living Translation.</w:t>
              </w:r>
              <w:r w:rsidR="00D957D0">
                <w:rPr>
                  <w:noProof/>
                  <w:lang w:val="en-US"/>
                </w:rPr>
                <w:t xml:space="preserve"> (2015). Carol Stream, Illinois: Tyndale House Foundation.</w:t>
              </w:r>
            </w:p>
            <w:p w14:paraId="00326DC1" w14:textId="2034F739" w:rsidR="00D957D0" w:rsidRDefault="00D957D0" w:rsidP="00D957D0">
              <w:pPr>
                <w:pStyle w:val="Bibliography"/>
                <w:ind w:left="720" w:hanging="720"/>
                <w:rPr>
                  <w:noProof/>
                  <w:lang w:val="en-US"/>
                </w:rPr>
              </w:pPr>
              <w:r>
                <w:rPr>
                  <w:noProof/>
                  <w:lang w:val="en-US"/>
                </w:rPr>
                <w:t xml:space="preserve">Townsend, D. (1996). </w:t>
              </w:r>
              <w:r>
                <w:rPr>
                  <w:i/>
                  <w:iCs/>
                  <w:noProof/>
                  <w:lang w:val="en-US"/>
                </w:rPr>
                <w:t>The Alexandreis of Walter of Chatillon: A Twelfth-Century Epic.</w:t>
              </w:r>
              <w:r>
                <w:rPr>
                  <w:noProof/>
                  <w:lang w:val="en-US"/>
                </w:rPr>
                <w:t xml:space="preserve"> (D. Townsend, Trans.) Philadelphia: University of Pennsylvania Press. Retrieved 01 16, 2020, from ProQuest Ebook Central: https://ebookcentral-proquest-com.ezproxy.uwtsd.ac.uk/lib/trinity/reader.action?docID=4322291#</w:t>
              </w:r>
            </w:p>
            <w:p w14:paraId="381983A6" w14:textId="1AF43B20" w:rsidR="00D957D0" w:rsidRPr="00D957D0" w:rsidRDefault="00D957D0" w:rsidP="00D957D0">
              <w:pPr>
                <w:pStyle w:val="Bibliography"/>
                <w:ind w:left="720" w:hanging="720"/>
                <w:rPr>
                  <w:noProof/>
                  <w:sz w:val="24"/>
                  <w:szCs w:val="24"/>
                  <w:lang w:val="en-US"/>
                </w:rPr>
              </w:pPr>
              <w:r>
                <w:rPr>
                  <w:noProof/>
                  <w:sz w:val="24"/>
                  <w:szCs w:val="24"/>
                  <w:u w:val="single"/>
                  <w:lang w:val="en-US"/>
                </w:rPr>
                <w:t>Secondary Sources</w:t>
              </w:r>
            </w:p>
            <w:p w14:paraId="45DC3725" w14:textId="77777777" w:rsidR="00D957D0" w:rsidRDefault="00D957D0" w:rsidP="00D957D0">
              <w:pPr>
                <w:pStyle w:val="Bibliography"/>
                <w:ind w:left="720" w:hanging="720"/>
                <w:rPr>
                  <w:noProof/>
                  <w:lang w:val="en-US"/>
                </w:rPr>
              </w:pPr>
              <w:r>
                <w:rPr>
                  <w:noProof/>
                  <w:lang w:val="en-US"/>
                </w:rPr>
                <w:t xml:space="preserve">Lafferty, M. (2011). Walter of Chatillon's Alexandreis. In Z. D. Zuwiyya (Ed.), </w:t>
              </w:r>
              <w:r>
                <w:rPr>
                  <w:i/>
                  <w:iCs/>
                  <w:noProof/>
                  <w:lang w:val="en-US"/>
                </w:rPr>
                <w:t>A Companion to Alexander Literature in the Middle Ages</w:t>
              </w:r>
              <w:r>
                <w:rPr>
                  <w:noProof/>
                  <w:lang w:val="en-US"/>
                </w:rPr>
                <w:t xml:space="preserve"> (pp. 177-199). Boston: Brill. Retrieved from https://www-dawsonera-com.ezproxy.uwtsd.ac.uk/readonline/9789004211933</w:t>
              </w:r>
            </w:p>
            <w:p w14:paraId="2C3C56FE" w14:textId="77777777" w:rsidR="00D957D0" w:rsidRDefault="00D957D0" w:rsidP="00D957D0">
              <w:pPr>
                <w:pStyle w:val="Bibliography"/>
                <w:ind w:left="720" w:hanging="720"/>
                <w:rPr>
                  <w:noProof/>
                  <w:lang w:val="en-US"/>
                </w:rPr>
              </w:pPr>
              <w:r>
                <w:rPr>
                  <w:noProof/>
                  <w:lang w:val="en-US"/>
                </w:rPr>
                <w:t xml:space="preserve">Rigg, A. G. (2001). Joseph of Exeter's Pagan Gods again. </w:t>
              </w:r>
              <w:r>
                <w:rPr>
                  <w:i/>
                  <w:iCs/>
                  <w:noProof/>
                  <w:lang w:val="en-US"/>
                </w:rPr>
                <w:t>Medium Aevum, 70</w:t>
              </w:r>
              <w:r>
                <w:rPr>
                  <w:noProof/>
                  <w:lang w:val="en-US"/>
                </w:rPr>
                <w:t>(1), 19-28.</w:t>
              </w:r>
            </w:p>
            <w:p w14:paraId="77EE02F6" w14:textId="77777777" w:rsidR="00D957D0" w:rsidRDefault="00D957D0" w:rsidP="00D957D0">
              <w:pPr>
                <w:pStyle w:val="Bibliography"/>
                <w:ind w:left="720" w:hanging="720"/>
                <w:rPr>
                  <w:noProof/>
                  <w:lang w:val="en-US"/>
                </w:rPr>
              </w:pPr>
              <w:r>
                <w:rPr>
                  <w:i/>
                  <w:iCs/>
                  <w:noProof/>
                  <w:lang w:val="en-US"/>
                </w:rPr>
                <w:t>What does the Bible say about angels?</w:t>
              </w:r>
              <w:r>
                <w:rPr>
                  <w:noProof/>
                  <w:lang w:val="en-US"/>
                </w:rPr>
                <w:t xml:space="preserve"> (n.d.). Retrieved 01 20, 2020, from Got Questions: https://www.gotquestions.org/angels-Bible.html</w:t>
              </w:r>
            </w:p>
            <w:p w14:paraId="13EB1374" w14:textId="723FB564" w:rsidR="003029CE" w:rsidRPr="00FD737D" w:rsidRDefault="003029CE" w:rsidP="005F1331">
              <w:r w:rsidRPr="00FD737D">
                <w:rPr>
                  <w:b/>
                  <w:bCs/>
                  <w:noProof/>
                </w:rPr>
                <w:lastRenderedPageBreak/>
                <w:fldChar w:fldCharType="end"/>
              </w:r>
            </w:p>
          </w:sdtContent>
        </w:sdt>
      </w:sdtContent>
    </w:sdt>
    <w:sectPr w:rsidR="003029CE" w:rsidRPr="00FD737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05FAA0" w14:textId="77777777" w:rsidR="006D7357" w:rsidRDefault="006D7357" w:rsidP="0052410A">
      <w:pPr>
        <w:spacing w:after="0" w:line="240" w:lineRule="auto"/>
      </w:pPr>
      <w:r>
        <w:separator/>
      </w:r>
    </w:p>
  </w:endnote>
  <w:endnote w:type="continuationSeparator" w:id="0">
    <w:p w14:paraId="36256910" w14:textId="77777777" w:rsidR="006D7357" w:rsidRDefault="006D7357" w:rsidP="00524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3236913"/>
      <w:docPartObj>
        <w:docPartGallery w:val="Page Numbers (Bottom of Page)"/>
        <w:docPartUnique/>
      </w:docPartObj>
    </w:sdtPr>
    <w:sdtEndPr>
      <w:rPr>
        <w:noProof/>
      </w:rPr>
    </w:sdtEndPr>
    <w:sdtContent>
      <w:p w14:paraId="58A5AC23" w14:textId="5F96CEC6" w:rsidR="00D9559F" w:rsidRDefault="00D955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7C3024" w14:textId="77777777" w:rsidR="00D9559F" w:rsidRDefault="00D955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84DBB4" w14:textId="77777777" w:rsidR="006D7357" w:rsidRDefault="006D7357" w:rsidP="0052410A">
      <w:pPr>
        <w:spacing w:after="0" w:line="240" w:lineRule="auto"/>
      </w:pPr>
      <w:r>
        <w:separator/>
      </w:r>
    </w:p>
  </w:footnote>
  <w:footnote w:type="continuationSeparator" w:id="0">
    <w:p w14:paraId="1A186E90" w14:textId="77777777" w:rsidR="006D7357" w:rsidRDefault="006D7357" w:rsidP="0052410A">
      <w:pPr>
        <w:spacing w:after="0" w:line="240" w:lineRule="auto"/>
      </w:pPr>
      <w:r>
        <w:continuationSeparator/>
      </w:r>
    </w:p>
  </w:footnote>
  <w:footnote w:id="1">
    <w:p w14:paraId="4E995FAE" w14:textId="5D3CB3B0" w:rsidR="00D9559F" w:rsidRDefault="00D9559F">
      <w:pPr>
        <w:pStyle w:val="FootnoteText"/>
      </w:pPr>
      <w:r>
        <w:rPr>
          <w:rStyle w:val="FootnoteReference"/>
        </w:rPr>
        <w:footnoteRef/>
      </w:r>
      <w:r>
        <w:t xml:space="preserve"> A. G. </w:t>
      </w:r>
      <w:r w:rsidRPr="00C402CD">
        <w:t>Rigg</w:t>
      </w:r>
      <w:r>
        <w:t xml:space="preserve">, ‘Joseph of Exeter's Pagan Gods again’, in </w:t>
      </w:r>
      <w:r w:rsidRPr="00C402CD">
        <w:rPr>
          <w:i/>
          <w:iCs/>
        </w:rPr>
        <w:t>Medium Aevum</w:t>
      </w:r>
      <w:r>
        <w:t>, Vol. 70 (1), 2001, p. 19-28.</w:t>
      </w:r>
    </w:p>
  </w:footnote>
  <w:footnote w:id="2">
    <w:p w14:paraId="4A2EF66C" w14:textId="70636E27" w:rsidR="00D9559F" w:rsidRDefault="00D9559F">
      <w:pPr>
        <w:pStyle w:val="FootnoteText"/>
      </w:pPr>
      <w:r>
        <w:rPr>
          <w:rStyle w:val="FootnoteReference"/>
        </w:rPr>
        <w:footnoteRef/>
      </w:r>
      <w:r>
        <w:t xml:space="preserve"> </w:t>
      </w:r>
      <w:r w:rsidRPr="00DF6B77">
        <w:t xml:space="preserve">David Townsend, </w:t>
      </w:r>
      <w:r w:rsidRPr="00DF6B77">
        <w:rPr>
          <w:i/>
          <w:iCs/>
        </w:rPr>
        <w:t>The Alexandreis of Walter of Chatillon: A Twelfth-Century Epic,</w:t>
      </w:r>
      <w:r w:rsidRPr="00DF6B77">
        <w:t xml:space="preserve"> (trans. David Townsend), (Philadelphia: University of Pennsylvania Press, 1996), </w:t>
      </w:r>
      <w:hyperlink r:id="rId1" w:history="1">
        <w:r w:rsidRPr="009C6BF3">
          <w:rPr>
            <w:rStyle w:val="Hyperlink"/>
          </w:rPr>
          <w:t>https://ebookcentral-proquest-com.ezproxy.uwtsd.ac.uk/lib/trinity/reader.action?docID=4322291#</w:t>
        </w:r>
      </w:hyperlink>
      <w:r w:rsidRPr="00DF6B77">
        <w:t>,</w:t>
      </w:r>
      <w:r>
        <w:t xml:space="preserve"> </w:t>
      </w:r>
      <w:r w:rsidRPr="00DF6B77">
        <w:t xml:space="preserve">(Accessed: 18/01/2020), p. </w:t>
      </w:r>
      <w:r>
        <w:t>17-18</w:t>
      </w:r>
      <w:r w:rsidRPr="00DF6B77">
        <w:t>.</w:t>
      </w:r>
    </w:p>
  </w:footnote>
  <w:footnote w:id="3">
    <w:p w14:paraId="0C04F598" w14:textId="136CF69A" w:rsidR="00363C11" w:rsidRDefault="00363C11">
      <w:pPr>
        <w:pStyle w:val="FootnoteText"/>
      </w:pPr>
      <w:r>
        <w:rPr>
          <w:rStyle w:val="FootnoteReference"/>
        </w:rPr>
        <w:footnoteRef/>
      </w:r>
      <w:r>
        <w:t xml:space="preserve"> ‘</w:t>
      </w:r>
      <w:r w:rsidRPr="00363C11">
        <w:t>Lo, suddenly I saw the room grow bright,</w:t>
      </w:r>
      <w:r>
        <w:t xml:space="preserve">/ </w:t>
      </w:r>
      <w:r w:rsidRPr="00363C11">
        <w:t>saw heavenly radiance burst the doors, saw night's</w:t>
      </w:r>
      <w:r>
        <w:t xml:space="preserve">/ </w:t>
      </w:r>
      <w:r w:rsidRPr="00363C11">
        <w:t>darkness pressed back, and shadows turned to day.</w:t>
      </w:r>
      <w:r>
        <w:t>’ Ibid, p. 20-21.</w:t>
      </w:r>
    </w:p>
  </w:footnote>
  <w:footnote w:id="4">
    <w:p w14:paraId="0936BE6F" w14:textId="38E07295" w:rsidR="006F7829" w:rsidRDefault="006F7829">
      <w:pPr>
        <w:pStyle w:val="FootnoteText"/>
      </w:pPr>
      <w:r>
        <w:rPr>
          <w:rStyle w:val="FootnoteReference"/>
        </w:rPr>
        <w:footnoteRef/>
      </w:r>
      <w:r>
        <w:t xml:space="preserve"> ‘”</w:t>
      </w:r>
      <w:r w:rsidRPr="006F7829">
        <w:t>Set out, most valiant Macedonian,</w:t>
      </w:r>
      <w:r w:rsidR="00205B60">
        <w:t>/</w:t>
      </w:r>
      <w:r w:rsidRPr="006F7829">
        <w:t xml:space="preserve"> from your own land,</w:t>
      </w:r>
      <w:r>
        <w:t>”</w:t>
      </w:r>
      <w:r w:rsidRPr="006F7829">
        <w:t xml:space="preserve"> he said. To you I grant</w:t>
      </w:r>
      <w:r w:rsidR="00205B60">
        <w:t>/</w:t>
      </w:r>
      <w:r w:rsidRPr="006F7829">
        <w:t xml:space="preserve"> dominion of each race;</w:t>
      </w:r>
      <w:r>
        <w:t xml:space="preserve"> […]’ Ibid, p. 21.</w:t>
      </w:r>
    </w:p>
  </w:footnote>
  <w:footnote w:id="5">
    <w:p w14:paraId="2281C516" w14:textId="76F45AD4" w:rsidR="00735187" w:rsidRDefault="00735187">
      <w:pPr>
        <w:pStyle w:val="FootnoteText"/>
      </w:pPr>
      <w:r>
        <w:rPr>
          <w:rStyle w:val="FootnoteReference"/>
        </w:rPr>
        <w:footnoteRef/>
      </w:r>
      <w:r>
        <w:t xml:space="preserve"> </w:t>
      </w:r>
      <w:r w:rsidRPr="00735187">
        <w:t xml:space="preserve">David Townsend, </w:t>
      </w:r>
      <w:r w:rsidRPr="00735187">
        <w:rPr>
          <w:i/>
          <w:iCs/>
        </w:rPr>
        <w:t>The Alexandreis of Walter of Chatillon: A Twelfth-Century Epic,</w:t>
      </w:r>
      <w:r w:rsidRPr="00735187">
        <w:t xml:space="preserve"> (trans. David Townsend), (Philadelphia: University of Pennsylvania Press, 1996), </w:t>
      </w:r>
      <w:hyperlink r:id="rId2" w:history="1">
        <w:r w:rsidRPr="009C6BF3">
          <w:rPr>
            <w:rStyle w:val="Hyperlink"/>
          </w:rPr>
          <w:t>https://ebookcentral-proquest-com.ezproxy.uwtsd.ac.uk/lib/trinity/reader.action?docID=4322291#</w:t>
        </w:r>
      </w:hyperlink>
      <w:r w:rsidRPr="00735187">
        <w:t>,</w:t>
      </w:r>
      <w:r>
        <w:t xml:space="preserve"> </w:t>
      </w:r>
      <w:r w:rsidRPr="00735187">
        <w:t>(Accessed: 18/01/2020), p. 21.</w:t>
      </w:r>
    </w:p>
  </w:footnote>
  <w:footnote w:id="6">
    <w:p w14:paraId="5D49A063" w14:textId="18DC2E65" w:rsidR="00416977" w:rsidRPr="00416977" w:rsidRDefault="00416977">
      <w:pPr>
        <w:pStyle w:val="FootnoteText"/>
      </w:pPr>
      <w:r>
        <w:rPr>
          <w:rStyle w:val="FootnoteReference"/>
        </w:rPr>
        <w:footnoteRef/>
      </w:r>
      <w:r>
        <w:t xml:space="preserve"> Got Questions, </w:t>
      </w:r>
      <w:r>
        <w:rPr>
          <w:i/>
          <w:iCs/>
        </w:rPr>
        <w:t>What does the Bible say about Angels?</w:t>
      </w:r>
      <w:r>
        <w:t xml:space="preserve">, </w:t>
      </w:r>
      <w:hyperlink r:id="rId3" w:history="1">
        <w:r w:rsidRPr="009C6BF3">
          <w:rPr>
            <w:rStyle w:val="Hyperlink"/>
          </w:rPr>
          <w:t>https://www.gotquestions.org/angels-Bible.html</w:t>
        </w:r>
      </w:hyperlink>
      <w:r>
        <w:t>, (Accessed: 20/01/2020).</w:t>
      </w:r>
    </w:p>
  </w:footnote>
  <w:footnote w:id="7">
    <w:p w14:paraId="5DDD9A79" w14:textId="26ECEEF8" w:rsidR="00076BE6" w:rsidRPr="00076BE6" w:rsidRDefault="00076BE6">
      <w:pPr>
        <w:pStyle w:val="FootnoteText"/>
      </w:pPr>
      <w:r>
        <w:rPr>
          <w:rStyle w:val="FootnoteReference"/>
        </w:rPr>
        <w:footnoteRef/>
      </w:r>
      <w:r>
        <w:t xml:space="preserve"> A. G. Rigg, ‘Joseph of Exeter’s Pagan Gods again’ in </w:t>
      </w:r>
      <w:r>
        <w:rPr>
          <w:i/>
          <w:iCs/>
        </w:rPr>
        <w:t>Medium Aevum</w:t>
      </w:r>
      <w:r>
        <w:t>, Vol. 70 (1), 2001, p. 19.</w:t>
      </w:r>
    </w:p>
  </w:footnote>
  <w:footnote w:id="8">
    <w:p w14:paraId="14DD8F65" w14:textId="64124989" w:rsidR="004F26B5" w:rsidRDefault="004F26B5">
      <w:pPr>
        <w:pStyle w:val="FootnoteText"/>
      </w:pPr>
      <w:r>
        <w:rPr>
          <w:rStyle w:val="FootnoteReference"/>
        </w:rPr>
        <w:footnoteRef/>
      </w:r>
      <w:r>
        <w:t xml:space="preserve"> Ibid, p. 24.</w:t>
      </w:r>
    </w:p>
  </w:footnote>
  <w:footnote w:id="9">
    <w:p w14:paraId="32FF447E" w14:textId="52A7696E" w:rsidR="00A373EB" w:rsidRDefault="00A373EB">
      <w:pPr>
        <w:pStyle w:val="FootnoteText"/>
      </w:pPr>
      <w:r>
        <w:rPr>
          <w:rStyle w:val="FootnoteReference"/>
        </w:rPr>
        <w:footnoteRef/>
      </w:r>
      <w:r>
        <w:t xml:space="preserve"> </w:t>
      </w:r>
      <w:r w:rsidRPr="00A373EB">
        <w:t xml:space="preserve">Maura Lafferty, ‘Walter of Chatillon’s Alexandreis’ in </w:t>
      </w:r>
      <w:r w:rsidRPr="00F62D9E">
        <w:rPr>
          <w:i/>
          <w:iCs/>
        </w:rPr>
        <w:t>A Companion to Alexander Literature in the Middle Ages,</w:t>
      </w:r>
      <w:r w:rsidRPr="00A373EB">
        <w:t xml:space="preserve"> (Boston: Brill, 2011), </w:t>
      </w:r>
      <w:hyperlink r:id="rId4" w:history="1">
        <w:r w:rsidR="00F62D9E" w:rsidRPr="009C6BF3">
          <w:rPr>
            <w:rStyle w:val="Hyperlink"/>
          </w:rPr>
          <w:t>https://www-dawsonera-com.ezproxy.uwtsd.ac.uk/readonline/9789004211933</w:t>
        </w:r>
      </w:hyperlink>
      <w:r w:rsidRPr="00A373EB">
        <w:t>,</w:t>
      </w:r>
      <w:r w:rsidR="00F62D9E">
        <w:t xml:space="preserve"> </w:t>
      </w:r>
      <w:r w:rsidRPr="00A373EB">
        <w:t>(Accessed: 20/01/20),</w:t>
      </w:r>
      <w:r>
        <w:t xml:space="preserve"> p. 186</w:t>
      </w:r>
      <w:r w:rsidR="00A41E13">
        <w:t>; 192</w:t>
      </w:r>
      <w:r>
        <w:t>.</w:t>
      </w:r>
    </w:p>
  </w:footnote>
  <w:footnote w:id="10">
    <w:p w14:paraId="09287EB1" w14:textId="594AAE04" w:rsidR="00C422B0" w:rsidRDefault="00C422B0">
      <w:pPr>
        <w:pStyle w:val="FootnoteText"/>
      </w:pPr>
      <w:r>
        <w:rPr>
          <w:rStyle w:val="FootnoteReference"/>
        </w:rPr>
        <w:footnoteRef/>
      </w:r>
      <w:r w:rsidR="00A373EB">
        <w:t xml:space="preserve"> Ibid,</w:t>
      </w:r>
      <w:r>
        <w:t xml:space="preserve"> </w:t>
      </w:r>
      <w:r w:rsidRPr="00C422B0">
        <w:t>p.</w:t>
      </w:r>
      <w:r>
        <w:t xml:space="preserve"> 186.</w:t>
      </w:r>
    </w:p>
  </w:footnote>
  <w:footnote w:id="11">
    <w:p w14:paraId="7D906263" w14:textId="1FA538F2" w:rsidR="00F62D9E" w:rsidRDefault="00F62D9E">
      <w:pPr>
        <w:pStyle w:val="FootnoteText"/>
      </w:pPr>
      <w:r>
        <w:rPr>
          <w:rStyle w:val="FootnoteReference"/>
        </w:rPr>
        <w:footnoteRef/>
      </w:r>
      <w:r>
        <w:t xml:space="preserve"> </w:t>
      </w:r>
      <w:r w:rsidRPr="00F62D9E">
        <w:t>Ibid, p. 19</w:t>
      </w:r>
      <w:r w:rsidR="003219E0">
        <w:t>2</w:t>
      </w:r>
      <w:r w:rsidRPr="00F62D9E">
        <w:t>.</w:t>
      </w:r>
    </w:p>
  </w:footnote>
  <w:footnote w:id="12">
    <w:p w14:paraId="476933E9" w14:textId="52CEAF5E" w:rsidR="003219E0" w:rsidRDefault="003219E0">
      <w:pPr>
        <w:pStyle w:val="FootnoteText"/>
      </w:pPr>
      <w:r>
        <w:rPr>
          <w:rStyle w:val="FootnoteReference"/>
        </w:rPr>
        <w:footnoteRef/>
      </w:r>
      <w:r>
        <w:t xml:space="preserve"> </w:t>
      </w:r>
      <w:r w:rsidRPr="003219E0">
        <w:t>Ibid, p. 19</w:t>
      </w:r>
      <w:r>
        <w:t>2</w:t>
      </w:r>
      <w:r w:rsidRPr="003219E0">
        <w:t>.</w:t>
      </w:r>
    </w:p>
  </w:footnote>
  <w:footnote w:id="13">
    <w:p w14:paraId="4D7873CC" w14:textId="113DC72C" w:rsidR="00104024" w:rsidRDefault="00104024">
      <w:pPr>
        <w:pStyle w:val="FootnoteText"/>
      </w:pPr>
      <w:r>
        <w:rPr>
          <w:rStyle w:val="FootnoteReference"/>
        </w:rPr>
        <w:footnoteRef/>
      </w:r>
      <w:r>
        <w:t xml:space="preserve"> Ibid, p. 193.</w:t>
      </w:r>
    </w:p>
  </w:footnote>
  <w:footnote w:id="14">
    <w:p w14:paraId="1C379F73" w14:textId="391E51F6" w:rsidR="000A3FB4" w:rsidRPr="000A3FB4" w:rsidRDefault="000A3FB4">
      <w:pPr>
        <w:pStyle w:val="FootnoteText"/>
      </w:pPr>
      <w:r>
        <w:rPr>
          <w:rStyle w:val="FootnoteReference"/>
        </w:rPr>
        <w:footnoteRef/>
      </w:r>
      <w:r>
        <w:t xml:space="preserve"> </w:t>
      </w:r>
      <w:r w:rsidR="00C422B0">
        <w:t xml:space="preserve">Ibid, p. </w:t>
      </w:r>
      <w:r w:rsidR="009340CB" w:rsidRPr="009340CB">
        <w:t>178</w:t>
      </w:r>
      <w:r w:rsidR="00011E8A">
        <w:t>.</w:t>
      </w:r>
    </w:p>
  </w:footnote>
  <w:footnote w:id="15">
    <w:p w14:paraId="7C236C1E" w14:textId="7D19CD69" w:rsidR="009340CB" w:rsidRDefault="009340CB">
      <w:pPr>
        <w:pStyle w:val="FootnoteText"/>
      </w:pPr>
      <w:r>
        <w:rPr>
          <w:rStyle w:val="FootnoteReference"/>
        </w:rPr>
        <w:footnoteRef/>
      </w:r>
      <w:r>
        <w:t xml:space="preserve"> Ibid, p. 178.</w:t>
      </w:r>
    </w:p>
  </w:footnote>
  <w:footnote w:id="16">
    <w:p w14:paraId="432BA818" w14:textId="1A41ED08" w:rsidR="00A0678C" w:rsidRPr="00A0678C" w:rsidRDefault="00A0678C">
      <w:pPr>
        <w:pStyle w:val="FootnoteText"/>
      </w:pPr>
      <w:r>
        <w:rPr>
          <w:rStyle w:val="FootnoteReference"/>
        </w:rPr>
        <w:footnoteRef/>
      </w:r>
      <w:r>
        <w:t xml:space="preserve"> Lafferty, </w:t>
      </w:r>
      <w:r>
        <w:rPr>
          <w:i/>
          <w:iCs/>
        </w:rPr>
        <w:t>Companion to Alexander Literature</w:t>
      </w:r>
      <w:r>
        <w:t>, 2011, p. 180.</w:t>
      </w:r>
    </w:p>
  </w:footnote>
  <w:footnote w:id="17">
    <w:p w14:paraId="5011651B" w14:textId="19841891" w:rsidR="00E35009" w:rsidRDefault="00E35009">
      <w:pPr>
        <w:pStyle w:val="FootnoteText"/>
      </w:pPr>
      <w:r>
        <w:rPr>
          <w:rStyle w:val="FootnoteReference"/>
        </w:rPr>
        <w:footnoteRef/>
      </w:r>
      <w:r>
        <w:t xml:space="preserve"> Ibid, p. 180.</w:t>
      </w:r>
    </w:p>
  </w:footnote>
  <w:footnote w:id="18">
    <w:p w14:paraId="6611458B" w14:textId="2A6D3FBB" w:rsidR="00A24180" w:rsidRDefault="00A24180">
      <w:pPr>
        <w:pStyle w:val="FootnoteText"/>
      </w:pPr>
      <w:r>
        <w:rPr>
          <w:rStyle w:val="FootnoteReference"/>
        </w:rPr>
        <w:footnoteRef/>
      </w:r>
      <w:r>
        <w:t xml:space="preserve"> Ibid, p. 180-181.</w:t>
      </w:r>
    </w:p>
  </w:footnote>
  <w:footnote w:id="19">
    <w:p w14:paraId="16EDC2CF" w14:textId="1BD1CD35" w:rsidR="00C109C1" w:rsidRDefault="00C109C1">
      <w:pPr>
        <w:pStyle w:val="FootnoteText"/>
      </w:pPr>
      <w:r>
        <w:rPr>
          <w:rStyle w:val="FootnoteReference"/>
        </w:rPr>
        <w:footnoteRef/>
      </w:r>
      <w:r>
        <w:t xml:space="preserve"> Ibid, p. 181.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085740" w14:textId="4BC1A382" w:rsidR="00D9559F" w:rsidRDefault="00D9559F">
    <w:pPr>
      <w:pStyle w:val="Header"/>
    </w:pPr>
    <w:r>
      <w:t>Jonathan Goddard</w:t>
    </w:r>
    <w:r>
      <w:ptab w:relativeTo="margin" w:alignment="center" w:leader="none"/>
    </w:r>
    <w:r>
      <w:t>HPAH6058</w:t>
    </w:r>
    <w:r>
      <w:ptab w:relativeTo="margin" w:alignment="right" w:leader="none"/>
    </w:r>
    <w:r>
      <w:fldChar w:fldCharType="begin"/>
    </w:r>
    <w:r>
      <w:instrText xml:space="preserve"> DATE \@ "dd/MM/yyyy" </w:instrText>
    </w:r>
    <w:r>
      <w:fldChar w:fldCharType="separate"/>
    </w:r>
    <w:r>
      <w:rPr>
        <w:noProof/>
      </w:rPr>
      <w:t>20/01/2020</w:t>
    </w:r>
    <w:r>
      <w:fldChar w:fldCharType="end"/>
    </w:r>
  </w:p>
  <w:p w14:paraId="5140EBB9" w14:textId="00FDA6F1" w:rsidR="00D9559F" w:rsidRDefault="00D9559F">
    <w:pPr>
      <w:pStyle w:val="Header"/>
    </w:pPr>
    <w:r>
      <w:t>1601793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4E6B3F"/>
    <w:multiLevelType w:val="hybridMultilevel"/>
    <w:tmpl w:val="E09ECB64"/>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4F0611"/>
    <w:multiLevelType w:val="hybridMultilevel"/>
    <w:tmpl w:val="E5465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5FF"/>
    <w:rsid w:val="00011E8A"/>
    <w:rsid w:val="00066715"/>
    <w:rsid w:val="00076BE6"/>
    <w:rsid w:val="000864E8"/>
    <w:rsid w:val="000A139B"/>
    <w:rsid w:val="000A3FB4"/>
    <w:rsid w:val="00104024"/>
    <w:rsid w:val="00167AF3"/>
    <w:rsid w:val="002042DE"/>
    <w:rsid w:val="00205B60"/>
    <w:rsid w:val="00210B6B"/>
    <w:rsid w:val="002569EB"/>
    <w:rsid w:val="002625BE"/>
    <w:rsid w:val="00262682"/>
    <w:rsid w:val="00291D02"/>
    <w:rsid w:val="00292993"/>
    <w:rsid w:val="002B2301"/>
    <w:rsid w:val="002D7977"/>
    <w:rsid w:val="002E289F"/>
    <w:rsid w:val="00302753"/>
    <w:rsid w:val="003029CE"/>
    <w:rsid w:val="003219E0"/>
    <w:rsid w:val="00363C11"/>
    <w:rsid w:val="003665FF"/>
    <w:rsid w:val="003773D6"/>
    <w:rsid w:val="003A30B4"/>
    <w:rsid w:val="003B6B83"/>
    <w:rsid w:val="00416977"/>
    <w:rsid w:val="004445D0"/>
    <w:rsid w:val="004838B4"/>
    <w:rsid w:val="004C6B17"/>
    <w:rsid w:val="004E2EF6"/>
    <w:rsid w:val="004F26B5"/>
    <w:rsid w:val="0052410A"/>
    <w:rsid w:val="00554FC7"/>
    <w:rsid w:val="00584207"/>
    <w:rsid w:val="005C31D7"/>
    <w:rsid w:val="005D4D2E"/>
    <w:rsid w:val="005F1331"/>
    <w:rsid w:val="005F50E8"/>
    <w:rsid w:val="00600E46"/>
    <w:rsid w:val="00603864"/>
    <w:rsid w:val="00621274"/>
    <w:rsid w:val="00650504"/>
    <w:rsid w:val="00662D3B"/>
    <w:rsid w:val="00674D42"/>
    <w:rsid w:val="00675926"/>
    <w:rsid w:val="00677FD8"/>
    <w:rsid w:val="0068555E"/>
    <w:rsid w:val="006B6934"/>
    <w:rsid w:val="006D7357"/>
    <w:rsid w:val="006F7829"/>
    <w:rsid w:val="007304A5"/>
    <w:rsid w:val="00735187"/>
    <w:rsid w:val="00750EE4"/>
    <w:rsid w:val="00774AD0"/>
    <w:rsid w:val="007B4E7A"/>
    <w:rsid w:val="007C32AD"/>
    <w:rsid w:val="007D0F73"/>
    <w:rsid w:val="007F128F"/>
    <w:rsid w:val="00822364"/>
    <w:rsid w:val="00837360"/>
    <w:rsid w:val="0084441A"/>
    <w:rsid w:val="0086282A"/>
    <w:rsid w:val="008715A7"/>
    <w:rsid w:val="00877AB7"/>
    <w:rsid w:val="008919E3"/>
    <w:rsid w:val="008D4543"/>
    <w:rsid w:val="008E21D6"/>
    <w:rsid w:val="008E3FF0"/>
    <w:rsid w:val="009340CB"/>
    <w:rsid w:val="00951365"/>
    <w:rsid w:val="009560E8"/>
    <w:rsid w:val="009F57B3"/>
    <w:rsid w:val="00A0678C"/>
    <w:rsid w:val="00A111E0"/>
    <w:rsid w:val="00A15FD2"/>
    <w:rsid w:val="00A24180"/>
    <w:rsid w:val="00A3659A"/>
    <w:rsid w:val="00A373EB"/>
    <w:rsid w:val="00A41E13"/>
    <w:rsid w:val="00A5328B"/>
    <w:rsid w:val="00AB1D0F"/>
    <w:rsid w:val="00AD2487"/>
    <w:rsid w:val="00AE498B"/>
    <w:rsid w:val="00B00CBD"/>
    <w:rsid w:val="00B43B1D"/>
    <w:rsid w:val="00B51A12"/>
    <w:rsid w:val="00B55989"/>
    <w:rsid w:val="00B57561"/>
    <w:rsid w:val="00B654BF"/>
    <w:rsid w:val="00B6613D"/>
    <w:rsid w:val="00B85B43"/>
    <w:rsid w:val="00B93BD4"/>
    <w:rsid w:val="00BA4D44"/>
    <w:rsid w:val="00BA6AD6"/>
    <w:rsid w:val="00BC0534"/>
    <w:rsid w:val="00BE32C6"/>
    <w:rsid w:val="00BF6C29"/>
    <w:rsid w:val="00C076EE"/>
    <w:rsid w:val="00C109C1"/>
    <w:rsid w:val="00C148EB"/>
    <w:rsid w:val="00C402CD"/>
    <w:rsid w:val="00C422B0"/>
    <w:rsid w:val="00C53E7B"/>
    <w:rsid w:val="00C576CD"/>
    <w:rsid w:val="00C964AF"/>
    <w:rsid w:val="00CC1209"/>
    <w:rsid w:val="00CE2ED9"/>
    <w:rsid w:val="00CE7964"/>
    <w:rsid w:val="00D0440A"/>
    <w:rsid w:val="00D12731"/>
    <w:rsid w:val="00D37D06"/>
    <w:rsid w:val="00D46457"/>
    <w:rsid w:val="00D9559F"/>
    <w:rsid w:val="00D957D0"/>
    <w:rsid w:val="00DA4960"/>
    <w:rsid w:val="00DC7052"/>
    <w:rsid w:val="00DF6B77"/>
    <w:rsid w:val="00E01160"/>
    <w:rsid w:val="00E07E41"/>
    <w:rsid w:val="00E35009"/>
    <w:rsid w:val="00E54653"/>
    <w:rsid w:val="00E60EBA"/>
    <w:rsid w:val="00E92E45"/>
    <w:rsid w:val="00EE5794"/>
    <w:rsid w:val="00EE776C"/>
    <w:rsid w:val="00F556AD"/>
    <w:rsid w:val="00F57C8B"/>
    <w:rsid w:val="00F62D9E"/>
    <w:rsid w:val="00F80799"/>
    <w:rsid w:val="00F85BF9"/>
    <w:rsid w:val="00F8798D"/>
    <w:rsid w:val="00FA24A7"/>
    <w:rsid w:val="00FB122C"/>
    <w:rsid w:val="00FB537D"/>
    <w:rsid w:val="00FC6EBF"/>
    <w:rsid w:val="00FD7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DD60C7"/>
  <w15:chartTrackingRefBased/>
  <w15:docId w15:val="{90A85812-2C06-4585-B9E2-3E8AEE758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9C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4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10A"/>
  </w:style>
  <w:style w:type="paragraph" w:styleId="Footer">
    <w:name w:val="footer"/>
    <w:basedOn w:val="Normal"/>
    <w:link w:val="FooterChar"/>
    <w:uiPriority w:val="99"/>
    <w:unhideWhenUsed/>
    <w:rsid w:val="00524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10A"/>
  </w:style>
  <w:style w:type="paragraph" w:styleId="ListParagraph">
    <w:name w:val="List Paragraph"/>
    <w:basedOn w:val="Normal"/>
    <w:uiPriority w:val="34"/>
    <w:qFormat/>
    <w:rsid w:val="009560E8"/>
    <w:pPr>
      <w:ind w:left="720"/>
      <w:contextualSpacing/>
    </w:pPr>
  </w:style>
  <w:style w:type="paragraph" w:styleId="FootnoteText">
    <w:name w:val="footnote text"/>
    <w:basedOn w:val="Normal"/>
    <w:link w:val="FootnoteTextChar"/>
    <w:uiPriority w:val="99"/>
    <w:semiHidden/>
    <w:unhideWhenUsed/>
    <w:rsid w:val="005F133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1331"/>
    <w:rPr>
      <w:sz w:val="20"/>
      <w:szCs w:val="20"/>
    </w:rPr>
  </w:style>
  <w:style w:type="character" w:styleId="FootnoteReference">
    <w:name w:val="footnote reference"/>
    <w:basedOn w:val="DefaultParagraphFont"/>
    <w:uiPriority w:val="99"/>
    <w:semiHidden/>
    <w:unhideWhenUsed/>
    <w:rsid w:val="005F1331"/>
    <w:rPr>
      <w:vertAlign w:val="superscript"/>
    </w:rPr>
  </w:style>
  <w:style w:type="character" w:customStyle="1" w:styleId="Heading1Char">
    <w:name w:val="Heading 1 Char"/>
    <w:basedOn w:val="DefaultParagraphFont"/>
    <w:link w:val="Heading1"/>
    <w:uiPriority w:val="9"/>
    <w:rsid w:val="003029C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029CE"/>
  </w:style>
  <w:style w:type="character" w:styleId="Hyperlink">
    <w:name w:val="Hyperlink"/>
    <w:basedOn w:val="DefaultParagraphFont"/>
    <w:uiPriority w:val="99"/>
    <w:unhideWhenUsed/>
    <w:rsid w:val="003029CE"/>
    <w:rPr>
      <w:color w:val="0563C1" w:themeColor="hyperlink"/>
      <w:u w:val="single"/>
    </w:rPr>
  </w:style>
  <w:style w:type="character" w:styleId="UnresolvedMention">
    <w:name w:val="Unresolved Mention"/>
    <w:basedOn w:val="DefaultParagraphFont"/>
    <w:uiPriority w:val="99"/>
    <w:semiHidden/>
    <w:unhideWhenUsed/>
    <w:rsid w:val="003029CE"/>
    <w:rPr>
      <w:color w:val="605E5C"/>
      <w:shd w:val="clear" w:color="auto" w:fill="E1DFDD"/>
    </w:rPr>
  </w:style>
  <w:style w:type="character" w:styleId="CommentReference">
    <w:name w:val="annotation reference"/>
    <w:basedOn w:val="DefaultParagraphFont"/>
    <w:uiPriority w:val="99"/>
    <w:semiHidden/>
    <w:unhideWhenUsed/>
    <w:rsid w:val="00EE776C"/>
    <w:rPr>
      <w:sz w:val="16"/>
      <w:szCs w:val="16"/>
    </w:rPr>
  </w:style>
  <w:style w:type="paragraph" w:styleId="CommentText">
    <w:name w:val="annotation text"/>
    <w:basedOn w:val="Normal"/>
    <w:link w:val="CommentTextChar"/>
    <w:uiPriority w:val="99"/>
    <w:semiHidden/>
    <w:unhideWhenUsed/>
    <w:rsid w:val="00EE776C"/>
    <w:pPr>
      <w:spacing w:line="240" w:lineRule="auto"/>
    </w:pPr>
    <w:rPr>
      <w:sz w:val="20"/>
      <w:szCs w:val="20"/>
    </w:rPr>
  </w:style>
  <w:style w:type="character" w:customStyle="1" w:styleId="CommentTextChar">
    <w:name w:val="Comment Text Char"/>
    <w:basedOn w:val="DefaultParagraphFont"/>
    <w:link w:val="CommentText"/>
    <w:uiPriority w:val="99"/>
    <w:semiHidden/>
    <w:rsid w:val="00EE776C"/>
    <w:rPr>
      <w:sz w:val="20"/>
      <w:szCs w:val="20"/>
    </w:rPr>
  </w:style>
  <w:style w:type="paragraph" w:styleId="CommentSubject">
    <w:name w:val="annotation subject"/>
    <w:basedOn w:val="CommentText"/>
    <w:next w:val="CommentText"/>
    <w:link w:val="CommentSubjectChar"/>
    <w:uiPriority w:val="99"/>
    <w:semiHidden/>
    <w:unhideWhenUsed/>
    <w:rsid w:val="00EE776C"/>
    <w:rPr>
      <w:b/>
      <w:bCs/>
    </w:rPr>
  </w:style>
  <w:style w:type="character" w:customStyle="1" w:styleId="CommentSubjectChar">
    <w:name w:val="Comment Subject Char"/>
    <w:basedOn w:val="CommentTextChar"/>
    <w:link w:val="CommentSubject"/>
    <w:uiPriority w:val="99"/>
    <w:semiHidden/>
    <w:rsid w:val="00EE776C"/>
    <w:rPr>
      <w:b/>
      <w:bCs/>
      <w:sz w:val="20"/>
      <w:szCs w:val="20"/>
    </w:rPr>
  </w:style>
  <w:style w:type="paragraph" w:styleId="BalloonText">
    <w:name w:val="Balloon Text"/>
    <w:basedOn w:val="Normal"/>
    <w:link w:val="BalloonTextChar"/>
    <w:uiPriority w:val="99"/>
    <w:semiHidden/>
    <w:unhideWhenUsed/>
    <w:rsid w:val="00EE77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776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905416">
      <w:bodyDiv w:val="1"/>
      <w:marLeft w:val="0"/>
      <w:marRight w:val="0"/>
      <w:marTop w:val="0"/>
      <w:marBottom w:val="0"/>
      <w:divBdr>
        <w:top w:val="none" w:sz="0" w:space="0" w:color="auto"/>
        <w:left w:val="none" w:sz="0" w:space="0" w:color="auto"/>
        <w:bottom w:val="none" w:sz="0" w:space="0" w:color="auto"/>
        <w:right w:val="none" w:sz="0" w:space="0" w:color="auto"/>
      </w:divBdr>
    </w:div>
    <w:div w:id="603684388">
      <w:bodyDiv w:val="1"/>
      <w:marLeft w:val="0"/>
      <w:marRight w:val="0"/>
      <w:marTop w:val="0"/>
      <w:marBottom w:val="0"/>
      <w:divBdr>
        <w:top w:val="none" w:sz="0" w:space="0" w:color="auto"/>
        <w:left w:val="none" w:sz="0" w:space="0" w:color="auto"/>
        <w:bottom w:val="none" w:sz="0" w:space="0" w:color="auto"/>
        <w:right w:val="none" w:sz="0" w:space="0" w:color="auto"/>
      </w:divBdr>
    </w:div>
    <w:div w:id="898131623">
      <w:bodyDiv w:val="1"/>
      <w:marLeft w:val="0"/>
      <w:marRight w:val="0"/>
      <w:marTop w:val="0"/>
      <w:marBottom w:val="0"/>
      <w:divBdr>
        <w:top w:val="none" w:sz="0" w:space="0" w:color="auto"/>
        <w:left w:val="none" w:sz="0" w:space="0" w:color="auto"/>
        <w:bottom w:val="none" w:sz="0" w:space="0" w:color="auto"/>
        <w:right w:val="none" w:sz="0" w:space="0" w:color="auto"/>
      </w:divBdr>
    </w:div>
    <w:div w:id="1118262641">
      <w:bodyDiv w:val="1"/>
      <w:marLeft w:val="0"/>
      <w:marRight w:val="0"/>
      <w:marTop w:val="0"/>
      <w:marBottom w:val="0"/>
      <w:divBdr>
        <w:top w:val="none" w:sz="0" w:space="0" w:color="auto"/>
        <w:left w:val="none" w:sz="0" w:space="0" w:color="auto"/>
        <w:bottom w:val="none" w:sz="0" w:space="0" w:color="auto"/>
        <w:right w:val="none" w:sz="0" w:space="0" w:color="auto"/>
      </w:divBdr>
    </w:div>
    <w:div w:id="1204564923">
      <w:bodyDiv w:val="1"/>
      <w:marLeft w:val="0"/>
      <w:marRight w:val="0"/>
      <w:marTop w:val="0"/>
      <w:marBottom w:val="0"/>
      <w:divBdr>
        <w:top w:val="none" w:sz="0" w:space="0" w:color="auto"/>
        <w:left w:val="none" w:sz="0" w:space="0" w:color="auto"/>
        <w:bottom w:val="none" w:sz="0" w:space="0" w:color="auto"/>
        <w:right w:val="none" w:sz="0" w:space="0" w:color="auto"/>
      </w:divBdr>
    </w:div>
    <w:div w:id="1261064527">
      <w:bodyDiv w:val="1"/>
      <w:marLeft w:val="0"/>
      <w:marRight w:val="0"/>
      <w:marTop w:val="0"/>
      <w:marBottom w:val="0"/>
      <w:divBdr>
        <w:top w:val="none" w:sz="0" w:space="0" w:color="auto"/>
        <w:left w:val="none" w:sz="0" w:space="0" w:color="auto"/>
        <w:bottom w:val="none" w:sz="0" w:space="0" w:color="auto"/>
        <w:right w:val="none" w:sz="0" w:space="0" w:color="auto"/>
      </w:divBdr>
    </w:div>
    <w:div w:id="1419713530">
      <w:bodyDiv w:val="1"/>
      <w:marLeft w:val="0"/>
      <w:marRight w:val="0"/>
      <w:marTop w:val="0"/>
      <w:marBottom w:val="0"/>
      <w:divBdr>
        <w:top w:val="none" w:sz="0" w:space="0" w:color="auto"/>
        <w:left w:val="none" w:sz="0" w:space="0" w:color="auto"/>
        <w:bottom w:val="none" w:sz="0" w:space="0" w:color="auto"/>
        <w:right w:val="none" w:sz="0" w:space="0" w:color="auto"/>
      </w:divBdr>
    </w:div>
    <w:div w:id="1797917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www.gotquestions.org/angels-Bible.html" TargetMode="External"/><Relationship Id="rId2" Type="http://schemas.openxmlformats.org/officeDocument/2006/relationships/hyperlink" Target="https://ebookcentral-proquest-com.ezproxy.uwtsd.ac.uk/lib/trinity/reader.action?docID=4322291#" TargetMode="External"/><Relationship Id="rId1" Type="http://schemas.openxmlformats.org/officeDocument/2006/relationships/hyperlink" Target="https://ebookcentral-proquest-com.ezproxy.uwtsd.ac.uk/lib/trinity/reader.action?docID=4322291#" TargetMode="External"/><Relationship Id="rId4" Type="http://schemas.openxmlformats.org/officeDocument/2006/relationships/hyperlink" Target="https://www-dawsonera-com.ezproxy.uwtsd.ac.uk/readonline/97890042119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Cha96</b:Tag>
    <b:SourceType>Book</b:SourceType>
    <b:Guid>{44F8A74A-152B-4CBE-BD19-30889E8B895D}</b:Guid>
    <b:Title>The Alexandreis of Walter of Chatillon: A Twelfth-Century Epic</b:Title>
    <b:InternetSiteTitle>ProQuest Ebook Central</b:InternetSiteTitle>
    <b:Year>1996</b:Year>
    <b:URL>https://ebookcentral-proquest-com.ezproxy.uwtsd.ac.uk/lib/trinity/reader.action?docID=4322291#</b:URL>
    <b:Author>
      <b:Author>
        <b:NameList>
          <b:Person>
            <b:Last>Townsend</b:Last>
            <b:First>David</b:First>
          </b:Person>
        </b:NameList>
      </b:Author>
      <b:Translator>
        <b:NameList>
          <b:Person>
            <b:Last>Townsend</b:Last>
            <b:First>David</b:First>
          </b:Person>
        </b:NameList>
      </b:Translator>
    </b:Author>
    <b:City>Philadelphia</b:City>
    <b:Publisher>University of Pennsylvania Press</b:Publisher>
    <b:YearAccessed>2020</b:YearAccessed>
    <b:MonthAccessed>01</b:MonthAccessed>
    <b:DayAccessed>16</b:DayAccessed>
    <b:RefOrder>1</b:RefOrder>
  </b:Source>
  <b:Source>
    <b:Tag>AGR01</b:Tag>
    <b:SourceType>JournalArticle</b:SourceType>
    <b:Guid>{33ADCB89-C071-4892-90BD-3C370B92F81E}</b:Guid>
    <b:Title>Joseph of Exeter's Pagan Gods again</b:Title>
    <b:Year>2001</b:Year>
    <b:Author>
      <b:Author>
        <b:NameList>
          <b:Person>
            <b:Last>Rigg</b:Last>
            <b:First>A.</b:First>
            <b:Middle>G.</b:Middle>
          </b:Person>
        </b:NameList>
      </b:Author>
    </b:Author>
    <b:JournalName>Medium Aevum</b:JournalName>
    <b:Pages>19-28</b:Pages>
    <b:Volume>70</b:Volume>
    <b:Issue>1</b:Issue>
    <b:RefOrder>2</b:RefOrder>
  </b:Source>
  <b:Source>
    <b:Tag>Hol15</b:Tag>
    <b:SourceType>Book</b:SourceType>
    <b:Guid>{D382B399-3509-446D-BE3A-17BB52457124}</b:Guid>
    <b:Title>Holy Bible: new Living Translation</b:Title>
    <b:Year>2015</b:Year>
    <b:City>Carol Stream</b:City>
    <b:Publisher>Tyndale House Foundation</b:Publisher>
    <b:StateProvince>Illinois</b:StateProvince>
    <b:RefOrder>3</b:RefOrder>
  </b:Source>
  <b:Source>
    <b:Tag>Wha20</b:Tag>
    <b:SourceType>InternetSite</b:SourceType>
    <b:Guid>{BB388028-30FF-481D-8DFC-A5195F00133D}</b:Guid>
    <b:Title>What does the Bible say about angels?</b:Title>
    <b:InternetSiteTitle>Got Questions</b:InternetSiteTitle>
    <b:URL>https://www.gotquestions.org/angels-Bible.html</b:URL>
    <b:YearAccessed>2020</b:YearAccessed>
    <b:MonthAccessed>01</b:MonthAccessed>
    <b:DayAccessed>20</b:DayAccessed>
    <b:RefOrder>4</b:RefOrder>
  </b:Source>
  <b:Source>
    <b:Tag>Ric11</b:Tag>
    <b:SourceType>BookSection</b:SourceType>
    <b:Guid>{FE0F0467-2045-488C-9D05-7F1AAF18E6FB}</b:Guid>
    <b:Title>Walter of Chatillon's Alexandreis</b:Title>
    <b:Year>2011</b:Year>
    <b:Publisher>Brill</b:Publisher>
    <b:City>Boston</b:City>
    <b:Pages>177-199</b:Pages>
    <b:BookTitle>A Companion to Alexander Literature in the Middle Ages</b:BookTitle>
    <b:Author>
      <b:Author>
        <b:NameList>
          <b:Person>
            <b:Last>Lafferty</b:Last>
            <b:First>Maura</b:First>
          </b:Person>
        </b:NameList>
      </b:Author>
      <b:Editor>
        <b:NameList>
          <b:Person>
            <b:Last>Zuwiyya</b:Last>
            <b:First>Z.</b:First>
            <b:Middle>David</b:Middle>
          </b:Person>
        </b:NameList>
      </b:Editor>
    </b:Author>
    <b:URL>https://www-dawsonera-com.ezproxy.uwtsd.ac.uk/readonline/9789004211933</b:URL>
    <b:RefOrder>5</b:RefOrder>
  </b:Source>
</b:Sources>
</file>

<file path=customXml/itemProps1.xml><?xml version="1.0" encoding="utf-8"?>
<ds:datastoreItem xmlns:ds="http://schemas.openxmlformats.org/officeDocument/2006/customXml" ds:itemID="{D4AFEB71-9AF6-4FA8-95E7-F7C143400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1467</TotalTime>
  <Pages>4</Pages>
  <Words>1221</Words>
  <Characters>6192</Characters>
  <Application>Microsoft Office Word</Application>
  <DocSecurity>0</DocSecurity>
  <Lines>91</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115</cp:revision>
  <dcterms:created xsi:type="dcterms:W3CDTF">2020-01-14T09:59:00Z</dcterms:created>
  <dcterms:modified xsi:type="dcterms:W3CDTF">2020-01-20T23:41:00Z</dcterms:modified>
</cp:coreProperties>
</file>