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bCs/>
          <w:sz w:val="40"/>
          <w:szCs w:val="40"/>
          <w:lang w:val="en-US"/>
        </w:rPr>
      </w:pPr>
      <w:r>
        <w:rPr>
          <w:rFonts w:hint="default" w:ascii="Arial" w:hAnsi="Arial" w:cs="Arial"/>
          <w:b/>
          <w:bCs/>
          <w:sz w:val="40"/>
          <w:szCs w:val="40"/>
          <w:lang w:val="en-US"/>
        </w:rPr>
        <w:t>A Poster for Community Mental Health Care and an Essay for Ambulance Services</w:t>
      </w:r>
    </w:p>
    <w:p>
      <w:pPr>
        <w:spacing w:line="360" w:lineRule="auto"/>
        <w:jc w:val="center"/>
        <w:rPr>
          <w:rFonts w:hint="default" w:ascii="Arial" w:hAnsi="Arial" w:cs="Arial"/>
          <w:b/>
          <w:bCs/>
          <w:sz w:val="22"/>
          <w:szCs w:val="22"/>
          <w:lang w:val="en-US"/>
        </w:rPr>
      </w:pPr>
    </w:p>
    <w:p>
      <w:pPr>
        <w:spacing w:line="360" w:lineRule="auto"/>
        <w:jc w:val="center"/>
        <w:rPr>
          <w:rFonts w:hint="default" w:ascii="Arial" w:hAnsi="Arial" w:cs="Arial"/>
          <w:b/>
          <w:bCs/>
          <w:sz w:val="22"/>
          <w:szCs w:val="22"/>
          <w:lang w:val="en-US"/>
        </w:rPr>
      </w:pPr>
    </w:p>
    <w:p>
      <w:pPr>
        <w:spacing w:line="360" w:lineRule="auto"/>
        <w:jc w:val="center"/>
        <w:rPr>
          <w:rFonts w:hint="default" w:ascii="Arial" w:hAnsi="Arial" w:cs="Arial"/>
          <w:b/>
          <w:bCs/>
          <w:sz w:val="22"/>
          <w:szCs w:val="22"/>
          <w:lang w:val="en-US"/>
        </w:rPr>
      </w:pPr>
      <w:r>
        <w:rPr>
          <w:rFonts w:hint="default" w:ascii="Arial" w:hAnsi="Arial" w:cs="Arial"/>
          <w:b/>
          <w:bCs/>
          <w:sz w:val="36"/>
          <w:szCs w:val="36"/>
          <w:lang w:val="en-US"/>
        </w:rPr>
        <w:t>By</w:t>
      </w:r>
    </w:p>
    <w:p>
      <w:pPr>
        <w:spacing w:line="360" w:lineRule="auto"/>
        <w:jc w:val="center"/>
        <w:rPr>
          <w:rFonts w:hint="default" w:ascii="Arial" w:hAnsi="Arial" w:cs="Arial"/>
          <w:b/>
          <w:bCs/>
          <w:sz w:val="44"/>
          <w:szCs w:val="44"/>
          <w:lang w:val="en-US"/>
        </w:rPr>
      </w:pPr>
    </w:p>
    <w:p>
      <w:pPr>
        <w:spacing w:line="360" w:lineRule="auto"/>
        <w:jc w:val="center"/>
        <w:rPr>
          <w:rFonts w:hint="default" w:ascii="Arial" w:hAnsi="Arial" w:cs="Arial"/>
          <w:sz w:val="44"/>
          <w:szCs w:val="44"/>
          <w:lang w:val="en-US"/>
        </w:rPr>
      </w:pPr>
      <w:r>
        <w:rPr>
          <w:rFonts w:hint="default" w:ascii="Arial" w:hAnsi="Arial" w:cs="Arial"/>
          <w:b/>
          <w:bCs/>
          <w:sz w:val="44"/>
          <w:szCs w:val="44"/>
          <w:lang w:val="en-US"/>
        </w:rPr>
        <w:t>Wasiu Olagbemiga Yusuph</w:t>
      </w:r>
    </w:p>
    <w:p>
      <w:pPr>
        <w:spacing w:line="360" w:lineRule="auto"/>
        <w:jc w:val="center"/>
        <w:rPr>
          <w:rFonts w:hint="default" w:ascii="Arial" w:hAnsi="Arial" w:cs="Arial"/>
          <w:sz w:val="44"/>
          <w:szCs w:val="44"/>
          <w:lang w:val="en-US"/>
        </w:rPr>
      </w:pPr>
      <w:r>
        <w:rPr>
          <w:rFonts w:hint="default" w:ascii="Arial" w:hAnsi="Arial" w:cs="Arial"/>
          <w:sz w:val="44"/>
          <w:szCs w:val="44"/>
          <w:lang w:val="en-US"/>
        </w:rPr>
        <w:t>(2509130)</w:t>
      </w:r>
    </w:p>
    <w:p>
      <w:pPr>
        <w:spacing w:line="360" w:lineRule="auto"/>
        <w:jc w:val="center"/>
        <w:rPr>
          <w:rFonts w:hint="default" w:ascii="Arial" w:hAnsi="Arial" w:cs="Arial"/>
          <w:sz w:val="22"/>
          <w:szCs w:val="22"/>
          <w:lang w:val="en-US"/>
        </w:rPr>
      </w:pPr>
    </w:p>
    <w:p>
      <w:pPr>
        <w:spacing w:line="360" w:lineRule="auto"/>
        <w:jc w:val="center"/>
        <w:rPr>
          <w:rFonts w:hint="default" w:ascii="Arial" w:hAnsi="Arial" w:cs="Arial"/>
          <w:sz w:val="22"/>
          <w:szCs w:val="22"/>
          <w:lang w:val="en-US"/>
        </w:rPr>
      </w:pPr>
    </w:p>
    <w:p>
      <w:pPr>
        <w:spacing w:line="360" w:lineRule="auto"/>
        <w:jc w:val="center"/>
        <w:rPr>
          <w:rFonts w:hint="default" w:ascii="Arial" w:hAnsi="Arial" w:cs="Arial"/>
          <w:sz w:val="22"/>
          <w:szCs w:val="22"/>
          <w:lang w:val="en-US"/>
        </w:rPr>
      </w:pPr>
    </w:p>
    <w:p>
      <w:pPr>
        <w:spacing w:line="360" w:lineRule="auto"/>
        <w:jc w:val="center"/>
        <w:rPr>
          <w:rFonts w:hint="default" w:ascii="Arial" w:hAnsi="Arial" w:cs="Arial"/>
          <w:b/>
          <w:bCs/>
          <w:sz w:val="32"/>
          <w:szCs w:val="32"/>
          <w:lang w:val="en-US"/>
        </w:rPr>
      </w:pPr>
      <w:r>
        <w:rPr>
          <w:rFonts w:hint="default" w:ascii="Arial" w:hAnsi="Arial" w:cs="Arial"/>
          <w:b/>
          <w:bCs/>
          <w:sz w:val="32"/>
          <w:szCs w:val="32"/>
          <w:lang w:val="en-US"/>
        </w:rPr>
        <w:t>Module Code</w:t>
      </w:r>
    </w:p>
    <w:p>
      <w:pPr>
        <w:spacing w:line="360" w:lineRule="auto"/>
        <w:jc w:val="center"/>
        <w:rPr>
          <w:rFonts w:hint="default" w:ascii="Arial" w:hAnsi="Arial" w:cs="Arial"/>
          <w:sz w:val="32"/>
          <w:szCs w:val="32"/>
          <w:lang w:val="en-US"/>
        </w:rPr>
      </w:pPr>
      <w:r>
        <w:rPr>
          <w:rFonts w:hint="default" w:ascii="Arial" w:hAnsi="Arial" w:cs="Arial"/>
          <w:sz w:val="32"/>
          <w:szCs w:val="32"/>
          <w:lang w:val="en-US"/>
        </w:rPr>
        <w:t>(LCHS 4003)</w:t>
      </w:r>
    </w:p>
    <w:p>
      <w:pPr>
        <w:spacing w:line="360" w:lineRule="auto"/>
        <w:jc w:val="center"/>
        <w:rPr>
          <w:rFonts w:hint="default" w:ascii="Arial" w:hAnsi="Arial" w:cs="Arial"/>
          <w:sz w:val="32"/>
          <w:szCs w:val="32"/>
          <w:lang w:val="en-US"/>
        </w:rPr>
      </w:pPr>
    </w:p>
    <w:p>
      <w:pPr>
        <w:spacing w:line="360" w:lineRule="auto"/>
        <w:jc w:val="center"/>
        <w:rPr>
          <w:rFonts w:hint="default" w:ascii="Arial" w:hAnsi="Arial" w:cs="Arial"/>
          <w:sz w:val="32"/>
          <w:szCs w:val="32"/>
          <w:lang w:val="en-US"/>
        </w:rPr>
      </w:pPr>
    </w:p>
    <w:p>
      <w:pPr>
        <w:spacing w:line="360" w:lineRule="auto"/>
        <w:jc w:val="center"/>
        <w:rPr>
          <w:rFonts w:hint="default" w:ascii="Arial" w:hAnsi="Arial" w:cs="Arial"/>
          <w:b/>
          <w:bCs/>
          <w:sz w:val="32"/>
          <w:szCs w:val="32"/>
          <w:lang w:val="en-US"/>
        </w:rPr>
      </w:pPr>
      <w:r>
        <w:rPr>
          <w:rFonts w:hint="default" w:ascii="Arial" w:hAnsi="Arial" w:cs="Arial"/>
          <w:b/>
          <w:bCs/>
          <w:sz w:val="32"/>
          <w:szCs w:val="32"/>
          <w:lang w:val="en-US"/>
        </w:rPr>
        <w:t>Module Title</w:t>
      </w:r>
    </w:p>
    <w:p>
      <w:pPr>
        <w:spacing w:line="360" w:lineRule="auto"/>
        <w:jc w:val="center"/>
        <w:rPr>
          <w:rFonts w:hint="default" w:ascii="Arial" w:hAnsi="Arial" w:cs="Arial"/>
          <w:sz w:val="32"/>
          <w:szCs w:val="32"/>
          <w:lang w:val="en-US"/>
        </w:rPr>
      </w:pPr>
      <w:r>
        <w:rPr>
          <w:rFonts w:hint="default" w:ascii="Arial" w:hAnsi="Arial" w:cs="Arial"/>
          <w:sz w:val="32"/>
          <w:szCs w:val="32"/>
          <w:lang w:val="en-US"/>
        </w:rPr>
        <w:t>Introduction to Health and Social Care</w:t>
      </w:r>
    </w:p>
    <w:p>
      <w:pPr>
        <w:spacing w:line="360" w:lineRule="auto"/>
        <w:jc w:val="center"/>
        <w:rPr>
          <w:rFonts w:hint="default" w:ascii="Arial" w:hAnsi="Arial" w:cs="Arial"/>
          <w:sz w:val="32"/>
          <w:szCs w:val="32"/>
          <w:lang w:val="en-US"/>
        </w:rPr>
      </w:pPr>
    </w:p>
    <w:p>
      <w:pPr>
        <w:spacing w:line="360" w:lineRule="auto"/>
        <w:jc w:val="center"/>
        <w:rPr>
          <w:rFonts w:hint="default" w:ascii="Arial" w:hAnsi="Arial" w:cs="Arial"/>
          <w:sz w:val="32"/>
          <w:szCs w:val="32"/>
          <w:lang w:val="en-US"/>
        </w:rPr>
      </w:pPr>
    </w:p>
    <w:p>
      <w:pPr>
        <w:spacing w:line="360" w:lineRule="auto"/>
        <w:jc w:val="center"/>
        <w:rPr>
          <w:rFonts w:hint="default" w:ascii="Arial" w:hAnsi="Arial" w:cs="Arial"/>
          <w:b/>
          <w:bCs/>
          <w:sz w:val="32"/>
          <w:szCs w:val="32"/>
          <w:lang w:val="en-US"/>
        </w:rPr>
      </w:pPr>
      <w:r>
        <w:rPr>
          <w:rFonts w:hint="default" w:ascii="Arial" w:hAnsi="Arial" w:cs="Arial"/>
          <w:b/>
          <w:bCs/>
          <w:sz w:val="32"/>
          <w:szCs w:val="32"/>
          <w:lang w:val="en-US"/>
        </w:rPr>
        <w:t>Lecturer’s Name</w:t>
      </w:r>
    </w:p>
    <w:p>
      <w:pPr>
        <w:spacing w:line="360" w:lineRule="auto"/>
        <w:jc w:val="center"/>
        <w:rPr>
          <w:rFonts w:hint="default" w:ascii="Arial" w:hAnsi="Arial" w:cs="Arial"/>
          <w:sz w:val="32"/>
          <w:szCs w:val="32"/>
          <w:lang w:val="en-US"/>
        </w:rPr>
      </w:pPr>
      <w:r>
        <w:rPr>
          <w:rFonts w:hint="default" w:ascii="Arial" w:hAnsi="Arial" w:cs="Arial"/>
          <w:sz w:val="32"/>
          <w:szCs w:val="32"/>
          <w:lang w:val="en-US"/>
        </w:rPr>
        <w:t xml:space="preserve">Eleni Koutsogeorgou-Andreou </w:t>
      </w:r>
    </w:p>
    <w:p>
      <w:pPr>
        <w:spacing w:line="360" w:lineRule="auto"/>
        <w:jc w:val="center"/>
        <w:rPr>
          <w:rFonts w:hint="default" w:ascii="Arial" w:hAnsi="Arial" w:cs="Arial"/>
          <w:sz w:val="32"/>
          <w:szCs w:val="32"/>
          <w:lang w:val="en-US"/>
        </w:rPr>
      </w:pPr>
    </w:p>
    <w:p>
      <w:pPr>
        <w:spacing w:line="360" w:lineRule="auto"/>
        <w:jc w:val="center"/>
        <w:rPr>
          <w:rFonts w:hint="default" w:ascii="Arial" w:hAnsi="Arial" w:cs="Arial"/>
          <w:b/>
          <w:bCs/>
          <w:sz w:val="32"/>
          <w:szCs w:val="32"/>
          <w:lang w:val="en-US"/>
        </w:rPr>
      </w:pPr>
      <w:r>
        <w:rPr>
          <w:rFonts w:hint="default" w:ascii="Arial" w:hAnsi="Arial" w:cs="Arial"/>
          <w:b/>
          <w:bCs/>
          <w:sz w:val="32"/>
          <w:szCs w:val="32"/>
          <w:lang w:val="en-US"/>
        </w:rPr>
        <w:t>Assignment Title</w:t>
      </w:r>
    </w:p>
    <w:p>
      <w:pPr>
        <w:jc w:val="center"/>
        <w:rPr>
          <w:rFonts w:hint="default" w:ascii="Arial" w:hAnsi="Arial" w:cs="Arial"/>
          <w:b/>
          <w:bCs/>
          <w:sz w:val="32"/>
          <w:szCs w:val="32"/>
          <w:lang w:val="en-US"/>
        </w:rPr>
      </w:pPr>
      <w:r>
        <w:rPr>
          <w:rFonts w:hint="default" w:ascii="Arial" w:hAnsi="Arial" w:cs="Arial"/>
          <w:sz w:val="32"/>
          <w:szCs w:val="32"/>
          <w:lang w:val="en-US"/>
        </w:rPr>
        <w:t>Report on a Health Issue</w:t>
      </w:r>
    </w:p>
    <w:p>
      <w:pPr>
        <w:jc w:val="both"/>
        <w:rPr>
          <w:rFonts w:hint="default" w:ascii="Arial" w:hAnsi="Arial" w:cs="Arial"/>
          <w:b/>
          <w:bCs/>
          <w:sz w:val="22"/>
          <w:szCs w:val="22"/>
        </w:rPr>
      </w:pPr>
    </w:p>
    <w:p>
      <w:pPr>
        <w:jc w:val="both"/>
        <w:rPr>
          <w:rFonts w:hint="default" w:ascii="Arial" w:hAnsi="Arial" w:cs="Arial"/>
          <w:b/>
          <w:bCs/>
          <w:sz w:val="22"/>
          <w:szCs w:val="22"/>
        </w:rPr>
      </w:pPr>
    </w:p>
    <w:p>
      <w:pPr>
        <w:rPr>
          <w:rFonts w:hint="default" w:ascii="Arial" w:hAnsi="Arial" w:cs="Arial"/>
          <w:b/>
          <w:bCs/>
          <w:sz w:val="22"/>
          <w:szCs w:val="22"/>
        </w:rPr>
      </w:pPr>
      <w:r>
        <w:rPr>
          <w:rFonts w:hint="default" w:ascii="Arial" w:hAnsi="Arial" w:cs="Arial"/>
          <w:b/>
          <w:bCs/>
          <w:sz w:val="22"/>
          <w:szCs w:val="22"/>
        </w:rPr>
        <w:br w:type="page"/>
      </w:r>
    </w:p>
    <w:p>
      <w:pPr>
        <w:spacing w:line="360" w:lineRule="auto"/>
        <w:jc w:val="both"/>
        <w:rPr>
          <w:rFonts w:hint="default" w:ascii="Arial" w:hAnsi="Arial" w:cs="Arial"/>
          <w:sz w:val="22"/>
          <w:szCs w:val="22"/>
        </w:rPr>
      </w:pPr>
      <w:r>
        <w:rPr>
          <w:rFonts w:hint="default" w:ascii="Arial" w:hAnsi="Arial" w:cs="Arial"/>
          <w:b/>
          <w:bCs/>
          <w:sz w:val="22"/>
          <w:szCs w:val="22"/>
          <w:lang w:val="en-US"/>
        </w:rPr>
        <w:t xml:space="preserve">Task 1: </w:t>
      </w:r>
      <w:r>
        <w:rPr>
          <w:rFonts w:hint="default" w:ascii="Arial" w:hAnsi="Arial" w:cs="Arial"/>
          <w:b/>
          <w:bCs/>
          <w:sz w:val="22"/>
          <w:szCs w:val="22"/>
          <w:lang w:val="en-US"/>
        </w:rPr>
        <w:tab/>
      </w:r>
      <w:r>
        <w:rPr>
          <w:rFonts w:hint="default" w:ascii="Arial" w:hAnsi="Arial" w:cs="Arial"/>
          <w:b/>
          <w:bCs/>
          <w:sz w:val="22"/>
          <w:szCs w:val="22"/>
          <w:lang w:val="en-US"/>
        </w:rPr>
        <w:t>A poster for Community Mental Health Care</w:t>
      </w:r>
    </w:p>
    <w:p>
      <w:pPr>
        <w:spacing w:line="360" w:lineRule="auto"/>
        <w:jc w:val="both"/>
        <w:rPr>
          <w:rFonts w:hint="default" w:ascii="Arial" w:hAnsi="Arial" w:cs="Arial"/>
          <w:sz w:val="22"/>
          <w:szCs w:val="22"/>
        </w:rPr>
      </w:pPr>
      <w:r>
        <w:rPr>
          <w:rFonts w:hint="default" w:ascii="Arial" w:hAnsi="Arial" w:cs="Arial"/>
          <w:sz w:val="22"/>
          <w:szCs w:val="22"/>
          <w:lang w:val="en-US"/>
        </w:rPr>
        <w:drawing>
          <wp:anchor distT="0" distB="0" distL="114300" distR="114300" simplePos="0" relativeHeight="251659264" behindDoc="0" locked="0" layoutInCell="1" allowOverlap="1">
            <wp:simplePos x="0" y="0"/>
            <wp:positionH relativeFrom="column">
              <wp:posOffset>979170</wp:posOffset>
            </wp:positionH>
            <wp:positionV relativeFrom="paragraph">
              <wp:posOffset>64770</wp:posOffset>
            </wp:positionV>
            <wp:extent cx="3007360" cy="7591425"/>
            <wp:effectExtent l="0" t="0" r="10160" b="13335"/>
            <wp:wrapNone/>
            <wp:docPr id="5" name="Picture 5" descr="Visily-Export-to-Image-ACME corp. - Login Form-2026-03-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Visily-Export-to-Image-ACME corp. - Login Form-2026-03-18"/>
                    <pic:cNvPicPr>
                      <a:picLocks noChangeAspect="1"/>
                    </pic:cNvPicPr>
                  </pic:nvPicPr>
                  <pic:blipFill>
                    <a:blip r:embed="rId5"/>
                    <a:srcRect l="21715" t="3749" r="21245" b="6982"/>
                    <a:stretch>
                      <a:fillRect/>
                    </a:stretch>
                  </pic:blipFill>
                  <pic:spPr>
                    <a:xfrm>
                      <a:off x="0" y="0"/>
                      <a:ext cx="3007360" cy="7591425"/>
                    </a:xfrm>
                    <a:prstGeom prst="rect">
                      <a:avLst/>
                    </a:prstGeom>
                  </pic:spPr>
                </pic:pic>
              </a:graphicData>
            </a:graphic>
          </wp:anchor>
        </w:drawing>
      </w:r>
    </w:p>
    <w:p>
      <w:pPr>
        <w:spacing w:line="360" w:lineRule="auto"/>
        <w:jc w:val="both"/>
        <w:rPr>
          <w:rFonts w:hint="default" w:ascii="Arial" w:hAnsi="Arial" w:cs="Arial"/>
          <w:sz w:val="22"/>
          <w:szCs w:val="22"/>
          <w:lang w:val="en-US"/>
        </w:rPr>
      </w:pPr>
      <w:r>
        <w:rPr>
          <w:rFonts w:ascii="SimSun" w:hAnsi="SimSun" w:eastAsia="SimSun" w:cs="SimSun"/>
          <w:sz w:val="24"/>
          <w:szCs w:val="24"/>
        </w:rPr>
        <w:drawing>
          <wp:inline distT="0" distB="0" distL="114300" distR="114300">
            <wp:extent cx="304800" cy="304800"/>
            <wp:effectExtent l="0" t="0" r="0" b="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6"/>
                    <a:stretch>
                      <a:fillRect/>
                    </a:stretch>
                  </pic:blipFill>
                  <pic:spPr>
                    <a:xfrm>
                      <a:off x="0" y="0"/>
                      <a:ext cx="304800" cy="304800"/>
                    </a:xfrm>
                    <a:prstGeom prst="rect">
                      <a:avLst/>
                    </a:prstGeom>
                    <a:noFill/>
                    <a:ln w="9525">
                      <a:noFill/>
                    </a:ln>
                  </pic:spPr>
                </pic:pic>
              </a:graphicData>
            </a:graphic>
          </wp:inline>
        </w:drawing>
      </w: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r>
        <w:rPr>
          <w:rFonts w:hint="default" w:ascii="Arial" w:hAnsi="Arial" w:cs="Arial"/>
          <w:b/>
          <w:bCs/>
          <w:sz w:val="22"/>
          <w:szCs w:val="22"/>
          <w:lang w:val="en-US"/>
        </w:rPr>
        <w:t xml:space="preserve">Task 2: </w:t>
      </w:r>
      <w:r>
        <w:rPr>
          <w:rFonts w:hint="default" w:ascii="Arial" w:hAnsi="Arial" w:cs="Arial"/>
          <w:b/>
          <w:bCs/>
          <w:sz w:val="22"/>
          <w:szCs w:val="22"/>
          <w:lang w:val="en-US"/>
        </w:rPr>
        <w:tab/>
      </w:r>
      <w:r>
        <w:rPr>
          <w:rFonts w:hint="default" w:ascii="Arial" w:hAnsi="Arial" w:cs="Arial"/>
          <w:b/>
          <w:bCs/>
          <w:sz w:val="22"/>
          <w:szCs w:val="22"/>
          <w:lang w:val="en-US"/>
        </w:rPr>
        <w:t>An Essay on Ambulance Services</w:t>
      </w:r>
    </w:p>
    <w:p>
      <w:pPr>
        <w:spacing w:line="360" w:lineRule="auto"/>
        <w:jc w:val="both"/>
        <w:rPr>
          <w:rFonts w:hint="default" w:ascii="Arial" w:hAnsi="Arial" w:cs="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From Horse-Drawn Carriage to Mobile Emergency Room: The Evolution and Impact of Ambulance Services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Introduction</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ambulance service occupies a unique position within modern healthcare systems, functioning as both an emergency response unit and a mobile clinical environment. When a citizen dials emergency services, they express an expectation rooted in decades of service development: that highly trained professionals will arrive promptly to provide life-saving care. This essay investigates the origins of ambulance services, critically evaluates their current functioning, and discusses their significance in enhancing the quality of life for service users. Drawing upon historical analysis and contemporary performance data, it argues that while ambulance services have evolved dramatically from their humble beginnings, they now face systemic pressures that challenge their ability to deliver consistent, high-quality care.</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Origins and Historical Development</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origins of ambulance services extend far deeper into history than many recognise, with evidence of organised patient transport dating back to Norman times, when horses carried the injured from battlefields to places where they could receive help . However, the birth of any formalised system began in Victorian London. In 1867, the Metropolitan Asylums Board launched what is believed to be the first full-time ambulance service, initially using horse-drawn carriages to transport infectious patients during smallpox and cholera outbreaks . By 1879, this service had expanded to six horse-drawn ambulances serving the capital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late nineteenth century saw the emergence of voluntary organisations that would prove instrumental in shaping modern ambulance services. St John Ambulance, founded in 1877, began training ordinary citizens in first aid and maintaining stretchers and healthcare equipment within local communities . This volunteer ethos became deeply embedded in the service's identity, a legacy that continues today with over 9,000 Community First Responders supporting UK ambulance trusts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two World Wars catalysed significant developments in ambulance provision. During the First World War, organisations such as the Voluntary Aid Detachments, St John Ambulance, and the Red Cross were thrust into frontline service, staffing casualty stations and driving ambulances under bombardment . Motorised vehicles began replacing horse-drawn carriages during this period, revolutionising casualty evacuation. The Second World War further demonstrated the vital importance of coordinated ambulance services, as volunteers dragged the injured from bomb-damaged buildings during the Blitz, saving countless lives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creation of the National Health Service in 1948 marked a pivotal moment. The 1946 National Health Service Act required local authorities to provide ambulance services, integrating them into Britain's new comprehensive healthcare system . Initially, the emphasis remained firmly on transportation rather than treatment, with crews expected simply to ferry patients to hospital. This changed dramatically following a 1964 government-commissioned report that called for ambulance services to provide treatment . Soon, life-saving procedures such as haemorrhage control, cardiac resuscitation, and oxygen administration became commonplace in the back of ambulances.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professionalisation of ambulance staff accelerated through the 1970s, culminating in the transfer of service control to the NHS . The first air ambulance launched in Cornwall in 1987, and solo-response paramedic cars emerged in London during the early 1990s in response to staffing shortages . The introduction of the 999 emergency number in 1937 had already transformed the fragmented network of local services into a coordinated emergency response system . By 1976, this system had expanded nationwide, and by 1986, mobile phones could dial 999 directly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p>
    <w:p>
      <w:pPr>
        <w:spacing w:line="360" w:lineRule="auto"/>
        <w:jc w:val="both"/>
        <w:rPr>
          <w:rFonts w:hint="default" w:ascii="Arial" w:hAnsi="Arial"/>
          <w:b/>
          <w:bCs/>
          <w:sz w:val="22"/>
          <w:szCs w:val="22"/>
        </w:rPr>
      </w:pPr>
      <w:r>
        <w:rPr>
          <w:rFonts w:hint="default" w:ascii="Arial" w:hAnsi="Arial"/>
          <w:b/>
          <w:bCs/>
          <w:sz w:val="22"/>
          <w:szCs w:val="22"/>
        </w:rPr>
        <w:t>Critical Evaluation of Current Functioning</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Contemporary ambulance services operate within an environment of unprecedented demand and complexity. The traditional model of a two-person crew transporting all patients to hospital has given way to a differentiated system employing diverse response vehicles and clinical roles. However, critical evaluation reveals significant challenges in meeting performance expectations and ensuring consistent care quality.</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Performance data from Victoria, Australia, illustrates the pressures facing modern services. In 2024-25, only 65.3% of emergency Code 1 incidents were responded to within 15 minutes, substantially below the 85% target . Similarly, in Wales, just half of red emergency calls received an ambulance within the eight-minute target during May 2025, well below the 65% national standard . These figures represent more than statistical failures; they reflect real-world consequences for patients experiencing life-threatening emergencies.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A primary cause of delayed responses is hospital handover delays, where ambulance crews wait with patients outside emergency departments unable to return to the community. The Welsh Ambulance Services University NHS Trust reported losing approximately 20-25% of its fleet capacity each month due to these system-wide NHS bottlenecks . In December 2022, over a third of ambulances were unavailable because crews were waiting to hand patients into hospital care . This creates a vicious cycle: delayed handovers mean fewer ambulances available to respond to new emergencies, prolonging response times and increasing pressure on remaining crews.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nature of demand has also transformed. Increasingly, people dial emergency services for conditions that are not life-threatening, driven by factors including greater public expectations and difficulties accessing primary care during out-of-hours periods . This demand surge has prompted services to develop alternative response models. The Queensland Ambulance Service has implemented innovative programs including Mental Health Co-Responders, who keep approximately 75% of patients they see at home, and Falls Co-Response teams, which assess nearly 4,000 people annually with 47% avoiding emergency department transport . These initiatives demonstrate that ambulance services are evolving from transport providers into mobile healthcare providers capable of delivering definitive care in community settings.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However, critical evaluation must acknowledge persistent systemic barriers. Research on Community First Responders reveals that while volunteers achieve faster response times in rural areas, their presence is lower in urban deprived communities despite higher levels of health inequality . This geographical inequity contradicts the principle of equal access underpinning the NHS. Furthermore, the integration of services across health, social care, and disability sectors remains challenging, with coordination barriers complicating efficient resource use and care planning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privatisation debate raises additional concerns about service quality and accountability. In Athens, Georgia, a private for-profit company operating ambulance services faced criticism for prioritising profit over patient care, with occasions where no emergency units were available to respond to 911 calls . Former employees reported the company would dispatch its last ambulance for non-urgent transfers, increasing delays for genuine emergencies. This case illustrates the potential risks when emergency medical services are driven by commercial imperatives rather than public service obligations.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Wales has introduced a new Ambulance Performance Framework from July 2025, shifting focus from</w:t>
      </w:r>
      <w:r>
        <w:rPr>
          <w:rFonts w:hint="default" w:ascii="Arial" w:hAnsi="Arial"/>
          <w:sz w:val="22"/>
          <w:szCs w:val="22"/>
          <w:lang w:val="en-US"/>
        </w:rPr>
        <w:t xml:space="preserve"> </w:t>
      </w:r>
      <w:bookmarkStart w:id="0" w:name="_GoBack"/>
      <w:bookmarkEnd w:id="0"/>
      <w:r>
        <w:rPr>
          <w:rFonts w:hint="default" w:ascii="Arial" w:hAnsi="Arial"/>
          <w:sz w:val="22"/>
          <w:szCs w:val="22"/>
        </w:rPr>
        <w:t>response times to clinical outcomes . Purple calls now cover cardiac or respiratory arrest, with success measured by whether the patient's heartbeat is restarted and remains stable, rather than simply arrival speed. This represents a fundamental reconceptualisation of ambulance service objectives, prioritising meaningful patient outcomes over process targets. Initial results show promise, with improved cardiac arrest survival rates despite median response times remaining slower than desired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 Significance in Enhancing Quality of Life</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Despite these challenges, ambulance services remain profoundly significant in enhancing the quality of life for service users. Their impact extends beyond immediate medical interventions to encompass psychological reassurance, social support, and prevention of unnecessary hospital admissions.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patient-clinician bond emerging from community-based care models allows for trusting, collaborative relationships that result in more personalised approaches to care provision . Research examining patient experiences of community care after ambulance assessment identified three key benefits: improved health status and health literacy, creation of a safety net for vulnerable individuals, and provision of truly holistic care . Patients valued ambulance professionals for their interpersonal and communication skills, their ability to build rapport, and their capacity to provide reassurance during moments of crisis.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For vulnerable populations, ambulance services increasingly function as gateways to appropriate care rather than mere transport providers. The Queensland Ambulance Service's Complex Care Team supports approximately 4,052 people who account for 84,234 annual incidents, representing just 0.8% of callers but nearly 10% of ambulance attendances . By developing nuanced care plans for these frequent users, the service reduces avoidable emergency department visits while ensuring appropriate support for individuals with complex medical, social, and psychological needs. This approach acknowledges that traditional emergency response models may not serve vulnerable people effectively.</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Community First Responders demonstrate how ambulance services enhance quality of life beyond clinical interventions. Research found that 79% of Category 2 and 90% of Category 3 incidents were reached by a responder before an ambulance, reducing average response times by up to 20 minutes for Category 2 and over an hour for Category 3 calls . In Category 3 cases, responder presence can save the equivalent of one ambulance resource for every five incidents attended. Volunteers report high levels of fulfilment from supporting patients during critical moments, creating reciprocal benefits for both service users and providers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shift towards treating patients at home rather than transporting them to hospital aligns with patient preferences while reducing healthcare system burden. Falls Co-Response teams in Queensland assess patients in their own environments, identifying risks and providing appropriate follow-up without requiring hospital attendance . This preserves patient autonomy, reduces the disruption and anxiety associated with hospital admission, and enables more efficient use of healthcare resources. For older people who have fallen, remaining at home with appropriate support represents a significantly better outcome than emergency department attendance.</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Ambulance services also contribute to quality of life through their role in addressing health inequalities. In rural areas, where ambulance response times are typically longer, Community First Responders strengthen local resilience and address geographical inequalities in urgent care access . Almost 40% of responder-attended incidents occur in rural settings, double the proportion of overall incidents. This targeted deployment helps ensure that geographical location does not determine clinical outcomes.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However, the psychological impact of ambulance delays on service users deserves consideration. Nearly 10,000 patients cancelled their own ambulance calls in Wales during December 2023, making their own way to hospital not because they no longer needed help, but because the wait felt too long . This represents a failure of the service to provide the reassurance and timely response that underpins public trust. The Health and Social Care Committee warned that unless public expectations are reset, people may perceive delays as service failure even when patients ultimately receive appropriate care .</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b/>
          <w:bCs/>
          <w:sz w:val="22"/>
          <w:szCs w:val="22"/>
        </w:rPr>
        <w:t>Conclusion</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Ambulance services have journeyed from horse-drawn carriages staffed by volunteers to sophisticated mobile emergency departments crewed by highly trained paramedics and allied health professionals. This evolution reflects broader societal changes in healthcare expectations and medical capability. However, the service now stands at a crossroads. Demand continues to rise, hospital handover delays cripple response capacity, and performance targets remain unmet across multiple jurisdictions.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The future sustainability of ambulance services depends on completing the transition from transport providers to integrated healthcare providers. Innovative models demonstrated in Queensland and Wales show promise: mental health co-responders, falls prevention teams, and Community First Responders all contribute to more appropriate, patient-centred care while reducing pressure on emergency departments. The shift from measuring success by speed alone to evaluating clinical outcomes represents a mature recognition of what truly matters to patients.</w:t>
      </w:r>
    </w:p>
    <w:p>
      <w:pPr>
        <w:spacing w:line="360" w:lineRule="auto"/>
        <w:jc w:val="both"/>
        <w:rPr>
          <w:rFonts w:hint="default" w:ascii="Arial" w:hAnsi="Arial"/>
          <w:sz w:val="22"/>
          <w:szCs w:val="22"/>
        </w:rPr>
      </w:pPr>
    </w:p>
    <w:p>
      <w:pPr>
        <w:spacing w:line="360" w:lineRule="auto"/>
        <w:jc w:val="both"/>
        <w:rPr>
          <w:rFonts w:hint="default" w:ascii="Arial" w:hAnsi="Arial"/>
          <w:sz w:val="22"/>
          <w:szCs w:val="22"/>
        </w:rPr>
      </w:pPr>
      <w:r>
        <w:rPr>
          <w:rFonts w:hint="default" w:ascii="Arial" w:hAnsi="Arial"/>
          <w:sz w:val="22"/>
          <w:szCs w:val="22"/>
        </w:rPr>
        <w:t>Yet systemic challenges persist. Funding inadequacies, workforce burnout, and integration failures across health and social care sectors threaten to undermine progress. The privatisation debate reminds us that emergency medical services cannot be reduced to commercial transactions; they represent a fundamental public good and a collective commitment to supporting citizens in their most vulnerable moments.</w:t>
      </w:r>
    </w:p>
    <w:p>
      <w:pPr>
        <w:spacing w:line="360" w:lineRule="auto"/>
        <w:jc w:val="both"/>
        <w:rPr>
          <w:rFonts w:hint="default" w:ascii="Arial" w:hAnsi="Arial"/>
          <w:sz w:val="22"/>
          <w:szCs w:val="22"/>
        </w:rPr>
      </w:pPr>
    </w:p>
    <w:p>
      <w:pPr>
        <w:spacing w:line="360" w:lineRule="auto"/>
        <w:jc w:val="both"/>
        <w:rPr>
          <w:rFonts w:hint="default" w:ascii="Arial" w:hAnsi="Arial" w:cs="Arial"/>
          <w:sz w:val="22"/>
          <w:szCs w:val="22"/>
        </w:rPr>
      </w:pPr>
      <w:r>
        <w:rPr>
          <w:rFonts w:hint="default" w:ascii="Arial" w:hAnsi="Arial"/>
          <w:sz w:val="22"/>
          <w:szCs w:val="22"/>
        </w:rPr>
        <w:t>Ultimately, ambulance services enhance quality of life not merely through clinical interventions but through their symbolic role in society. When a person dials emergency services, they express trust that help will arrive. Maintaining that trust requires continued investment, innovation, and above all, recognition that ambulance services are not merely about transportation, but about delivering care, compassion, and hope to people when they need it most.</w:t>
      </w: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p>
      <w:pPr>
        <w:spacing w:line="360" w:lineRule="auto"/>
        <w:jc w:val="both"/>
        <w:rPr>
          <w:rFonts w:hint="default" w:ascii="Arial" w:hAnsi="Arial" w:cs="Arial"/>
          <w:sz w:val="22"/>
          <w:szCs w:val="22"/>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7BC37BA"/>
    <w:rsid w:val="004C3EDF"/>
    <w:rsid w:val="07BC37BA"/>
    <w:rsid w:val="21DE169E"/>
    <w:rsid w:val="46FA34C1"/>
    <w:rsid w:val="493E33AD"/>
    <w:rsid w:val="7F1E37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szCs w:val="18"/>
    </w:rPr>
  </w:style>
  <w:style w:type="paragraph" w:styleId="5">
    <w:name w:val="header"/>
    <w:basedOn w:val="1"/>
    <w:uiPriority w:val="0"/>
    <w:pPr>
      <w:tabs>
        <w:tab w:val="center" w:pos="4153"/>
        <w:tab w:val="right" w:pos="8306"/>
      </w:tabs>
      <w:snapToGrid w:val="0"/>
    </w:pPr>
    <w:rPr>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NUL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5</TotalTime>
  <ScaleCrop>false</ScaleCrop>
  <LinksUpToDate>false</LinksUpToDate>
  <CharactersWithSpaces>0</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2026-03-13T19:48:00Z</dcterms:created>
  <dc:creator>Dr. Godfrey Ojerheghan</dc:creator>
  <cp:lastModifiedBy>Dr. Godfrey Ojerheghan</cp:lastModifiedBy>
  <dcterms:modified xsi:type="dcterms:W3CDTF">2026-03-18T15:37:12Z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2057-11.2.0.11417</vt:lpwstr>
  </property>
  <property fmtid="{D5CDD505-2E9C-101B-9397-08002B2CF9AE}" pid="3" name="ICV">
    <vt:lpwstr>D3EDCAFEE625472784CA4C3473FDA55D</vt:lpwstr>
  </property>
</Properties>
</file>