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BA1ECF" w14:textId="04697EF0" w:rsidR="00C12FB7" w:rsidRPr="00E03C4F" w:rsidRDefault="00C12FB7" w:rsidP="00C12FB7">
      <w:pPr>
        <w:spacing w:after="0" w:line="240" w:lineRule="auto"/>
        <w:rPr>
          <w:rFonts w:ascii="Georgia" w:eastAsia="Georgia" w:hAnsi="Georgia" w:cs="Georgia"/>
          <w:color w:val="000000"/>
          <w:sz w:val="21"/>
          <w:szCs w:val="21"/>
          <w:u w:color="000000"/>
        </w:rPr>
      </w:pPr>
      <w:r w:rsidRPr="00E03C4F">
        <w:rPr>
          <w:rFonts w:ascii="Georgia" w:eastAsia="Georgia" w:hAnsi="Georgia" w:cs="Georgia"/>
          <w:noProof/>
          <w:color w:val="000000"/>
          <w:sz w:val="21"/>
          <w:szCs w:val="21"/>
          <w:u w:color="000000"/>
        </w:rPr>
        <w:drawing>
          <wp:inline distT="0" distB="0" distL="0" distR="0" wp14:anchorId="4A8F1036" wp14:editId="6D6DCB7F">
            <wp:extent cx="1911350" cy="635000"/>
            <wp:effectExtent l="0" t="0" r="0" b="0"/>
            <wp:docPr id="1" name="Picture 1" descr="Text&#10;&#10;Description automatically generated"/>
            <wp:cNvGraphicFramePr>
              <a:graphicFrameLocks xmlns:a="http://schemas.openxmlformats.org/drawingml/2006/main" noChangeAspect="1" noMove="1" noResize="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Rot="1" noChangeAspect="1" noMove="1" noResize="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11350" cy="635000"/>
                    </a:xfrm>
                    <a:prstGeom prst="rect">
                      <a:avLst/>
                    </a:prstGeom>
                    <a:noFill/>
                    <a:ln>
                      <a:noFill/>
                    </a:ln>
                    <a:effectLst/>
                  </pic:spPr>
                </pic:pic>
              </a:graphicData>
            </a:graphic>
          </wp:inline>
        </w:drawing>
      </w:r>
    </w:p>
    <w:p w14:paraId="483CE568" w14:textId="77777777" w:rsidR="00C12FB7" w:rsidRPr="00E03C4F" w:rsidRDefault="00C12FB7" w:rsidP="00C12FB7">
      <w:pPr>
        <w:spacing w:after="0" w:line="240" w:lineRule="auto"/>
        <w:rPr>
          <w:rFonts w:ascii="Georgia" w:eastAsia="Georgia" w:hAnsi="Georgia" w:cs="Georgia"/>
          <w:color w:val="000000"/>
          <w:sz w:val="21"/>
          <w:szCs w:val="21"/>
          <w:u w:color="000000"/>
        </w:rPr>
      </w:pPr>
    </w:p>
    <w:p w14:paraId="6339AA6F" w14:textId="77777777" w:rsidR="00C12FB7" w:rsidRPr="00E03C4F" w:rsidRDefault="00C12FB7" w:rsidP="00C12FB7">
      <w:pPr>
        <w:spacing w:after="0" w:line="240" w:lineRule="auto"/>
        <w:rPr>
          <w:rFonts w:ascii="Georgia" w:eastAsia="Georgia" w:hAnsi="Georgia" w:cs="Georgia"/>
          <w:color w:val="000000"/>
          <w:sz w:val="21"/>
          <w:szCs w:val="21"/>
          <w:u w:color="000000"/>
        </w:rPr>
      </w:pPr>
    </w:p>
    <w:p w14:paraId="364C547E" w14:textId="77777777" w:rsidR="00C12FB7" w:rsidRPr="00E03C4F" w:rsidRDefault="00C12FB7" w:rsidP="00C12FB7">
      <w:pPr>
        <w:spacing w:after="0" w:line="240" w:lineRule="auto"/>
        <w:jc w:val="center"/>
        <w:rPr>
          <w:rFonts w:ascii="Arial" w:eastAsia="Arial" w:hAnsi="Arial" w:cs="Arial"/>
          <w:b/>
          <w:bCs/>
          <w:color w:val="000000"/>
          <w:sz w:val="28"/>
          <w:szCs w:val="28"/>
          <w:u w:color="000000"/>
        </w:rPr>
      </w:pPr>
      <w:r w:rsidRPr="00E03C4F">
        <w:rPr>
          <w:rFonts w:ascii="Arial" w:eastAsia="Arial Unicode MS" w:hAnsi="Arial" w:cs="Arial Unicode MS"/>
          <w:b/>
          <w:bCs/>
          <w:color w:val="000000"/>
          <w:sz w:val="28"/>
          <w:szCs w:val="28"/>
          <w:u w:color="000000"/>
        </w:rPr>
        <w:t xml:space="preserve">Postgraduate/Distance Learning </w:t>
      </w:r>
    </w:p>
    <w:p w14:paraId="29523C64" w14:textId="77777777" w:rsidR="00C12FB7" w:rsidRPr="00E03C4F" w:rsidRDefault="00C12FB7" w:rsidP="00C12FB7">
      <w:pPr>
        <w:spacing w:after="0" w:line="240" w:lineRule="auto"/>
        <w:jc w:val="center"/>
        <w:rPr>
          <w:rFonts w:ascii="Arial" w:eastAsia="Arial" w:hAnsi="Arial" w:cs="Arial"/>
          <w:b/>
          <w:bCs/>
          <w:color w:val="000000"/>
          <w:sz w:val="28"/>
          <w:szCs w:val="28"/>
          <w:u w:color="000000"/>
        </w:rPr>
      </w:pPr>
      <w:r w:rsidRPr="00E03C4F">
        <w:rPr>
          <w:rFonts w:ascii="Arial" w:eastAsia="Arial Unicode MS" w:hAnsi="Arial" w:cs="Arial Unicode MS"/>
          <w:b/>
          <w:bCs/>
          <w:color w:val="000000"/>
          <w:sz w:val="28"/>
          <w:szCs w:val="28"/>
          <w:u w:color="000000"/>
        </w:rPr>
        <w:t>Assignment coversheet &amp; feedback form</w:t>
      </w:r>
    </w:p>
    <w:p w14:paraId="52E3A144" w14:textId="77777777" w:rsidR="00C12FB7" w:rsidRPr="00E03C4F" w:rsidRDefault="00C12FB7" w:rsidP="00C12FB7">
      <w:pPr>
        <w:spacing w:before="160" w:after="0" w:line="240" w:lineRule="auto"/>
        <w:rPr>
          <w:rFonts w:ascii="Arial" w:eastAsia="Arial" w:hAnsi="Arial" w:cs="Arial"/>
          <w:color w:val="000000"/>
          <w:sz w:val="28"/>
          <w:szCs w:val="28"/>
          <w:u w:color="000000"/>
          <w:lang w:val="en-GB" w:eastAsia="en-GB"/>
        </w:rPr>
      </w:pPr>
    </w:p>
    <w:p w14:paraId="01AE9ED9" w14:textId="77777777" w:rsidR="00C12FB7" w:rsidRPr="00E03C4F" w:rsidRDefault="00C12FB7" w:rsidP="00C12FB7">
      <w:pPr>
        <w:keepNext/>
        <w:spacing w:after="0" w:line="240" w:lineRule="auto"/>
        <w:ind w:left="720"/>
        <w:jc w:val="center"/>
        <w:outlineLvl w:val="2"/>
        <w:rPr>
          <w:rFonts w:ascii="Tahoma Bold" w:eastAsia="Tahoma Bold" w:hAnsi="Tahoma Bold" w:cs="Tahoma Bold"/>
          <w:color w:val="000000"/>
          <w:sz w:val="20"/>
          <w:szCs w:val="20"/>
          <w:u w:color="000000"/>
          <w:lang w:val="en-GB" w:eastAsia="en-GB"/>
        </w:rPr>
      </w:pPr>
      <w:r w:rsidRPr="00E03C4F">
        <w:rPr>
          <w:rFonts w:ascii="Tahoma Bold" w:eastAsia="Arial Unicode MS" w:hAnsi="Tahoma Bold" w:cs="Arial Unicode MS"/>
          <w:color w:val="000000"/>
          <w:sz w:val="20"/>
          <w:szCs w:val="20"/>
          <w:u w:color="000000"/>
          <w:lang w:val="en-GB" w:eastAsia="en-GB"/>
        </w:rPr>
        <w:t>THIS SHEET MUST BE THE FIRST PAGE OF THE ASSIGNMENT YOU ARE SUBMITTING  (DO NOT SEND AS A SEPARATE FILE)</w:t>
      </w:r>
    </w:p>
    <w:p w14:paraId="2310A8F3" w14:textId="77777777" w:rsidR="00C12FB7" w:rsidRPr="00E03C4F" w:rsidRDefault="00C12FB7" w:rsidP="00C12FB7">
      <w:pPr>
        <w:keepNext/>
        <w:spacing w:after="0" w:line="240" w:lineRule="auto"/>
        <w:ind w:left="720"/>
        <w:jc w:val="center"/>
        <w:outlineLvl w:val="2"/>
        <w:rPr>
          <w:rFonts w:ascii="Trebuchet MS" w:eastAsia="Trebuchet MS" w:hAnsi="Trebuchet MS" w:cs="Trebuchet MS"/>
          <w:b/>
          <w:bCs/>
          <w:color w:val="000000"/>
          <w:sz w:val="20"/>
          <w:szCs w:val="20"/>
          <w:u w:color="000000"/>
          <w:lang w:eastAsia="en-GB"/>
        </w:rPr>
      </w:pPr>
    </w:p>
    <w:tbl>
      <w:tblPr>
        <w:tblW w:w="0" w:type="auto"/>
        <w:jc w:val="center"/>
        <w:shd w:val="clear" w:color="auto" w:fill="CED7E7"/>
        <w:tblLayout w:type="fixed"/>
        <w:tblLook w:val="0000" w:firstRow="0" w:lastRow="0" w:firstColumn="0" w:lastColumn="0" w:noHBand="0" w:noVBand="0"/>
      </w:tblPr>
      <w:tblGrid>
        <w:gridCol w:w="4788"/>
        <w:gridCol w:w="423"/>
        <w:gridCol w:w="1557"/>
        <w:gridCol w:w="285"/>
        <w:gridCol w:w="1803"/>
      </w:tblGrid>
      <w:tr w:rsidR="00C12FB7" w:rsidRPr="00E03C4F" w14:paraId="75C0FF60" w14:textId="77777777" w:rsidTr="002146DD">
        <w:trPr>
          <w:cantSplit/>
          <w:trHeight w:val="454"/>
          <w:jc w:val="center"/>
        </w:trPr>
        <w:tc>
          <w:tcPr>
            <w:tcW w:w="885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14" w:type="dxa"/>
            </w:tcMar>
          </w:tcPr>
          <w:p w14:paraId="512E3C02" w14:textId="77777777" w:rsidR="00C12FB7" w:rsidRPr="00E03C4F" w:rsidRDefault="00C12FB7" w:rsidP="002146DD">
            <w:pPr>
              <w:spacing w:after="0" w:line="240" w:lineRule="auto"/>
              <w:ind w:right="34"/>
              <w:rPr>
                <w:rFonts w:ascii="Times New Roman" w:eastAsia="Times New Roman" w:hAnsi="Times New Roman" w:cs="Times New Roman"/>
                <w:sz w:val="24"/>
                <w:szCs w:val="24"/>
              </w:rPr>
            </w:pPr>
            <w:r w:rsidRPr="00E03C4F">
              <w:rPr>
                <w:rFonts w:ascii="Arial" w:eastAsia="Arial Unicode MS" w:hAnsi="Arial" w:cs="Arial Unicode MS"/>
                <w:b/>
                <w:bCs/>
                <w:color w:val="000000"/>
                <w:u w:color="000000"/>
              </w:rPr>
              <w:t>For completion by the student</w:t>
            </w:r>
            <w:r w:rsidRPr="00E03C4F">
              <w:rPr>
                <w:rFonts w:ascii="Arial" w:eastAsia="Arial Unicode MS" w:hAnsi="Arial" w:cs="Arial Unicode MS"/>
                <w:color w:val="000000"/>
                <w:u w:color="000000"/>
              </w:rPr>
              <w:t>:</w:t>
            </w:r>
          </w:p>
        </w:tc>
      </w:tr>
      <w:tr w:rsidR="00C12FB7" w:rsidRPr="00E03C4F" w14:paraId="359FC91A" w14:textId="77777777" w:rsidTr="002146DD">
        <w:trPr>
          <w:cantSplit/>
          <w:trHeight w:val="558"/>
          <w:jc w:val="center"/>
        </w:trPr>
        <w:tc>
          <w:tcPr>
            <w:tcW w:w="885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14" w:type="dxa"/>
            </w:tcMar>
          </w:tcPr>
          <w:p w14:paraId="0812003D" w14:textId="77777777" w:rsidR="00C12FB7" w:rsidRPr="00E03C4F" w:rsidRDefault="00C12FB7" w:rsidP="002146DD">
            <w:pPr>
              <w:spacing w:after="0" w:line="240" w:lineRule="auto"/>
              <w:ind w:right="34"/>
              <w:rPr>
                <w:rFonts w:ascii="Times New Roman" w:eastAsia="Times New Roman" w:hAnsi="Times New Roman" w:cs="Times New Roman"/>
                <w:sz w:val="24"/>
                <w:szCs w:val="24"/>
              </w:rPr>
            </w:pPr>
            <w:r w:rsidRPr="00E03C4F">
              <w:rPr>
                <w:rFonts w:ascii="Arial" w:eastAsia="Arial Unicode MS" w:hAnsi="Arial" w:cs="Arial Unicode MS"/>
                <w:color w:val="000000"/>
                <w:u w:color="000000"/>
              </w:rPr>
              <w:t xml:space="preserve">Student Name: </w:t>
            </w:r>
            <w:r>
              <w:rPr>
                <w:rFonts w:ascii="Arial" w:eastAsia="Arial Unicode MS" w:hAnsi="Arial" w:cs="Arial Unicode MS"/>
                <w:color w:val="000000"/>
                <w:u w:color="000000"/>
              </w:rPr>
              <w:t xml:space="preserve"> Kimberly Corrall</w:t>
            </w:r>
          </w:p>
        </w:tc>
      </w:tr>
      <w:tr w:rsidR="00C12FB7" w:rsidRPr="00E03C4F" w14:paraId="510C53C4" w14:textId="77777777" w:rsidTr="002146DD">
        <w:trPr>
          <w:cantSplit/>
          <w:trHeight w:val="1443"/>
          <w:jc w:val="center"/>
        </w:trPr>
        <w:tc>
          <w:tcPr>
            <w:tcW w:w="47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14" w:type="dxa"/>
            </w:tcMar>
          </w:tcPr>
          <w:p w14:paraId="4DF2B2FA" w14:textId="3855BFB1" w:rsidR="00C12FB7" w:rsidRPr="00E03C4F" w:rsidRDefault="00C12FB7" w:rsidP="002146DD">
            <w:pPr>
              <w:spacing w:after="0" w:line="240" w:lineRule="auto"/>
              <w:ind w:right="34"/>
              <w:rPr>
                <w:rFonts w:ascii="Arial" w:eastAsia="Arial" w:hAnsi="Arial" w:cs="Arial"/>
                <w:color w:val="000000"/>
                <w:u w:color="000000"/>
              </w:rPr>
            </w:pPr>
            <w:r w:rsidRPr="00E03C4F">
              <w:rPr>
                <w:rFonts w:ascii="Arial" w:eastAsia="Arial Unicode MS" w:hAnsi="Arial" w:cs="Arial Unicode MS"/>
                <w:color w:val="000000"/>
                <w:u w:color="000000"/>
              </w:rPr>
              <w:t xml:space="preserve">Module code:  </w:t>
            </w:r>
            <w:r>
              <w:rPr>
                <w:rFonts w:ascii="Arial" w:eastAsia="Arial Unicode MS" w:hAnsi="Arial" w:cs="Arial Unicode MS"/>
                <w:color w:val="000000"/>
                <w:u w:color="000000"/>
              </w:rPr>
              <w:t>HPCA70</w:t>
            </w:r>
            <w:r>
              <w:rPr>
                <w:rFonts w:ascii="Arial" w:eastAsia="Arial Unicode MS" w:hAnsi="Arial" w:cs="Arial Unicode MS"/>
                <w:color w:val="000000"/>
                <w:u w:color="000000"/>
              </w:rPr>
              <w:t>16</w:t>
            </w:r>
          </w:p>
          <w:p w14:paraId="72C8F410" w14:textId="77777777" w:rsidR="00C12FB7" w:rsidRPr="00E03C4F" w:rsidRDefault="00C12FB7" w:rsidP="002146DD">
            <w:pPr>
              <w:spacing w:after="0" w:line="240" w:lineRule="auto"/>
              <w:ind w:right="34"/>
              <w:rPr>
                <w:rFonts w:ascii="Arial" w:eastAsia="Arial" w:hAnsi="Arial" w:cs="Arial"/>
                <w:color w:val="000000"/>
                <w:u w:color="000000"/>
              </w:rPr>
            </w:pPr>
          </w:p>
          <w:p w14:paraId="22480273" w14:textId="74626B72" w:rsidR="00C12FB7" w:rsidRPr="00E03C4F" w:rsidRDefault="00C12FB7" w:rsidP="002146DD">
            <w:pPr>
              <w:spacing w:after="0" w:line="240" w:lineRule="auto"/>
              <w:ind w:right="34"/>
              <w:rPr>
                <w:rFonts w:ascii="Arial" w:eastAsia="Arial" w:hAnsi="Arial" w:cs="Arial"/>
                <w:color w:val="000000"/>
                <w:u w:color="000000"/>
              </w:rPr>
            </w:pPr>
            <w:r w:rsidRPr="00E03C4F">
              <w:rPr>
                <w:rFonts w:ascii="Arial" w:eastAsia="Arial Unicode MS" w:hAnsi="Arial" w:cs="Arial Unicode MS"/>
                <w:color w:val="000000"/>
                <w:u w:color="000000"/>
              </w:rPr>
              <w:t xml:space="preserve">Module title:  </w:t>
            </w:r>
            <w:r>
              <w:rPr>
                <w:rFonts w:ascii="Arial" w:eastAsia="Arial Unicode MS" w:hAnsi="Arial" w:cs="Arial Unicode MS"/>
                <w:color w:val="000000"/>
                <w:u w:color="000000"/>
              </w:rPr>
              <w:t>Researching Contemporary Cosmologies</w:t>
            </w:r>
          </w:p>
          <w:p w14:paraId="3F92BA56" w14:textId="77777777" w:rsidR="00C12FB7" w:rsidRPr="00E03C4F" w:rsidRDefault="00C12FB7" w:rsidP="002146DD">
            <w:pPr>
              <w:spacing w:after="0" w:line="240" w:lineRule="auto"/>
              <w:ind w:right="34"/>
              <w:rPr>
                <w:rFonts w:ascii="Times New Roman" w:eastAsia="Times New Roman" w:hAnsi="Times New Roman" w:cs="Times New Roman"/>
                <w:sz w:val="24"/>
                <w:szCs w:val="24"/>
              </w:rPr>
            </w:pPr>
          </w:p>
        </w:tc>
        <w:tc>
          <w:tcPr>
            <w:tcW w:w="2265"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14" w:type="dxa"/>
            </w:tcMar>
          </w:tcPr>
          <w:p w14:paraId="7B0356CC" w14:textId="77777777" w:rsidR="00C12FB7" w:rsidRDefault="00C12FB7" w:rsidP="002146DD">
            <w:pPr>
              <w:spacing w:after="0" w:line="240" w:lineRule="auto"/>
              <w:ind w:right="34"/>
              <w:rPr>
                <w:rFonts w:ascii="Arial" w:eastAsia="Arial Unicode MS" w:hAnsi="Arial" w:cs="Arial Unicode MS"/>
                <w:color w:val="000000"/>
                <w:u w:color="000000"/>
              </w:rPr>
            </w:pPr>
            <w:r w:rsidRPr="00E03C4F">
              <w:rPr>
                <w:rFonts w:ascii="Arial" w:eastAsia="Arial Unicode MS" w:hAnsi="Arial" w:cs="Arial Unicode MS"/>
                <w:color w:val="000000"/>
                <w:u w:color="000000"/>
              </w:rPr>
              <w:t xml:space="preserve">Student ID number:  </w:t>
            </w:r>
          </w:p>
          <w:p w14:paraId="4A25BCFB" w14:textId="77777777" w:rsidR="00C12FB7" w:rsidRPr="00E03C4F" w:rsidRDefault="00C12FB7" w:rsidP="002146DD">
            <w:pPr>
              <w:spacing w:after="0" w:line="240" w:lineRule="auto"/>
              <w:ind w:right="34"/>
              <w:rPr>
                <w:rFonts w:ascii="Times New Roman" w:eastAsia="Times New Roman" w:hAnsi="Times New Roman" w:cs="Times New Roman"/>
                <w:sz w:val="24"/>
                <w:szCs w:val="24"/>
              </w:rPr>
            </w:pPr>
            <w:r>
              <w:rPr>
                <w:rFonts w:ascii="Arial" w:eastAsia="Arial Unicode MS" w:hAnsi="Arial" w:cs="Arial Unicode MS"/>
                <w:color w:val="000000"/>
                <w:u w:color="000000"/>
              </w:rPr>
              <w:t>2024486</w:t>
            </w:r>
          </w:p>
        </w:tc>
        <w:tc>
          <w:tcPr>
            <w:tcW w:w="18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14" w:type="dxa"/>
            </w:tcMar>
          </w:tcPr>
          <w:p w14:paraId="24CFC02D" w14:textId="77777777" w:rsidR="00C12FB7" w:rsidRPr="00E03C4F" w:rsidRDefault="00C12FB7" w:rsidP="002146DD">
            <w:pPr>
              <w:spacing w:after="0" w:line="240" w:lineRule="auto"/>
              <w:ind w:right="34"/>
              <w:rPr>
                <w:rFonts w:ascii="Arial" w:eastAsia="Arial" w:hAnsi="Arial" w:cs="Arial"/>
                <w:color w:val="000000"/>
                <w:u w:color="000000"/>
              </w:rPr>
            </w:pPr>
            <w:r w:rsidRPr="00E03C4F">
              <w:rPr>
                <w:rFonts w:ascii="Arial" w:eastAsia="Arial Unicode MS" w:hAnsi="Arial" w:cs="Arial Unicode MS"/>
                <w:color w:val="000000"/>
                <w:u w:color="000000"/>
              </w:rPr>
              <w:t>Educational support needs:</w:t>
            </w:r>
            <w:r>
              <w:rPr>
                <w:rFonts w:ascii="Arial" w:eastAsia="Arial" w:hAnsi="Arial" w:cs="Arial"/>
                <w:color w:val="000000"/>
                <w:u w:color="000000"/>
              </w:rPr>
              <w:t xml:space="preserve">  </w:t>
            </w:r>
            <w:r w:rsidRPr="00E03C4F">
              <w:rPr>
                <w:rFonts w:ascii="Arial" w:eastAsia="Arial Unicode MS" w:hAnsi="Arial" w:cs="Arial Unicode MS"/>
                <w:color w:val="000000"/>
                <w:u w:color="000000"/>
              </w:rPr>
              <w:t>No</w:t>
            </w:r>
          </w:p>
        </w:tc>
      </w:tr>
      <w:tr w:rsidR="00C12FB7" w:rsidRPr="00E03C4F" w14:paraId="679B6DF6" w14:textId="77777777" w:rsidTr="002146DD">
        <w:trPr>
          <w:cantSplit/>
          <w:trHeight w:val="979"/>
          <w:jc w:val="center"/>
        </w:trPr>
        <w:tc>
          <w:tcPr>
            <w:tcW w:w="885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14" w:type="dxa"/>
            </w:tcMar>
          </w:tcPr>
          <w:p w14:paraId="60F662BD" w14:textId="0A719833" w:rsidR="00C12FB7" w:rsidRPr="00E03C4F" w:rsidRDefault="00C12FB7" w:rsidP="002146DD">
            <w:pPr>
              <w:spacing w:after="0" w:line="240" w:lineRule="auto"/>
              <w:ind w:right="34"/>
              <w:rPr>
                <w:rFonts w:ascii="Arial" w:eastAsia="Arial" w:hAnsi="Arial" w:cs="Arial"/>
                <w:color w:val="000000"/>
                <w:u w:color="000000"/>
              </w:rPr>
            </w:pPr>
            <w:r w:rsidRPr="00E03C4F">
              <w:rPr>
                <w:rFonts w:ascii="Arial" w:eastAsia="Arial Unicode MS" w:hAnsi="Arial" w:cs="Arial Unicode MS"/>
                <w:color w:val="000000"/>
                <w:u w:color="000000"/>
              </w:rPr>
              <w:t xml:space="preserve">Module tutor:  </w:t>
            </w:r>
            <w:r>
              <w:rPr>
                <w:rFonts w:ascii="Arial" w:eastAsia="Arial Unicode MS" w:hAnsi="Arial" w:cs="Arial Unicode MS"/>
                <w:color w:val="000000"/>
                <w:u w:color="000000"/>
              </w:rPr>
              <w:t>Carole Taylor</w:t>
            </w:r>
          </w:p>
          <w:p w14:paraId="6736D303" w14:textId="77777777" w:rsidR="00C12FB7" w:rsidRPr="00E03C4F" w:rsidRDefault="00C12FB7" w:rsidP="002146DD">
            <w:pPr>
              <w:spacing w:after="0" w:line="240" w:lineRule="auto"/>
              <w:ind w:right="34"/>
              <w:rPr>
                <w:rFonts w:ascii="Arial" w:eastAsia="Arial" w:hAnsi="Arial" w:cs="Arial"/>
                <w:color w:val="000000"/>
                <w:u w:color="000000"/>
              </w:rPr>
            </w:pPr>
          </w:p>
          <w:p w14:paraId="3D49F893" w14:textId="77777777" w:rsidR="00C12FB7" w:rsidRPr="00E03C4F" w:rsidRDefault="00C12FB7" w:rsidP="002146DD">
            <w:pPr>
              <w:spacing w:after="0" w:line="240" w:lineRule="auto"/>
              <w:ind w:right="34"/>
              <w:rPr>
                <w:rFonts w:ascii="Arial" w:eastAsia="Arial" w:hAnsi="Arial" w:cs="Arial"/>
                <w:color w:val="000000"/>
                <w:u w:color="000000"/>
              </w:rPr>
            </w:pPr>
          </w:p>
          <w:p w14:paraId="59D1FB1D" w14:textId="78A07F86" w:rsidR="00C12FB7" w:rsidRPr="00E03C4F" w:rsidRDefault="00C12FB7" w:rsidP="002146DD">
            <w:pPr>
              <w:spacing w:after="0" w:line="240" w:lineRule="auto"/>
              <w:ind w:right="34"/>
              <w:rPr>
                <w:rFonts w:ascii="Times New Roman" w:eastAsia="Times New Roman" w:hAnsi="Times New Roman" w:cs="Times New Roman"/>
                <w:sz w:val="24"/>
                <w:szCs w:val="24"/>
              </w:rPr>
            </w:pPr>
            <w:r w:rsidRPr="00E03C4F">
              <w:rPr>
                <w:rFonts w:ascii="Arial" w:eastAsia="Arial Unicode MS" w:hAnsi="Arial" w:cs="Arial Unicode MS"/>
                <w:color w:val="000000"/>
                <w:u w:color="000000"/>
              </w:rPr>
              <w:t>Assignment due date:</w:t>
            </w:r>
            <w:r>
              <w:rPr>
                <w:rFonts w:ascii="Arial" w:eastAsia="Arial Unicode MS" w:hAnsi="Arial" w:cs="Arial Unicode MS"/>
                <w:color w:val="000000"/>
                <w:u w:color="000000"/>
              </w:rPr>
              <w:t xml:space="preserve">  </w:t>
            </w:r>
            <w:r>
              <w:rPr>
                <w:rFonts w:ascii="Arial" w:eastAsia="Arial Unicode MS" w:hAnsi="Arial" w:cs="Arial Unicode MS"/>
                <w:color w:val="000000"/>
                <w:u w:color="000000"/>
              </w:rPr>
              <w:t>21 March 2022</w:t>
            </w:r>
          </w:p>
        </w:tc>
      </w:tr>
      <w:tr w:rsidR="00C12FB7" w:rsidRPr="00E03C4F" w14:paraId="6FE9C410" w14:textId="77777777" w:rsidTr="002146DD">
        <w:trPr>
          <w:cantSplit/>
          <w:trHeight w:val="818"/>
          <w:jc w:val="center"/>
        </w:trPr>
        <w:tc>
          <w:tcPr>
            <w:tcW w:w="885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0D65BD2" w14:textId="77777777" w:rsidR="00C12FB7" w:rsidRPr="00E03C4F" w:rsidRDefault="00C12FB7" w:rsidP="002146DD">
            <w:pPr>
              <w:spacing w:before="160" w:after="0" w:line="240" w:lineRule="auto"/>
              <w:rPr>
                <w:rFonts w:ascii="Arial" w:eastAsia="Arial" w:hAnsi="Arial" w:cs="Arial"/>
                <w:color w:val="000000"/>
                <w:sz w:val="24"/>
                <w:szCs w:val="24"/>
                <w:u w:color="000000"/>
                <w:lang w:val="en-GB" w:eastAsia="en-GB"/>
              </w:rPr>
            </w:pPr>
            <w:r w:rsidRPr="00E03C4F">
              <w:rPr>
                <w:rFonts w:ascii="Arial" w:eastAsia="Arial Unicode MS" w:hAnsi="Arial" w:cs="Arial Unicode MS"/>
                <w:color w:val="000000"/>
                <w:sz w:val="24"/>
                <w:szCs w:val="24"/>
                <w:u w:color="000000"/>
                <w:lang w:eastAsia="en-GB"/>
              </w:rPr>
              <w:t>If your module has multiple submissions please indicate which piece of work this is.</w:t>
            </w:r>
          </w:p>
          <w:p w14:paraId="4A8D5EE1" w14:textId="77777777" w:rsidR="00C12FB7" w:rsidRPr="00E03C4F" w:rsidRDefault="00C12FB7" w:rsidP="002146DD">
            <w:pPr>
              <w:spacing w:before="160" w:after="0" w:line="240" w:lineRule="auto"/>
              <w:rPr>
                <w:rFonts w:ascii="Arial" w:eastAsia="Arial" w:hAnsi="Arial" w:cs="Arial"/>
                <w:color w:val="000000"/>
                <w:sz w:val="24"/>
                <w:szCs w:val="24"/>
                <w:u w:color="000000"/>
                <w:lang w:eastAsia="en-GB"/>
              </w:rPr>
            </w:pPr>
          </w:p>
          <w:p w14:paraId="2C7DC48B" w14:textId="77777777" w:rsidR="00C12FB7" w:rsidRPr="00E03C4F" w:rsidRDefault="00C12FB7" w:rsidP="002146DD">
            <w:pPr>
              <w:spacing w:before="160" w:after="0" w:line="240" w:lineRule="auto"/>
              <w:rPr>
                <w:rFonts w:ascii="Arial" w:eastAsia="Arial Unicode MS" w:hAnsi="Arial" w:cs="Arial Unicode MS"/>
                <w:color w:val="000000"/>
                <w:sz w:val="24"/>
                <w:szCs w:val="24"/>
                <w:u w:color="000000"/>
                <w:lang w:eastAsia="en-GB"/>
              </w:rPr>
            </w:pPr>
            <w:sdt>
              <w:sdtPr>
                <w:rPr>
                  <w:rFonts w:ascii="Arial" w:eastAsia="Arial Unicode MS" w:hAnsi="Arial" w:cs="Arial Unicode MS"/>
                  <w:b/>
                  <w:bCs/>
                  <w:color w:val="000000"/>
                  <w:sz w:val="24"/>
                  <w:szCs w:val="24"/>
                  <w:u w:color="000000"/>
                  <w:lang w:eastAsia="en-GB"/>
                </w:rPr>
                <w:id w:val="508263513"/>
                <w14:checkbox>
                  <w14:checked w14:val="1"/>
                  <w14:checkedState w14:val="2612" w14:font="MS Gothic"/>
                  <w14:uncheckedState w14:val="2610" w14:font="MS Gothic"/>
                </w14:checkbox>
              </w:sdtPr>
              <w:sdtContent>
                <w:r>
                  <w:rPr>
                    <w:rFonts w:ascii="MS Gothic" w:eastAsia="MS Gothic" w:hAnsi="MS Gothic" w:cs="Arial Unicode MS" w:hint="eastAsia"/>
                    <w:b/>
                    <w:bCs/>
                    <w:color w:val="000000"/>
                    <w:sz w:val="24"/>
                    <w:szCs w:val="24"/>
                    <w:u w:color="000000"/>
                    <w:lang w:eastAsia="en-GB"/>
                  </w:rPr>
                  <w:t>☒</w:t>
                </w:r>
              </w:sdtContent>
            </w:sdt>
            <w:r w:rsidRPr="00E03C4F">
              <w:rPr>
                <w:rFonts w:ascii="Arial" w:eastAsia="Arial Unicode MS" w:hAnsi="Arial" w:cs="Arial Unicode MS"/>
                <w:b/>
                <w:bCs/>
                <w:color w:val="000000"/>
                <w:sz w:val="24"/>
                <w:szCs w:val="24"/>
                <w:u w:color="000000"/>
                <w:lang w:eastAsia="en-GB"/>
              </w:rPr>
              <w:t>1</w:t>
            </w:r>
            <w:r w:rsidRPr="00E03C4F">
              <w:rPr>
                <w:rFonts w:ascii="Arial" w:eastAsia="Arial Unicode MS" w:hAnsi="Arial" w:cs="Arial Unicode MS"/>
                <w:b/>
                <w:bCs/>
                <w:color w:val="000000"/>
                <w:sz w:val="24"/>
                <w:szCs w:val="24"/>
                <w:u w:color="000000"/>
                <w:vertAlign w:val="superscript"/>
                <w:lang w:eastAsia="en-GB"/>
              </w:rPr>
              <w:t xml:space="preserve">st </w:t>
            </w:r>
            <w:r w:rsidRPr="00E03C4F">
              <w:rPr>
                <w:rFonts w:ascii="Arial" w:eastAsia="Arial Unicode MS" w:hAnsi="Arial" w:cs="Arial Unicode MS"/>
                <w:color w:val="000000"/>
                <w:sz w:val="24"/>
                <w:szCs w:val="24"/>
                <w:u w:color="000000"/>
                <w:lang w:eastAsia="en-GB"/>
              </w:rPr>
              <w:t xml:space="preserve">    2</w:t>
            </w:r>
            <w:r w:rsidRPr="00E03C4F">
              <w:rPr>
                <w:rFonts w:ascii="Arial" w:eastAsia="Arial Unicode MS" w:hAnsi="Arial" w:cs="Arial Unicode MS"/>
                <w:color w:val="000000"/>
                <w:sz w:val="24"/>
                <w:szCs w:val="24"/>
                <w:u w:color="000000"/>
                <w:vertAlign w:val="superscript"/>
                <w:lang w:eastAsia="en-GB"/>
              </w:rPr>
              <w:t>nd</w:t>
            </w:r>
            <w:r w:rsidRPr="00E03C4F">
              <w:rPr>
                <w:rFonts w:ascii="Arial" w:eastAsia="Arial Unicode MS" w:hAnsi="Arial" w:cs="Arial Unicode MS"/>
                <w:color w:val="000000"/>
                <w:sz w:val="24"/>
                <w:szCs w:val="24"/>
                <w:u w:color="000000"/>
                <w:lang w:eastAsia="en-GB"/>
              </w:rPr>
              <w:t xml:space="preserve">       3</w:t>
            </w:r>
            <w:r w:rsidRPr="00E03C4F">
              <w:rPr>
                <w:rFonts w:ascii="Arial" w:eastAsia="Arial Unicode MS" w:hAnsi="Arial" w:cs="Arial Unicode MS"/>
                <w:color w:val="000000"/>
                <w:sz w:val="24"/>
                <w:szCs w:val="24"/>
                <w:u w:color="000000"/>
                <w:vertAlign w:val="superscript"/>
                <w:lang w:eastAsia="en-GB"/>
              </w:rPr>
              <w:t>rd</w:t>
            </w:r>
            <w:r w:rsidRPr="00E03C4F">
              <w:rPr>
                <w:rFonts w:ascii="Arial" w:eastAsia="Arial Unicode MS" w:hAnsi="Arial" w:cs="Arial Unicode MS"/>
                <w:color w:val="000000"/>
                <w:sz w:val="24"/>
                <w:szCs w:val="24"/>
                <w:u w:color="000000"/>
                <w:lang w:eastAsia="en-GB"/>
              </w:rPr>
              <w:t xml:space="preserve">        4</w:t>
            </w:r>
            <w:r w:rsidRPr="00E03C4F">
              <w:rPr>
                <w:rFonts w:ascii="Arial" w:eastAsia="Arial Unicode MS" w:hAnsi="Arial" w:cs="Arial Unicode MS"/>
                <w:color w:val="000000"/>
                <w:sz w:val="24"/>
                <w:szCs w:val="24"/>
                <w:u w:color="000000"/>
                <w:vertAlign w:val="superscript"/>
                <w:lang w:eastAsia="en-GB"/>
              </w:rPr>
              <w:t>th</w:t>
            </w:r>
            <w:r w:rsidRPr="00E03C4F">
              <w:rPr>
                <w:rFonts w:ascii="Arial" w:eastAsia="Arial Unicode MS" w:hAnsi="Arial" w:cs="Arial Unicode MS"/>
                <w:color w:val="000000"/>
                <w:sz w:val="24"/>
                <w:szCs w:val="24"/>
                <w:u w:color="000000"/>
                <w:lang w:eastAsia="en-GB"/>
              </w:rPr>
              <w:t xml:space="preserve">       5</w:t>
            </w:r>
            <w:r w:rsidRPr="00E03C4F">
              <w:rPr>
                <w:rFonts w:ascii="Arial" w:eastAsia="Arial Unicode MS" w:hAnsi="Arial" w:cs="Arial Unicode MS"/>
                <w:color w:val="000000"/>
                <w:sz w:val="24"/>
                <w:szCs w:val="24"/>
                <w:u w:color="000000"/>
                <w:vertAlign w:val="superscript"/>
                <w:lang w:eastAsia="en-GB"/>
              </w:rPr>
              <w:t>th</w:t>
            </w:r>
            <w:r w:rsidRPr="00E03C4F">
              <w:rPr>
                <w:rFonts w:ascii="Arial" w:eastAsia="Arial Unicode MS" w:hAnsi="Arial" w:cs="Arial Unicode MS"/>
                <w:color w:val="000000"/>
                <w:sz w:val="24"/>
                <w:szCs w:val="24"/>
                <w:u w:color="000000"/>
                <w:lang w:eastAsia="en-GB"/>
              </w:rPr>
              <w:t xml:space="preserve">       6</w:t>
            </w:r>
            <w:r w:rsidRPr="00E03C4F">
              <w:rPr>
                <w:rFonts w:ascii="Arial" w:eastAsia="Arial Unicode MS" w:hAnsi="Arial" w:cs="Arial Unicode MS"/>
                <w:color w:val="000000"/>
                <w:sz w:val="24"/>
                <w:szCs w:val="24"/>
                <w:u w:color="000000"/>
                <w:vertAlign w:val="superscript"/>
                <w:lang w:eastAsia="en-GB"/>
              </w:rPr>
              <w:t>th</w:t>
            </w:r>
            <w:r w:rsidRPr="00E03C4F">
              <w:rPr>
                <w:rFonts w:ascii="Arial" w:eastAsia="Arial Unicode MS" w:hAnsi="Arial" w:cs="Arial Unicode MS"/>
                <w:color w:val="000000"/>
                <w:sz w:val="24"/>
                <w:szCs w:val="24"/>
                <w:u w:color="000000"/>
                <w:lang w:eastAsia="en-GB"/>
              </w:rPr>
              <w:t xml:space="preserve"> </w:t>
            </w:r>
          </w:p>
        </w:tc>
      </w:tr>
      <w:tr w:rsidR="00C12FB7" w:rsidRPr="00E03C4F" w14:paraId="1B0B1AB8" w14:textId="77777777" w:rsidTr="002146DD">
        <w:trPr>
          <w:cantSplit/>
          <w:trHeight w:val="1537"/>
          <w:jc w:val="center"/>
        </w:trPr>
        <w:tc>
          <w:tcPr>
            <w:tcW w:w="8856" w:type="dxa"/>
            <w:gridSpan w:val="5"/>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114" w:type="dxa"/>
            </w:tcMar>
          </w:tcPr>
          <w:p w14:paraId="76138329" w14:textId="77777777" w:rsidR="00C12FB7" w:rsidRPr="00E03C4F" w:rsidRDefault="00C12FB7" w:rsidP="002146DD">
            <w:pPr>
              <w:spacing w:after="0" w:line="240" w:lineRule="auto"/>
              <w:ind w:right="34"/>
              <w:rPr>
                <w:rFonts w:ascii="Arial" w:eastAsia="Arial" w:hAnsi="Arial" w:cs="Arial"/>
                <w:color w:val="000000"/>
                <w:u w:color="000000"/>
              </w:rPr>
            </w:pPr>
            <w:r w:rsidRPr="00E03C4F">
              <w:rPr>
                <w:rFonts w:ascii="Arial" w:eastAsia="Arial Unicode MS" w:hAnsi="Arial" w:cs="Arial Unicode MS"/>
                <w:color w:val="000000"/>
                <w:u w:color="000000"/>
              </w:rPr>
              <w:t>I confirm that this is my original work and that I have adhered to the University policy on plagiarism.</w:t>
            </w:r>
          </w:p>
          <w:p w14:paraId="659BA4B8" w14:textId="77777777" w:rsidR="00C12FB7" w:rsidRPr="00E03C4F" w:rsidRDefault="00C12FB7" w:rsidP="002146DD">
            <w:pPr>
              <w:spacing w:after="0" w:line="240" w:lineRule="auto"/>
              <w:ind w:right="34"/>
              <w:rPr>
                <w:rFonts w:ascii="Arial" w:eastAsia="Arial" w:hAnsi="Arial" w:cs="Arial"/>
                <w:color w:val="000000"/>
                <w:u w:color="000000"/>
              </w:rPr>
            </w:pPr>
            <w:r w:rsidRPr="00E03C4F">
              <w:rPr>
                <w:rFonts w:ascii="Arial" w:eastAsia="Arial Unicode MS" w:hAnsi="Arial" w:cs="Arial Unicode MS"/>
                <w:color w:val="000000"/>
                <w:u w:color="000000"/>
              </w:rPr>
              <w:t>Signed (type your name in)……</w:t>
            </w:r>
            <w:r>
              <w:rPr>
                <w:rFonts w:ascii="Arial" w:eastAsia="Arial Unicode MS" w:hAnsi="Arial" w:cs="Arial Unicode MS"/>
                <w:color w:val="000000"/>
                <w:u w:color="000000"/>
              </w:rPr>
              <w:t>Kimberly Corrall</w:t>
            </w:r>
            <w:r w:rsidRPr="00E03C4F">
              <w:rPr>
                <w:rFonts w:ascii="Arial" w:eastAsia="Arial Unicode MS" w:hAnsi="Arial" w:cs="Arial Unicode MS"/>
                <w:color w:val="000000"/>
                <w:u w:color="000000"/>
              </w:rPr>
              <w:t>……………………………………………</w:t>
            </w:r>
          </w:p>
          <w:p w14:paraId="1F0B052E" w14:textId="77777777" w:rsidR="00C12FB7" w:rsidRPr="00E03C4F" w:rsidRDefault="00C12FB7" w:rsidP="002146DD">
            <w:pPr>
              <w:spacing w:after="0" w:line="240" w:lineRule="auto"/>
              <w:ind w:right="34"/>
              <w:rPr>
                <w:rFonts w:ascii="Calibri" w:eastAsia="Calibri" w:hAnsi="Calibri" w:cs="Calibri"/>
                <w:b/>
                <w:bCs/>
                <w:color w:val="000000"/>
                <w:sz w:val="44"/>
                <w:szCs w:val="44"/>
                <w:u w:color="000000"/>
              </w:rPr>
            </w:pPr>
            <w:r w:rsidRPr="00E03C4F">
              <w:rPr>
                <w:rFonts w:ascii="Calibri" w:eastAsia="Arial Unicode MS" w:hAnsi="Calibri" w:cs="Arial Unicode MS"/>
                <w:b/>
                <w:bCs/>
                <w:color w:val="000000"/>
                <w:sz w:val="24"/>
                <w:szCs w:val="24"/>
                <w:u w:color="000000"/>
              </w:rPr>
              <w:t xml:space="preserve">Email submission: if you are submitting this form via email, please tick this box </w:t>
            </w:r>
            <w:sdt>
              <w:sdtPr>
                <w:rPr>
                  <w:rFonts w:ascii="Calibri" w:eastAsia="Arial Unicode MS" w:hAnsi="Calibri" w:cs="Arial Unicode MS"/>
                  <w:b/>
                  <w:bCs/>
                  <w:color w:val="000000"/>
                  <w:sz w:val="24"/>
                  <w:szCs w:val="24"/>
                  <w:u w:color="000000"/>
                </w:rPr>
                <w:id w:val="-1968191579"/>
                <w14:checkbox>
                  <w14:checked w14:val="1"/>
                  <w14:checkedState w14:val="2612" w14:font="MS Gothic"/>
                  <w14:uncheckedState w14:val="2610" w14:font="MS Gothic"/>
                </w14:checkbox>
              </w:sdtPr>
              <w:sdtContent>
                <w:r w:rsidRPr="00B3290C">
                  <w:rPr>
                    <w:rFonts w:ascii="MS Gothic" w:eastAsia="MS Gothic" w:hAnsi="MS Gothic" w:cs="Arial Unicode MS" w:hint="eastAsia"/>
                    <w:b/>
                    <w:bCs/>
                    <w:color w:val="000000"/>
                    <w:sz w:val="24"/>
                    <w:szCs w:val="24"/>
                    <w:u w:color="000000"/>
                  </w:rPr>
                  <w:t>☒</w:t>
                </w:r>
              </w:sdtContent>
            </w:sdt>
          </w:p>
          <w:p w14:paraId="04D2837E" w14:textId="77777777" w:rsidR="00C12FB7" w:rsidRPr="00E03C4F" w:rsidRDefault="00C12FB7" w:rsidP="002146DD">
            <w:pPr>
              <w:spacing w:after="0" w:line="240" w:lineRule="auto"/>
              <w:ind w:right="34"/>
              <w:rPr>
                <w:rFonts w:ascii="Times New Roman" w:eastAsia="Times New Roman" w:hAnsi="Times New Roman" w:cs="Times New Roman"/>
                <w:sz w:val="24"/>
                <w:szCs w:val="24"/>
              </w:rPr>
            </w:pPr>
            <w:r w:rsidRPr="00E03C4F">
              <w:rPr>
                <w:rFonts w:ascii="Calibri" w:eastAsia="Arial Unicode MS" w:hAnsi="Calibri" w:cs="Arial Unicode MS"/>
                <w:b/>
                <w:bCs/>
                <w:color w:val="000000"/>
                <w:sz w:val="24"/>
                <w:szCs w:val="24"/>
                <w:u w:color="000000"/>
              </w:rPr>
              <w:t>(as a substitute for your signature) to confirm that you agree to the above declaration.</w:t>
            </w:r>
          </w:p>
        </w:tc>
      </w:tr>
      <w:tr w:rsidR="00C12FB7" w:rsidRPr="00E03C4F" w14:paraId="667D1435" w14:textId="77777777" w:rsidTr="002146DD">
        <w:trPr>
          <w:cantSplit/>
          <w:trHeight w:val="3812"/>
          <w:jc w:val="center"/>
        </w:trPr>
        <w:tc>
          <w:tcPr>
            <w:tcW w:w="885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40CC330" w14:textId="77777777" w:rsidR="00C12FB7" w:rsidRPr="00E03C4F" w:rsidRDefault="00C12FB7" w:rsidP="002146DD">
            <w:pPr>
              <w:spacing w:before="160" w:after="0" w:line="240" w:lineRule="auto"/>
              <w:rPr>
                <w:rFonts w:ascii="Arial" w:eastAsia="Arial" w:hAnsi="Arial" w:cs="Arial"/>
                <w:b/>
                <w:bCs/>
                <w:color w:val="000000"/>
                <w:sz w:val="24"/>
                <w:szCs w:val="24"/>
                <w:u w:color="000000"/>
                <w:lang w:eastAsia="en-GB"/>
              </w:rPr>
            </w:pPr>
          </w:p>
          <w:p w14:paraId="48A8C0B5" w14:textId="77777777" w:rsidR="00C12FB7" w:rsidRPr="00E03C4F" w:rsidRDefault="00C12FB7" w:rsidP="002146DD">
            <w:pPr>
              <w:spacing w:before="160" w:after="0" w:line="240" w:lineRule="auto"/>
              <w:rPr>
                <w:rFonts w:ascii="Arial" w:eastAsia="Arial" w:hAnsi="Arial" w:cs="Arial"/>
                <w:b/>
                <w:bCs/>
                <w:color w:val="000000"/>
                <w:sz w:val="24"/>
                <w:szCs w:val="24"/>
                <w:u w:color="000000"/>
                <w:lang w:val="en-GB" w:eastAsia="en-GB"/>
              </w:rPr>
            </w:pPr>
            <w:r w:rsidRPr="00E03C4F">
              <w:rPr>
                <w:rFonts w:ascii="Arial" w:eastAsia="Arial Unicode MS" w:hAnsi="Arial" w:cs="Arial Unicode MS"/>
                <w:b/>
                <w:bCs/>
                <w:color w:val="000000"/>
                <w:sz w:val="24"/>
                <w:szCs w:val="24"/>
                <w:u w:color="000000"/>
                <w:lang w:eastAsia="en-GB"/>
              </w:rPr>
              <w:t>Assignment Mark</w:t>
            </w:r>
          </w:p>
          <w:p w14:paraId="0CF5C968" w14:textId="77777777" w:rsidR="00C12FB7" w:rsidRPr="00E03C4F" w:rsidRDefault="00C12FB7" w:rsidP="002146DD">
            <w:pPr>
              <w:spacing w:before="160" w:after="0" w:line="240" w:lineRule="auto"/>
              <w:rPr>
                <w:rFonts w:ascii="Arial" w:eastAsia="Arial" w:hAnsi="Arial" w:cs="Arial"/>
                <w:color w:val="000000"/>
                <w:sz w:val="20"/>
                <w:szCs w:val="20"/>
                <w:u w:color="000000"/>
                <w:lang w:eastAsia="en-GB"/>
              </w:rPr>
            </w:pPr>
          </w:p>
          <w:p w14:paraId="4C3C529A" w14:textId="77777777" w:rsidR="00C12FB7" w:rsidRPr="00E03C4F" w:rsidRDefault="00C12FB7" w:rsidP="002146DD">
            <w:pPr>
              <w:spacing w:before="160" w:after="0" w:line="240" w:lineRule="auto"/>
              <w:rPr>
                <w:rFonts w:ascii="Arial" w:eastAsia="Arial" w:hAnsi="Arial" w:cs="Arial"/>
                <w:b/>
                <w:bCs/>
                <w:color w:val="000000"/>
                <w:sz w:val="20"/>
                <w:szCs w:val="20"/>
                <w:u w:color="000000"/>
                <w:lang w:val="en-GB" w:eastAsia="en-GB"/>
              </w:rPr>
            </w:pPr>
            <w:r w:rsidRPr="00E03C4F">
              <w:rPr>
                <w:rFonts w:ascii="Arial" w:eastAsia="Arial Unicode MS" w:hAnsi="Arial" w:cs="Arial Unicode MS"/>
                <w:b/>
                <w:bCs/>
                <w:color w:val="000000"/>
                <w:sz w:val="20"/>
                <w:szCs w:val="20"/>
                <w:u w:color="000000"/>
                <w:lang w:eastAsia="en-GB"/>
              </w:rPr>
              <w:t>Final Mark</w:t>
            </w:r>
          </w:p>
          <w:p w14:paraId="4139C426" w14:textId="77777777" w:rsidR="00C12FB7" w:rsidRPr="00E03C4F" w:rsidRDefault="00C12FB7" w:rsidP="002146DD">
            <w:pPr>
              <w:spacing w:before="160" w:after="0" w:line="240" w:lineRule="auto"/>
              <w:rPr>
                <w:rFonts w:ascii="Arial" w:eastAsia="Arial" w:hAnsi="Arial" w:cs="Arial"/>
                <w:color w:val="000000"/>
                <w:sz w:val="20"/>
                <w:szCs w:val="20"/>
                <w:u w:color="000000"/>
                <w:lang w:eastAsia="en-GB"/>
              </w:rPr>
            </w:pPr>
            <w:r w:rsidRPr="00E03C4F">
              <w:rPr>
                <w:rFonts w:ascii="Arial" w:eastAsia="Arial" w:hAnsi="Arial" w:cs="Arial"/>
                <w:b/>
                <w:bCs/>
                <w:color w:val="000000"/>
                <w:sz w:val="20"/>
                <w:szCs w:val="20"/>
                <w:u w:color="000000"/>
                <w:lang w:val="en-GB" w:eastAsia="en-GB"/>
              </w:rPr>
              <w:tab/>
            </w:r>
            <w:r w:rsidRPr="00E03C4F">
              <w:rPr>
                <w:rFonts w:ascii="Arial" w:eastAsia="Arial Unicode MS" w:hAnsi="Arial" w:cs="Arial Unicode MS"/>
                <w:color w:val="000000"/>
                <w:sz w:val="20"/>
                <w:szCs w:val="20"/>
                <w:u w:color="000000"/>
                <w:lang w:eastAsia="en-GB"/>
              </w:rPr>
              <w:t>WILL BE GIVEN ON TURNITIN</w:t>
            </w:r>
          </w:p>
          <w:p w14:paraId="6026B65A" w14:textId="77777777" w:rsidR="00C12FB7" w:rsidRPr="00E03C4F" w:rsidRDefault="00C12FB7" w:rsidP="002146DD">
            <w:pPr>
              <w:spacing w:after="0" w:line="240" w:lineRule="auto"/>
              <w:ind w:left="142" w:right="34"/>
              <w:rPr>
                <w:rFonts w:ascii="Arial" w:eastAsia="Arial" w:hAnsi="Arial" w:cs="Arial"/>
                <w:b/>
                <w:bCs/>
                <w:color w:val="000000"/>
                <w:u w:color="000000"/>
              </w:rPr>
            </w:pPr>
          </w:p>
          <w:p w14:paraId="482E7EA6" w14:textId="77777777" w:rsidR="00C12FB7" w:rsidRPr="00E03C4F" w:rsidRDefault="00C12FB7" w:rsidP="002146DD">
            <w:pPr>
              <w:spacing w:after="0" w:line="240" w:lineRule="auto"/>
              <w:ind w:left="142" w:right="34"/>
              <w:rPr>
                <w:rFonts w:ascii="Arial" w:eastAsia="Arial" w:hAnsi="Arial" w:cs="Arial"/>
                <w:color w:val="000000"/>
                <w:u w:color="000000"/>
              </w:rPr>
            </w:pPr>
            <w:r w:rsidRPr="00E03C4F">
              <w:rPr>
                <w:rFonts w:ascii="Arial" w:eastAsia="Arial Unicode MS" w:hAnsi="Arial" w:cs="Arial Unicode MS"/>
                <w:b/>
                <w:bCs/>
                <w:color w:val="000000"/>
                <w:u w:color="000000"/>
              </w:rPr>
              <w:t>NB.</w:t>
            </w:r>
            <w:r w:rsidRPr="00E03C4F">
              <w:rPr>
                <w:rFonts w:ascii="Arial" w:eastAsia="Arial Unicode MS" w:hAnsi="Arial" w:cs="Arial Unicode MS"/>
                <w:color w:val="000000"/>
                <w:u w:color="000000"/>
              </w:rPr>
              <w:t xml:space="preserve">  All marks are provisional until confirmed by the Final Examination Board.</w:t>
            </w:r>
          </w:p>
          <w:p w14:paraId="3ABD8BFC" w14:textId="77777777" w:rsidR="00C12FB7" w:rsidRPr="00E03C4F" w:rsidRDefault="00C12FB7" w:rsidP="002146DD">
            <w:pPr>
              <w:spacing w:after="0" w:line="240" w:lineRule="auto"/>
              <w:rPr>
                <w:rFonts w:ascii="Arial" w:eastAsia="Arial" w:hAnsi="Arial" w:cs="Arial"/>
                <w:b/>
                <w:bCs/>
                <w:color w:val="000000"/>
                <w:u w:color="000000"/>
              </w:rPr>
            </w:pPr>
          </w:p>
          <w:p w14:paraId="14B008AF" w14:textId="77777777" w:rsidR="00C12FB7" w:rsidRPr="00E03C4F" w:rsidRDefault="00C12FB7" w:rsidP="002146DD">
            <w:pPr>
              <w:spacing w:after="0" w:line="240" w:lineRule="auto"/>
              <w:rPr>
                <w:rFonts w:ascii="Arial" w:eastAsia="Arial" w:hAnsi="Arial" w:cs="Arial"/>
                <w:b/>
                <w:bCs/>
                <w:color w:val="000000"/>
                <w:u w:color="000000"/>
              </w:rPr>
            </w:pPr>
            <w:r w:rsidRPr="00E03C4F">
              <w:rPr>
                <w:rFonts w:ascii="Arial" w:eastAsia="Arial Unicode MS" w:hAnsi="Arial" w:cs="Arial Unicode MS"/>
                <w:b/>
                <w:bCs/>
                <w:color w:val="000000"/>
                <w:u w:color="000000"/>
              </w:rPr>
              <w:t>PLEASE NOTE: ALL COMMENTS WILL BE POSTED ON TURNITIN</w:t>
            </w:r>
          </w:p>
          <w:p w14:paraId="4049D5A6" w14:textId="77777777" w:rsidR="00C12FB7" w:rsidRPr="00E03C4F" w:rsidRDefault="00C12FB7" w:rsidP="002146DD">
            <w:pPr>
              <w:spacing w:after="0" w:line="240" w:lineRule="auto"/>
              <w:rPr>
                <w:rFonts w:ascii="Arial" w:eastAsia="Arial" w:hAnsi="Arial" w:cs="Arial"/>
                <w:b/>
                <w:bCs/>
                <w:color w:val="000000"/>
                <w:u w:color="000000"/>
              </w:rPr>
            </w:pPr>
          </w:p>
          <w:p w14:paraId="6B96245C" w14:textId="77777777" w:rsidR="00C12FB7" w:rsidRPr="00E03C4F" w:rsidRDefault="00C12FB7" w:rsidP="002146DD">
            <w:pPr>
              <w:spacing w:after="0" w:line="240" w:lineRule="auto"/>
              <w:rPr>
                <w:rFonts w:ascii="Arial" w:eastAsia="Arial" w:hAnsi="Arial" w:cs="Arial"/>
                <w:b/>
                <w:bCs/>
                <w:color w:val="000000"/>
                <w:u w:color="000000"/>
              </w:rPr>
            </w:pPr>
          </w:p>
          <w:p w14:paraId="79FDBC34" w14:textId="77777777" w:rsidR="00C12FB7" w:rsidRPr="00E03C4F" w:rsidRDefault="00C12FB7" w:rsidP="002146DD">
            <w:pPr>
              <w:spacing w:after="0" w:line="240" w:lineRule="auto"/>
              <w:rPr>
                <w:rFonts w:ascii="Arial" w:eastAsia="Arial" w:hAnsi="Arial" w:cs="Arial"/>
                <w:b/>
                <w:bCs/>
                <w:color w:val="000000"/>
                <w:u w:color="000000"/>
              </w:rPr>
            </w:pPr>
            <w:r w:rsidRPr="00E03C4F">
              <w:rPr>
                <w:rFonts w:ascii="Arial" w:eastAsia="Arial Unicode MS" w:hAnsi="Arial" w:cs="Arial Unicode MS"/>
                <w:b/>
                <w:bCs/>
                <w:color w:val="000000"/>
                <w:u w:color="000000"/>
              </w:rPr>
              <w:t>For completion by Marker 1 :</w:t>
            </w:r>
          </w:p>
          <w:p w14:paraId="162A0E8E" w14:textId="77777777" w:rsidR="00C12FB7" w:rsidRPr="00E03C4F" w:rsidRDefault="00C12FB7" w:rsidP="002146DD">
            <w:pPr>
              <w:spacing w:before="100" w:after="100" w:line="240" w:lineRule="auto"/>
              <w:rPr>
                <w:rFonts w:ascii="Times New Roman" w:eastAsia="Times New Roman" w:hAnsi="Times New Roman" w:cs="Times New Roman"/>
                <w:sz w:val="24"/>
                <w:szCs w:val="24"/>
              </w:rPr>
            </w:pPr>
            <w:r w:rsidRPr="00E03C4F">
              <w:rPr>
                <w:rFonts w:ascii="Arial" w:eastAsia="Arial Unicode MS" w:hAnsi="Arial" w:cs="Arial Unicode MS"/>
                <w:color w:val="000000"/>
                <w:u w:color="000000"/>
              </w:rPr>
              <w:t>Comments:</w:t>
            </w:r>
          </w:p>
        </w:tc>
      </w:tr>
      <w:tr w:rsidR="00C12FB7" w:rsidRPr="00E03C4F" w14:paraId="66A8396D" w14:textId="77777777" w:rsidTr="002146DD">
        <w:trPr>
          <w:cantSplit/>
          <w:trHeight w:val="332"/>
          <w:jc w:val="center"/>
        </w:trPr>
        <w:tc>
          <w:tcPr>
            <w:tcW w:w="6768"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222" w:type="dxa"/>
              <w:bottom w:w="80" w:type="dxa"/>
              <w:right w:w="114" w:type="dxa"/>
            </w:tcMar>
          </w:tcPr>
          <w:p w14:paraId="677D1F0D" w14:textId="77777777" w:rsidR="00C12FB7" w:rsidRPr="00E03C4F" w:rsidRDefault="00C12FB7" w:rsidP="002146DD">
            <w:pPr>
              <w:spacing w:before="100" w:after="100" w:line="240" w:lineRule="auto"/>
              <w:ind w:left="142" w:right="34"/>
              <w:rPr>
                <w:rFonts w:ascii="Times New Roman" w:eastAsia="Times New Roman" w:hAnsi="Times New Roman" w:cs="Times New Roman"/>
                <w:sz w:val="24"/>
                <w:szCs w:val="24"/>
              </w:rPr>
            </w:pPr>
            <w:r w:rsidRPr="00E03C4F">
              <w:rPr>
                <w:rFonts w:ascii="Arial" w:eastAsia="Arial Unicode MS" w:hAnsi="Arial" w:cs="Arial Unicode MS"/>
                <w:color w:val="000000"/>
                <w:u w:color="000000"/>
              </w:rPr>
              <w:t>Marker’s signature:</w:t>
            </w:r>
          </w:p>
        </w:tc>
        <w:tc>
          <w:tcPr>
            <w:tcW w:w="2088"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222" w:type="dxa"/>
              <w:bottom w:w="80" w:type="dxa"/>
              <w:right w:w="114" w:type="dxa"/>
            </w:tcMar>
          </w:tcPr>
          <w:p w14:paraId="461D21D8" w14:textId="77777777" w:rsidR="00C12FB7" w:rsidRPr="00E03C4F" w:rsidRDefault="00C12FB7" w:rsidP="002146DD">
            <w:pPr>
              <w:spacing w:before="100" w:after="100" w:line="240" w:lineRule="auto"/>
              <w:ind w:left="142" w:right="34"/>
              <w:rPr>
                <w:rFonts w:ascii="Times New Roman" w:eastAsia="Times New Roman" w:hAnsi="Times New Roman" w:cs="Times New Roman"/>
                <w:sz w:val="24"/>
                <w:szCs w:val="24"/>
              </w:rPr>
            </w:pPr>
            <w:r w:rsidRPr="00E03C4F">
              <w:rPr>
                <w:rFonts w:ascii="Arial" w:eastAsia="Arial Unicode MS" w:hAnsi="Arial" w:cs="Arial Unicode MS"/>
                <w:color w:val="000000"/>
                <w:u w:color="000000"/>
              </w:rPr>
              <w:t>Date:</w:t>
            </w:r>
          </w:p>
        </w:tc>
      </w:tr>
      <w:tr w:rsidR="00C12FB7" w:rsidRPr="00E03C4F" w14:paraId="1D0E14A9" w14:textId="77777777" w:rsidTr="002146DD">
        <w:trPr>
          <w:cantSplit/>
          <w:trHeight w:val="1683"/>
          <w:jc w:val="center"/>
        </w:trPr>
        <w:tc>
          <w:tcPr>
            <w:tcW w:w="885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B00242" w14:textId="77777777" w:rsidR="00C12FB7" w:rsidRPr="00E03C4F" w:rsidRDefault="00C12FB7" w:rsidP="002146DD">
            <w:pPr>
              <w:spacing w:after="0" w:line="240" w:lineRule="auto"/>
              <w:rPr>
                <w:rFonts w:ascii="Arial" w:eastAsia="Arial" w:hAnsi="Arial" w:cs="Arial"/>
                <w:i/>
                <w:iCs/>
                <w:color w:val="000000"/>
                <w:u w:color="000000"/>
              </w:rPr>
            </w:pPr>
          </w:p>
          <w:p w14:paraId="21537AE4" w14:textId="77777777" w:rsidR="00C12FB7" w:rsidRPr="00E03C4F" w:rsidRDefault="00C12FB7" w:rsidP="002146DD">
            <w:pPr>
              <w:spacing w:after="0" w:line="240" w:lineRule="auto"/>
              <w:rPr>
                <w:rFonts w:ascii="Arial" w:eastAsia="Arial" w:hAnsi="Arial" w:cs="Arial"/>
                <w:b/>
                <w:bCs/>
                <w:color w:val="000000"/>
                <w:u w:color="000000"/>
              </w:rPr>
            </w:pPr>
            <w:r w:rsidRPr="00E03C4F">
              <w:rPr>
                <w:rFonts w:ascii="Arial" w:eastAsia="Arial Unicode MS" w:hAnsi="Arial" w:cs="Arial Unicode MS"/>
                <w:b/>
                <w:bCs/>
                <w:color w:val="000000"/>
                <w:u w:color="000000"/>
              </w:rPr>
              <w:t>For completion by Marker 2/Moderator:</w:t>
            </w:r>
          </w:p>
          <w:p w14:paraId="1A9E394C" w14:textId="77777777" w:rsidR="00C12FB7" w:rsidRPr="00E03C4F" w:rsidRDefault="00C12FB7" w:rsidP="002146DD">
            <w:pPr>
              <w:spacing w:after="0" w:line="240" w:lineRule="auto"/>
              <w:rPr>
                <w:rFonts w:ascii="Arial" w:eastAsia="Arial" w:hAnsi="Arial" w:cs="Arial"/>
                <w:b/>
                <w:bCs/>
                <w:color w:val="000000"/>
                <w:u w:color="000000"/>
              </w:rPr>
            </w:pPr>
          </w:p>
          <w:p w14:paraId="4308E27D" w14:textId="77777777" w:rsidR="00C12FB7" w:rsidRPr="00E03C4F" w:rsidRDefault="00C12FB7" w:rsidP="002146DD">
            <w:pPr>
              <w:spacing w:after="0" w:line="240" w:lineRule="auto"/>
              <w:rPr>
                <w:rFonts w:ascii="Arial" w:eastAsia="Arial" w:hAnsi="Arial" w:cs="Arial"/>
                <w:color w:val="000000"/>
                <w:u w:color="000000"/>
              </w:rPr>
            </w:pPr>
            <w:r w:rsidRPr="00E03C4F">
              <w:rPr>
                <w:rFonts w:ascii="Arial" w:eastAsia="Arial Unicode MS" w:hAnsi="Arial" w:cs="Arial Unicode MS"/>
                <w:color w:val="000000"/>
                <w:u w:color="000000"/>
              </w:rPr>
              <w:t>Comments:</w:t>
            </w:r>
          </w:p>
          <w:p w14:paraId="46E5B2FF" w14:textId="77777777" w:rsidR="00C12FB7" w:rsidRPr="00E03C4F" w:rsidRDefault="00C12FB7" w:rsidP="002146DD">
            <w:pPr>
              <w:spacing w:after="0" w:line="240" w:lineRule="auto"/>
              <w:rPr>
                <w:rFonts w:ascii="Arial" w:eastAsia="Arial" w:hAnsi="Arial" w:cs="Arial"/>
                <w:color w:val="000000"/>
                <w:u w:color="000000"/>
              </w:rPr>
            </w:pPr>
          </w:p>
          <w:p w14:paraId="7510B574" w14:textId="77777777" w:rsidR="00C12FB7" w:rsidRPr="00E03C4F" w:rsidRDefault="00C12FB7" w:rsidP="002146DD">
            <w:pPr>
              <w:spacing w:after="0" w:line="240" w:lineRule="auto"/>
              <w:rPr>
                <w:rFonts w:ascii="Times New Roman" w:eastAsia="Times New Roman" w:hAnsi="Times New Roman" w:cs="Times New Roman"/>
                <w:sz w:val="24"/>
                <w:szCs w:val="24"/>
              </w:rPr>
            </w:pPr>
          </w:p>
        </w:tc>
      </w:tr>
      <w:tr w:rsidR="00C12FB7" w:rsidRPr="00E03C4F" w14:paraId="1C71AE78" w14:textId="77777777" w:rsidTr="002146DD">
        <w:trPr>
          <w:cantSplit/>
          <w:trHeight w:val="560"/>
          <w:jc w:val="center"/>
        </w:trPr>
        <w:tc>
          <w:tcPr>
            <w:tcW w:w="5211"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03B5210" w14:textId="77777777" w:rsidR="00C12FB7" w:rsidRPr="00E03C4F" w:rsidRDefault="00C12FB7" w:rsidP="002146DD">
            <w:pPr>
              <w:spacing w:after="0" w:line="240" w:lineRule="auto"/>
              <w:rPr>
                <w:rFonts w:ascii="Times New Roman" w:eastAsia="Times New Roman" w:hAnsi="Times New Roman" w:cs="Times New Roman"/>
                <w:sz w:val="24"/>
                <w:szCs w:val="24"/>
              </w:rPr>
            </w:pPr>
            <w:r w:rsidRPr="00E03C4F">
              <w:rPr>
                <w:rFonts w:ascii="Arial" w:eastAsia="Arial Unicode MS" w:hAnsi="Arial" w:cs="Arial Unicode MS"/>
                <w:color w:val="000000"/>
                <w:u w:color="000000"/>
              </w:rPr>
              <w:t>Marker’s Signature:</w:t>
            </w:r>
          </w:p>
        </w:tc>
        <w:tc>
          <w:tcPr>
            <w:tcW w:w="3645"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EC81245" w14:textId="77777777" w:rsidR="00C12FB7" w:rsidRPr="00E03C4F" w:rsidRDefault="00C12FB7" w:rsidP="002146DD">
            <w:pPr>
              <w:spacing w:after="0" w:line="240" w:lineRule="auto"/>
              <w:rPr>
                <w:rFonts w:ascii="Times New Roman" w:eastAsia="Times New Roman" w:hAnsi="Times New Roman" w:cs="Times New Roman"/>
                <w:sz w:val="24"/>
                <w:szCs w:val="24"/>
              </w:rPr>
            </w:pPr>
            <w:r w:rsidRPr="00E03C4F">
              <w:rPr>
                <w:rFonts w:ascii="Arial" w:eastAsia="Arial Unicode MS" w:hAnsi="Arial" w:cs="Arial Unicode MS"/>
                <w:color w:val="000000"/>
                <w:u w:color="000000"/>
              </w:rPr>
              <w:t>Date:</w:t>
            </w:r>
          </w:p>
        </w:tc>
      </w:tr>
      <w:tr w:rsidR="00C12FB7" w:rsidRPr="00E03C4F" w14:paraId="1EBF5438" w14:textId="77777777" w:rsidTr="002146DD">
        <w:trPr>
          <w:cantSplit/>
          <w:trHeight w:val="2643"/>
          <w:jc w:val="center"/>
        </w:trPr>
        <w:tc>
          <w:tcPr>
            <w:tcW w:w="885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03EFD6C" w14:textId="77777777" w:rsidR="00C12FB7" w:rsidRPr="00E03C4F" w:rsidRDefault="00C12FB7" w:rsidP="002146DD">
            <w:pPr>
              <w:spacing w:before="160" w:after="0" w:line="240" w:lineRule="auto"/>
              <w:rPr>
                <w:rFonts w:ascii="Arial" w:eastAsia="Arial" w:hAnsi="Arial" w:cs="Arial"/>
                <w:b/>
                <w:bCs/>
                <w:color w:val="000000"/>
                <w:sz w:val="24"/>
                <w:szCs w:val="24"/>
                <w:u w:color="000000"/>
                <w:lang w:val="en-GB" w:eastAsia="en-GB"/>
              </w:rPr>
            </w:pPr>
            <w:r w:rsidRPr="00E03C4F">
              <w:rPr>
                <w:rFonts w:ascii="Arial" w:eastAsia="Arial Unicode MS" w:hAnsi="Arial" w:cs="Arial Unicode MS"/>
                <w:b/>
                <w:bCs/>
                <w:color w:val="000000"/>
                <w:sz w:val="24"/>
                <w:szCs w:val="24"/>
                <w:u w:color="000000"/>
                <w:lang w:eastAsia="en-GB"/>
              </w:rPr>
              <w:t>AGREED INTERNAL MARK (where necessary):</w:t>
            </w:r>
          </w:p>
          <w:p w14:paraId="1B8CEB2F" w14:textId="77777777" w:rsidR="00C12FB7" w:rsidRPr="00E03C4F" w:rsidRDefault="00C12FB7" w:rsidP="002146DD">
            <w:pPr>
              <w:spacing w:before="160" w:after="0" w:line="240" w:lineRule="auto"/>
              <w:rPr>
                <w:rFonts w:ascii="Arial" w:eastAsia="Arial" w:hAnsi="Arial" w:cs="Arial"/>
                <w:b/>
                <w:bCs/>
                <w:color w:val="000000"/>
                <w:sz w:val="24"/>
                <w:szCs w:val="24"/>
                <w:u w:color="000000"/>
                <w:lang w:eastAsia="en-GB"/>
              </w:rPr>
            </w:pPr>
          </w:p>
          <w:p w14:paraId="0827207A" w14:textId="77777777" w:rsidR="00C12FB7" w:rsidRPr="00E03C4F" w:rsidRDefault="00C12FB7" w:rsidP="002146DD">
            <w:pPr>
              <w:spacing w:before="160" w:after="0" w:line="240" w:lineRule="auto"/>
              <w:rPr>
                <w:rFonts w:ascii="Arial" w:eastAsia="Arial" w:hAnsi="Arial" w:cs="Arial"/>
                <w:b/>
                <w:bCs/>
                <w:color w:val="000000"/>
                <w:sz w:val="24"/>
                <w:szCs w:val="24"/>
                <w:u w:color="000000"/>
                <w:lang w:val="en-GB" w:eastAsia="en-GB"/>
              </w:rPr>
            </w:pPr>
            <w:r w:rsidRPr="00E03C4F">
              <w:rPr>
                <w:rFonts w:ascii="Arial" w:eastAsia="Arial Unicode MS" w:hAnsi="Arial" w:cs="Arial Unicode MS"/>
                <w:b/>
                <w:bCs/>
                <w:color w:val="000000"/>
                <w:sz w:val="24"/>
                <w:szCs w:val="24"/>
                <w:u w:color="000000"/>
                <w:lang w:eastAsia="en-GB"/>
              </w:rPr>
              <w:t>Comment on process of arriving at agreed mark:</w:t>
            </w:r>
          </w:p>
          <w:p w14:paraId="601596D9" w14:textId="77777777" w:rsidR="00C12FB7" w:rsidRPr="00E03C4F" w:rsidRDefault="00C12FB7" w:rsidP="002146DD">
            <w:pPr>
              <w:spacing w:before="160" w:after="0" w:line="240" w:lineRule="auto"/>
              <w:rPr>
                <w:rFonts w:ascii="Arial" w:eastAsia="Arial" w:hAnsi="Arial" w:cs="Arial"/>
                <w:b/>
                <w:bCs/>
                <w:color w:val="000000"/>
                <w:sz w:val="24"/>
                <w:szCs w:val="24"/>
                <w:u w:color="000000"/>
                <w:lang w:eastAsia="en-GB"/>
              </w:rPr>
            </w:pPr>
          </w:p>
          <w:p w14:paraId="3748FB51" w14:textId="77777777" w:rsidR="00C12FB7" w:rsidRPr="00E03C4F" w:rsidRDefault="00C12FB7" w:rsidP="002146DD">
            <w:pPr>
              <w:spacing w:before="160" w:after="0" w:line="240" w:lineRule="auto"/>
              <w:rPr>
                <w:rFonts w:ascii="Arial" w:eastAsia="Arial" w:hAnsi="Arial" w:cs="Arial"/>
                <w:b/>
                <w:bCs/>
                <w:color w:val="000000"/>
                <w:sz w:val="24"/>
                <w:szCs w:val="24"/>
                <w:u w:color="000000"/>
                <w:lang w:eastAsia="en-GB"/>
              </w:rPr>
            </w:pPr>
          </w:p>
          <w:p w14:paraId="05DE2F44" w14:textId="77777777" w:rsidR="00C12FB7" w:rsidRPr="00E03C4F" w:rsidRDefault="00C12FB7" w:rsidP="002146DD">
            <w:pPr>
              <w:spacing w:before="160" w:after="0" w:line="240" w:lineRule="auto"/>
              <w:rPr>
                <w:rFonts w:ascii="Arial" w:eastAsia="Arial" w:hAnsi="Arial" w:cs="Arial"/>
                <w:b/>
                <w:bCs/>
                <w:color w:val="000000"/>
                <w:sz w:val="24"/>
                <w:szCs w:val="24"/>
                <w:u w:color="000000"/>
                <w:lang w:eastAsia="en-GB"/>
              </w:rPr>
            </w:pPr>
          </w:p>
          <w:p w14:paraId="37C7F934" w14:textId="77777777" w:rsidR="00C12FB7" w:rsidRPr="00E03C4F" w:rsidRDefault="00C12FB7" w:rsidP="002146DD">
            <w:pPr>
              <w:spacing w:before="160" w:after="0" w:line="240" w:lineRule="auto"/>
              <w:rPr>
                <w:rFonts w:ascii="Arial" w:eastAsia="Arial" w:hAnsi="Arial" w:cs="Arial"/>
                <w:b/>
                <w:bCs/>
                <w:color w:val="000000"/>
                <w:sz w:val="24"/>
                <w:szCs w:val="24"/>
                <w:u w:color="000000"/>
                <w:lang w:eastAsia="en-GB"/>
              </w:rPr>
            </w:pPr>
          </w:p>
          <w:p w14:paraId="0DB00DE5" w14:textId="77777777" w:rsidR="00C12FB7" w:rsidRPr="00E03C4F" w:rsidRDefault="00C12FB7" w:rsidP="002146DD">
            <w:pPr>
              <w:spacing w:before="160" w:after="0" w:line="240" w:lineRule="auto"/>
              <w:rPr>
                <w:rFonts w:ascii="Arial" w:eastAsia="Arial" w:hAnsi="Arial" w:cs="Arial"/>
                <w:b/>
                <w:bCs/>
                <w:color w:val="000000"/>
                <w:sz w:val="24"/>
                <w:szCs w:val="24"/>
                <w:u w:color="000000"/>
                <w:lang w:eastAsia="en-GB"/>
              </w:rPr>
            </w:pPr>
          </w:p>
          <w:p w14:paraId="3611C10A" w14:textId="77777777" w:rsidR="00C12FB7" w:rsidRPr="00E03C4F" w:rsidRDefault="00C12FB7" w:rsidP="002146DD">
            <w:pPr>
              <w:spacing w:before="160" w:after="0" w:line="240" w:lineRule="auto"/>
              <w:rPr>
                <w:rFonts w:ascii="Arial" w:eastAsia="Arial" w:hAnsi="Arial" w:cs="Arial"/>
                <w:b/>
                <w:bCs/>
                <w:color w:val="000000"/>
                <w:sz w:val="24"/>
                <w:szCs w:val="24"/>
                <w:u w:color="000000"/>
                <w:lang w:eastAsia="en-GB"/>
              </w:rPr>
            </w:pPr>
          </w:p>
          <w:p w14:paraId="622774F9" w14:textId="77777777" w:rsidR="00C12FB7" w:rsidRPr="00E03C4F" w:rsidRDefault="00C12FB7" w:rsidP="002146DD">
            <w:pPr>
              <w:spacing w:before="160" w:after="0" w:line="240" w:lineRule="auto"/>
              <w:rPr>
                <w:rFonts w:ascii="Helvetica Neue" w:eastAsia="Arial Unicode MS" w:hAnsi="Helvetica Neue" w:cs="Arial Unicode MS" w:hint="eastAsia"/>
                <w:color w:val="000000"/>
                <w:sz w:val="24"/>
                <w:szCs w:val="24"/>
                <w:lang w:val="en-GB" w:eastAsia="en-GB"/>
              </w:rPr>
            </w:pPr>
          </w:p>
        </w:tc>
      </w:tr>
      <w:tr w:rsidR="00C12FB7" w:rsidRPr="00E03C4F" w14:paraId="5DF308AF" w14:textId="77777777" w:rsidTr="002146DD">
        <w:trPr>
          <w:cantSplit/>
          <w:trHeight w:val="1923"/>
          <w:jc w:val="center"/>
        </w:trPr>
        <w:tc>
          <w:tcPr>
            <w:tcW w:w="885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0EA111" w14:textId="77777777" w:rsidR="00C12FB7" w:rsidRPr="00E03C4F" w:rsidRDefault="00C12FB7" w:rsidP="002146DD">
            <w:pPr>
              <w:spacing w:before="160" w:after="0" w:line="240" w:lineRule="auto"/>
              <w:rPr>
                <w:rFonts w:ascii="Arial" w:eastAsia="Arial" w:hAnsi="Arial" w:cs="Arial"/>
                <w:b/>
                <w:bCs/>
                <w:color w:val="000000"/>
                <w:sz w:val="24"/>
                <w:szCs w:val="24"/>
                <w:u w:color="000000"/>
                <w:lang w:val="en-GB" w:eastAsia="en-GB"/>
              </w:rPr>
            </w:pPr>
            <w:r w:rsidRPr="00E03C4F">
              <w:rPr>
                <w:rFonts w:ascii="Arial" w:eastAsia="Arial Unicode MS" w:hAnsi="Arial" w:cs="Arial Unicode MS"/>
                <w:b/>
                <w:bCs/>
                <w:color w:val="000000"/>
                <w:sz w:val="24"/>
                <w:szCs w:val="24"/>
                <w:u w:color="000000"/>
                <w:lang w:eastAsia="en-GB"/>
              </w:rPr>
              <w:t>External Examiner’s comments (if relevant)</w:t>
            </w:r>
          </w:p>
          <w:p w14:paraId="2545CFE9" w14:textId="77777777" w:rsidR="00C12FB7" w:rsidRPr="00E03C4F" w:rsidRDefault="00C12FB7" w:rsidP="002146DD">
            <w:pPr>
              <w:spacing w:after="0" w:line="240" w:lineRule="auto"/>
              <w:rPr>
                <w:rFonts w:ascii="Arial" w:eastAsia="Arial" w:hAnsi="Arial" w:cs="Arial"/>
                <w:color w:val="000000"/>
                <w:u w:color="000000"/>
              </w:rPr>
            </w:pPr>
          </w:p>
          <w:p w14:paraId="0245E31B" w14:textId="77777777" w:rsidR="00C12FB7" w:rsidRPr="00E03C4F" w:rsidRDefault="00C12FB7" w:rsidP="002146DD">
            <w:pPr>
              <w:spacing w:after="0" w:line="240" w:lineRule="auto"/>
              <w:rPr>
                <w:rFonts w:ascii="Arial" w:eastAsia="Arial" w:hAnsi="Arial" w:cs="Arial"/>
                <w:color w:val="000000"/>
                <w:u w:color="000000"/>
              </w:rPr>
            </w:pPr>
          </w:p>
          <w:p w14:paraId="4E2644E5" w14:textId="77777777" w:rsidR="00C12FB7" w:rsidRPr="00E03C4F" w:rsidRDefault="00C12FB7" w:rsidP="002146DD">
            <w:pPr>
              <w:spacing w:after="0" w:line="240" w:lineRule="auto"/>
              <w:rPr>
                <w:rFonts w:ascii="Arial" w:eastAsia="Arial" w:hAnsi="Arial" w:cs="Arial"/>
                <w:color w:val="000000"/>
                <w:u w:color="000000"/>
              </w:rPr>
            </w:pPr>
          </w:p>
          <w:p w14:paraId="2D2DE6FA" w14:textId="77777777" w:rsidR="00C12FB7" w:rsidRPr="00E03C4F" w:rsidRDefault="00C12FB7" w:rsidP="002146DD">
            <w:pPr>
              <w:spacing w:after="0" w:line="240" w:lineRule="auto"/>
              <w:rPr>
                <w:rFonts w:ascii="Arial" w:eastAsia="Arial" w:hAnsi="Arial" w:cs="Arial"/>
                <w:color w:val="000000"/>
                <w:u w:color="000000"/>
              </w:rPr>
            </w:pPr>
          </w:p>
          <w:p w14:paraId="5502D0DF" w14:textId="77777777" w:rsidR="00C12FB7" w:rsidRPr="00E03C4F" w:rsidRDefault="00C12FB7" w:rsidP="002146DD">
            <w:pPr>
              <w:spacing w:after="0" w:line="240" w:lineRule="auto"/>
              <w:rPr>
                <w:rFonts w:ascii="Arial" w:eastAsia="Arial" w:hAnsi="Arial" w:cs="Arial"/>
                <w:color w:val="000000"/>
                <w:u w:color="000000"/>
              </w:rPr>
            </w:pPr>
          </w:p>
          <w:p w14:paraId="6813E2DC" w14:textId="77777777" w:rsidR="00C12FB7" w:rsidRPr="00E03C4F" w:rsidRDefault="00C12FB7" w:rsidP="002146DD">
            <w:pPr>
              <w:spacing w:after="0" w:line="240" w:lineRule="auto"/>
              <w:rPr>
                <w:rFonts w:ascii="Times New Roman" w:eastAsia="Times New Roman" w:hAnsi="Times New Roman" w:cs="Times New Roman"/>
                <w:sz w:val="24"/>
                <w:szCs w:val="24"/>
              </w:rPr>
            </w:pPr>
          </w:p>
        </w:tc>
      </w:tr>
      <w:tr w:rsidR="00C12FB7" w:rsidRPr="00E03C4F" w14:paraId="62E61CAD" w14:textId="77777777" w:rsidTr="002146DD">
        <w:trPr>
          <w:cantSplit/>
          <w:trHeight w:val="560"/>
          <w:jc w:val="center"/>
        </w:trPr>
        <w:tc>
          <w:tcPr>
            <w:tcW w:w="5211"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FA0F797" w14:textId="77777777" w:rsidR="00C12FB7" w:rsidRPr="00E03C4F" w:rsidRDefault="00C12FB7" w:rsidP="002146DD">
            <w:pPr>
              <w:spacing w:before="160" w:after="0" w:line="240" w:lineRule="auto"/>
              <w:rPr>
                <w:rFonts w:ascii="Helvetica Neue" w:eastAsia="Arial Unicode MS" w:hAnsi="Helvetica Neue" w:cs="Arial Unicode MS" w:hint="eastAsia"/>
                <w:color w:val="000000"/>
                <w:sz w:val="24"/>
                <w:szCs w:val="24"/>
                <w:lang w:val="en-GB" w:eastAsia="en-GB"/>
              </w:rPr>
            </w:pPr>
            <w:r w:rsidRPr="00E03C4F">
              <w:rPr>
                <w:rFonts w:ascii="Arial" w:eastAsia="Arial Unicode MS" w:hAnsi="Arial" w:cs="Arial Unicode MS"/>
                <w:color w:val="000000"/>
                <w:sz w:val="24"/>
                <w:szCs w:val="24"/>
                <w:u w:color="000000"/>
                <w:lang w:eastAsia="en-GB"/>
              </w:rPr>
              <w:t>External Examiner’s Signature:</w:t>
            </w:r>
          </w:p>
        </w:tc>
        <w:tc>
          <w:tcPr>
            <w:tcW w:w="3645"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D4749C6" w14:textId="77777777" w:rsidR="00C12FB7" w:rsidRPr="00E03C4F" w:rsidRDefault="00C12FB7" w:rsidP="002146DD">
            <w:pPr>
              <w:spacing w:before="160" w:after="0" w:line="240" w:lineRule="auto"/>
              <w:rPr>
                <w:rFonts w:ascii="Helvetica Neue" w:eastAsia="Arial Unicode MS" w:hAnsi="Helvetica Neue" w:cs="Arial Unicode MS" w:hint="eastAsia"/>
                <w:color w:val="000000"/>
                <w:sz w:val="24"/>
                <w:szCs w:val="24"/>
                <w:lang w:val="en-GB" w:eastAsia="en-GB"/>
              </w:rPr>
            </w:pPr>
            <w:r w:rsidRPr="00E03C4F">
              <w:rPr>
                <w:rFonts w:ascii="Arial" w:eastAsia="Arial Unicode MS" w:hAnsi="Arial" w:cs="Arial Unicode MS"/>
                <w:color w:val="000000"/>
                <w:sz w:val="24"/>
                <w:szCs w:val="24"/>
                <w:u w:color="000000"/>
                <w:lang w:eastAsia="en-GB"/>
              </w:rPr>
              <w:t>Date:</w:t>
            </w:r>
          </w:p>
        </w:tc>
      </w:tr>
    </w:tbl>
    <w:p w14:paraId="30E6FA7B" w14:textId="77777777" w:rsidR="00C12FB7" w:rsidRPr="00E03C4F" w:rsidRDefault="00C12FB7" w:rsidP="00C12FB7">
      <w:pPr>
        <w:keepNext/>
        <w:widowControl w:val="0"/>
        <w:spacing w:after="0" w:line="240" w:lineRule="auto"/>
        <w:jc w:val="center"/>
        <w:outlineLvl w:val="2"/>
        <w:rPr>
          <w:rFonts w:ascii="Trebuchet MS" w:eastAsia="Trebuchet MS" w:hAnsi="Trebuchet MS" w:cs="Trebuchet MS"/>
          <w:b/>
          <w:bCs/>
          <w:color w:val="000000"/>
          <w:sz w:val="20"/>
          <w:szCs w:val="20"/>
          <w:u w:color="000000"/>
          <w:lang w:eastAsia="en-GB"/>
        </w:rPr>
      </w:pPr>
    </w:p>
    <w:p w14:paraId="28240E29" w14:textId="77777777" w:rsidR="00C12FB7" w:rsidRPr="00E03C4F" w:rsidRDefault="00C12FB7" w:rsidP="00C12FB7">
      <w:pPr>
        <w:keepNext/>
        <w:widowControl w:val="0"/>
        <w:spacing w:after="0" w:line="240" w:lineRule="auto"/>
        <w:jc w:val="center"/>
        <w:outlineLvl w:val="2"/>
        <w:rPr>
          <w:rFonts w:ascii="Trebuchet MS" w:eastAsia="Trebuchet MS" w:hAnsi="Trebuchet MS" w:cs="Trebuchet MS"/>
          <w:b/>
          <w:bCs/>
          <w:color w:val="000000"/>
          <w:sz w:val="20"/>
          <w:szCs w:val="20"/>
          <w:u w:color="000000"/>
          <w:lang w:eastAsia="en-GB"/>
        </w:rPr>
      </w:pPr>
    </w:p>
    <w:p w14:paraId="0A400DB2" w14:textId="77777777" w:rsidR="00C12FB7" w:rsidRPr="00E03C4F" w:rsidRDefault="00C12FB7" w:rsidP="00C12FB7">
      <w:pPr>
        <w:keepNext/>
        <w:widowControl w:val="0"/>
        <w:spacing w:after="0" w:line="240" w:lineRule="auto"/>
        <w:jc w:val="center"/>
        <w:outlineLvl w:val="2"/>
        <w:rPr>
          <w:rFonts w:ascii="Trebuchet MS" w:eastAsia="Trebuchet MS" w:hAnsi="Trebuchet MS" w:cs="Trebuchet MS"/>
          <w:b/>
          <w:bCs/>
          <w:color w:val="000000"/>
          <w:sz w:val="20"/>
          <w:szCs w:val="20"/>
          <w:u w:color="000000"/>
          <w:lang w:eastAsia="en-GB"/>
        </w:rPr>
      </w:pPr>
    </w:p>
    <w:p w14:paraId="565A0E20" w14:textId="77777777" w:rsidR="00C12FB7" w:rsidRDefault="00C12FB7" w:rsidP="00C12FB7">
      <w:pPr>
        <w:rPr>
          <w:rFonts w:ascii="Trebuchet MS" w:eastAsia="Trebuchet MS" w:hAnsi="Trebuchet MS" w:cs="Trebuchet MS"/>
          <w:b/>
          <w:bCs/>
          <w:color w:val="000000"/>
          <w:sz w:val="20"/>
          <w:szCs w:val="20"/>
          <w:u w:color="000000"/>
          <w:lang w:eastAsia="en-GB"/>
        </w:rPr>
      </w:pPr>
      <w:r>
        <w:rPr>
          <w:rFonts w:ascii="Trebuchet MS" w:eastAsia="Trebuchet MS" w:hAnsi="Trebuchet MS" w:cs="Trebuchet MS"/>
          <w:b/>
          <w:bCs/>
          <w:color w:val="000000"/>
          <w:sz w:val="20"/>
          <w:szCs w:val="20"/>
          <w:u w:color="000000"/>
          <w:lang w:eastAsia="en-GB"/>
        </w:rPr>
        <w:br w:type="page"/>
      </w:r>
    </w:p>
    <w:p w14:paraId="22F329C2" w14:textId="57DCBEC2" w:rsidR="00C12FB7" w:rsidRDefault="00C12FB7">
      <w:pPr>
        <w:rPr>
          <w:rFonts w:ascii="Trebuchet MS" w:eastAsia="Trebuchet MS" w:hAnsi="Trebuchet MS" w:cs="Trebuchet MS"/>
          <w:b/>
          <w:bCs/>
          <w:color w:val="000000"/>
          <w:sz w:val="20"/>
          <w:szCs w:val="20"/>
          <w:u w:color="000000"/>
          <w:lang w:eastAsia="en-GB"/>
        </w:rPr>
      </w:pPr>
    </w:p>
    <w:p w14:paraId="25D89BC8" w14:textId="056230B4" w:rsidR="00FA00AB" w:rsidRDefault="009A76F1" w:rsidP="00FA00AB">
      <w:pPr>
        <w:spacing w:after="0"/>
        <w:jc w:val="center"/>
        <w:rPr>
          <w:rFonts w:ascii="Trebuchet MS" w:eastAsia="Trebuchet MS" w:hAnsi="Trebuchet MS" w:cs="Trebuchet MS"/>
          <w:b/>
          <w:bCs/>
          <w:color w:val="000000"/>
          <w:sz w:val="20"/>
          <w:szCs w:val="20"/>
          <w:u w:color="000000"/>
          <w:lang w:eastAsia="en-GB"/>
        </w:rPr>
      </w:pPr>
      <w:r>
        <w:rPr>
          <w:rFonts w:ascii="Trebuchet MS" w:eastAsia="Trebuchet MS" w:hAnsi="Trebuchet MS" w:cs="Trebuchet MS"/>
          <w:b/>
          <w:bCs/>
          <w:color w:val="000000"/>
          <w:sz w:val="20"/>
          <w:szCs w:val="20"/>
          <w:u w:color="000000"/>
          <w:lang w:eastAsia="en-GB"/>
        </w:rPr>
        <w:t xml:space="preserve">A Critical </w:t>
      </w:r>
      <w:r w:rsidR="00FA00AB">
        <w:rPr>
          <w:rFonts w:ascii="Trebuchet MS" w:eastAsia="Trebuchet MS" w:hAnsi="Trebuchet MS" w:cs="Trebuchet MS"/>
          <w:b/>
          <w:bCs/>
          <w:color w:val="000000"/>
          <w:sz w:val="20"/>
          <w:szCs w:val="20"/>
          <w:u w:color="000000"/>
          <w:lang w:eastAsia="en-GB"/>
        </w:rPr>
        <w:t>Compar</w:t>
      </w:r>
      <w:r>
        <w:rPr>
          <w:rFonts w:ascii="Trebuchet MS" w:eastAsia="Trebuchet MS" w:hAnsi="Trebuchet MS" w:cs="Trebuchet MS"/>
          <w:b/>
          <w:bCs/>
          <w:color w:val="000000"/>
          <w:sz w:val="20"/>
          <w:szCs w:val="20"/>
          <w:u w:color="000000"/>
          <w:lang w:eastAsia="en-GB"/>
        </w:rPr>
        <w:t>ison of two Secondary Sources</w:t>
      </w:r>
    </w:p>
    <w:p w14:paraId="01DD1762" w14:textId="14FDC160" w:rsidR="00FA00AB" w:rsidRDefault="00FA00AB" w:rsidP="00FA00AB">
      <w:pPr>
        <w:jc w:val="center"/>
        <w:rPr>
          <w:rFonts w:ascii="Trebuchet MS" w:eastAsia="Trebuchet MS" w:hAnsi="Trebuchet MS" w:cs="Trebuchet MS"/>
          <w:color w:val="000000"/>
          <w:sz w:val="20"/>
          <w:szCs w:val="20"/>
          <w:u w:color="000000"/>
          <w:lang w:eastAsia="en-GB"/>
        </w:rPr>
      </w:pPr>
      <w:r>
        <w:rPr>
          <w:rFonts w:ascii="Trebuchet MS" w:eastAsia="Trebuchet MS" w:hAnsi="Trebuchet MS" w:cs="Trebuchet MS"/>
          <w:color w:val="000000"/>
          <w:sz w:val="20"/>
          <w:szCs w:val="20"/>
          <w:u w:color="000000"/>
          <w:lang w:eastAsia="en-GB"/>
        </w:rPr>
        <w:t>Word Count (max 2500 +125)</w:t>
      </w:r>
    </w:p>
    <w:p w14:paraId="06A178C2" w14:textId="77777777" w:rsidR="00FA00AB" w:rsidRPr="00E03C4F" w:rsidRDefault="00FA00AB" w:rsidP="00FA00AB">
      <w:pPr>
        <w:pStyle w:val="Heading1"/>
        <w:rPr>
          <w:rFonts w:ascii="Trebuchet MS" w:eastAsia="Trebuchet MS" w:hAnsi="Trebuchet MS" w:cs="Trebuchet MS"/>
          <w:color w:val="000000"/>
          <w:sz w:val="20"/>
          <w:szCs w:val="20"/>
          <w:u w:color="000000"/>
          <w:lang w:eastAsia="en-GB"/>
        </w:rPr>
      </w:pPr>
      <w:r w:rsidRPr="001A7666">
        <w:t>Introduction</w:t>
      </w:r>
    </w:p>
    <w:p w14:paraId="7BA25FBF" w14:textId="79836123" w:rsidR="00FA00AB" w:rsidRDefault="00FA00AB" w:rsidP="00FA00AB">
      <w:r>
        <w:t xml:space="preserve">This essay </w:t>
      </w:r>
      <w:r w:rsidR="003B6EA8">
        <w:t xml:space="preserve">critically </w:t>
      </w:r>
      <w:r>
        <w:t xml:space="preserve">compares and contrasts </w:t>
      </w:r>
      <w:r w:rsidR="004C3C09">
        <w:t>Gillian Bennett</w:t>
      </w:r>
      <w:r>
        <w:t>’s article ‘</w:t>
      </w:r>
      <w:r w:rsidR="004C3C09">
        <w:t>”If I Knew You Were Coming, I’d Have Baked A Cake”: The Folklore Of Foreknowledge In A Neighborhood Group</w:t>
      </w:r>
      <w:r>
        <w:t xml:space="preserve">’, published in the </w:t>
      </w:r>
      <w:r w:rsidR="004C3C09">
        <w:rPr>
          <w:i/>
          <w:iCs/>
        </w:rPr>
        <w:t xml:space="preserve">Out </w:t>
      </w:r>
      <w:r w:rsidR="00E0266D">
        <w:rPr>
          <w:i/>
          <w:iCs/>
        </w:rPr>
        <w:t>O</w:t>
      </w:r>
      <w:r w:rsidR="004C3C09">
        <w:rPr>
          <w:i/>
          <w:iCs/>
        </w:rPr>
        <w:t>f The Ordinary: Folklore And The Supernatural</w:t>
      </w:r>
      <w:r w:rsidRPr="0022518C">
        <w:rPr>
          <w:rStyle w:val="FootnoteReference"/>
        </w:rPr>
        <w:footnoteReference w:id="1"/>
      </w:r>
      <w:r w:rsidRPr="0022518C">
        <w:t xml:space="preserve">, </w:t>
      </w:r>
      <w:r>
        <w:t xml:space="preserve">with </w:t>
      </w:r>
      <w:r w:rsidR="00585690">
        <w:t>T</w:t>
      </w:r>
      <w:r w:rsidR="00F06ABA">
        <w:t>.L. Brink</w:t>
      </w:r>
      <w:r>
        <w:t xml:space="preserve">’s article </w:t>
      </w:r>
      <w:r w:rsidR="00585690">
        <w:t>‘</w:t>
      </w:r>
      <w:r w:rsidR="00F06ABA">
        <w:t xml:space="preserve">Inconsistency </w:t>
      </w:r>
      <w:r w:rsidR="00E0266D">
        <w:t>O</w:t>
      </w:r>
      <w:r w:rsidR="00F06ABA">
        <w:t>f Belief Among Roman Catholic Girls: Concerning Religion, Astrology, Reincarnation</w:t>
      </w:r>
      <w:r>
        <w:t xml:space="preserve">’, published in </w:t>
      </w:r>
      <w:r w:rsidR="00E0266D">
        <w:rPr>
          <w:i/>
          <w:iCs/>
        </w:rPr>
        <w:t>Review</w:t>
      </w:r>
      <w:r w:rsidR="00585690">
        <w:rPr>
          <w:i/>
          <w:iCs/>
        </w:rPr>
        <w:t xml:space="preserve"> </w:t>
      </w:r>
      <w:r w:rsidR="00E0266D">
        <w:rPr>
          <w:i/>
          <w:iCs/>
        </w:rPr>
        <w:t>O</w:t>
      </w:r>
      <w:r w:rsidR="00585690">
        <w:rPr>
          <w:i/>
          <w:iCs/>
        </w:rPr>
        <w:t>f Religio</w:t>
      </w:r>
      <w:r w:rsidR="00E0266D">
        <w:rPr>
          <w:i/>
          <w:iCs/>
        </w:rPr>
        <w:t>us Research</w:t>
      </w:r>
      <w:r>
        <w:rPr>
          <w:rStyle w:val="FootnoteReference"/>
        </w:rPr>
        <w:footnoteReference w:id="2"/>
      </w:r>
      <w:r w:rsidR="00D9033C">
        <w:rPr>
          <w:i/>
          <w:iCs/>
        </w:rPr>
        <w:t>.</w:t>
      </w:r>
    </w:p>
    <w:p w14:paraId="65F0349F" w14:textId="77777777" w:rsidR="00FA00AB" w:rsidRPr="002F4776" w:rsidRDefault="00FA00AB" w:rsidP="00FA00AB">
      <w:pPr>
        <w:rPr>
          <w:rFonts w:ascii="Trebuchet MS" w:eastAsia="Trebuchet MS" w:hAnsi="Trebuchet MS" w:cs="Trebuchet MS"/>
          <w:color w:val="000000"/>
          <w:sz w:val="20"/>
          <w:szCs w:val="20"/>
          <w:u w:color="000000"/>
          <w:lang w:eastAsia="en-GB"/>
        </w:rPr>
      </w:pPr>
    </w:p>
    <w:p w14:paraId="32C59E4F" w14:textId="77777777" w:rsidR="009A76F1" w:rsidRDefault="009A76F1" w:rsidP="009A76F1">
      <w:pPr>
        <w:pStyle w:val="Heading1"/>
      </w:pPr>
      <w:r>
        <w:t>Context</w:t>
      </w:r>
    </w:p>
    <w:p w14:paraId="16A131E6" w14:textId="40CC428B" w:rsidR="00694BB0" w:rsidRDefault="00B04266" w:rsidP="007A2EA8">
      <w:r>
        <w:t>Bennett’s article on the folklore of foreknowledge</w:t>
      </w:r>
      <w:r w:rsidR="009024BF">
        <w:t xml:space="preserve"> begins with a brief exploration of</w:t>
      </w:r>
      <w:r>
        <w:t xml:space="preserve"> the history of </w:t>
      </w:r>
      <w:r w:rsidR="00A639C7">
        <w:t>omens, foreknowledge and divination</w:t>
      </w:r>
      <w:r w:rsidR="00646CC3">
        <w:t xml:space="preserve"> in Britain</w:t>
      </w:r>
      <w:r w:rsidR="009024BF">
        <w:t xml:space="preserve"> and then </w:t>
      </w:r>
      <w:r w:rsidR="00646CC3">
        <w:t xml:space="preserve">discusses </w:t>
      </w:r>
      <w:r>
        <w:t xml:space="preserve">the various forms of premonition beliefs and experiences </w:t>
      </w:r>
      <w:r w:rsidR="00646CC3">
        <w:t xml:space="preserve">as related </w:t>
      </w:r>
      <w:r w:rsidR="00426182">
        <w:t>through</w:t>
      </w:r>
      <w:r w:rsidR="00646CC3">
        <w:t xml:space="preserve"> interviews </w:t>
      </w:r>
      <w:r w:rsidR="00F63070">
        <w:t>conducted among</w:t>
      </w:r>
      <w:r>
        <w:t xml:space="preserve"> a group</w:t>
      </w:r>
      <w:r w:rsidR="00646CC3">
        <w:t xml:space="preserve"> of </w:t>
      </w:r>
      <w:r w:rsidR="00D9033C">
        <w:t xml:space="preserve">mostly </w:t>
      </w:r>
      <w:r>
        <w:t xml:space="preserve">older women in a Manchester community.  </w:t>
      </w:r>
      <w:r w:rsidRPr="00B04266">
        <w:t xml:space="preserve">Although the research described in this article was originally done in pursuit of Bennet’s </w:t>
      </w:r>
      <w:r w:rsidR="00646CC3">
        <w:t xml:space="preserve">PhD </w:t>
      </w:r>
      <w:r w:rsidRPr="00B04266">
        <w:t>dissertation</w:t>
      </w:r>
      <w:r w:rsidR="00B92305">
        <w:t xml:space="preserve"> at the University of Sheffield</w:t>
      </w:r>
      <w:r w:rsidR="00CC0974">
        <w:rPr>
          <w:rStyle w:val="FootnoteReference"/>
        </w:rPr>
        <w:footnoteReference w:id="3"/>
      </w:r>
      <w:r w:rsidRPr="00B04266">
        <w:t xml:space="preserve">, this particular article appeared ten years later in a book on folklore and the supernatural, giving it a broader audience.  </w:t>
      </w:r>
      <w:r w:rsidR="00426182">
        <w:t xml:space="preserve">This research also formed the basis of Bennet’s </w:t>
      </w:r>
      <w:r w:rsidR="00426182">
        <w:rPr>
          <w:i/>
          <w:iCs/>
        </w:rPr>
        <w:t>Tradition’s of Belief,</w:t>
      </w:r>
      <w:r w:rsidR="00426182">
        <w:t xml:space="preserve"> published in 1988</w:t>
      </w:r>
      <w:r w:rsidR="00426182">
        <w:rPr>
          <w:rStyle w:val="FootnoteReference"/>
        </w:rPr>
        <w:footnoteReference w:id="4"/>
      </w:r>
      <w:r w:rsidR="00426182">
        <w:t xml:space="preserve"> and some of the narratives from the interviews later appeared in her </w:t>
      </w:r>
      <w:r w:rsidR="00426182">
        <w:rPr>
          <w:i/>
          <w:iCs/>
        </w:rPr>
        <w:t xml:space="preserve">The 100 Best British Ghost Stories, </w:t>
      </w:r>
      <w:r w:rsidR="00426182" w:rsidRPr="00426182">
        <w:t>published in 201</w:t>
      </w:r>
      <w:r w:rsidR="00401B74">
        <w:t>2</w:t>
      </w:r>
      <w:r w:rsidR="002B3E30">
        <w:rPr>
          <w:rStyle w:val="FootnoteReference"/>
        </w:rPr>
        <w:footnoteReference w:id="5"/>
      </w:r>
      <w:r w:rsidR="00426182">
        <w:rPr>
          <w:i/>
          <w:iCs/>
        </w:rPr>
        <w:t xml:space="preserve">. </w:t>
      </w:r>
      <w:r w:rsidR="006F6A7F">
        <w:t xml:space="preserve"> </w:t>
      </w:r>
      <w:r w:rsidR="00401B74">
        <w:t>A</w:t>
      </w:r>
      <w:r w:rsidR="00E04776">
        <w:t xml:space="preserve"> </w:t>
      </w:r>
      <w:r w:rsidR="00CE3100">
        <w:t xml:space="preserve">folklorist and a </w:t>
      </w:r>
      <w:r w:rsidR="00E04776" w:rsidRPr="00E04776">
        <w:t>Research Associate of the National Centre for English Cultural Tradition at the University of Sheffield</w:t>
      </w:r>
      <w:r w:rsidR="00E04776">
        <w:t xml:space="preserve"> for 20 years</w:t>
      </w:r>
      <w:r w:rsidR="00FA4D72">
        <w:t>,</w:t>
      </w:r>
      <w:r w:rsidR="00E04776">
        <w:t xml:space="preserve"> </w:t>
      </w:r>
      <w:r w:rsidR="00401B74">
        <w:t xml:space="preserve">Bennett was </w:t>
      </w:r>
      <w:r w:rsidR="00E04776">
        <w:t xml:space="preserve">a </w:t>
      </w:r>
      <w:r w:rsidR="006176B2">
        <w:t>f</w:t>
      </w:r>
      <w:r w:rsidR="00E04776" w:rsidRPr="00E04776">
        <w:t xml:space="preserve">ounding </w:t>
      </w:r>
      <w:r w:rsidR="006176B2">
        <w:t>m</w:t>
      </w:r>
      <w:r w:rsidR="00E04776" w:rsidRPr="00E04776">
        <w:t>ember</w:t>
      </w:r>
      <w:r w:rsidR="006176B2">
        <w:t xml:space="preserve"> of the</w:t>
      </w:r>
      <w:r w:rsidR="00E04776" w:rsidRPr="00E04776">
        <w:t xml:space="preserve"> International Society for Contemporary Legend Research</w:t>
      </w:r>
      <w:r w:rsidR="00FA4D72">
        <w:t xml:space="preserve"> and a recipient of </w:t>
      </w:r>
      <w:r w:rsidR="00401B74">
        <w:t>its</w:t>
      </w:r>
      <w:r w:rsidR="00FA4D72">
        <w:t xml:space="preserve"> 2015 Linda D</w:t>
      </w:r>
      <w:r w:rsidR="00FA4D72">
        <w:rPr>
          <w:rFonts w:cstheme="minorHAnsi"/>
        </w:rPr>
        <w:t>é</w:t>
      </w:r>
      <w:r w:rsidR="00FA4D72">
        <w:t>gh Lifetime Achievement Award</w:t>
      </w:r>
      <w:r w:rsidR="006176B2">
        <w:t>.</w:t>
      </w:r>
      <w:r w:rsidR="006176B2">
        <w:rPr>
          <w:rStyle w:val="FootnoteReference"/>
        </w:rPr>
        <w:footnoteReference w:id="6"/>
      </w:r>
      <w:r w:rsidR="00545962">
        <w:t xml:space="preserve"> </w:t>
      </w:r>
    </w:p>
    <w:p w14:paraId="44BC7D67" w14:textId="60D961B3" w:rsidR="009A6780" w:rsidRPr="008E34BE" w:rsidRDefault="008E6817" w:rsidP="008E34BE">
      <w:r>
        <w:t>Brink’s article on beliefs among Roman Catholic girls discusse</w:t>
      </w:r>
      <w:r w:rsidR="00CE3100">
        <w:t>d</w:t>
      </w:r>
      <w:r>
        <w:t xml:space="preserve"> the perceived incongruency of beliefs on religion, astrology and reincarnation as shown in the results of a questionnaire distributed to students of </w:t>
      </w:r>
      <w:r w:rsidR="00F63070">
        <w:t>a</w:t>
      </w:r>
      <w:r>
        <w:t xml:space="preserve"> Catholic girls’ school in Chicago.  </w:t>
      </w:r>
      <w:r w:rsidR="00F63070">
        <w:t xml:space="preserve">The article was published in a peer-reviewed journal and was thus intended for a scholarly audience.  </w:t>
      </w:r>
      <w:r w:rsidR="0021158E">
        <w:t xml:space="preserve">The journal, </w:t>
      </w:r>
      <w:r w:rsidR="0021158E">
        <w:rPr>
          <w:i/>
          <w:iCs/>
        </w:rPr>
        <w:t xml:space="preserve">Review Of Religious Research, </w:t>
      </w:r>
      <w:r w:rsidR="0021158E">
        <w:t>‘</w:t>
      </w:r>
      <w:r w:rsidR="0021158E" w:rsidRPr="0021158E">
        <w:t>publishes empirical social science research on religion, primarily in sociology and social psychology and related fields of psychology</w:t>
      </w:r>
      <w:r w:rsidR="0021158E">
        <w:t>’</w:t>
      </w:r>
      <w:r w:rsidR="00D9033C">
        <w:rPr>
          <w:rStyle w:val="FootnoteReference"/>
        </w:rPr>
        <w:footnoteReference w:id="7"/>
      </w:r>
      <w:r w:rsidR="0021158E">
        <w:t xml:space="preserve">.  </w:t>
      </w:r>
      <w:r w:rsidR="00F63070">
        <w:t>Brink, a social scientist, holds a doctorate and has been teaching for over 20 years on the faculty of various California institutions of higher education.</w:t>
      </w:r>
      <w:r w:rsidR="00F63070">
        <w:rPr>
          <w:rStyle w:val="FootnoteReference"/>
        </w:rPr>
        <w:footnoteReference w:id="8"/>
      </w:r>
      <w:r w:rsidR="00286C87">
        <w:t xml:space="preserve">  Brink has published many books and articles</w:t>
      </w:r>
      <w:r w:rsidR="00401B74">
        <w:t xml:space="preserve">, </w:t>
      </w:r>
      <w:r w:rsidR="00A56DF4">
        <w:t>a number</w:t>
      </w:r>
      <w:r w:rsidR="00401B74">
        <w:t xml:space="preserve"> of them</w:t>
      </w:r>
      <w:r w:rsidR="00163CC0">
        <w:t xml:space="preserve"> with a focus on geriatric psychology, but</w:t>
      </w:r>
      <w:r w:rsidR="00401B74">
        <w:t xml:space="preserve"> some</w:t>
      </w:r>
      <w:r w:rsidR="00163CC0">
        <w:t xml:space="preserve"> also discussing topics of religious studies and qualitative research and design.</w:t>
      </w:r>
      <w:r w:rsidR="0021158E">
        <w:rPr>
          <w:rStyle w:val="FootnoteReference"/>
        </w:rPr>
        <w:footnoteReference w:id="9"/>
      </w:r>
      <w:r w:rsidR="00163CC0">
        <w:t xml:space="preserve">  This article, published in 1978, was written relatively early in his academic career.</w:t>
      </w:r>
    </w:p>
    <w:p w14:paraId="066A2191" w14:textId="021FF325" w:rsidR="005E7232" w:rsidRDefault="009A6780" w:rsidP="009A6780">
      <w:pPr>
        <w:pStyle w:val="Heading1"/>
      </w:pPr>
      <w:r>
        <w:t>Analysis</w:t>
      </w:r>
    </w:p>
    <w:p w14:paraId="1EBF7C67" w14:textId="543E9E53" w:rsidR="008E34BE" w:rsidRDefault="008E34BE" w:rsidP="008E34BE">
      <w:pPr>
        <w:pStyle w:val="Heading2"/>
      </w:pPr>
      <w:r>
        <w:t>Methodology</w:t>
      </w:r>
    </w:p>
    <w:p w14:paraId="014CBE3B" w14:textId="787296DB" w:rsidR="008E34BE" w:rsidRDefault="001D67DD" w:rsidP="008E34BE">
      <w:r>
        <w:t>Although both Bennett’s and Brink’s research involve</w:t>
      </w:r>
      <w:r w:rsidR="00CE3100">
        <w:t>d</w:t>
      </w:r>
      <w:r>
        <w:t xml:space="preserve"> the sensitive area of personal belief – in Bennett’s case belief in </w:t>
      </w:r>
      <w:r w:rsidR="00A56DF4">
        <w:t>foreknowledge</w:t>
      </w:r>
      <w:r>
        <w:t xml:space="preserve"> and in Brink’s belief in religion, astrology</w:t>
      </w:r>
      <w:r w:rsidR="00B02418">
        <w:t>,</w:t>
      </w:r>
      <w:r>
        <w:t xml:space="preserve"> and reincarnation – the methodology of the two authors differ</w:t>
      </w:r>
      <w:r w:rsidR="00CE3100">
        <w:t>ed</w:t>
      </w:r>
      <w:r>
        <w:t xml:space="preserve"> considerably.  </w:t>
      </w:r>
    </w:p>
    <w:p w14:paraId="25C12122" w14:textId="7E2AD326" w:rsidR="00EF70A4" w:rsidRDefault="00244F21" w:rsidP="008E34BE">
      <w:r>
        <w:t xml:space="preserve">As </w:t>
      </w:r>
      <w:r w:rsidR="00EF70A4">
        <w:t xml:space="preserve">Bennett was attempting to create a comfortable atmosphere and establish rapport with her subjects </w:t>
      </w:r>
      <w:r w:rsidR="00CE3100">
        <w:t>and</w:t>
      </w:r>
      <w:r w:rsidR="00EF70A4">
        <w:t xml:space="preserve"> draw out stories around the </w:t>
      </w:r>
      <w:r w:rsidR="00CE3100">
        <w:t>sensitive</w:t>
      </w:r>
      <w:r w:rsidR="00EF70A4">
        <w:t xml:space="preserve"> topic of her research</w:t>
      </w:r>
      <w:r>
        <w:t>,</w:t>
      </w:r>
      <w:r w:rsidR="00207718">
        <w:t xml:space="preserve"> </w:t>
      </w:r>
      <w:r>
        <w:t xml:space="preserve">she chose to conduct </w:t>
      </w:r>
      <w:r w:rsidR="00BE28C7">
        <w:t xml:space="preserve">120 </w:t>
      </w:r>
      <w:r>
        <w:t>in-depth interviews at her father’s podiatry clinic during regular hours.</w:t>
      </w:r>
      <w:r w:rsidR="00106F2A">
        <w:rPr>
          <w:rStyle w:val="FootnoteReference"/>
        </w:rPr>
        <w:footnoteReference w:id="10"/>
      </w:r>
      <w:r>
        <w:t xml:space="preserve">  </w:t>
      </w:r>
      <w:r w:rsidR="00A62D25">
        <w:t xml:space="preserve">Interviews are a form of qualitative research, </w:t>
      </w:r>
      <w:r w:rsidR="003558BD">
        <w:t xml:space="preserve">the purpose of </w:t>
      </w:r>
      <w:r w:rsidR="00A62D25">
        <w:t>which</w:t>
      </w:r>
      <w:r w:rsidR="00207718">
        <w:t xml:space="preserve"> </w:t>
      </w:r>
      <w:r w:rsidR="007219BE">
        <w:t>Monique Hennink, Inge Hutter and Ajay Bailey</w:t>
      </w:r>
      <w:r w:rsidR="00A62D25">
        <w:t xml:space="preserve"> </w:t>
      </w:r>
      <w:r w:rsidR="003558BD">
        <w:t>stated is ‘to seek a contextualized understanding of phenomena, explain behavior and beliefs</w:t>
      </w:r>
      <w:r w:rsidR="00326D7F">
        <w:t>,</w:t>
      </w:r>
      <w:r w:rsidR="003558BD">
        <w:t xml:space="preserve"> identify processes and understand the context of people’s experiences’</w:t>
      </w:r>
      <w:r w:rsidR="003558BD">
        <w:rPr>
          <w:rStyle w:val="FootnoteReference"/>
        </w:rPr>
        <w:footnoteReference w:id="11"/>
      </w:r>
      <w:r w:rsidR="003558BD">
        <w:t>.  In addition, the specific methodology of the unstructured interview is often used ‘</w:t>
      </w:r>
      <w:r w:rsidR="00106F2A">
        <w:t>to seek the personal perceptions and experiences of participants’</w:t>
      </w:r>
      <w:r w:rsidR="003558BD">
        <w:rPr>
          <w:rStyle w:val="FootnoteReference"/>
        </w:rPr>
        <w:footnoteReference w:id="12"/>
      </w:r>
      <w:r w:rsidR="00106F2A">
        <w:t xml:space="preserve">, so this was a good choice of </w:t>
      </w:r>
      <w:r w:rsidR="00440FF3">
        <w:t>overall</w:t>
      </w:r>
      <w:r w:rsidR="00106F2A">
        <w:t xml:space="preserve"> method</w:t>
      </w:r>
      <w:r w:rsidR="00440FF3">
        <w:t xml:space="preserve"> for her topic.  </w:t>
      </w:r>
      <w:r w:rsidR="00A56DF4">
        <w:t>Based on</w:t>
      </w:r>
      <w:r w:rsidR="00440FF3">
        <w:t xml:space="preserve"> the descriptions of and excerpts from the interviews in ‘If I Knew You Were Coming’ and in a</w:t>
      </w:r>
      <w:r w:rsidR="00A56DF4">
        <w:t xml:space="preserve"> </w:t>
      </w:r>
      <w:r w:rsidR="00440FF3">
        <w:t>subsequent article</w:t>
      </w:r>
      <w:r w:rsidR="00A56DF4">
        <w:t>, ‘Narratives As Expository Discourse’</w:t>
      </w:r>
      <w:r w:rsidR="00A56DF4">
        <w:rPr>
          <w:rStyle w:val="FootnoteReference"/>
        </w:rPr>
        <w:footnoteReference w:id="13"/>
      </w:r>
      <w:r w:rsidR="00A56DF4">
        <w:t>,</w:t>
      </w:r>
      <w:r w:rsidR="00E36AD8">
        <w:t xml:space="preserve"> </w:t>
      </w:r>
      <w:r w:rsidR="00CE3100">
        <w:t>which used</w:t>
      </w:r>
      <w:r w:rsidR="00E36AD8">
        <w:t xml:space="preserve"> the same research set</w:t>
      </w:r>
      <w:r w:rsidR="00A56DF4">
        <w:t>,</w:t>
      </w:r>
      <w:r w:rsidR="00440FF3">
        <w:t xml:space="preserve"> it appears that the interviews were largely unstructured and almost conversational in nature.</w:t>
      </w:r>
      <w:r w:rsidR="00E36AD8">
        <w:t xml:space="preserve">  According to Judith Bell, such ‘unstructured interviews, centred round a topic, may, and in skilled hands do, produce a wealth of valuable data’</w:t>
      </w:r>
      <w:r w:rsidR="00E36AD8">
        <w:rPr>
          <w:rStyle w:val="FootnoteReference"/>
        </w:rPr>
        <w:footnoteReference w:id="14"/>
      </w:r>
      <w:r w:rsidR="00FE3191">
        <w:t xml:space="preserve">.  Indeed, as </w:t>
      </w:r>
      <w:r w:rsidR="00A56DF4">
        <w:t>mentioned</w:t>
      </w:r>
      <w:r w:rsidR="00FE3191">
        <w:t xml:space="preserve"> earlier, these interviews pro</w:t>
      </w:r>
      <w:r w:rsidR="00BE28C7">
        <w:t>vided</w:t>
      </w:r>
      <w:r w:rsidR="00FE3191">
        <w:t xml:space="preserve"> such rich dat</w:t>
      </w:r>
      <w:r w:rsidR="00BE28C7">
        <w:t>a</w:t>
      </w:r>
      <w:r w:rsidR="00FE3191">
        <w:t xml:space="preserve"> that Bennett incorporated material from th</w:t>
      </w:r>
      <w:r w:rsidR="00BE28C7">
        <w:t>em</w:t>
      </w:r>
      <w:r w:rsidR="00FE3191">
        <w:t xml:space="preserve"> into several of her later </w:t>
      </w:r>
      <w:r w:rsidR="00A56DF4">
        <w:t xml:space="preserve">articles and </w:t>
      </w:r>
      <w:r w:rsidR="00FE3191">
        <w:t>books</w:t>
      </w:r>
      <w:r w:rsidR="00BE28C7">
        <w:t>.</w:t>
      </w:r>
    </w:p>
    <w:p w14:paraId="34BB3284" w14:textId="22D05E41" w:rsidR="00BE28C7" w:rsidRPr="008E34BE" w:rsidRDefault="00BE28C7" w:rsidP="008E34BE">
      <w:r>
        <w:t xml:space="preserve">In stark contrast to this approach, Brink chose to employ </w:t>
      </w:r>
      <w:r w:rsidR="00EA16D2">
        <w:t>a</w:t>
      </w:r>
      <w:r>
        <w:t xml:space="preserve"> </w:t>
      </w:r>
      <w:r w:rsidR="00DC5843">
        <w:t>questionnaire to gather his data.  The questionnaire was handed out to 227 students at a Catholic girls’ school during religion class.</w:t>
      </w:r>
      <w:r w:rsidR="00DC5843">
        <w:rPr>
          <w:rStyle w:val="FootnoteReference"/>
        </w:rPr>
        <w:footnoteReference w:id="15"/>
      </w:r>
      <w:r w:rsidR="00DC5843">
        <w:t xml:space="preserve">  The data was then analyzed and presented in the form of a table, </w:t>
      </w:r>
      <w:r w:rsidR="00EA16D2">
        <w:t>and</w:t>
      </w:r>
      <w:r w:rsidR="00DC5843">
        <w:t xml:space="preserve"> no further interviews or probing into the possible meanings behind the data were undertaken.  </w:t>
      </w:r>
      <w:r w:rsidR="00EA16D2">
        <w:t>This is consistent with the category of quantitative research (of which questionnaires are a part), which seeks ‘to quantify a research problem, to measure and count issues and then to generalize these findings to a broader population.’</w:t>
      </w:r>
      <w:r w:rsidR="00EA16D2">
        <w:rPr>
          <w:rStyle w:val="FootnoteReference"/>
        </w:rPr>
        <w:footnoteReference w:id="16"/>
      </w:r>
      <w:r w:rsidR="00EA16D2">
        <w:t xml:space="preserve">  </w:t>
      </w:r>
      <w:r w:rsidR="00DC5843">
        <w:t>Due to this</w:t>
      </w:r>
      <w:r w:rsidR="00326D7F">
        <w:t xml:space="preserve"> approach and the lack of information on why the girls answered the questions as they did</w:t>
      </w:r>
      <w:r w:rsidR="00DC5843">
        <w:t>, Brink based his conclusions on theories from outside sources and, in part,</w:t>
      </w:r>
      <w:r w:rsidR="00A639C7">
        <w:t xml:space="preserve"> </w:t>
      </w:r>
      <w:r w:rsidR="00DC5843">
        <w:t>his own viewpoint</w:t>
      </w:r>
      <w:r w:rsidR="00326D7F">
        <w:t>s</w:t>
      </w:r>
      <w:r w:rsidR="00A639C7">
        <w:t xml:space="preserve">.  </w:t>
      </w:r>
      <w:r w:rsidR="00326D7F">
        <w:t>Although he concede</w:t>
      </w:r>
      <w:r w:rsidR="00CE3100">
        <w:t>d</w:t>
      </w:r>
      <w:r w:rsidR="00326D7F">
        <w:t xml:space="preserve"> that his original hypothesis was disproven, his lack of deeper information put him in a poor position to explain why</w:t>
      </w:r>
      <w:r w:rsidR="006301FE">
        <w:t xml:space="preserve"> without reverting to speculation</w:t>
      </w:r>
      <w:r w:rsidR="00326D7F">
        <w:t xml:space="preserve">.  In this case, </w:t>
      </w:r>
      <w:r w:rsidR="004A1F2A">
        <w:t>additional</w:t>
      </w:r>
      <w:r w:rsidR="00326D7F">
        <w:t xml:space="preserve"> qualitative research in the form of interviews or focus groups may have yielded useful dat</w:t>
      </w:r>
      <w:r w:rsidR="006301FE">
        <w:t>a</w:t>
      </w:r>
      <w:r w:rsidR="00326D7F">
        <w:t xml:space="preserve"> to </w:t>
      </w:r>
      <w:r w:rsidR="004A1F2A">
        <w:t xml:space="preserve">inform his conclusions and </w:t>
      </w:r>
      <w:r w:rsidR="00326D7F">
        <w:t>guide further study into this subject.</w:t>
      </w:r>
      <w:r w:rsidR="00AD5CCA">
        <w:t xml:space="preserve">  Such an approach was taken by Tony Walter and Helen Waterhouse in their study on reincarnation beliefs in England, which covered a similar topi</w:t>
      </w:r>
      <w:r w:rsidR="00B01FF6">
        <w:t>c</w:t>
      </w:r>
      <w:r w:rsidR="006301FE">
        <w:t>, but</w:t>
      </w:r>
      <w:r w:rsidR="00AD5CCA">
        <w:t xml:space="preserve"> used a ‘small-scale interview study in order to elicit the meaning of reincarnation to those who believe in it.’</w:t>
      </w:r>
      <w:r w:rsidR="00AD5CCA">
        <w:rPr>
          <w:rStyle w:val="FootnoteReference"/>
        </w:rPr>
        <w:footnoteReference w:id="17"/>
      </w:r>
    </w:p>
    <w:p w14:paraId="16881E1C" w14:textId="4046E6D9" w:rsidR="005E7232" w:rsidRDefault="00AD5CCA" w:rsidP="00AD5CCA">
      <w:pPr>
        <w:pStyle w:val="Heading2"/>
      </w:pPr>
      <w:r>
        <w:t>Ethical Considerations And Reflexivity</w:t>
      </w:r>
    </w:p>
    <w:p w14:paraId="7B12EC4B" w14:textId="7D38DD5D" w:rsidR="00AD5CCA" w:rsidRDefault="00557D58" w:rsidP="00AD5CCA">
      <w:r>
        <w:t xml:space="preserve">In 1978, the </w:t>
      </w:r>
      <w:r>
        <w:rPr>
          <w:i/>
          <w:iCs/>
        </w:rPr>
        <w:t>Belmont Report</w:t>
      </w:r>
      <w:r>
        <w:t xml:space="preserve"> was created to guide the ethical treatment of humans in behavioural research.</w:t>
      </w:r>
      <w:r>
        <w:rPr>
          <w:rStyle w:val="FootnoteReference"/>
        </w:rPr>
        <w:footnoteReference w:id="18"/>
      </w:r>
      <w:r>
        <w:t xml:space="preserve">  There are five practical ethical guidelines that came out of the </w:t>
      </w:r>
      <w:r>
        <w:rPr>
          <w:i/>
          <w:iCs/>
        </w:rPr>
        <w:t>Belmont Report</w:t>
      </w:r>
      <w:r>
        <w:t xml:space="preserve"> that need to be evaluated when considering Bennett’s and Brink’s research methods</w:t>
      </w:r>
      <w:r w:rsidR="002F6D7B">
        <w:t xml:space="preserve">, while also keeping in mind that Brink’s research was conducted the same year the </w:t>
      </w:r>
      <w:r w:rsidR="003D1052">
        <w:rPr>
          <w:i/>
          <w:iCs/>
        </w:rPr>
        <w:t>Belmont Report</w:t>
      </w:r>
      <w:r w:rsidR="003D1052">
        <w:t xml:space="preserve"> was</w:t>
      </w:r>
      <w:r w:rsidR="002F6D7B">
        <w:t xml:space="preserve"> created and Bennett’s shortly thereafter</w:t>
      </w:r>
      <w:r>
        <w:t>.  The</w:t>
      </w:r>
      <w:r w:rsidR="002F6D7B">
        <w:t xml:space="preserve"> five practical guidelines </w:t>
      </w:r>
      <w:r>
        <w:t xml:space="preserve">are </w:t>
      </w:r>
      <w:r w:rsidR="002F6D7B">
        <w:t>informed consent, self-determination, minimization of harm, anonymity, and confidentiality.</w:t>
      </w:r>
      <w:r w:rsidR="002F6D7B">
        <w:rPr>
          <w:rStyle w:val="FootnoteReference"/>
        </w:rPr>
        <w:footnoteReference w:id="19"/>
      </w:r>
    </w:p>
    <w:p w14:paraId="3F7AAE01" w14:textId="54F5ABC7" w:rsidR="002F6D7B" w:rsidRDefault="0018556C" w:rsidP="00AD5CCA">
      <w:r>
        <w:t xml:space="preserve">The other important topic to evaluate is reflexivity, defined as </w:t>
      </w:r>
      <w:r w:rsidR="00A46256">
        <w:t>‘a process that involves conscious self-reflection on the part of researchers to make explicit their potential influence on the research process’</w:t>
      </w:r>
      <w:r w:rsidR="00A46256">
        <w:rPr>
          <w:rStyle w:val="FootnoteReference"/>
        </w:rPr>
        <w:footnoteReference w:id="20"/>
      </w:r>
      <w:r w:rsidR="00A46256">
        <w:t>.  This is especially important in the field of research</w:t>
      </w:r>
      <w:r w:rsidR="003D1052">
        <w:t xml:space="preserve"> into personal beliefs</w:t>
      </w:r>
      <w:r w:rsidR="00A46256">
        <w:t>, because, as David Hillman aptly pointed out, ‘spiritual beliefs are strongly felt and can have socially important consequences</w:t>
      </w:r>
      <w:r w:rsidR="00107216">
        <w:t>.</w:t>
      </w:r>
      <w:r w:rsidR="00A46256">
        <w:t>’</w:t>
      </w:r>
      <w:r w:rsidR="00107216">
        <w:rPr>
          <w:rStyle w:val="FootnoteReference"/>
        </w:rPr>
        <w:footnoteReference w:id="21"/>
      </w:r>
      <w:r w:rsidR="00A46256">
        <w:t xml:space="preserve">  For this reason, he </w:t>
      </w:r>
      <w:r w:rsidR="00107216">
        <w:t>maintained that researchers must maintain an impartial ‘methodological stance in which one acknowledges one’s personal beliefs, but sets them aside for scholarly purposes.’</w:t>
      </w:r>
      <w:r w:rsidR="00107216">
        <w:rPr>
          <w:rStyle w:val="FootnoteReference"/>
        </w:rPr>
        <w:footnoteReference w:id="22"/>
      </w:r>
    </w:p>
    <w:p w14:paraId="3BFEC34A" w14:textId="6B8EE45C" w:rsidR="00AA7DB6" w:rsidRDefault="003D1052" w:rsidP="00AD5CCA">
      <w:r>
        <w:t xml:space="preserve">In examining these issues in the Bennett paper, there are some questions which arise that are not clearly addressed in the paper itself.  </w:t>
      </w:r>
      <w:r w:rsidR="006050F5">
        <w:t>Bennett described her methodology in detail, explaining that she had chosen to conduct her interviews with patients of her father’s podiatry clinic.</w:t>
      </w:r>
      <w:r w:rsidR="006050F5">
        <w:rPr>
          <w:rStyle w:val="FootnoteReference"/>
        </w:rPr>
        <w:footnoteReference w:id="23"/>
      </w:r>
      <w:r w:rsidR="006050F5">
        <w:t xml:space="preserve">  Although she valued the personal connections she was able to make in this way, there </w:t>
      </w:r>
      <w:r w:rsidR="00292A19">
        <w:t>we</w:t>
      </w:r>
      <w:r w:rsidR="006050F5">
        <w:t>re several possible ethical issues related to this.  For one, her father knew all the patients and was present for all the interviews, despite not being part of the research team</w:t>
      </w:r>
      <w:r w:rsidR="009A7E33">
        <w:t>, which impact</w:t>
      </w:r>
      <w:r w:rsidR="007F03F0">
        <w:t>ed</w:t>
      </w:r>
      <w:r w:rsidR="009A7E33">
        <w:t xml:space="preserve"> the ethical guidelines of anonymity and confidentiality</w:t>
      </w:r>
      <w:r w:rsidR="006050F5">
        <w:t>.</w:t>
      </w:r>
      <w:r w:rsidR="009A7E33">
        <w:t xml:space="preserve">  In addition, many of them also attended her father’s Methodist church, which might have inadvertently caused them harm if the contents of their interviews had been shared with other members of their spiritual community.  In a later paper discussing this same research, Bennet</w:t>
      </w:r>
      <w:r w:rsidR="007F03F0">
        <w:t>t</w:t>
      </w:r>
      <w:r w:rsidR="009A7E33">
        <w:t xml:space="preserve"> clarified that</w:t>
      </w:r>
      <w:r w:rsidR="007F03F0">
        <w:t>, in the course of his clinic appointments,</w:t>
      </w:r>
      <w:r w:rsidR="009A7E33">
        <w:t xml:space="preserve"> </w:t>
      </w:r>
      <w:r w:rsidR="004C5A1D">
        <w:t>her father was ‘used to receiving confidences, discussing politics, religion and philosophy’ and ‘had often discussed the reality of psychic powers and supernatural experiences with his patients.’</w:t>
      </w:r>
      <w:r w:rsidR="004C5A1D">
        <w:rPr>
          <w:rStyle w:val="FootnoteReference"/>
        </w:rPr>
        <w:footnoteReference w:id="24"/>
      </w:r>
      <w:r w:rsidR="004C5A1D">
        <w:t xml:space="preserve">  She felt that the fact that these topics were already being discussed in the clinic led to the interviews being ‘relaxed, informal conversations in which there was seldom any sense of artificiality or strain.’</w:t>
      </w:r>
      <w:r w:rsidR="004C5A1D">
        <w:rPr>
          <w:rStyle w:val="FootnoteReference"/>
        </w:rPr>
        <w:footnoteReference w:id="25"/>
      </w:r>
      <w:r w:rsidR="007F03F0">
        <w:t xml:space="preserve">  </w:t>
      </w:r>
    </w:p>
    <w:p w14:paraId="48D09DAF" w14:textId="293FCB14" w:rsidR="003D1052" w:rsidRDefault="007F03F0" w:rsidP="00AD5CCA">
      <w:r>
        <w:t>This leads then also into the question of reflexivity and where Bennett stood on the insider/outsider continuum.  Bennett seemed to acknowledge that she was an outsider to the topics of her research, by stating that the interviewees used a specialized language to discuss the topics at hand, which she herself ‘was able to acquire after only a few days’ exposure to it’</w:t>
      </w:r>
      <w:r w:rsidR="001B333E">
        <w:rPr>
          <w:rStyle w:val="FootnoteReference"/>
        </w:rPr>
        <w:footnoteReference w:id="26"/>
      </w:r>
      <w:r>
        <w:t xml:space="preserve">, indicating that </w:t>
      </w:r>
      <w:r w:rsidR="001B333E">
        <w:t>she had not had previous exposure to such language.  At the same time, she was an insider by virtue of being in her father’s clinic and from remarks in the later paper, it seems that both she and her father added their own stories to the interviews, sometimes seemingly to create ease and draw out more information.</w:t>
      </w:r>
      <w:r w:rsidR="001B333E">
        <w:rPr>
          <w:rStyle w:val="FootnoteReference"/>
        </w:rPr>
        <w:footnoteReference w:id="27"/>
      </w:r>
      <w:r w:rsidR="001B333E">
        <w:t xml:space="preserve">  </w:t>
      </w:r>
      <w:r w:rsidR="00B54FC0">
        <w:t xml:space="preserve">Although she was very open about her connection to the clinic, </w:t>
      </w:r>
      <w:r w:rsidR="001B333E">
        <w:t xml:space="preserve">Bennett did not disclose in either paper what her own beliefs </w:t>
      </w:r>
      <w:r w:rsidR="00B54FC0">
        <w:t xml:space="preserve">on the supernatural </w:t>
      </w:r>
      <w:r w:rsidR="001B333E">
        <w:t>were or where she fit within the generational differences she not</w:t>
      </w:r>
      <w:r w:rsidR="00B54FC0">
        <w:t>ed in</w:t>
      </w:r>
      <w:r w:rsidR="001B333E">
        <w:t xml:space="preserve"> her research.</w:t>
      </w:r>
    </w:p>
    <w:p w14:paraId="2CC501E2" w14:textId="23EE59BA" w:rsidR="00B54FC0" w:rsidRDefault="00B54FC0" w:rsidP="00AD5CCA">
      <w:r>
        <w:t xml:space="preserve">Brink also used an established venue, in this case a Catholic girls’ school, to conduct his research.  Though the description of </w:t>
      </w:r>
      <w:r w:rsidR="00292A19">
        <w:t>his</w:t>
      </w:r>
      <w:r>
        <w:t xml:space="preserve"> methodology is very brief, </w:t>
      </w:r>
      <w:r w:rsidR="00416401">
        <w:t>it raise</w:t>
      </w:r>
      <w:r w:rsidR="00292A19">
        <w:t>s</w:t>
      </w:r>
      <w:r w:rsidR="00416401">
        <w:t xml:space="preserve"> so</w:t>
      </w:r>
      <w:r>
        <w:t>me ethical questions</w:t>
      </w:r>
      <w:r w:rsidR="00496B04">
        <w:t xml:space="preserve"> as well</w:t>
      </w:r>
      <w:r>
        <w:t>.</w:t>
      </w:r>
      <w:r w:rsidR="00496B04">
        <w:t xml:space="preserve">  The questionnaire was distributed to 227 juniors and seniors during a required religion class at a Catholic school.</w:t>
      </w:r>
      <w:r w:rsidR="00AA7DB6">
        <w:rPr>
          <w:rStyle w:val="FootnoteReference"/>
        </w:rPr>
        <w:footnoteReference w:id="28"/>
      </w:r>
      <w:r w:rsidR="00496B04">
        <w:t xml:space="preserve">  There is no mention of any kind of consent to completing the questionnaire, either by the students in question or by their parents, in the case of those under the age of 18 (which it is likely that many of them were).  Also missing are any details on whether the </w:t>
      </w:r>
      <w:r w:rsidR="00292A19">
        <w:t>questionnaire</w:t>
      </w:r>
      <w:r w:rsidR="00496B04">
        <w:t xml:space="preserve"> was administered and/or collected by the nuns</w:t>
      </w:r>
      <w:r w:rsidR="009A0D04">
        <w:t xml:space="preserve">.  If this was the case, it would not only have had the potential to skew the answers given, but it also had the potential to cause harm to the teenage girls by exposing their very personal beliefs to the spiritual authority figures of their school and would have made it difficult to preserve confidentiality.  Given that the questionnaire was administered </w:t>
      </w:r>
      <w:r w:rsidR="00292A19">
        <w:t>during</w:t>
      </w:r>
      <w:r w:rsidR="009A0D04">
        <w:t xml:space="preserve"> a required class</w:t>
      </w:r>
      <w:r w:rsidR="00AA7DB6">
        <w:rPr>
          <w:rStyle w:val="FootnoteReference"/>
        </w:rPr>
        <w:footnoteReference w:id="29"/>
      </w:r>
      <w:r w:rsidR="009A0D04">
        <w:t>, it seems unlikely that the girls were given the ethical consideration of self-determination, which would have allowed them to refuse to answer the questionnaire or any of the questions without any negative consequences.</w:t>
      </w:r>
    </w:p>
    <w:p w14:paraId="1C9FDCC1" w14:textId="34C28E81" w:rsidR="00B54FC0" w:rsidRPr="00557D58" w:rsidRDefault="00B54FC0" w:rsidP="00AD5CCA">
      <w:r>
        <w:t xml:space="preserve">Brink’s article was much shorter than Bennett’s and, being published in a journal, he may have had different space constraints.  That being said, there is no evidence of </w:t>
      </w:r>
      <w:r w:rsidR="00AA7DB6">
        <w:t xml:space="preserve">any </w:t>
      </w:r>
      <w:r>
        <w:t>reflexiv</w:t>
      </w:r>
      <w:r w:rsidR="00AA7DB6">
        <w:t>e thought on the part of the author.  The basic tenet of his hypothesis, that ‘simultaneous belief in Roman Catholic doctrine, astrology, and reincarnation is logically incompatible’</w:t>
      </w:r>
      <w:r w:rsidR="00AA7DB6">
        <w:rPr>
          <w:rStyle w:val="FootnoteReference"/>
        </w:rPr>
        <w:footnoteReference w:id="30"/>
      </w:r>
      <w:r w:rsidR="00AA7DB6">
        <w:t xml:space="preserve"> and the entire paragraph that follows of why this must be so seems very firmly based on the author’s own beliefs and interpretations of not only Catholic</w:t>
      </w:r>
      <w:r w:rsidR="003F381D">
        <w:t>ism, but astrology and reincarnation as well.  When the hypothesis fails to be confirmed by the results of the questionnaire, the author attributes it the ‘confusion and uncertainty of that developmental stage’</w:t>
      </w:r>
      <w:r w:rsidR="003F381D">
        <w:rPr>
          <w:rStyle w:val="FootnoteReference"/>
        </w:rPr>
        <w:footnoteReference w:id="31"/>
      </w:r>
      <w:r w:rsidR="003F381D">
        <w:t xml:space="preserve"> instead of any lack of reflexive examination of the beliefs underlying his premise</w:t>
      </w:r>
      <w:r w:rsidR="00292A19">
        <w:t xml:space="preserve"> or flaws in the methodology that could have skewed the results</w:t>
      </w:r>
      <w:r w:rsidR="003F381D">
        <w:t>.</w:t>
      </w:r>
    </w:p>
    <w:p w14:paraId="6F9B1C38" w14:textId="5EA7F665" w:rsidR="0097047B" w:rsidRDefault="0097047B" w:rsidP="0097047B">
      <w:pPr>
        <w:pStyle w:val="Heading2"/>
      </w:pPr>
      <w:r>
        <w:t>Structure and Literature Review</w:t>
      </w:r>
    </w:p>
    <w:p w14:paraId="6CA459A1" w14:textId="73F4266A" w:rsidR="0097047B" w:rsidRDefault="0097047B" w:rsidP="0097047B">
      <w:r>
        <w:t xml:space="preserve">Bennett’s article showed a clear structure, beginning with a brief introduction to the main topic of the paper and a thorough review of the history of the different strands of foreknowledge in British culture, as well as a discussion of various national surveys on the levels of belief in supernatural phenomena.  Her literature review in this part of the paper was quite extensive and extended back over several hundred years, giving the reader a </w:t>
      </w:r>
      <w:r w:rsidR="0067191E">
        <w:t xml:space="preserve">good overview of the topic in question.  </w:t>
      </w:r>
      <w:r w:rsidR="00A17AB9">
        <w:t xml:space="preserve">She used the literature review to assess trends, which she then related to her own findings.  </w:t>
      </w:r>
      <w:r>
        <w:t>She followed t</w:t>
      </w:r>
      <w:r w:rsidR="00A17AB9">
        <w:t>h</w:t>
      </w:r>
      <w:r w:rsidR="00FB7E8A">
        <w:t>is section</w:t>
      </w:r>
      <w:r w:rsidR="00D16CDD">
        <w:t xml:space="preserve"> </w:t>
      </w:r>
      <w:r>
        <w:t>with a</w:t>
      </w:r>
      <w:r w:rsidR="0067191E">
        <w:t>n</w:t>
      </w:r>
      <w:r w:rsidR="00FB7E8A">
        <w:t xml:space="preserve"> </w:t>
      </w:r>
      <w:r w:rsidR="0067191E">
        <w:t xml:space="preserve">explanation of her methodology and the reasoning behind it before launching into a thorough analysis of her results, which included direct quotations from the interviews, demographic </w:t>
      </w:r>
      <w:r w:rsidR="00B02418">
        <w:t>comparisons,</w:t>
      </w:r>
      <w:r w:rsidR="0067191E">
        <w:t xml:space="preserve"> and some discussion of her views on why the women had answered as they </w:t>
      </w:r>
      <w:r w:rsidR="00FB7E8A">
        <w:t>had</w:t>
      </w:r>
      <w:r w:rsidR="0067191E">
        <w:t xml:space="preserve"> and what it meant in relation to their societal roles.  In her conclusion, she summed up her results using quantitative percentages and offered a</w:t>
      </w:r>
      <w:r w:rsidR="00405455">
        <w:t>n indication of what direction she thought the research could head in the future.</w:t>
      </w:r>
    </w:p>
    <w:p w14:paraId="4D7181D4" w14:textId="37CB1175" w:rsidR="00A17AB9" w:rsidRPr="0097047B" w:rsidRDefault="00A17AB9" w:rsidP="0097047B">
      <w:r>
        <w:t xml:space="preserve">Brink’s article was quite a bit shorter and lacked some of the elements present in Bennett’s.  The paper began with an abstract, which summed up the findings of </w:t>
      </w:r>
      <w:r w:rsidR="00FB7E8A">
        <w:t>his</w:t>
      </w:r>
      <w:r>
        <w:t xml:space="preserve"> research.  The opening literature review focused on theories of belief and consistency of belief.  It is notable that there are no references relating directly to the author’s hypothesis or explaining why the </w:t>
      </w:r>
      <w:r w:rsidR="00610E4C">
        <w:t xml:space="preserve">three areas of </w:t>
      </w:r>
      <w:r>
        <w:t>belief being examined</w:t>
      </w:r>
      <w:r w:rsidR="00610E4C">
        <w:t xml:space="preserve"> are ‘logically incompatible’.</w:t>
      </w:r>
      <w:r w:rsidR="00610E4C">
        <w:rPr>
          <w:rStyle w:val="FootnoteReference"/>
        </w:rPr>
        <w:footnoteReference w:id="32"/>
      </w:r>
      <w:r w:rsidR="00610E4C">
        <w:t xml:space="preserve">  Brink then provided a summary of his methodology, followed by a table depicting his findings, which </w:t>
      </w:r>
      <w:r w:rsidR="00FB7E8A">
        <w:t>was shown to</w:t>
      </w:r>
      <w:r w:rsidR="00610E4C">
        <w:t xml:space="preserve"> not support his hypothesis.  The author then spen</w:t>
      </w:r>
      <w:r w:rsidR="00FB7E8A">
        <w:t>t</w:t>
      </w:r>
      <w:r w:rsidR="00610E4C">
        <w:t xml:space="preserve"> the remainder of the article citing an entirely different set of references from those in the literature review to explain the results from the standpoint of an inconsistency of belief </w:t>
      </w:r>
      <w:r w:rsidR="00626485">
        <w:t>without any</w:t>
      </w:r>
      <w:r w:rsidR="00610E4C">
        <w:t xml:space="preserve"> consideration </w:t>
      </w:r>
      <w:r w:rsidR="00626485">
        <w:t>of</w:t>
      </w:r>
      <w:r w:rsidR="00FB7E8A">
        <w:t xml:space="preserve"> </w:t>
      </w:r>
      <w:r w:rsidR="00626485">
        <w:t>alternate possibili</w:t>
      </w:r>
      <w:r w:rsidR="00FB7E8A">
        <w:t>ties</w:t>
      </w:r>
      <w:r w:rsidR="00D16CDD">
        <w:t>,</w:t>
      </w:r>
      <w:r w:rsidR="00626485">
        <w:t xml:space="preserve"> </w:t>
      </w:r>
      <w:r w:rsidR="00D16CDD">
        <w:t>i.e.,</w:t>
      </w:r>
      <w:r w:rsidR="00FB7E8A">
        <w:t xml:space="preserve"> </w:t>
      </w:r>
      <w:r w:rsidR="00610E4C">
        <w:t xml:space="preserve">that the beliefs </w:t>
      </w:r>
      <w:r w:rsidR="00FB7E8A">
        <w:t xml:space="preserve">in question </w:t>
      </w:r>
      <w:r w:rsidR="00610E4C">
        <w:t>might</w:t>
      </w:r>
      <w:r w:rsidR="00626485">
        <w:t xml:space="preserve"> have some compatibility</w:t>
      </w:r>
      <w:r w:rsidR="00FB7E8A">
        <w:t xml:space="preserve"> or that the methodology may have created bias by the presence of the nuns and/or the lack of self-determination</w:t>
      </w:r>
      <w:r w:rsidR="00626485">
        <w:t>.  There is no concluding paragraph and no suggestion for any further study into the matter.</w:t>
      </w:r>
    </w:p>
    <w:p w14:paraId="2A947E72" w14:textId="77777777" w:rsidR="00626485" w:rsidRDefault="005E7232" w:rsidP="009A6780">
      <w:pPr>
        <w:pStyle w:val="Heading1"/>
      </w:pPr>
      <w:r>
        <w:t>Conclusi</w:t>
      </w:r>
      <w:r w:rsidR="00DC5843">
        <w:t>o</w:t>
      </w:r>
      <w:r>
        <w:t>n</w:t>
      </w:r>
    </w:p>
    <w:p w14:paraId="27FB7364" w14:textId="3145105A" w:rsidR="00914F59" w:rsidRPr="00914F59" w:rsidRDefault="00682CB6" w:rsidP="00914F59">
      <w:pPr>
        <w:rPr>
          <w:i/>
          <w:iCs/>
          <w:color w:val="7030A0"/>
        </w:rPr>
      </w:pPr>
      <w:r>
        <w:t xml:space="preserve">As detailed in this paper, both articles discussed findings related to personal beliefs within a community.  </w:t>
      </w:r>
      <w:r w:rsidR="0065467B">
        <w:t xml:space="preserve">Both authors were well-qualified to undertake the research in question and both went on to long careers in their fields.  </w:t>
      </w:r>
      <w:r w:rsidR="00577DB6">
        <w:t xml:space="preserve">The research methods employed were quite different, with Bennett opting for qualitative research in the form of in-depth, unstructured interviews whereas Brink chose the route of quantitative research with a questionnaire designed to test </w:t>
      </w:r>
      <w:r w:rsidR="0065467B">
        <w:t>h</w:t>
      </w:r>
      <w:r w:rsidR="00577DB6">
        <w:t>is hypothesis.  Bennett explored the history of supernatural belief in her society</w:t>
      </w:r>
      <w:r w:rsidR="0065467B">
        <w:t>,</w:t>
      </w:r>
      <w:r w:rsidR="00577DB6">
        <w:t xml:space="preserve"> engaged in deep research with her participants that carried a long way into the rest of her career</w:t>
      </w:r>
      <w:r w:rsidR="0065467B">
        <w:t>,</w:t>
      </w:r>
      <w:r w:rsidR="00577DB6">
        <w:t xml:space="preserve"> and analyzed her findings in a way that led to more research avenues and an openness to further exploration.  Brink approached his research from the viewpoint of existing theories of </w:t>
      </w:r>
      <w:r w:rsidR="0065467B">
        <w:t xml:space="preserve">consistency of </w:t>
      </w:r>
      <w:r w:rsidR="00577DB6">
        <w:t xml:space="preserve">belief and, when his original hypothesis was not confirmed, pivoted his </w:t>
      </w:r>
      <w:r w:rsidR="0065467B">
        <w:t>discussion to theories more in line with inconsistency of belief without ever questioning his original hypothesis and without considering a different approach or further research to shed light on his findings.  While Bennett’s paper was thorough and well-structured, Brink’s was brief and possibly constrained by the submission guidelines of the journal it was published in.</w:t>
      </w:r>
      <w:r w:rsidR="00B75EFF">
        <w:t xml:space="preserve">  Overall, Bennett’s article was the stronger piece of work and, contrasted with Brink’s, offered clear insight into the advantages of choosing qualitative research when exploring personal beliefs.</w:t>
      </w:r>
      <w:r w:rsidR="00914F59">
        <w:br w:type="page"/>
      </w:r>
    </w:p>
    <w:p w14:paraId="581A8F41" w14:textId="62386159" w:rsidR="00884787" w:rsidRDefault="002751C0" w:rsidP="002751C0">
      <w:pPr>
        <w:pStyle w:val="Heading1"/>
      </w:pPr>
      <w:r>
        <w:lastRenderedPageBreak/>
        <w:t>Resources</w:t>
      </w:r>
    </w:p>
    <w:p w14:paraId="3AD1D770" w14:textId="5987CE2F" w:rsidR="00FE3191" w:rsidRDefault="003E7941" w:rsidP="002751C0">
      <w:r>
        <w:t>B</w:t>
      </w:r>
      <w:r w:rsidR="00FE3191" w:rsidRPr="00FE3191">
        <w:t>ell</w:t>
      </w:r>
      <w:r w:rsidR="00FE3191">
        <w:t>, Judith</w:t>
      </w:r>
      <w:r w:rsidR="00FE3191" w:rsidRPr="00FE3191">
        <w:t xml:space="preserve">, </w:t>
      </w:r>
      <w:r w:rsidR="00FE3191" w:rsidRPr="00FE3191">
        <w:rPr>
          <w:i/>
          <w:iCs/>
        </w:rPr>
        <w:t xml:space="preserve">Doing Your Research Project: A Guide For First-Time Researchers, </w:t>
      </w:r>
      <w:r w:rsidR="00FE3191" w:rsidRPr="00FE3191">
        <w:t>6</w:t>
      </w:r>
      <w:r w:rsidR="00FE3191" w:rsidRPr="00FE3191">
        <w:rPr>
          <w:vertAlign w:val="superscript"/>
        </w:rPr>
        <w:t>th</w:t>
      </w:r>
      <w:r w:rsidR="00FE3191" w:rsidRPr="00FE3191">
        <w:t xml:space="preserve"> edn. (New York: McGraw Hill Education, 2014)</w:t>
      </w:r>
    </w:p>
    <w:p w14:paraId="567D34F7" w14:textId="60F428C8" w:rsidR="003F2B7B" w:rsidRPr="003F2B7B" w:rsidRDefault="003F2B7B" w:rsidP="003F2B7B">
      <w:pPr>
        <w:pStyle w:val="FootnoteText"/>
        <w:rPr>
          <w:sz w:val="22"/>
          <w:szCs w:val="22"/>
        </w:rPr>
      </w:pPr>
      <w:r w:rsidRPr="003F2B7B">
        <w:rPr>
          <w:sz w:val="22"/>
          <w:szCs w:val="22"/>
        </w:rPr>
        <w:t xml:space="preserve">Bennett, </w:t>
      </w:r>
      <w:r>
        <w:rPr>
          <w:sz w:val="22"/>
          <w:szCs w:val="22"/>
        </w:rPr>
        <w:t xml:space="preserve">Gillian, </w:t>
      </w:r>
      <w:r w:rsidRPr="003F2B7B">
        <w:rPr>
          <w:i/>
          <w:iCs/>
          <w:sz w:val="22"/>
          <w:szCs w:val="22"/>
        </w:rPr>
        <w:t xml:space="preserve">Aspects Of Supernatural Belief, Memorate And Legend In A Contemporary Urban Environment. </w:t>
      </w:r>
      <w:r w:rsidRPr="003F2B7B">
        <w:rPr>
          <w:sz w:val="22"/>
          <w:szCs w:val="22"/>
        </w:rPr>
        <w:t xml:space="preserve">(PhD thesis, University of Sheffield, 1985) &lt;https://etheses.whiterose.ac.uk/1891/&gt; </w:t>
      </w:r>
      <w:r>
        <w:rPr>
          <w:sz w:val="22"/>
          <w:szCs w:val="22"/>
        </w:rPr>
        <w:t>[</w:t>
      </w:r>
      <w:r w:rsidRPr="003F2B7B">
        <w:rPr>
          <w:sz w:val="22"/>
          <w:szCs w:val="22"/>
        </w:rPr>
        <w:t>accessed 1</w:t>
      </w:r>
      <w:r w:rsidR="00FA4D72">
        <w:rPr>
          <w:sz w:val="22"/>
          <w:szCs w:val="22"/>
        </w:rPr>
        <w:t>2</w:t>
      </w:r>
      <w:r w:rsidRPr="003F2B7B">
        <w:rPr>
          <w:sz w:val="22"/>
          <w:szCs w:val="22"/>
        </w:rPr>
        <w:t xml:space="preserve"> March 2022</w:t>
      </w:r>
      <w:r>
        <w:rPr>
          <w:sz w:val="22"/>
          <w:szCs w:val="22"/>
        </w:rPr>
        <w:t>]</w:t>
      </w:r>
    </w:p>
    <w:p w14:paraId="4C07FC92" w14:textId="77777777" w:rsidR="003F2B7B" w:rsidRDefault="003F2B7B" w:rsidP="002751C0">
      <w:pPr>
        <w:pStyle w:val="FootnoteText"/>
        <w:rPr>
          <w:sz w:val="22"/>
          <w:szCs w:val="22"/>
        </w:rPr>
      </w:pPr>
    </w:p>
    <w:p w14:paraId="06DEEDFA" w14:textId="19A0B2A9" w:rsidR="002751C0" w:rsidRDefault="002751C0" w:rsidP="002751C0">
      <w:pPr>
        <w:pStyle w:val="FootnoteText"/>
        <w:rPr>
          <w:sz w:val="22"/>
          <w:szCs w:val="22"/>
        </w:rPr>
      </w:pPr>
      <w:r w:rsidRPr="00933C83">
        <w:rPr>
          <w:sz w:val="22"/>
          <w:szCs w:val="22"/>
        </w:rPr>
        <w:t>Bennett, Gillian, ‘”If I</w:t>
      </w:r>
      <w:r w:rsidR="006050F5">
        <w:rPr>
          <w:sz w:val="22"/>
          <w:szCs w:val="22"/>
        </w:rPr>
        <w:t xml:space="preserve"> Knew</w:t>
      </w:r>
      <w:r w:rsidRPr="00933C83">
        <w:rPr>
          <w:sz w:val="22"/>
          <w:szCs w:val="22"/>
        </w:rPr>
        <w:t xml:space="preserve"> You Were Coming, I’d Have Baked A Cake”: The Folklore Of Foreknowledge In A Neighborhood Group’, </w:t>
      </w:r>
      <w:r w:rsidR="003F2B7B">
        <w:rPr>
          <w:sz w:val="22"/>
          <w:szCs w:val="22"/>
        </w:rPr>
        <w:t xml:space="preserve">in </w:t>
      </w:r>
      <w:r w:rsidRPr="00933C83">
        <w:rPr>
          <w:i/>
          <w:iCs/>
          <w:sz w:val="22"/>
          <w:szCs w:val="22"/>
        </w:rPr>
        <w:t xml:space="preserve">Out Of The Ordinary: Folklore And The Supernatural, </w:t>
      </w:r>
      <w:r w:rsidRPr="003F2B7B">
        <w:rPr>
          <w:sz w:val="22"/>
          <w:szCs w:val="22"/>
        </w:rPr>
        <w:t xml:space="preserve">ed. </w:t>
      </w:r>
      <w:r w:rsidR="003F2B7B">
        <w:rPr>
          <w:sz w:val="22"/>
          <w:szCs w:val="22"/>
        </w:rPr>
        <w:t xml:space="preserve">by </w:t>
      </w:r>
      <w:r w:rsidRPr="003F2B7B">
        <w:rPr>
          <w:sz w:val="22"/>
          <w:szCs w:val="22"/>
        </w:rPr>
        <w:t>Barbara Walker</w:t>
      </w:r>
      <w:r w:rsidRPr="00933C83">
        <w:rPr>
          <w:sz w:val="22"/>
          <w:szCs w:val="22"/>
        </w:rPr>
        <w:t xml:space="preserve"> (Utah: Utah University Press, 1995), 122-142</w:t>
      </w:r>
    </w:p>
    <w:p w14:paraId="12754EFF" w14:textId="39644B34" w:rsidR="00207718" w:rsidRDefault="00207718" w:rsidP="002751C0">
      <w:pPr>
        <w:pStyle w:val="FootnoteText"/>
        <w:rPr>
          <w:sz w:val="22"/>
          <w:szCs w:val="22"/>
        </w:rPr>
      </w:pPr>
    </w:p>
    <w:p w14:paraId="57A5D711" w14:textId="3593502F" w:rsidR="00207718" w:rsidRDefault="00207718" w:rsidP="002751C0">
      <w:pPr>
        <w:pStyle w:val="FootnoteText"/>
        <w:rPr>
          <w:sz w:val="22"/>
          <w:szCs w:val="22"/>
        </w:rPr>
      </w:pPr>
      <w:bookmarkStart w:id="44" w:name="_Hlk98679805"/>
      <w:r w:rsidRPr="00207718">
        <w:rPr>
          <w:sz w:val="22"/>
          <w:szCs w:val="22"/>
        </w:rPr>
        <w:t xml:space="preserve">Bennett, </w:t>
      </w:r>
      <w:r w:rsidR="00440FF3">
        <w:rPr>
          <w:sz w:val="22"/>
          <w:szCs w:val="22"/>
        </w:rPr>
        <w:t xml:space="preserve">Gillian, </w:t>
      </w:r>
      <w:r w:rsidRPr="00207718">
        <w:rPr>
          <w:sz w:val="22"/>
          <w:szCs w:val="22"/>
        </w:rPr>
        <w:t xml:space="preserve">‘Narrative As Expository Discourse’, </w:t>
      </w:r>
      <w:r w:rsidRPr="00207718">
        <w:rPr>
          <w:i/>
          <w:iCs/>
          <w:sz w:val="22"/>
          <w:szCs w:val="22"/>
        </w:rPr>
        <w:t xml:space="preserve">The Journal Of American Folklore, </w:t>
      </w:r>
      <w:r w:rsidRPr="00207718">
        <w:rPr>
          <w:sz w:val="22"/>
          <w:szCs w:val="22"/>
        </w:rPr>
        <w:t>99:394 (1986), 415-434</w:t>
      </w:r>
    </w:p>
    <w:bookmarkEnd w:id="44"/>
    <w:p w14:paraId="6CEDA11F" w14:textId="734B0E9B" w:rsidR="009024BF" w:rsidRDefault="009024BF" w:rsidP="002751C0">
      <w:pPr>
        <w:pStyle w:val="FootnoteText"/>
        <w:rPr>
          <w:sz w:val="22"/>
          <w:szCs w:val="22"/>
        </w:rPr>
      </w:pPr>
    </w:p>
    <w:p w14:paraId="217C4353" w14:textId="6A249C5E" w:rsidR="009024BF" w:rsidRDefault="009024BF" w:rsidP="002751C0">
      <w:pPr>
        <w:pStyle w:val="FootnoteText"/>
        <w:rPr>
          <w:sz w:val="22"/>
          <w:szCs w:val="22"/>
        </w:rPr>
      </w:pPr>
      <w:r w:rsidRPr="009024BF">
        <w:rPr>
          <w:sz w:val="22"/>
          <w:szCs w:val="22"/>
        </w:rPr>
        <w:t>Bennett,</w:t>
      </w:r>
      <w:r>
        <w:rPr>
          <w:sz w:val="22"/>
          <w:szCs w:val="22"/>
        </w:rPr>
        <w:t xml:space="preserve"> Gillian,</w:t>
      </w:r>
      <w:r w:rsidRPr="009024BF">
        <w:rPr>
          <w:sz w:val="22"/>
          <w:szCs w:val="22"/>
        </w:rPr>
        <w:t xml:space="preserve"> </w:t>
      </w:r>
      <w:r w:rsidRPr="009024BF">
        <w:rPr>
          <w:i/>
          <w:iCs/>
          <w:sz w:val="22"/>
          <w:szCs w:val="22"/>
        </w:rPr>
        <w:t xml:space="preserve">The 100 Best British Ghost Stories, </w:t>
      </w:r>
      <w:r w:rsidRPr="009024BF">
        <w:rPr>
          <w:sz w:val="22"/>
          <w:szCs w:val="22"/>
        </w:rPr>
        <w:t>(Gloucestershire: Amberley Publishing, 2012)</w:t>
      </w:r>
    </w:p>
    <w:p w14:paraId="72784917" w14:textId="0B98FCF5" w:rsidR="002B3E30" w:rsidRDefault="002B3E30" w:rsidP="002751C0">
      <w:pPr>
        <w:pStyle w:val="FootnoteText"/>
        <w:rPr>
          <w:sz w:val="22"/>
          <w:szCs w:val="22"/>
        </w:rPr>
      </w:pPr>
    </w:p>
    <w:p w14:paraId="072CF163" w14:textId="0B143B19" w:rsidR="002B3E30" w:rsidRDefault="002B3E30" w:rsidP="002751C0">
      <w:pPr>
        <w:pStyle w:val="FootnoteText"/>
        <w:rPr>
          <w:sz w:val="22"/>
          <w:szCs w:val="22"/>
        </w:rPr>
      </w:pPr>
      <w:r w:rsidRPr="002B3E30">
        <w:rPr>
          <w:sz w:val="22"/>
          <w:szCs w:val="22"/>
        </w:rPr>
        <w:t>Bennett,</w:t>
      </w:r>
      <w:r>
        <w:rPr>
          <w:sz w:val="22"/>
          <w:szCs w:val="22"/>
        </w:rPr>
        <w:t xml:space="preserve"> Gillian,</w:t>
      </w:r>
      <w:r w:rsidRPr="002B3E30">
        <w:rPr>
          <w:sz w:val="22"/>
          <w:szCs w:val="22"/>
        </w:rPr>
        <w:t xml:space="preserve"> </w:t>
      </w:r>
      <w:r w:rsidRPr="002B3E30">
        <w:rPr>
          <w:i/>
          <w:iCs/>
          <w:sz w:val="22"/>
          <w:szCs w:val="22"/>
        </w:rPr>
        <w:t xml:space="preserve">Traditions </w:t>
      </w:r>
      <w:r w:rsidR="00B01FC1">
        <w:rPr>
          <w:i/>
          <w:iCs/>
          <w:sz w:val="22"/>
          <w:szCs w:val="22"/>
        </w:rPr>
        <w:t>O</w:t>
      </w:r>
      <w:r w:rsidRPr="002B3E30">
        <w:rPr>
          <w:i/>
          <w:iCs/>
          <w:sz w:val="22"/>
          <w:szCs w:val="22"/>
        </w:rPr>
        <w:t xml:space="preserve">f Belief, </w:t>
      </w:r>
      <w:r w:rsidRPr="002B3E30">
        <w:rPr>
          <w:sz w:val="22"/>
          <w:szCs w:val="22"/>
        </w:rPr>
        <w:t>(London: Penguin, 1988)</w:t>
      </w:r>
    </w:p>
    <w:p w14:paraId="222BDFE9" w14:textId="0839BF78" w:rsidR="00B01FC1" w:rsidRDefault="00B01FC1" w:rsidP="002751C0">
      <w:pPr>
        <w:pStyle w:val="FootnoteText"/>
        <w:rPr>
          <w:sz w:val="22"/>
          <w:szCs w:val="22"/>
        </w:rPr>
      </w:pPr>
    </w:p>
    <w:p w14:paraId="2A731F8F" w14:textId="5D61E1F3" w:rsidR="00B01FC1" w:rsidRPr="00933C83" w:rsidRDefault="00B01FC1" w:rsidP="002751C0">
      <w:pPr>
        <w:pStyle w:val="FootnoteText"/>
        <w:rPr>
          <w:sz w:val="22"/>
          <w:szCs w:val="22"/>
        </w:rPr>
      </w:pPr>
      <w:r w:rsidRPr="00B01FC1">
        <w:rPr>
          <w:sz w:val="22"/>
          <w:szCs w:val="22"/>
        </w:rPr>
        <w:t>Brink,</w:t>
      </w:r>
      <w:r>
        <w:rPr>
          <w:sz w:val="22"/>
          <w:szCs w:val="22"/>
        </w:rPr>
        <w:t xml:space="preserve"> T.L.,</w:t>
      </w:r>
      <w:r w:rsidRPr="00B01FC1">
        <w:rPr>
          <w:sz w:val="22"/>
          <w:szCs w:val="22"/>
        </w:rPr>
        <w:t xml:space="preserve"> ‘Inconsistency Of Belief Among Roman Catholic Girls: Concerning Religion, Astrology, Reincarnation’, </w:t>
      </w:r>
      <w:r w:rsidRPr="00B01FC1">
        <w:rPr>
          <w:i/>
          <w:iCs/>
          <w:sz w:val="22"/>
          <w:szCs w:val="22"/>
        </w:rPr>
        <w:t>Review Of Religious Research</w:t>
      </w:r>
      <w:r w:rsidRPr="00B01FC1">
        <w:rPr>
          <w:sz w:val="22"/>
          <w:szCs w:val="22"/>
        </w:rPr>
        <w:t>, 20:1 (1978), 82-85</w:t>
      </w:r>
    </w:p>
    <w:p w14:paraId="0EA6A1E1" w14:textId="7B4C3F78" w:rsidR="003F2B7B" w:rsidRDefault="003F2B7B" w:rsidP="006F6A7F">
      <w:pPr>
        <w:spacing w:after="0"/>
      </w:pPr>
    </w:p>
    <w:p w14:paraId="372BEA7C" w14:textId="77D68F79" w:rsidR="0021158E" w:rsidRDefault="0021158E" w:rsidP="006F6A7F">
      <w:pPr>
        <w:spacing w:after="0"/>
      </w:pPr>
      <w:r w:rsidRPr="0021158E">
        <w:t xml:space="preserve">Google Scholar, </w:t>
      </w:r>
      <w:r w:rsidRPr="0021158E">
        <w:rPr>
          <w:i/>
          <w:iCs/>
        </w:rPr>
        <w:t xml:space="preserve">T.L. Brink, </w:t>
      </w:r>
      <w:r w:rsidRPr="0021158E">
        <w:t>&lt;https://scholar.google.com/citations?user=6R_ygMcAAAAJ&amp;hl=en&gt; [accessed 12 March 2022]</w:t>
      </w:r>
    </w:p>
    <w:p w14:paraId="7D4B0126" w14:textId="77777777" w:rsidR="0021158E" w:rsidRDefault="0021158E" w:rsidP="006F6A7F">
      <w:pPr>
        <w:spacing w:after="0"/>
      </w:pPr>
    </w:p>
    <w:p w14:paraId="31A5CD2F" w14:textId="3831D4E7" w:rsidR="006D058D" w:rsidRDefault="006D058D" w:rsidP="006D058D">
      <w:pPr>
        <w:spacing w:after="0"/>
      </w:pPr>
      <w:r w:rsidRPr="006D058D">
        <w:t xml:space="preserve">Hawkes Learning, </w:t>
      </w:r>
      <w:r w:rsidRPr="006D058D">
        <w:rPr>
          <w:i/>
          <w:iCs/>
        </w:rPr>
        <w:t xml:space="preserve">Dr. T. L. Brink: Professor </w:t>
      </w:r>
      <w:r w:rsidR="00B01FC1">
        <w:rPr>
          <w:i/>
          <w:iCs/>
        </w:rPr>
        <w:t>O</w:t>
      </w:r>
      <w:r w:rsidRPr="006D058D">
        <w:rPr>
          <w:i/>
          <w:iCs/>
        </w:rPr>
        <w:t xml:space="preserve">f Psychology, Crafton Hills College, </w:t>
      </w:r>
      <w:r w:rsidRPr="006D058D">
        <w:t>2022 &lt; https://learning-and-growing-2021.heysummit.com/speakers/dr-tl-brink/&gt; [accessed 12 March 2022</w:t>
      </w:r>
    </w:p>
    <w:p w14:paraId="6AC17FBA" w14:textId="1C4DEC4C" w:rsidR="00106F2A" w:rsidRDefault="00106F2A" w:rsidP="006D058D">
      <w:pPr>
        <w:spacing w:after="0"/>
      </w:pPr>
    </w:p>
    <w:p w14:paraId="746EDE65" w14:textId="1885A688" w:rsidR="00106F2A" w:rsidRDefault="00106F2A" w:rsidP="006D058D">
      <w:pPr>
        <w:spacing w:after="0"/>
      </w:pPr>
      <w:r w:rsidRPr="00106F2A">
        <w:t xml:space="preserve">Hennink, </w:t>
      </w:r>
      <w:r>
        <w:t xml:space="preserve">Monique, </w:t>
      </w:r>
      <w:r w:rsidRPr="00106F2A">
        <w:t xml:space="preserve">Inge Hutter and Ajay Bailey, </w:t>
      </w:r>
      <w:r w:rsidRPr="00106F2A">
        <w:rPr>
          <w:i/>
          <w:iCs/>
        </w:rPr>
        <w:t xml:space="preserve">Qualitative Research Methods, </w:t>
      </w:r>
      <w:r w:rsidRPr="00106F2A">
        <w:t>(Los Angeles: Sage, 2020)</w:t>
      </w:r>
    </w:p>
    <w:p w14:paraId="5A5279A9" w14:textId="29122276" w:rsidR="00D16CDD" w:rsidRDefault="00D16CDD" w:rsidP="006D058D">
      <w:pPr>
        <w:spacing w:after="0"/>
      </w:pPr>
    </w:p>
    <w:p w14:paraId="37C0C915" w14:textId="5C84D43F" w:rsidR="00D16CDD" w:rsidRDefault="00D16CDD" w:rsidP="006D058D">
      <w:pPr>
        <w:spacing w:after="0"/>
      </w:pPr>
      <w:r w:rsidRPr="00D16CDD">
        <w:t>Hillman,</w:t>
      </w:r>
      <w:r>
        <w:t xml:space="preserve"> David,</w:t>
      </w:r>
      <w:r w:rsidRPr="00D16CDD">
        <w:t xml:space="preserve"> ‘The Scholarly Voice And The Personal Voice: Reflexivity In Belief Studies’, </w:t>
      </w:r>
      <w:r w:rsidRPr="00D16CDD">
        <w:rPr>
          <w:i/>
          <w:iCs/>
        </w:rPr>
        <w:t xml:space="preserve">Western Folklore, </w:t>
      </w:r>
      <w:r w:rsidRPr="00D16CDD">
        <w:t>54:1 (1995), 57-76</w:t>
      </w:r>
    </w:p>
    <w:p w14:paraId="6B139F4B" w14:textId="6AD2E865" w:rsidR="00D9033C" w:rsidRDefault="00D9033C" w:rsidP="006D058D">
      <w:pPr>
        <w:spacing w:after="0"/>
      </w:pPr>
    </w:p>
    <w:p w14:paraId="382A571D" w14:textId="70D6EE6E" w:rsidR="00D9033C" w:rsidRPr="006D058D" w:rsidRDefault="00D9033C" w:rsidP="006D058D">
      <w:pPr>
        <w:spacing w:after="0"/>
      </w:pPr>
      <w:r>
        <w:t xml:space="preserve">Springer, </w:t>
      </w:r>
      <w:r>
        <w:rPr>
          <w:i/>
          <w:iCs/>
        </w:rPr>
        <w:t xml:space="preserve">Review Of Religious Research: The Official Journal Of The Religious Research Association – Aims and Scope, </w:t>
      </w:r>
      <w:r>
        <w:t>2022, &lt;</w:t>
      </w:r>
      <w:r w:rsidRPr="00D9033C">
        <w:t xml:space="preserve"> https://www.springer.com/journal/13644/aims-and-scope</w:t>
      </w:r>
      <w:r>
        <w:t>&gt; [accessed 12 March 2022]</w:t>
      </w:r>
    </w:p>
    <w:p w14:paraId="55AB4301" w14:textId="77777777" w:rsidR="006D058D" w:rsidRDefault="006D058D" w:rsidP="006F6A7F">
      <w:pPr>
        <w:spacing w:after="0"/>
      </w:pPr>
    </w:p>
    <w:p w14:paraId="4299B8FA" w14:textId="10E70B5A" w:rsidR="00FA4D72" w:rsidRPr="00FA4D72" w:rsidRDefault="00FA4D72" w:rsidP="00FA4D72">
      <w:pPr>
        <w:spacing w:after="0"/>
      </w:pPr>
      <w:r w:rsidRPr="00FA4D72">
        <w:t xml:space="preserve">The Website for the International Society for Contemporary Legend Research, </w:t>
      </w:r>
      <w:r w:rsidRPr="00FA4D72">
        <w:rPr>
          <w:i/>
          <w:iCs/>
        </w:rPr>
        <w:t>2015 Recipient Of The Linda Dégh Lifetime Achievement Award</w:t>
      </w:r>
      <w:r>
        <w:rPr>
          <w:i/>
          <w:iCs/>
        </w:rPr>
        <w:t>:</w:t>
      </w:r>
      <w:r w:rsidRPr="00FA4D72">
        <w:rPr>
          <w:i/>
          <w:iCs/>
        </w:rPr>
        <w:t xml:space="preserve"> Dr. Gillian Bennett </w:t>
      </w:r>
      <w:r w:rsidRPr="00FA4D72">
        <w:t>(2015) &lt;https://contemporarylegend.org/prizes-and-awards/linda-degh-lifetime-achievement-award/dr-gillian-bennett/&gt; [accessed 12 March 2022]</w:t>
      </w:r>
    </w:p>
    <w:p w14:paraId="5BCEA712" w14:textId="77777777" w:rsidR="00FA4D72" w:rsidRDefault="00FA4D72" w:rsidP="006F6A7F">
      <w:pPr>
        <w:spacing w:after="0"/>
      </w:pPr>
    </w:p>
    <w:p w14:paraId="13298132" w14:textId="6CE09297" w:rsidR="00933C83" w:rsidRPr="00933C83" w:rsidRDefault="00933C83" w:rsidP="002751C0">
      <w:bookmarkStart w:id="45" w:name="_Hlk98683183"/>
      <w:r>
        <w:t xml:space="preserve">Walter, Tony and Helen Waterhouse, ‘A Very Private Belief: Reincarnation In Contemporary England’, </w:t>
      </w:r>
      <w:r>
        <w:rPr>
          <w:i/>
          <w:iCs/>
        </w:rPr>
        <w:t>Sociology Of Religion</w:t>
      </w:r>
      <w:r>
        <w:t>, 60 (1999), 187-197</w:t>
      </w:r>
      <w:bookmarkEnd w:id="45"/>
    </w:p>
    <w:sectPr w:rsidR="00933C83" w:rsidRPr="00933C83">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A024C9" w14:textId="77777777" w:rsidR="0029332C" w:rsidRDefault="0029332C" w:rsidP="00D918B4">
      <w:pPr>
        <w:spacing w:after="0" w:line="240" w:lineRule="auto"/>
      </w:pPr>
      <w:r>
        <w:separator/>
      </w:r>
    </w:p>
  </w:endnote>
  <w:endnote w:type="continuationSeparator" w:id="0">
    <w:p w14:paraId="092B6926" w14:textId="77777777" w:rsidR="0029332C" w:rsidRDefault="0029332C" w:rsidP="00D918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Bold">
    <w:panose1 w:val="020B0804030504040204"/>
    <w:charset w:val="00"/>
    <w:family w:val="roman"/>
    <w:pitch w:val="default"/>
  </w:font>
  <w:font w:name="Trebuchet MS">
    <w:panose1 w:val="020B0603020202020204"/>
    <w:charset w:val="00"/>
    <w:family w:val="swiss"/>
    <w:pitch w:val="variable"/>
    <w:sig w:usb0="00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Helvetica Neue">
    <w:altName w:val="Times New Roman"/>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4CA7F1" w14:textId="77777777" w:rsidR="0029332C" w:rsidRDefault="0029332C" w:rsidP="00D918B4">
      <w:pPr>
        <w:spacing w:after="0" w:line="240" w:lineRule="auto"/>
      </w:pPr>
      <w:r>
        <w:separator/>
      </w:r>
    </w:p>
  </w:footnote>
  <w:footnote w:type="continuationSeparator" w:id="0">
    <w:p w14:paraId="256DC0F2" w14:textId="77777777" w:rsidR="0029332C" w:rsidRDefault="0029332C" w:rsidP="00D918B4">
      <w:pPr>
        <w:spacing w:after="0" w:line="240" w:lineRule="auto"/>
      </w:pPr>
      <w:r>
        <w:continuationSeparator/>
      </w:r>
    </w:p>
  </w:footnote>
  <w:footnote w:id="1">
    <w:p w14:paraId="1F402836" w14:textId="1B173E09" w:rsidR="00FA00AB" w:rsidRPr="003021C3" w:rsidRDefault="00FA00AB" w:rsidP="00FA00AB">
      <w:pPr>
        <w:pStyle w:val="FootnoteText"/>
      </w:pPr>
      <w:r>
        <w:rPr>
          <w:rStyle w:val="FootnoteReference"/>
        </w:rPr>
        <w:footnoteRef/>
      </w:r>
      <w:r>
        <w:t xml:space="preserve"> </w:t>
      </w:r>
      <w:bookmarkStart w:id="0" w:name="_Hlk98164665"/>
      <w:r w:rsidR="00E30EAE">
        <w:t>Gillian Bennett</w:t>
      </w:r>
      <w:r>
        <w:t>, ‘</w:t>
      </w:r>
      <w:r w:rsidR="00E30EAE">
        <w:t>”If I</w:t>
      </w:r>
      <w:r w:rsidR="006050F5">
        <w:t xml:space="preserve"> Knew</w:t>
      </w:r>
      <w:r w:rsidR="00E30EAE">
        <w:t xml:space="preserve"> You Were Coming, I’d Have Baked A Cake”: The Folklore Of Foreknowledge In A Neighborhood Group</w:t>
      </w:r>
      <w:r>
        <w:t xml:space="preserve">’, </w:t>
      </w:r>
      <w:r w:rsidR="006F6A7F">
        <w:t xml:space="preserve">in </w:t>
      </w:r>
      <w:r w:rsidR="00E223F6">
        <w:rPr>
          <w:i/>
          <w:iCs/>
        </w:rPr>
        <w:t xml:space="preserve">Out Of The Ordinary: Folklore And The Supernatural, </w:t>
      </w:r>
      <w:r w:rsidR="00E223F6" w:rsidRPr="006F6A7F">
        <w:t>ed.</w:t>
      </w:r>
      <w:r w:rsidR="006F6A7F">
        <w:t xml:space="preserve"> by</w:t>
      </w:r>
      <w:r w:rsidR="00E223F6" w:rsidRPr="006F6A7F">
        <w:t xml:space="preserve"> Barbara Walker</w:t>
      </w:r>
      <w:r>
        <w:t>, (</w:t>
      </w:r>
      <w:r w:rsidR="00E223F6">
        <w:t>Utah: Utah University Press</w:t>
      </w:r>
      <w:r w:rsidR="002751C0">
        <w:t>, 1995</w:t>
      </w:r>
      <w:r>
        <w:t xml:space="preserve">), </w:t>
      </w:r>
      <w:r w:rsidR="002751C0">
        <w:t>122-142</w:t>
      </w:r>
      <w:r>
        <w:t>.</w:t>
      </w:r>
    </w:p>
    <w:bookmarkStart w:id="1" w:name="_Hlk98675913"/>
    <w:bookmarkEnd w:id="0"/>
  </w:footnote>
  <w:footnote w:id="2">
    <w:p w14:paraId="7B5362F9" w14:textId="18E04804" w:rsidR="00FA00AB" w:rsidRPr="004A7EAD" w:rsidRDefault="00FA00AB" w:rsidP="00FA00AB">
      <w:pPr>
        <w:pStyle w:val="FootnoteText"/>
      </w:pPr>
      <w:bookmarkStart w:id="2" w:name="_Hlk98675913"/>
      <w:r>
        <w:rPr>
          <w:rStyle w:val="FootnoteReference"/>
        </w:rPr>
        <w:footnoteRef/>
      </w:r>
      <w:r>
        <w:t xml:space="preserve"> </w:t>
      </w:r>
      <w:bookmarkStart w:id="3" w:name="_Hlk98165100"/>
      <w:r w:rsidR="00585690">
        <w:t>T</w:t>
      </w:r>
      <w:r w:rsidR="00E0266D">
        <w:t>. L. Brink</w:t>
      </w:r>
      <w:r>
        <w:t xml:space="preserve">, </w:t>
      </w:r>
      <w:r w:rsidR="00585690">
        <w:t>‘</w:t>
      </w:r>
      <w:r w:rsidR="00E0266D">
        <w:t>Inconsistency Of Belief Among Roman Catholic Girls: Concerning Religion, Astrology, Reincarnation</w:t>
      </w:r>
      <w:r>
        <w:t xml:space="preserve">’, </w:t>
      </w:r>
      <w:r w:rsidR="00E0266D">
        <w:rPr>
          <w:i/>
          <w:iCs/>
        </w:rPr>
        <w:t>Review</w:t>
      </w:r>
      <w:r w:rsidR="00585690">
        <w:rPr>
          <w:i/>
          <w:iCs/>
        </w:rPr>
        <w:t xml:space="preserve"> Of Religio</w:t>
      </w:r>
      <w:r w:rsidR="00E0266D">
        <w:rPr>
          <w:i/>
          <w:iCs/>
        </w:rPr>
        <w:t>us Research</w:t>
      </w:r>
      <w:r>
        <w:t xml:space="preserve">, </w:t>
      </w:r>
      <w:r w:rsidR="00E0266D">
        <w:t>20:1</w:t>
      </w:r>
      <w:r>
        <w:t xml:space="preserve"> (</w:t>
      </w:r>
      <w:r w:rsidR="00933C83">
        <w:t>19</w:t>
      </w:r>
      <w:r w:rsidR="00E0266D">
        <w:t>78</w:t>
      </w:r>
      <w:r>
        <w:t xml:space="preserve">), </w:t>
      </w:r>
      <w:r w:rsidR="00E0266D">
        <w:t>82-85</w:t>
      </w:r>
      <w:r>
        <w:t>.</w:t>
      </w:r>
      <w:bookmarkEnd w:id="3"/>
      <w:bookmarkEnd w:id="2"/>
    </w:p>
  </w:footnote>
  <w:footnote w:id="3">
    <w:p w14:paraId="1EE6B17C" w14:textId="77777777" w:rsidR="00CC0974" w:rsidRPr="002D5133" w:rsidRDefault="00CC0974" w:rsidP="00CC0974">
      <w:pPr>
        <w:pStyle w:val="FootnoteText"/>
      </w:pPr>
      <w:r>
        <w:rPr>
          <w:rStyle w:val="FootnoteReference"/>
        </w:rPr>
        <w:footnoteRef/>
      </w:r>
      <w:r>
        <w:t xml:space="preserve"> </w:t>
      </w:r>
      <w:bookmarkStart w:id="4" w:name="_Hlk98665884"/>
      <w:bookmarkStart w:id="5" w:name="_Hlk98665885"/>
      <w:bookmarkStart w:id="6" w:name="_Hlk98665895"/>
      <w:bookmarkStart w:id="7" w:name="_Hlk98665896"/>
      <w:bookmarkStart w:id="8" w:name="_Hlk98665913"/>
      <w:bookmarkStart w:id="9" w:name="_Hlk98665914"/>
      <w:bookmarkStart w:id="10" w:name="_Hlk98665924"/>
      <w:bookmarkStart w:id="11" w:name="_Hlk98665925"/>
      <w:bookmarkStart w:id="12" w:name="_Hlk98665931"/>
      <w:bookmarkStart w:id="13" w:name="_Hlk98665932"/>
      <w:bookmarkStart w:id="14" w:name="_Hlk98665934"/>
      <w:bookmarkStart w:id="15" w:name="_Hlk98665935"/>
      <w:bookmarkStart w:id="16" w:name="_Hlk98665936"/>
      <w:bookmarkStart w:id="17" w:name="_Hlk98665937"/>
      <w:bookmarkStart w:id="18" w:name="_Hlk98665938"/>
      <w:bookmarkStart w:id="19" w:name="_Hlk98665939"/>
      <w:bookmarkStart w:id="20" w:name="_Hlk98665940"/>
      <w:bookmarkStart w:id="21" w:name="_Hlk98665941"/>
      <w:bookmarkStart w:id="22" w:name="_Hlk98665942"/>
      <w:bookmarkStart w:id="23" w:name="_Hlk98665943"/>
      <w:bookmarkStart w:id="24" w:name="_Hlk98665944"/>
      <w:bookmarkStart w:id="25" w:name="_Hlk98665945"/>
      <w:bookmarkStart w:id="26" w:name="_Hlk98665954"/>
      <w:bookmarkStart w:id="27" w:name="_Hlk98665955"/>
      <w:bookmarkStart w:id="28" w:name="_Hlk98665964"/>
      <w:bookmarkStart w:id="29" w:name="_Hlk98665965"/>
      <w:bookmarkStart w:id="30" w:name="_Hlk98665966"/>
      <w:bookmarkStart w:id="31" w:name="_Hlk98665967"/>
      <w:r>
        <w:t xml:space="preserve">Gillian Bennett, </w:t>
      </w:r>
      <w:r>
        <w:rPr>
          <w:i/>
          <w:iCs/>
        </w:rPr>
        <w:t xml:space="preserve">Aspects Of Supernatural Belief, Memorate And Legend In A Contemporary Urban Environment. </w:t>
      </w:r>
      <w:r>
        <w:t>(PhD thesis, University of Sheffield, 1985) &lt;</w:t>
      </w:r>
      <w:r w:rsidRPr="002D5133">
        <w:t>https://etheses.whiterose.ac.uk/1891/</w:t>
      </w:r>
      <w:r>
        <w:t>&gt; [accessed 12 March 2022].</w:t>
      </w:r>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p>
  </w:footnote>
  <w:footnote w:id="4">
    <w:p w14:paraId="518BB018" w14:textId="13300BBD" w:rsidR="00426182" w:rsidRPr="00426182" w:rsidRDefault="00426182">
      <w:pPr>
        <w:pStyle w:val="FootnoteText"/>
      </w:pPr>
      <w:r>
        <w:rPr>
          <w:rStyle w:val="FootnoteReference"/>
        </w:rPr>
        <w:footnoteRef/>
      </w:r>
      <w:r>
        <w:t xml:space="preserve"> Gillian </w:t>
      </w:r>
      <w:bookmarkStart w:id="32" w:name="_Hlk98674698"/>
      <w:r>
        <w:t xml:space="preserve">Bennett, </w:t>
      </w:r>
      <w:r>
        <w:rPr>
          <w:i/>
          <w:iCs/>
        </w:rPr>
        <w:t xml:space="preserve">Traditions </w:t>
      </w:r>
      <w:r w:rsidR="00B01FC1">
        <w:rPr>
          <w:i/>
          <w:iCs/>
        </w:rPr>
        <w:t>O</w:t>
      </w:r>
      <w:r>
        <w:rPr>
          <w:i/>
          <w:iCs/>
        </w:rPr>
        <w:t xml:space="preserve">f Belief, </w:t>
      </w:r>
      <w:r>
        <w:t>(</w:t>
      </w:r>
      <w:r w:rsidR="002B3E30">
        <w:t>London: Penguin, 1988)</w:t>
      </w:r>
      <w:bookmarkEnd w:id="32"/>
      <w:r w:rsidR="002B3E30">
        <w:t>.</w:t>
      </w:r>
    </w:p>
  </w:footnote>
  <w:footnote w:id="5">
    <w:p w14:paraId="0902A2E8" w14:textId="288BBF2E" w:rsidR="002B3E30" w:rsidRPr="009024BF" w:rsidRDefault="002B3E30">
      <w:pPr>
        <w:pStyle w:val="FootnoteText"/>
      </w:pPr>
      <w:r>
        <w:rPr>
          <w:rStyle w:val="FootnoteReference"/>
        </w:rPr>
        <w:footnoteRef/>
      </w:r>
      <w:r>
        <w:t xml:space="preserve"> </w:t>
      </w:r>
      <w:r w:rsidR="009024BF">
        <w:t xml:space="preserve">Gillian </w:t>
      </w:r>
      <w:bookmarkStart w:id="33" w:name="_Hlk98674941"/>
      <w:r w:rsidR="009024BF">
        <w:t xml:space="preserve">Bennett, </w:t>
      </w:r>
      <w:r w:rsidR="009024BF">
        <w:rPr>
          <w:i/>
          <w:iCs/>
        </w:rPr>
        <w:t xml:space="preserve">The 100 Best British Ghost Stories, </w:t>
      </w:r>
      <w:r w:rsidR="009024BF">
        <w:t>(Gloucestershire: Amberley Publishing, 2012)</w:t>
      </w:r>
      <w:bookmarkEnd w:id="33"/>
      <w:r w:rsidR="009024BF">
        <w:t>.</w:t>
      </w:r>
    </w:p>
  </w:footnote>
  <w:footnote w:id="6">
    <w:p w14:paraId="635F0E64" w14:textId="1B15BA4A" w:rsidR="006176B2" w:rsidRDefault="006176B2">
      <w:pPr>
        <w:pStyle w:val="FootnoteText"/>
      </w:pPr>
      <w:r>
        <w:rPr>
          <w:rStyle w:val="FootnoteReference"/>
        </w:rPr>
        <w:footnoteRef/>
      </w:r>
      <w:r>
        <w:t xml:space="preserve"> </w:t>
      </w:r>
      <w:bookmarkStart w:id="34" w:name="_Hlk98667410"/>
      <w:r w:rsidRPr="006176B2">
        <w:t xml:space="preserve">The Website </w:t>
      </w:r>
      <w:r w:rsidR="00B01FC1">
        <w:t>F</w:t>
      </w:r>
      <w:r w:rsidRPr="006176B2">
        <w:t xml:space="preserve">or </w:t>
      </w:r>
      <w:r w:rsidR="00B01FC1">
        <w:t>T</w:t>
      </w:r>
      <w:r w:rsidRPr="006176B2">
        <w:t xml:space="preserve">he International Society </w:t>
      </w:r>
      <w:r w:rsidR="00B01FC1">
        <w:t>F</w:t>
      </w:r>
      <w:r w:rsidRPr="006176B2">
        <w:t>or Contemporary Legend Research</w:t>
      </w:r>
      <w:r>
        <w:t xml:space="preserve">, </w:t>
      </w:r>
      <w:r w:rsidRPr="006176B2">
        <w:rPr>
          <w:i/>
          <w:iCs/>
        </w:rPr>
        <w:t>2015 R</w:t>
      </w:r>
      <w:r w:rsidRPr="006176B2">
        <w:rPr>
          <w:i/>
          <w:iCs/>
        </w:rPr>
        <w:t>ecipient</w:t>
      </w:r>
      <w:r w:rsidRPr="006176B2">
        <w:rPr>
          <w:i/>
          <w:iCs/>
        </w:rPr>
        <w:t xml:space="preserve"> O</w:t>
      </w:r>
      <w:r w:rsidRPr="006176B2">
        <w:rPr>
          <w:i/>
          <w:iCs/>
        </w:rPr>
        <w:t>f</w:t>
      </w:r>
      <w:r w:rsidRPr="006176B2">
        <w:rPr>
          <w:i/>
          <w:iCs/>
        </w:rPr>
        <w:t xml:space="preserve"> T</w:t>
      </w:r>
      <w:r w:rsidRPr="006176B2">
        <w:rPr>
          <w:i/>
          <w:iCs/>
        </w:rPr>
        <w:t>he</w:t>
      </w:r>
      <w:r w:rsidRPr="006176B2">
        <w:rPr>
          <w:i/>
          <w:iCs/>
        </w:rPr>
        <w:t xml:space="preserve"> L</w:t>
      </w:r>
      <w:r w:rsidRPr="006176B2">
        <w:rPr>
          <w:i/>
          <w:iCs/>
        </w:rPr>
        <w:t>inda</w:t>
      </w:r>
      <w:r w:rsidRPr="006176B2">
        <w:rPr>
          <w:i/>
          <w:iCs/>
        </w:rPr>
        <w:t xml:space="preserve"> D</w:t>
      </w:r>
      <w:r w:rsidRPr="006176B2">
        <w:rPr>
          <w:rFonts w:cstheme="minorHAnsi"/>
          <w:i/>
          <w:iCs/>
        </w:rPr>
        <w:t>é</w:t>
      </w:r>
      <w:r w:rsidRPr="006176B2">
        <w:rPr>
          <w:i/>
          <w:iCs/>
        </w:rPr>
        <w:t>gh</w:t>
      </w:r>
      <w:r w:rsidRPr="006176B2">
        <w:rPr>
          <w:i/>
          <w:iCs/>
        </w:rPr>
        <w:t xml:space="preserve"> L</w:t>
      </w:r>
      <w:r w:rsidRPr="006176B2">
        <w:rPr>
          <w:i/>
          <w:iCs/>
        </w:rPr>
        <w:t>ifetime</w:t>
      </w:r>
      <w:r w:rsidRPr="006176B2">
        <w:rPr>
          <w:i/>
          <w:iCs/>
        </w:rPr>
        <w:t xml:space="preserve"> A</w:t>
      </w:r>
      <w:r w:rsidRPr="006176B2">
        <w:rPr>
          <w:i/>
          <w:iCs/>
        </w:rPr>
        <w:t>chievement</w:t>
      </w:r>
      <w:r w:rsidRPr="006176B2">
        <w:rPr>
          <w:i/>
          <w:iCs/>
        </w:rPr>
        <w:t xml:space="preserve"> </w:t>
      </w:r>
      <w:r w:rsidRPr="006176B2">
        <w:rPr>
          <w:i/>
          <w:iCs/>
        </w:rPr>
        <w:t>Award</w:t>
      </w:r>
      <w:r w:rsidR="00FA4D72">
        <w:rPr>
          <w:i/>
          <w:iCs/>
        </w:rPr>
        <w:t>:</w:t>
      </w:r>
      <w:r w:rsidRPr="006176B2">
        <w:rPr>
          <w:i/>
          <w:iCs/>
        </w:rPr>
        <w:t xml:space="preserve"> </w:t>
      </w:r>
      <w:r w:rsidRPr="006176B2">
        <w:rPr>
          <w:i/>
          <w:iCs/>
        </w:rPr>
        <w:t>D</w:t>
      </w:r>
      <w:r w:rsidRPr="006176B2">
        <w:rPr>
          <w:i/>
          <w:iCs/>
        </w:rPr>
        <w:t>r</w:t>
      </w:r>
      <w:r w:rsidRPr="006176B2">
        <w:rPr>
          <w:i/>
          <w:iCs/>
        </w:rPr>
        <w:t>. G</w:t>
      </w:r>
      <w:r w:rsidRPr="006176B2">
        <w:rPr>
          <w:i/>
          <w:iCs/>
        </w:rPr>
        <w:t>illian</w:t>
      </w:r>
      <w:r w:rsidRPr="006176B2">
        <w:rPr>
          <w:i/>
          <w:iCs/>
        </w:rPr>
        <w:t xml:space="preserve"> B</w:t>
      </w:r>
      <w:r w:rsidRPr="006176B2">
        <w:rPr>
          <w:i/>
          <w:iCs/>
        </w:rPr>
        <w:t>ennett</w:t>
      </w:r>
      <w:r>
        <w:rPr>
          <w:i/>
          <w:iCs/>
        </w:rPr>
        <w:t xml:space="preserve"> </w:t>
      </w:r>
      <w:r>
        <w:t>(2015) &lt;</w:t>
      </w:r>
      <w:r w:rsidRPr="006176B2">
        <w:t>https://contemporarylegend.org/prizes-and-awards/linda-degh-lifetime-achievement-award/dr-gillian-bennett/</w:t>
      </w:r>
      <w:r>
        <w:t>&gt; [accessed 12 March 2022].</w:t>
      </w:r>
      <w:bookmarkEnd w:id="34"/>
    </w:p>
  </w:footnote>
  <w:footnote w:id="7">
    <w:p w14:paraId="49F06BAA" w14:textId="7B74D114" w:rsidR="00D9033C" w:rsidRPr="00D9033C" w:rsidRDefault="00D9033C">
      <w:pPr>
        <w:pStyle w:val="FootnoteText"/>
      </w:pPr>
      <w:r>
        <w:rPr>
          <w:rStyle w:val="FootnoteReference"/>
        </w:rPr>
        <w:footnoteRef/>
      </w:r>
      <w:r>
        <w:t xml:space="preserve"> </w:t>
      </w:r>
      <w:bookmarkStart w:id="35" w:name="_Hlk98676410"/>
      <w:r>
        <w:t xml:space="preserve">Springer, </w:t>
      </w:r>
      <w:r>
        <w:rPr>
          <w:i/>
          <w:iCs/>
        </w:rPr>
        <w:t xml:space="preserve">Review Of Religious Research: The Official Journal Of The Religious Research Association – Aims and Scope, </w:t>
      </w:r>
      <w:r>
        <w:t>2022, &lt;</w:t>
      </w:r>
      <w:r w:rsidRPr="00D9033C">
        <w:t xml:space="preserve"> </w:t>
      </w:r>
      <w:r w:rsidRPr="00D9033C">
        <w:t>https://www.springer.com/journal/13644/aims-and-scope</w:t>
      </w:r>
      <w:r>
        <w:t>&gt; [accessed 12 March 2022]</w:t>
      </w:r>
      <w:bookmarkEnd w:id="35"/>
      <w:r>
        <w:t>.</w:t>
      </w:r>
    </w:p>
  </w:footnote>
  <w:footnote w:id="8">
    <w:p w14:paraId="1A78E98C" w14:textId="40493795" w:rsidR="00F63070" w:rsidRPr="006D058D" w:rsidRDefault="00F63070">
      <w:pPr>
        <w:pStyle w:val="FootnoteText"/>
      </w:pPr>
      <w:r>
        <w:rPr>
          <w:rStyle w:val="FootnoteReference"/>
        </w:rPr>
        <w:footnoteRef/>
      </w:r>
      <w:r>
        <w:t xml:space="preserve"> </w:t>
      </w:r>
      <w:bookmarkStart w:id="36" w:name="_Hlk98673078"/>
      <w:bookmarkStart w:id="37" w:name="_Hlk98673079"/>
      <w:r w:rsidR="00490D1D">
        <w:t xml:space="preserve">Hawkes Learning, </w:t>
      </w:r>
      <w:r w:rsidR="006D058D">
        <w:rPr>
          <w:i/>
          <w:iCs/>
        </w:rPr>
        <w:t xml:space="preserve">Dr. T. L. Brink: Professor </w:t>
      </w:r>
      <w:r w:rsidR="00B01FC1">
        <w:rPr>
          <w:i/>
          <w:iCs/>
        </w:rPr>
        <w:t>O</w:t>
      </w:r>
      <w:r w:rsidR="006D058D">
        <w:rPr>
          <w:i/>
          <w:iCs/>
        </w:rPr>
        <w:t xml:space="preserve">f Psychology, Crafton Hills College, </w:t>
      </w:r>
      <w:r w:rsidR="006D058D">
        <w:t>2022 &lt;</w:t>
      </w:r>
      <w:r w:rsidR="006D058D" w:rsidRPr="006D058D">
        <w:t xml:space="preserve"> </w:t>
      </w:r>
      <w:r w:rsidR="006D058D" w:rsidRPr="006D058D">
        <w:t>https://learning-and-growing-2021.heysummit.com/speakers/dr-tl-brink/</w:t>
      </w:r>
      <w:r w:rsidR="006D058D">
        <w:t>&gt; [accessed 12 March 2022</w:t>
      </w:r>
      <w:r w:rsidR="00C12FB7">
        <w:t>]</w:t>
      </w:r>
      <w:r w:rsidR="006D058D">
        <w:t>.</w:t>
      </w:r>
      <w:bookmarkEnd w:id="36"/>
      <w:bookmarkEnd w:id="37"/>
    </w:p>
  </w:footnote>
  <w:footnote w:id="9">
    <w:p w14:paraId="717891C7" w14:textId="294FC37E" w:rsidR="0021158E" w:rsidRPr="0021158E" w:rsidRDefault="0021158E">
      <w:pPr>
        <w:pStyle w:val="FootnoteText"/>
      </w:pPr>
      <w:r>
        <w:rPr>
          <w:rStyle w:val="FootnoteReference"/>
        </w:rPr>
        <w:footnoteRef/>
      </w:r>
      <w:r>
        <w:t xml:space="preserve"> </w:t>
      </w:r>
      <w:bookmarkStart w:id="38" w:name="_Hlk98676085"/>
      <w:r>
        <w:t xml:space="preserve">Google Scholar, </w:t>
      </w:r>
      <w:r>
        <w:rPr>
          <w:i/>
          <w:iCs/>
        </w:rPr>
        <w:t xml:space="preserve">T.L. Brink, </w:t>
      </w:r>
      <w:r>
        <w:t>&lt;</w:t>
      </w:r>
      <w:r w:rsidRPr="0021158E">
        <w:t>https://scholar.google.com/citations?user=6R_ygMcAAAAJ&amp;hl=en</w:t>
      </w:r>
      <w:r>
        <w:t>&gt; [accessed 12 March 2022]</w:t>
      </w:r>
      <w:bookmarkEnd w:id="38"/>
      <w:r>
        <w:t>.</w:t>
      </w:r>
    </w:p>
  </w:footnote>
  <w:footnote w:id="10">
    <w:p w14:paraId="1D56FC85" w14:textId="07FB6464" w:rsidR="00106F2A" w:rsidRDefault="00106F2A">
      <w:pPr>
        <w:pStyle w:val="FootnoteText"/>
      </w:pPr>
      <w:r>
        <w:rPr>
          <w:rStyle w:val="FootnoteReference"/>
        </w:rPr>
        <w:footnoteRef/>
      </w:r>
      <w:r>
        <w:t xml:space="preserve"> Bennett, ‘If I’d Known You Were Coming’, pp. 126-127.</w:t>
      </w:r>
    </w:p>
  </w:footnote>
  <w:footnote w:id="11">
    <w:p w14:paraId="5C45327A" w14:textId="6E89B440" w:rsidR="003558BD" w:rsidRPr="00106F2A" w:rsidRDefault="003558BD" w:rsidP="003558BD">
      <w:pPr>
        <w:pStyle w:val="FootnoteText"/>
      </w:pPr>
      <w:r>
        <w:rPr>
          <w:rStyle w:val="FootnoteReference"/>
        </w:rPr>
        <w:footnoteRef/>
      </w:r>
      <w:r>
        <w:t xml:space="preserve"> </w:t>
      </w:r>
      <w:bookmarkStart w:id="39" w:name="_Hlk98679527"/>
      <w:r>
        <w:t xml:space="preserve">Monique Hennink, Inge Hutter and Ajay Bailey, </w:t>
      </w:r>
      <w:r>
        <w:rPr>
          <w:i/>
          <w:iCs/>
        </w:rPr>
        <w:t xml:space="preserve">Qualitative Research Methods, </w:t>
      </w:r>
      <w:r>
        <w:t>(Los Angeles: Sage, 2020)</w:t>
      </w:r>
      <w:bookmarkEnd w:id="39"/>
      <w:r>
        <w:t>, p.</w:t>
      </w:r>
      <w:r>
        <w:t>17</w:t>
      </w:r>
      <w:r>
        <w:t>.</w:t>
      </w:r>
    </w:p>
  </w:footnote>
  <w:footnote w:id="12">
    <w:p w14:paraId="54D7E64B" w14:textId="57D96E1E" w:rsidR="003558BD" w:rsidRPr="003558BD" w:rsidRDefault="003558BD">
      <w:pPr>
        <w:pStyle w:val="FootnoteText"/>
      </w:pPr>
      <w:r>
        <w:rPr>
          <w:rStyle w:val="FootnoteReference"/>
        </w:rPr>
        <w:footnoteRef/>
      </w:r>
      <w:r>
        <w:t xml:space="preserve"> Hennink, Hutter and Bailey, </w:t>
      </w:r>
      <w:r>
        <w:rPr>
          <w:i/>
          <w:iCs/>
        </w:rPr>
        <w:t xml:space="preserve">Qualitative Research Methods, </w:t>
      </w:r>
      <w:r>
        <w:t>p.41.</w:t>
      </w:r>
    </w:p>
  </w:footnote>
  <w:footnote w:id="13">
    <w:p w14:paraId="60FC5022" w14:textId="7C630615" w:rsidR="00A56DF4" w:rsidRDefault="00A56DF4" w:rsidP="00A56DF4">
      <w:pPr>
        <w:pStyle w:val="FootnoteText"/>
      </w:pPr>
      <w:r>
        <w:rPr>
          <w:rStyle w:val="FootnoteReference"/>
        </w:rPr>
        <w:footnoteRef/>
      </w:r>
      <w:r>
        <w:t xml:space="preserve"> </w:t>
      </w:r>
      <w:r w:rsidRPr="00440FF3">
        <w:t xml:space="preserve">Gillian Bennett, ‘Narrative As Expository Discourse’, </w:t>
      </w:r>
      <w:r w:rsidRPr="00440FF3">
        <w:rPr>
          <w:i/>
          <w:iCs/>
        </w:rPr>
        <w:t xml:space="preserve">The Journal Of American Folklore, </w:t>
      </w:r>
      <w:r w:rsidRPr="00440FF3">
        <w:t>99:394 (1986), 415-434</w:t>
      </w:r>
      <w:r w:rsidR="00A62D25">
        <w:t>.</w:t>
      </w:r>
    </w:p>
  </w:footnote>
  <w:footnote w:id="14">
    <w:p w14:paraId="27820573" w14:textId="50052152" w:rsidR="00E36AD8" w:rsidRPr="00E36AD8" w:rsidRDefault="00E36AD8">
      <w:pPr>
        <w:pStyle w:val="FootnoteText"/>
      </w:pPr>
      <w:r>
        <w:rPr>
          <w:rStyle w:val="FootnoteReference"/>
        </w:rPr>
        <w:footnoteRef/>
      </w:r>
      <w:r>
        <w:t xml:space="preserve"> </w:t>
      </w:r>
      <w:bookmarkStart w:id="40" w:name="_Hlk98680250"/>
      <w:r>
        <w:t xml:space="preserve">Judith, Bell, </w:t>
      </w:r>
      <w:r>
        <w:rPr>
          <w:i/>
          <w:iCs/>
        </w:rPr>
        <w:t xml:space="preserve">Doing Your Research Project: A Guide For First-Time Researchers, </w:t>
      </w:r>
      <w:r w:rsidRPr="00FE3191">
        <w:t>6</w:t>
      </w:r>
      <w:r w:rsidRPr="00FE3191">
        <w:rPr>
          <w:vertAlign w:val="superscript"/>
        </w:rPr>
        <w:t>th</w:t>
      </w:r>
      <w:r w:rsidRPr="00FE3191">
        <w:t xml:space="preserve"> ed</w:t>
      </w:r>
      <w:r w:rsidR="00FE3191" w:rsidRPr="00FE3191">
        <w:t>n</w:t>
      </w:r>
      <w:r w:rsidRPr="00FE3191">
        <w:t>.</w:t>
      </w:r>
      <w:r>
        <w:t xml:space="preserve"> (New York: McGraw Hill Education, 2014)</w:t>
      </w:r>
      <w:bookmarkEnd w:id="40"/>
      <w:r>
        <w:t>, p. 181.</w:t>
      </w:r>
    </w:p>
  </w:footnote>
  <w:footnote w:id="15">
    <w:p w14:paraId="092D34A8" w14:textId="02ABFA9C" w:rsidR="00DC5843" w:rsidRDefault="00DC5843">
      <w:pPr>
        <w:pStyle w:val="FootnoteText"/>
      </w:pPr>
      <w:r>
        <w:rPr>
          <w:rStyle w:val="FootnoteReference"/>
        </w:rPr>
        <w:footnoteRef/>
      </w:r>
      <w:r>
        <w:t xml:space="preserve"> Brink, ‘Inconsistency Of Belief’, p. 83.</w:t>
      </w:r>
    </w:p>
  </w:footnote>
  <w:footnote w:id="16">
    <w:p w14:paraId="31439CE4" w14:textId="7E2F8C9B" w:rsidR="00EA16D2" w:rsidRPr="00EA16D2" w:rsidRDefault="00EA16D2">
      <w:pPr>
        <w:pStyle w:val="FootnoteText"/>
      </w:pPr>
      <w:r>
        <w:rPr>
          <w:rStyle w:val="FootnoteReference"/>
        </w:rPr>
        <w:footnoteRef/>
      </w:r>
      <w:r>
        <w:t xml:space="preserve"> Hennink, Hutter and Bailey, </w:t>
      </w:r>
      <w:r>
        <w:rPr>
          <w:i/>
          <w:iCs/>
        </w:rPr>
        <w:t xml:space="preserve">Qualitative Research Methods, </w:t>
      </w:r>
      <w:r>
        <w:t>p.17.</w:t>
      </w:r>
    </w:p>
  </w:footnote>
  <w:footnote w:id="17">
    <w:p w14:paraId="0F888F9C" w14:textId="495B7F29" w:rsidR="00AD5CCA" w:rsidRDefault="00AD5CCA">
      <w:pPr>
        <w:pStyle w:val="FootnoteText"/>
      </w:pPr>
      <w:r>
        <w:rPr>
          <w:rStyle w:val="FootnoteReference"/>
        </w:rPr>
        <w:footnoteRef/>
      </w:r>
      <w:r>
        <w:t xml:space="preserve"> </w:t>
      </w:r>
      <w:r w:rsidRPr="00AD5CCA">
        <w:t xml:space="preserve">Tony </w:t>
      </w:r>
      <w:r>
        <w:t xml:space="preserve">Walter </w:t>
      </w:r>
      <w:r w:rsidRPr="00AD5CCA">
        <w:t xml:space="preserve">and Helen Waterhouse, ‘A Very Private Belief: Reincarnation In Contemporary England’, </w:t>
      </w:r>
      <w:r w:rsidRPr="00AD5CCA">
        <w:rPr>
          <w:i/>
          <w:iCs/>
        </w:rPr>
        <w:t>Sociology Of Religion</w:t>
      </w:r>
      <w:r w:rsidRPr="00AD5CCA">
        <w:t>, 60 (1999), 187-197</w:t>
      </w:r>
      <w:r>
        <w:t>.</w:t>
      </w:r>
    </w:p>
  </w:footnote>
  <w:footnote w:id="18">
    <w:p w14:paraId="1CD1EF5A" w14:textId="3E3D9259" w:rsidR="00557D58" w:rsidRPr="00557D58" w:rsidRDefault="00557D58">
      <w:pPr>
        <w:pStyle w:val="FootnoteText"/>
      </w:pPr>
      <w:r>
        <w:rPr>
          <w:rStyle w:val="FootnoteReference"/>
        </w:rPr>
        <w:footnoteRef/>
      </w:r>
      <w:r>
        <w:t xml:space="preserve"> </w:t>
      </w:r>
      <w:bookmarkStart w:id="41" w:name="_Hlk98685707"/>
      <w:r>
        <w:t xml:space="preserve">Hennink, Hutter and Bailey, </w:t>
      </w:r>
      <w:r>
        <w:rPr>
          <w:i/>
          <w:iCs/>
        </w:rPr>
        <w:t xml:space="preserve">Qualitative Research Methods, </w:t>
      </w:r>
      <w:r>
        <w:t>p.71</w:t>
      </w:r>
      <w:bookmarkEnd w:id="41"/>
      <w:r>
        <w:t>.</w:t>
      </w:r>
    </w:p>
  </w:footnote>
  <w:footnote w:id="19">
    <w:p w14:paraId="3A642926" w14:textId="58EE1EB0" w:rsidR="002F6D7B" w:rsidRDefault="002F6D7B">
      <w:pPr>
        <w:pStyle w:val="FootnoteText"/>
      </w:pPr>
      <w:r>
        <w:rPr>
          <w:rStyle w:val="FootnoteReference"/>
        </w:rPr>
        <w:footnoteRef/>
      </w:r>
      <w:r>
        <w:t xml:space="preserve"> </w:t>
      </w:r>
      <w:r>
        <w:t xml:space="preserve">Hennink, Hutter and Bailey, </w:t>
      </w:r>
      <w:r>
        <w:rPr>
          <w:i/>
          <w:iCs/>
        </w:rPr>
        <w:t xml:space="preserve">Qualitative Research Methods, </w:t>
      </w:r>
      <w:r>
        <w:t>p.71</w:t>
      </w:r>
      <w:r>
        <w:t>.</w:t>
      </w:r>
    </w:p>
  </w:footnote>
  <w:footnote w:id="20">
    <w:p w14:paraId="6053D533" w14:textId="0340C462" w:rsidR="00A46256" w:rsidRDefault="00A46256">
      <w:pPr>
        <w:pStyle w:val="FootnoteText"/>
      </w:pPr>
      <w:r>
        <w:rPr>
          <w:rStyle w:val="FootnoteReference"/>
        </w:rPr>
        <w:footnoteRef/>
      </w:r>
      <w:r>
        <w:t xml:space="preserve"> </w:t>
      </w:r>
      <w:r>
        <w:t xml:space="preserve">Hennink, Hutter and Bailey, </w:t>
      </w:r>
      <w:r>
        <w:rPr>
          <w:i/>
          <w:iCs/>
        </w:rPr>
        <w:t xml:space="preserve">Qualitative Research Methods, </w:t>
      </w:r>
      <w:r>
        <w:t>p.</w:t>
      </w:r>
      <w:r>
        <w:t>19.</w:t>
      </w:r>
    </w:p>
  </w:footnote>
  <w:footnote w:id="21">
    <w:p w14:paraId="45FD3A00" w14:textId="576C2977" w:rsidR="00107216" w:rsidRPr="00107216" w:rsidRDefault="00107216">
      <w:pPr>
        <w:pStyle w:val="FootnoteText"/>
      </w:pPr>
      <w:r>
        <w:rPr>
          <w:rStyle w:val="FootnoteReference"/>
        </w:rPr>
        <w:footnoteRef/>
      </w:r>
      <w:r>
        <w:t xml:space="preserve"> </w:t>
      </w:r>
      <w:bookmarkStart w:id="42" w:name="_Hlk98699885"/>
      <w:r>
        <w:t xml:space="preserve">David Hillman, ‘The Scholarly Voice And The Personal Voice: Reflexivity In Belief Studies’, </w:t>
      </w:r>
      <w:r>
        <w:rPr>
          <w:i/>
          <w:iCs/>
        </w:rPr>
        <w:t xml:space="preserve">Western Folklore, </w:t>
      </w:r>
      <w:r>
        <w:t xml:space="preserve">54:1 (1995), </w:t>
      </w:r>
      <w:r w:rsidR="00D16CDD">
        <w:t>57-76</w:t>
      </w:r>
      <w:bookmarkEnd w:id="42"/>
      <w:r w:rsidR="00D16CDD">
        <w:t xml:space="preserve">, </w:t>
      </w:r>
      <w:r>
        <w:t>p.61.</w:t>
      </w:r>
    </w:p>
  </w:footnote>
  <w:footnote w:id="22">
    <w:p w14:paraId="551C264A" w14:textId="611714CE" w:rsidR="00107216" w:rsidRDefault="00107216">
      <w:pPr>
        <w:pStyle w:val="FootnoteText"/>
      </w:pPr>
      <w:r>
        <w:rPr>
          <w:rStyle w:val="FootnoteReference"/>
        </w:rPr>
        <w:footnoteRef/>
      </w:r>
      <w:r>
        <w:t xml:space="preserve"> Hillman, ‘The Scholarly Voice’, pp.61-62.</w:t>
      </w:r>
    </w:p>
  </w:footnote>
  <w:footnote w:id="23">
    <w:p w14:paraId="68FE4060" w14:textId="2634F603" w:rsidR="006050F5" w:rsidRDefault="006050F5">
      <w:pPr>
        <w:pStyle w:val="FootnoteText"/>
      </w:pPr>
      <w:r>
        <w:rPr>
          <w:rStyle w:val="FootnoteReference"/>
        </w:rPr>
        <w:footnoteRef/>
      </w:r>
      <w:r>
        <w:t xml:space="preserve"> Bennett, ‘If I Knew You Were Coming’, p.127.</w:t>
      </w:r>
    </w:p>
  </w:footnote>
  <w:footnote w:id="24">
    <w:p w14:paraId="02FBD090" w14:textId="4CE8F18E" w:rsidR="004C5A1D" w:rsidRDefault="004C5A1D">
      <w:pPr>
        <w:pStyle w:val="FootnoteText"/>
      </w:pPr>
      <w:r>
        <w:rPr>
          <w:rStyle w:val="FootnoteReference"/>
        </w:rPr>
        <w:footnoteRef/>
      </w:r>
      <w:r>
        <w:t xml:space="preserve"> Bennett, ‘Narrative’, pp.415-416.</w:t>
      </w:r>
    </w:p>
  </w:footnote>
  <w:footnote w:id="25">
    <w:p w14:paraId="0A599ECF" w14:textId="0D99E678" w:rsidR="004C5A1D" w:rsidRDefault="004C5A1D">
      <w:pPr>
        <w:pStyle w:val="FootnoteText"/>
      </w:pPr>
      <w:r>
        <w:rPr>
          <w:rStyle w:val="FootnoteReference"/>
        </w:rPr>
        <w:footnoteRef/>
      </w:r>
      <w:r>
        <w:t xml:space="preserve"> Bennett, ‘Narrative’, p.416.</w:t>
      </w:r>
    </w:p>
  </w:footnote>
  <w:footnote w:id="26">
    <w:p w14:paraId="705F819D" w14:textId="02F6A512" w:rsidR="001B333E" w:rsidRDefault="001B333E">
      <w:pPr>
        <w:pStyle w:val="FootnoteText"/>
      </w:pPr>
      <w:r>
        <w:rPr>
          <w:rStyle w:val="FootnoteReference"/>
        </w:rPr>
        <w:footnoteRef/>
      </w:r>
      <w:r>
        <w:t xml:space="preserve"> Bennett, ‘If I Knew You Were Coming’, p.125.</w:t>
      </w:r>
    </w:p>
  </w:footnote>
  <w:footnote w:id="27">
    <w:p w14:paraId="767A4FA3" w14:textId="74AE3295" w:rsidR="001B333E" w:rsidRDefault="001B333E">
      <w:pPr>
        <w:pStyle w:val="FootnoteText"/>
      </w:pPr>
      <w:r>
        <w:rPr>
          <w:rStyle w:val="FootnoteReference"/>
        </w:rPr>
        <w:footnoteRef/>
      </w:r>
      <w:r>
        <w:t xml:space="preserve"> Bennett, ‘Narrative’, p.418.</w:t>
      </w:r>
    </w:p>
  </w:footnote>
  <w:footnote w:id="28">
    <w:p w14:paraId="08D43A6F" w14:textId="41F536CD" w:rsidR="00AA7DB6" w:rsidRDefault="00AA7DB6">
      <w:pPr>
        <w:pStyle w:val="FootnoteText"/>
      </w:pPr>
      <w:r>
        <w:rPr>
          <w:rStyle w:val="FootnoteReference"/>
        </w:rPr>
        <w:footnoteRef/>
      </w:r>
      <w:r>
        <w:t xml:space="preserve"> </w:t>
      </w:r>
      <w:bookmarkStart w:id="43" w:name="_Hlk98693387"/>
      <w:r>
        <w:t>Brink, ‘Inconsistency Of Belief’, p. 83.</w:t>
      </w:r>
      <w:bookmarkEnd w:id="43"/>
    </w:p>
  </w:footnote>
  <w:footnote w:id="29">
    <w:p w14:paraId="0E575ABB" w14:textId="62D53AA0" w:rsidR="00AA7DB6" w:rsidRDefault="00AA7DB6">
      <w:pPr>
        <w:pStyle w:val="FootnoteText"/>
      </w:pPr>
      <w:r>
        <w:rPr>
          <w:rStyle w:val="FootnoteReference"/>
        </w:rPr>
        <w:footnoteRef/>
      </w:r>
      <w:r>
        <w:t xml:space="preserve"> </w:t>
      </w:r>
      <w:r>
        <w:t>Brink, ‘Inconsistency Of Belief’, p. 83.</w:t>
      </w:r>
    </w:p>
  </w:footnote>
  <w:footnote w:id="30">
    <w:p w14:paraId="3A44C6D1" w14:textId="280E8C50" w:rsidR="00AA7DB6" w:rsidRDefault="00AA7DB6">
      <w:pPr>
        <w:pStyle w:val="FootnoteText"/>
      </w:pPr>
      <w:r>
        <w:rPr>
          <w:rStyle w:val="FootnoteReference"/>
        </w:rPr>
        <w:footnoteRef/>
      </w:r>
      <w:r>
        <w:t xml:space="preserve"> </w:t>
      </w:r>
      <w:r>
        <w:t>Brink, ‘Inconsistency Of Belief’, p. 8</w:t>
      </w:r>
      <w:r>
        <w:t>2</w:t>
      </w:r>
    </w:p>
  </w:footnote>
  <w:footnote w:id="31">
    <w:p w14:paraId="32AFCE33" w14:textId="478D03AE" w:rsidR="003F381D" w:rsidRDefault="003F381D">
      <w:pPr>
        <w:pStyle w:val="FootnoteText"/>
      </w:pPr>
      <w:r>
        <w:rPr>
          <w:rStyle w:val="FootnoteReference"/>
        </w:rPr>
        <w:footnoteRef/>
      </w:r>
      <w:r>
        <w:t xml:space="preserve"> </w:t>
      </w:r>
      <w:r>
        <w:t>Brink, ‘Inconsistency Of Belief’, p. 8</w:t>
      </w:r>
      <w:r>
        <w:t>4.</w:t>
      </w:r>
    </w:p>
  </w:footnote>
  <w:footnote w:id="32">
    <w:p w14:paraId="2EFCB469" w14:textId="19F3C6BC" w:rsidR="00610E4C" w:rsidRDefault="00610E4C">
      <w:pPr>
        <w:pStyle w:val="FootnoteText"/>
      </w:pPr>
      <w:r>
        <w:rPr>
          <w:rStyle w:val="FootnoteReference"/>
        </w:rPr>
        <w:footnoteRef/>
      </w:r>
      <w:r>
        <w:t xml:space="preserve"> </w:t>
      </w:r>
      <w:r>
        <w:t>Brink, ‘Inconsistency Of Belief’, p. 8</w:t>
      </w:r>
      <w:r>
        <w:t>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A6BB0D" w14:textId="77777777" w:rsidR="00E767A5" w:rsidRDefault="00E767A5" w:rsidP="00E767A5">
    <w:pPr>
      <w:pStyle w:val="Header"/>
    </w:pPr>
    <w:r>
      <w:t>Kimberly Corrall, #2024486</w:t>
    </w:r>
    <w:r>
      <w:tab/>
    </w:r>
    <w:r>
      <w:tab/>
    </w:r>
    <w:r>
      <w:fldChar w:fldCharType="begin"/>
    </w:r>
    <w:r>
      <w:instrText xml:space="preserve"> PAGE   \* MERGEFORMAT </w:instrText>
    </w:r>
    <w:r>
      <w:fldChar w:fldCharType="separate"/>
    </w:r>
    <w:r>
      <w:t>9</w:t>
    </w:r>
    <w:r>
      <w:rPr>
        <w:noProof/>
      </w:rPr>
      <w:fldChar w:fldCharType="end"/>
    </w:r>
  </w:p>
  <w:p w14:paraId="1B60EF67" w14:textId="66C6B8A7" w:rsidR="00D918B4" w:rsidRDefault="00E767A5">
    <w:pPr>
      <w:pStyle w:val="Header"/>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004452"/>
    <w:multiLevelType w:val="hybridMultilevel"/>
    <w:tmpl w:val="798C9066"/>
    <w:lvl w:ilvl="0" w:tplc="9FAC32F6">
      <w:start w:val="1"/>
      <w:numFmt w:val="bullet"/>
      <w:lvlText w:val="-"/>
      <w:lvlJc w:val="left"/>
      <w:pPr>
        <w:ind w:left="720" w:hanging="360"/>
      </w:pPr>
      <w:rPr>
        <w:rFonts w:ascii="Calibri" w:eastAsiaTheme="minorHAnsi" w:hAnsi="Calibri" w:cs="Calibri" w:hint="default"/>
        <w:i w:val="0"/>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17F0E91"/>
    <w:multiLevelType w:val="hybridMultilevel"/>
    <w:tmpl w:val="F822DE48"/>
    <w:lvl w:ilvl="0" w:tplc="0409000F">
      <w:start w:val="1"/>
      <w:numFmt w:val="decimal"/>
      <w:lvlText w:val="%1."/>
      <w:lvlJc w:val="left"/>
      <w:pPr>
        <w:ind w:left="6480" w:hanging="360"/>
      </w:pPr>
    </w:lvl>
    <w:lvl w:ilvl="1" w:tplc="04090019" w:tentative="1">
      <w:start w:val="1"/>
      <w:numFmt w:val="lowerLetter"/>
      <w:lvlText w:val="%2."/>
      <w:lvlJc w:val="left"/>
      <w:pPr>
        <w:ind w:left="7200" w:hanging="360"/>
      </w:pPr>
    </w:lvl>
    <w:lvl w:ilvl="2" w:tplc="0409001B" w:tentative="1">
      <w:start w:val="1"/>
      <w:numFmt w:val="lowerRoman"/>
      <w:lvlText w:val="%3."/>
      <w:lvlJc w:val="right"/>
      <w:pPr>
        <w:ind w:left="7920" w:hanging="180"/>
      </w:pPr>
    </w:lvl>
    <w:lvl w:ilvl="3" w:tplc="0409000F" w:tentative="1">
      <w:start w:val="1"/>
      <w:numFmt w:val="decimal"/>
      <w:lvlText w:val="%4."/>
      <w:lvlJc w:val="left"/>
      <w:pPr>
        <w:ind w:left="8640" w:hanging="360"/>
      </w:pPr>
    </w:lvl>
    <w:lvl w:ilvl="4" w:tplc="04090019" w:tentative="1">
      <w:start w:val="1"/>
      <w:numFmt w:val="lowerLetter"/>
      <w:lvlText w:val="%5."/>
      <w:lvlJc w:val="left"/>
      <w:pPr>
        <w:ind w:left="9360" w:hanging="360"/>
      </w:pPr>
    </w:lvl>
    <w:lvl w:ilvl="5" w:tplc="0409001B" w:tentative="1">
      <w:start w:val="1"/>
      <w:numFmt w:val="lowerRoman"/>
      <w:lvlText w:val="%6."/>
      <w:lvlJc w:val="right"/>
      <w:pPr>
        <w:ind w:left="10080" w:hanging="180"/>
      </w:pPr>
    </w:lvl>
    <w:lvl w:ilvl="6" w:tplc="0409000F" w:tentative="1">
      <w:start w:val="1"/>
      <w:numFmt w:val="decimal"/>
      <w:lvlText w:val="%7."/>
      <w:lvlJc w:val="left"/>
      <w:pPr>
        <w:ind w:left="10800" w:hanging="360"/>
      </w:pPr>
    </w:lvl>
    <w:lvl w:ilvl="7" w:tplc="04090019" w:tentative="1">
      <w:start w:val="1"/>
      <w:numFmt w:val="lowerLetter"/>
      <w:lvlText w:val="%8."/>
      <w:lvlJc w:val="left"/>
      <w:pPr>
        <w:ind w:left="11520" w:hanging="360"/>
      </w:pPr>
    </w:lvl>
    <w:lvl w:ilvl="8" w:tplc="0409001B" w:tentative="1">
      <w:start w:val="1"/>
      <w:numFmt w:val="lowerRoman"/>
      <w:lvlText w:val="%9."/>
      <w:lvlJc w:val="right"/>
      <w:pPr>
        <w:ind w:left="12240" w:hanging="180"/>
      </w:pPr>
    </w:lvl>
  </w:abstractNum>
  <w:abstractNum w:abstractNumId="2" w15:restartNumberingAfterBreak="0">
    <w:nsid w:val="3816747F"/>
    <w:multiLevelType w:val="hybridMultilevel"/>
    <w:tmpl w:val="E8E66D10"/>
    <w:lvl w:ilvl="0" w:tplc="0409000F">
      <w:start w:val="1"/>
      <w:numFmt w:val="decimal"/>
      <w:lvlText w:val="%1."/>
      <w:lvlJc w:val="left"/>
      <w:pPr>
        <w:ind w:left="3600" w:hanging="360"/>
      </w:p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18B4"/>
    <w:rsid w:val="000E20A2"/>
    <w:rsid w:val="00106F2A"/>
    <w:rsid w:val="00107216"/>
    <w:rsid w:val="001462E4"/>
    <w:rsid w:val="00163CC0"/>
    <w:rsid w:val="0018556C"/>
    <w:rsid w:val="001B333E"/>
    <w:rsid w:val="001D67DD"/>
    <w:rsid w:val="00207718"/>
    <w:rsid w:val="0021158E"/>
    <w:rsid w:val="00244F21"/>
    <w:rsid w:val="002751C0"/>
    <w:rsid w:val="00286C87"/>
    <w:rsid w:val="00292A19"/>
    <w:rsid w:val="0029332C"/>
    <w:rsid w:val="002B3E30"/>
    <w:rsid w:val="002D07ED"/>
    <w:rsid w:val="002D5133"/>
    <w:rsid w:val="002F6D7B"/>
    <w:rsid w:val="00326D7F"/>
    <w:rsid w:val="00340DA1"/>
    <w:rsid w:val="003558BD"/>
    <w:rsid w:val="003B6EA8"/>
    <w:rsid w:val="003D1052"/>
    <w:rsid w:val="003E7941"/>
    <w:rsid w:val="003F2B7B"/>
    <w:rsid w:val="003F32EA"/>
    <w:rsid w:val="003F381D"/>
    <w:rsid w:val="00401B74"/>
    <w:rsid w:val="00405455"/>
    <w:rsid w:val="004145A2"/>
    <w:rsid w:val="00416401"/>
    <w:rsid w:val="00426182"/>
    <w:rsid w:val="004303EA"/>
    <w:rsid w:val="00440FF3"/>
    <w:rsid w:val="00490D1D"/>
    <w:rsid w:val="00496B04"/>
    <w:rsid w:val="004A1F2A"/>
    <w:rsid w:val="004C3C09"/>
    <w:rsid w:val="004C5A1D"/>
    <w:rsid w:val="005356F1"/>
    <w:rsid w:val="00545962"/>
    <w:rsid w:val="00557D58"/>
    <w:rsid w:val="00577DB6"/>
    <w:rsid w:val="00585690"/>
    <w:rsid w:val="005E7232"/>
    <w:rsid w:val="006050F5"/>
    <w:rsid w:val="00610E4C"/>
    <w:rsid w:val="006176B2"/>
    <w:rsid w:val="00626485"/>
    <w:rsid w:val="006301FE"/>
    <w:rsid w:val="00646CC3"/>
    <w:rsid w:val="0065467B"/>
    <w:rsid w:val="0067191E"/>
    <w:rsid w:val="00682CB6"/>
    <w:rsid w:val="00694BB0"/>
    <w:rsid w:val="006D058D"/>
    <w:rsid w:val="006D533A"/>
    <w:rsid w:val="006F6A7F"/>
    <w:rsid w:val="007219BE"/>
    <w:rsid w:val="007A2EA8"/>
    <w:rsid w:val="007F03F0"/>
    <w:rsid w:val="00814D39"/>
    <w:rsid w:val="008E34BE"/>
    <w:rsid w:val="008E6817"/>
    <w:rsid w:val="009024BF"/>
    <w:rsid w:val="00914F59"/>
    <w:rsid w:val="00933C83"/>
    <w:rsid w:val="0097047B"/>
    <w:rsid w:val="009A0D04"/>
    <w:rsid w:val="009A6780"/>
    <w:rsid w:val="009A76F1"/>
    <w:rsid w:val="009A7E33"/>
    <w:rsid w:val="00A17AB9"/>
    <w:rsid w:val="00A46256"/>
    <w:rsid w:val="00A56DF4"/>
    <w:rsid w:val="00A62D25"/>
    <w:rsid w:val="00A639C7"/>
    <w:rsid w:val="00A72CD8"/>
    <w:rsid w:val="00AA7DB6"/>
    <w:rsid w:val="00AD5CCA"/>
    <w:rsid w:val="00B01FC1"/>
    <w:rsid w:val="00B01FF6"/>
    <w:rsid w:val="00B02418"/>
    <w:rsid w:val="00B04266"/>
    <w:rsid w:val="00B54FC0"/>
    <w:rsid w:val="00B75EFF"/>
    <w:rsid w:val="00B92305"/>
    <w:rsid w:val="00B960F5"/>
    <w:rsid w:val="00BE28C7"/>
    <w:rsid w:val="00C12FB7"/>
    <w:rsid w:val="00C36818"/>
    <w:rsid w:val="00C935D8"/>
    <w:rsid w:val="00CC0974"/>
    <w:rsid w:val="00CE3100"/>
    <w:rsid w:val="00D10514"/>
    <w:rsid w:val="00D16CDD"/>
    <w:rsid w:val="00D77EEB"/>
    <w:rsid w:val="00D9033C"/>
    <w:rsid w:val="00D918B4"/>
    <w:rsid w:val="00DA5F4B"/>
    <w:rsid w:val="00DC016B"/>
    <w:rsid w:val="00DC5843"/>
    <w:rsid w:val="00E0266D"/>
    <w:rsid w:val="00E04776"/>
    <w:rsid w:val="00E223F6"/>
    <w:rsid w:val="00E30EAE"/>
    <w:rsid w:val="00E36AD8"/>
    <w:rsid w:val="00E767A5"/>
    <w:rsid w:val="00EA16D2"/>
    <w:rsid w:val="00EF70A4"/>
    <w:rsid w:val="00F06ABA"/>
    <w:rsid w:val="00F60F75"/>
    <w:rsid w:val="00F63070"/>
    <w:rsid w:val="00FA00AB"/>
    <w:rsid w:val="00FA4D72"/>
    <w:rsid w:val="00FB7E8A"/>
    <w:rsid w:val="00FE31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9C71F8"/>
  <w15:chartTrackingRefBased/>
  <w15:docId w15:val="{DEF907DE-47C5-4861-A16E-8A2BF7AAAB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00AB"/>
  </w:style>
  <w:style w:type="paragraph" w:styleId="Heading1">
    <w:name w:val="heading 1"/>
    <w:basedOn w:val="Normal"/>
    <w:next w:val="Normal"/>
    <w:link w:val="Heading1Char"/>
    <w:uiPriority w:val="9"/>
    <w:qFormat/>
    <w:rsid w:val="00FA00A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176B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918B4"/>
    <w:pPr>
      <w:tabs>
        <w:tab w:val="center" w:pos="4680"/>
        <w:tab w:val="right" w:pos="9360"/>
      </w:tabs>
      <w:spacing w:after="0" w:line="240" w:lineRule="auto"/>
    </w:pPr>
  </w:style>
  <w:style w:type="character" w:customStyle="1" w:styleId="HeaderChar">
    <w:name w:val="Header Char"/>
    <w:basedOn w:val="DefaultParagraphFont"/>
    <w:link w:val="Header"/>
    <w:uiPriority w:val="99"/>
    <w:rsid w:val="00D918B4"/>
  </w:style>
  <w:style w:type="paragraph" w:styleId="Footer">
    <w:name w:val="footer"/>
    <w:basedOn w:val="Normal"/>
    <w:link w:val="FooterChar"/>
    <w:uiPriority w:val="99"/>
    <w:unhideWhenUsed/>
    <w:rsid w:val="00D918B4"/>
    <w:pPr>
      <w:tabs>
        <w:tab w:val="center" w:pos="4680"/>
        <w:tab w:val="right" w:pos="9360"/>
      </w:tabs>
      <w:spacing w:after="0" w:line="240" w:lineRule="auto"/>
    </w:pPr>
  </w:style>
  <w:style w:type="character" w:customStyle="1" w:styleId="FooterChar">
    <w:name w:val="Footer Char"/>
    <w:basedOn w:val="DefaultParagraphFont"/>
    <w:link w:val="Footer"/>
    <w:uiPriority w:val="99"/>
    <w:rsid w:val="00D918B4"/>
  </w:style>
  <w:style w:type="paragraph" w:styleId="FootnoteText">
    <w:name w:val="footnote text"/>
    <w:basedOn w:val="Normal"/>
    <w:link w:val="FootnoteTextChar"/>
    <w:uiPriority w:val="99"/>
    <w:semiHidden/>
    <w:unhideWhenUsed/>
    <w:rsid w:val="00FA00A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A00AB"/>
    <w:rPr>
      <w:sz w:val="20"/>
      <w:szCs w:val="20"/>
    </w:rPr>
  </w:style>
  <w:style w:type="character" w:styleId="FootnoteReference">
    <w:name w:val="footnote reference"/>
    <w:basedOn w:val="DefaultParagraphFont"/>
    <w:uiPriority w:val="99"/>
    <w:semiHidden/>
    <w:unhideWhenUsed/>
    <w:rsid w:val="00FA00AB"/>
    <w:rPr>
      <w:vertAlign w:val="superscript"/>
    </w:rPr>
  </w:style>
  <w:style w:type="character" w:customStyle="1" w:styleId="Heading1Char">
    <w:name w:val="Heading 1 Char"/>
    <w:basedOn w:val="DefaultParagraphFont"/>
    <w:link w:val="Heading1"/>
    <w:uiPriority w:val="9"/>
    <w:rsid w:val="00FA00AB"/>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2751C0"/>
    <w:rPr>
      <w:color w:val="0563C1" w:themeColor="hyperlink"/>
      <w:u w:val="single"/>
    </w:rPr>
  </w:style>
  <w:style w:type="character" w:styleId="UnresolvedMention">
    <w:name w:val="Unresolved Mention"/>
    <w:basedOn w:val="DefaultParagraphFont"/>
    <w:uiPriority w:val="99"/>
    <w:semiHidden/>
    <w:unhideWhenUsed/>
    <w:rsid w:val="002751C0"/>
    <w:rPr>
      <w:color w:val="605E5C"/>
      <w:shd w:val="clear" w:color="auto" w:fill="E1DFDD"/>
    </w:rPr>
  </w:style>
  <w:style w:type="paragraph" w:styleId="ListParagraph">
    <w:name w:val="List Paragraph"/>
    <w:basedOn w:val="Normal"/>
    <w:uiPriority w:val="34"/>
    <w:qFormat/>
    <w:rsid w:val="00914F59"/>
    <w:pPr>
      <w:ind w:left="720"/>
      <w:contextualSpacing/>
    </w:pPr>
  </w:style>
  <w:style w:type="character" w:customStyle="1" w:styleId="Heading2Char">
    <w:name w:val="Heading 2 Char"/>
    <w:basedOn w:val="DefaultParagraphFont"/>
    <w:link w:val="Heading2"/>
    <w:uiPriority w:val="9"/>
    <w:rsid w:val="006176B2"/>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559534">
      <w:bodyDiv w:val="1"/>
      <w:marLeft w:val="0"/>
      <w:marRight w:val="0"/>
      <w:marTop w:val="0"/>
      <w:marBottom w:val="0"/>
      <w:divBdr>
        <w:top w:val="none" w:sz="0" w:space="0" w:color="auto"/>
        <w:left w:val="none" w:sz="0" w:space="0" w:color="auto"/>
        <w:bottom w:val="none" w:sz="0" w:space="0" w:color="auto"/>
        <w:right w:val="none" w:sz="0" w:space="0" w:color="auto"/>
      </w:divBdr>
    </w:div>
    <w:div w:id="1185249323">
      <w:bodyDiv w:val="1"/>
      <w:marLeft w:val="0"/>
      <w:marRight w:val="0"/>
      <w:marTop w:val="0"/>
      <w:marBottom w:val="0"/>
      <w:divBdr>
        <w:top w:val="none" w:sz="0" w:space="0" w:color="auto"/>
        <w:left w:val="none" w:sz="0" w:space="0" w:color="auto"/>
        <w:bottom w:val="none" w:sz="0" w:space="0" w:color="auto"/>
        <w:right w:val="none" w:sz="0" w:space="0" w:color="auto"/>
      </w:divBdr>
      <w:divsChild>
        <w:div w:id="789128300">
          <w:marLeft w:val="0"/>
          <w:marRight w:val="0"/>
          <w:marTop w:val="36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69E016-1759-4704-8B00-407BF201F8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9</Pages>
  <Words>2800</Words>
  <Characters>15960</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 Corrall</dc:creator>
  <cp:keywords/>
  <dc:description/>
  <cp:lastModifiedBy>Kim Corrall</cp:lastModifiedBy>
  <cp:revision>7</cp:revision>
  <cp:lastPrinted>2022-03-21T02:38:00Z</cp:lastPrinted>
  <dcterms:created xsi:type="dcterms:W3CDTF">2022-03-21T02:48:00Z</dcterms:created>
  <dcterms:modified xsi:type="dcterms:W3CDTF">2022-03-21T03:23:00Z</dcterms:modified>
</cp:coreProperties>
</file>